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9A001">
      <w:pPr>
        <w:autoSpaceDE w:val="0"/>
        <w:autoSpaceDN w:val="0"/>
        <w:adjustRightInd w:val="0"/>
        <w:spacing w:line="720" w:lineRule="auto"/>
        <w:ind w:firstLine="0" w:firstLineChars="0"/>
        <w:rPr>
          <w:rFonts w:hint="eastAsia" w:ascii="宋体" w:hAnsi="宋体" w:eastAsia="宋体" w:cs="宋体"/>
          <w:b/>
          <w:color w:val="auto"/>
          <w:sz w:val="24"/>
          <w:szCs w:val="24"/>
          <w:lang w:val="zh-CN"/>
        </w:rPr>
      </w:pPr>
    </w:p>
    <w:p w14:paraId="162C10D8">
      <w:pPr>
        <w:autoSpaceDE w:val="0"/>
        <w:autoSpaceDN w:val="0"/>
        <w:adjustRightInd w:val="0"/>
        <w:spacing w:line="720" w:lineRule="auto"/>
        <w:ind w:firstLine="0" w:firstLineChars="0"/>
        <w:rPr>
          <w:rFonts w:hint="eastAsia" w:ascii="宋体" w:hAnsi="宋体" w:eastAsia="宋体" w:cs="宋体"/>
          <w:b/>
          <w:color w:val="auto"/>
          <w:sz w:val="24"/>
          <w:szCs w:val="24"/>
          <w:lang w:val="zh-CN"/>
        </w:rPr>
      </w:pPr>
      <w:bookmarkStart w:id="248" w:name="_GoBack"/>
      <w:bookmarkEnd w:id="248"/>
    </w:p>
    <w:p w14:paraId="59477A46">
      <w:pPr>
        <w:autoSpaceDE w:val="0"/>
        <w:autoSpaceDN w:val="0"/>
        <w:adjustRightInd w:val="0"/>
        <w:spacing w:line="720" w:lineRule="auto"/>
        <w:ind w:firstLine="0" w:firstLineChars="0"/>
        <w:jc w:val="center"/>
        <w:rPr>
          <w:rFonts w:hint="eastAsia" w:ascii="宋体" w:hAnsi="宋体" w:eastAsia="宋体" w:cs="宋体"/>
          <w:b/>
          <w:color w:val="auto"/>
          <w:sz w:val="84"/>
          <w:szCs w:val="84"/>
        </w:rPr>
      </w:pPr>
      <w:r>
        <w:rPr>
          <w:rFonts w:hint="eastAsia" w:ascii="宋体" w:hAnsi="宋体" w:eastAsia="宋体" w:cs="宋体"/>
          <w:b/>
          <w:color w:val="auto"/>
          <w:sz w:val="84"/>
          <w:szCs w:val="84"/>
          <w:lang w:val="zh-CN"/>
        </w:rPr>
        <w:t>磋商文件</w:t>
      </w:r>
    </w:p>
    <w:p w14:paraId="3CEFC020">
      <w:pPr>
        <w:adjustRightInd w:val="0"/>
        <w:spacing w:line="720" w:lineRule="auto"/>
        <w:ind w:firstLine="0" w:firstLineChars="0"/>
        <w:textAlignment w:val="baseline"/>
        <w:rPr>
          <w:rFonts w:hint="eastAsia" w:ascii="宋体" w:hAnsi="宋体" w:eastAsia="宋体" w:cs="宋体"/>
          <w:b/>
          <w:color w:val="auto"/>
          <w:sz w:val="24"/>
          <w:szCs w:val="24"/>
        </w:rPr>
      </w:pPr>
    </w:p>
    <w:p w14:paraId="5FED0548">
      <w:pPr>
        <w:adjustRightInd w:val="0"/>
        <w:spacing w:line="720" w:lineRule="auto"/>
        <w:ind w:firstLine="0" w:firstLineChars="0"/>
        <w:textAlignment w:val="baseline"/>
        <w:rPr>
          <w:rFonts w:hint="eastAsia" w:ascii="宋体" w:hAnsi="宋体" w:eastAsia="宋体" w:cs="宋体"/>
          <w:color w:val="auto"/>
        </w:rPr>
      </w:pPr>
    </w:p>
    <w:p w14:paraId="5B88C33E">
      <w:pPr>
        <w:adjustRightInd w:val="0"/>
        <w:spacing w:line="720" w:lineRule="auto"/>
        <w:ind w:firstLine="0" w:firstLineChars="0"/>
        <w:textAlignment w:val="baseline"/>
        <w:rPr>
          <w:rFonts w:hint="eastAsia" w:ascii="宋体" w:hAnsi="宋体" w:eastAsia="宋体" w:cs="宋体"/>
          <w:b/>
          <w:color w:val="auto"/>
          <w:sz w:val="36"/>
          <w:szCs w:val="36"/>
          <w:lang w:eastAsia="zh-CN"/>
        </w:rPr>
      </w:pPr>
      <w:r>
        <w:rPr>
          <w:rFonts w:hint="eastAsia" w:ascii="宋体" w:hAnsi="宋体" w:eastAsia="宋体" w:cs="宋体"/>
          <w:b/>
          <w:color w:val="auto"/>
          <w:sz w:val="36"/>
          <w:szCs w:val="36"/>
        </w:rPr>
        <w:t>采购项目编号：</w:t>
      </w:r>
      <w:r>
        <w:rPr>
          <w:rFonts w:hint="eastAsia" w:ascii="宋体" w:hAnsi="宋体" w:eastAsia="宋体" w:cs="宋体"/>
          <w:b/>
          <w:color w:val="auto"/>
          <w:sz w:val="36"/>
          <w:szCs w:val="36"/>
          <w:lang w:eastAsia="zh-CN"/>
        </w:rPr>
        <w:t>青海鼎钊竞磋（货物）2026-023</w:t>
      </w:r>
    </w:p>
    <w:p w14:paraId="2B935F85">
      <w:pPr>
        <w:adjustRightInd w:val="0"/>
        <w:spacing w:line="720" w:lineRule="auto"/>
        <w:ind w:left="2530" w:right="420" w:rightChars="200" w:hanging="2530" w:hangingChars="700"/>
        <w:textAlignment w:val="baseline"/>
        <w:rPr>
          <w:rFonts w:hint="eastAsia" w:ascii="宋体" w:hAnsi="宋体" w:eastAsia="宋体" w:cs="宋体"/>
          <w:b/>
          <w:color w:val="auto"/>
          <w:sz w:val="36"/>
          <w:szCs w:val="36"/>
        </w:rPr>
      </w:pPr>
      <w:r>
        <w:rPr>
          <w:rFonts w:hint="eastAsia" w:ascii="宋体" w:hAnsi="宋体" w:eastAsia="宋体" w:cs="宋体"/>
          <w:b/>
          <w:color w:val="auto"/>
          <w:sz w:val="36"/>
          <w:szCs w:val="36"/>
        </w:rPr>
        <w:t>采购项目名称：</w:t>
      </w:r>
      <w:r>
        <w:rPr>
          <w:rFonts w:hint="eastAsia" w:ascii="宋体" w:hAnsi="宋体" w:eastAsia="宋体" w:cs="宋体"/>
          <w:b/>
          <w:color w:val="auto"/>
          <w:sz w:val="36"/>
          <w:szCs w:val="36"/>
          <w:lang w:eastAsia="zh-CN"/>
        </w:rPr>
        <w:t>天峻县2026年学前教育装备玩教具采购项目</w:t>
      </w:r>
    </w:p>
    <w:p w14:paraId="7EDE328A">
      <w:pPr>
        <w:adjustRightInd w:val="0"/>
        <w:spacing w:line="720" w:lineRule="auto"/>
        <w:ind w:left="2530" w:hanging="2530" w:hangingChars="700"/>
        <w:textAlignment w:val="baseline"/>
        <w:rPr>
          <w:rFonts w:hint="eastAsia" w:ascii="宋体" w:hAnsi="宋体" w:eastAsia="宋体" w:cs="宋体"/>
          <w:b/>
          <w:color w:val="auto"/>
          <w:sz w:val="36"/>
          <w:szCs w:val="36"/>
          <w:lang w:eastAsia="zh-CN"/>
        </w:rPr>
      </w:pPr>
      <w:r>
        <w:rPr>
          <w:rFonts w:hint="eastAsia" w:ascii="宋体" w:hAnsi="宋体" w:eastAsia="宋体" w:cs="宋体"/>
          <w:b/>
          <w:color w:val="auto"/>
          <w:sz w:val="36"/>
          <w:szCs w:val="36"/>
        </w:rPr>
        <w:t xml:space="preserve">采 </w:t>
      </w:r>
      <w:r>
        <w:rPr>
          <w:rFonts w:hint="eastAsia" w:ascii="宋体" w:hAnsi="宋体" w:eastAsia="宋体" w:cs="宋体"/>
          <w:b/>
          <w:color w:val="auto"/>
          <w:sz w:val="36"/>
          <w:szCs w:val="36"/>
          <w:lang w:val="en-US" w:eastAsia="zh-CN"/>
        </w:rPr>
        <w:t xml:space="preserve"> </w:t>
      </w:r>
      <w:r>
        <w:rPr>
          <w:rFonts w:hint="eastAsia" w:ascii="宋体" w:hAnsi="宋体" w:eastAsia="宋体" w:cs="宋体"/>
          <w:b/>
          <w:color w:val="auto"/>
          <w:sz w:val="36"/>
          <w:szCs w:val="36"/>
        </w:rPr>
        <w:t xml:space="preserve"> 购 </w:t>
      </w:r>
      <w:r>
        <w:rPr>
          <w:rFonts w:hint="eastAsia" w:ascii="宋体" w:hAnsi="宋体" w:eastAsia="宋体" w:cs="宋体"/>
          <w:b/>
          <w:color w:val="auto"/>
          <w:sz w:val="36"/>
          <w:szCs w:val="36"/>
          <w:lang w:val="en-US" w:eastAsia="zh-CN"/>
        </w:rPr>
        <w:t xml:space="preserve"> </w:t>
      </w:r>
      <w:r>
        <w:rPr>
          <w:rFonts w:hint="eastAsia" w:ascii="宋体" w:hAnsi="宋体" w:eastAsia="宋体" w:cs="宋体"/>
          <w:b/>
          <w:color w:val="auto"/>
          <w:sz w:val="36"/>
          <w:szCs w:val="36"/>
        </w:rPr>
        <w:t xml:space="preserve"> 人：</w:t>
      </w:r>
      <w:r>
        <w:rPr>
          <w:rFonts w:hint="eastAsia" w:ascii="宋体" w:hAnsi="宋体" w:eastAsia="宋体" w:cs="宋体"/>
          <w:b/>
          <w:strike w:val="0"/>
          <w:dstrike w:val="0"/>
          <w:color w:val="auto"/>
          <w:sz w:val="36"/>
          <w:szCs w:val="36"/>
          <w:lang w:eastAsia="zh-CN"/>
        </w:rPr>
        <w:t>天峻县教育局</w:t>
      </w:r>
    </w:p>
    <w:p w14:paraId="44661952">
      <w:pPr>
        <w:spacing w:line="720" w:lineRule="auto"/>
        <w:ind w:firstLine="0" w:firstLineChars="0"/>
        <w:rPr>
          <w:rFonts w:hint="eastAsia" w:ascii="宋体" w:hAnsi="宋体" w:eastAsia="宋体" w:cs="宋体"/>
          <w:b/>
          <w:color w:val="auto"/>
          <w:sz w:val="36"/>
          <w:szCs w:val="36"/>
          <w:lang w:eastAsia="zh-CN"/>
        </w:rPr>
      </w:pPr>
      <w:r>
        <w:rPr>
          <w:rFonts w:hint="eastAsia" w:ascii="宋体" w:hAnsi="宋体" w:eastAsia="宋体" w:cs="宋体"/>
          <w:b/>
          <w:color w:val="auto"/>
          <w:sz w:val="36"/>
          <w:szCs w:val="36"/>
        </w:rPr>
        <w:t>采购代理机构：</w:t>
      </w:r>
      <w:r>
        <w:rPr>
          <w:rFonts w:hint="eastAsia" w:ascii="宋体" w:hAnsi="宋体" w:eastAsia="宋体" w:cs="宋体"/>
          <w:b/>
          <w:color w:val="auto"/>
          <w:sz w:val="36"/>
          <w:szCs w:val="36"/>
          <w:lang w:eastAsia="zh-CN"/>
        </w:rPr>
        <w:t>青海鼎钊招标代理有限公司</w:t>
      </w:r>
    </w:p>
    <w:p w14:paraId="072A5A9C">
      <w:pPr>
        <w:spacing w:line="720" w:lineRule="auto"/>
        <w:ind w:firstLine="0" w:firstLineChars="0"/>
        <w:rPr>
          <w:rFonts w:hint="eastAsia" w:ascii="宋体" w:hAnsi="宋体" w:eastAsia="宋体" w:cs="宋体"/>
          <w:b/>
          <w:bCs/>
          <w:color w:val="auto"/>
          <w:sz w:val="24"/>
          <w:szCs w:val="24"/>
        </w:rPr>
      </w:pPr>
    </w:p>
    <w:p w14:paraId="44AE07B4">
      <w:pPr>
        <w:spacing w:line="720" w:lineRule="auto"/>
        <w:ind w:firstLine="0" w:firstLineChars="0"/>
        <w:rPr>
          <w:rFonts w:hint="eastAsia" w:ascii="宋体" w:hAnsi="宋体" w:eastAsia="宋体" w:cs="宋体"/>
          <w:color w:val="auto"/>
        </w:rPr>
      </w:pPr>
    </w:p>
    <w:p w14:paraId="29D10F0C">
      <w:pPr>
        <w:spacing w:line="720" w:lineRule="auto"/>
        <w:ind w:firstLine="0" w:firstLineChars="0"/>
        <w:jc w:val="center"/>
        <w:rPr>
          <w:rFonts w:hint="eastAsia" w:ascii="宋体" w:hAnsi="宋体" w:eastAsia="宋体" w:cs="宋体"/>
          <w:b/>
          <w:bCs/>
          <w:color w:val="auto"/>
          <w:sz w:val="36"/>
          <w:szCs w:val="36"/>
          <w:lang w:eastAsia="zh-CN"/>
        </w:rPr>
      </w:pPr>
      <w:r>
        <w:rPr>
          <w:rFonts w:hint="eastAsia" w:ascii="宋体" w:hAnsi="宋体" w:eastAsia="宋体" w:cs="宋体"/>
          <w:b/>
          <w:bCs/>
          <w:color w:val="auto"/>
          <w:sz w:val="36"/>
          <w:szCs w:val="36"/>
          <w:lang w:eastAsia="zh-CN"/>
        </w:rPr>
        <w:t>20</w:t>
      </w:r>
      <w:r>
        <w:rPr>
          <w:rFonts w:hint="eastAsia" w:ascii="宋体" w:hAnsi="宋体" w:eastAsia="宋体" w:cs="宋体"/>
          <w:b/>
          <w:bCs/>
          <w:color w:val="auto"/>
          <w:sz w:val="36"/>
          <w:szCs w:val="36"/>
          <w:lang w:val="en-US" w:eastAsia="zh-CN"/>
        </w:rPr>
        <w:t>26</w:t>
      </w:r>
      <w:r>
        <w:rPr>
          <w:rFonts w:hint="eastAsia" w:ascii="宋体" w:hAnsi="宋体" w:eastAsia="宋体" w:cs="宋体"/>
          <w:b/>
          <w:bCs/>
          <w:color w:val="auto"/>
          <w:sz w:val="36"/>
          <w:szCs w:val="36"/>
          <w:lang w:eastAsia="zh-CN"/>
        </w:rPr>
        <w:t>年</w:t>
      </w:r>
      <w:r>
        <w:rPr>
          <w:rFonts w:hint="eastAsia" w:ascii="宋体" w:hAnsi="宋体" w:eastAsia="宋体" w:cs="宋体"/>
          <w:b/>
          <w:bCs/>
          <w:color w:val="auto"/>
          <w:sz w:val="36"/>
          <w:szCs w:val="36"/>
          <w:lang w:val="en-US" w:eastAsia="zh-CN"/>
        </w:rPr>
        <w:t>5</w:t>
      </w:r>
      <w:r>
        <w:rPr>
          <w:rFonts w:hint="eastAsia" w:ascii="宋体" w:hAnsi="宋体" w:eastAsia="宋体" w:cs="宋体"/>
          <w:b/>
          <w:bCs/>
          <w:color w:val="auto"/>
          <w:sz w:val="36"/>
          <w:szCs w:val="36"/>
          <w:lang w:eastAsia="zh-CN"/>
        </w:rPr>
        <w:t>月</w:t>
      </w:r>
    </w:p>
    <w:p w14:paraId="0295537E">
      <w:pPr>
        <w:ind w:firstLine="723"/>
        <w:jc w:val="center"/>
        <w:rPr>
          <w:rFonts w:hint="eastAsia" w:ascii="宋体" w:hAnsi="宋体" w:eastAsia="宋体" w:cs="宋体"/>
          <w:b/>
          <w:bCs/>
          <w:color w:val="auto"/>
          <w:sz w:val="36"/>
          <w:szCs w:val="36"/>
        </w:rPr>
      </w:pPr>
    </w:p>
    <w:p w14:paraId="0F1B5E8B">
      <w:pPr>
        <w:keepNext/>
        <w:pageBreakBefore/>
        <w:adjustRightInd w:val="0"/>
        <w:spacing w:line="720" w:lineRule="auto"/>
        <w:ind w:firstLine="0" w:firstLineChars="0"/>
        <w:jc w:val="center"/>
        <w:textAlignment w:val="baseline"/>
        <w:rPr>
          <w:rFonts w:hint="eastAsia" w:ascii="宋体" w:hAnsi="宋体" w:eastAsia="宋体" w:cs="宋体"/>
          <w:b/>
          <w:color w:val="auto"/>
          <w:sz w:val="40"/>
          <w:szCs w:val="30"/>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45441B5">
      <w:pPr>
        <w:keepNext/>
        <w:pageBreakBefore/>
        <w:adjustRightInd w:val="0"/>
        <w:spacing w:line="720" w:lineRule="auto"/>
        <w:ind w:firstLine="0" w:firstLineChars="0"/>
        <w:jc w:val="center"/>
        <w:textAlignment w:val="baseline"/>
        <w:rPr>
          <w:rFonts w:hint="eastAsia" w:ascii="宋体" w:hAnsi="宋体" w:eastAsia="宋体" w:cs="宋体"/>
          <w:bCs/>
          <w:color w:val="auto"/>
          <w:sz w:val="24"/>
          <w:szCs w:val="24"/>
          <w:lang w:val="en-US" w:eastAsia="zh-CN"/>
        </w:rPr>
      </w:pPr>
      <w:r>
        <w:rPr>
          <w:rFonts w:hint="eastAsia" w:ascii="宋体" w:hAnsi="宋体" w:eastAsia="宋体" w:cs="宋体"/>
          <w:b/>
          <w:color w:val="auto"/>
          <w:sz w:val="40"/>
          <w:szCs w:val="30"/>
        </w:rPr>
        <w:t>目  录</w:t>
      </w:r>
    </w:p>
    <w:p w14:paraId="07A150BE">
      <w:pPr>
        <w:pStyle w:val="1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i w:val="0"/>
          <w:iCs w:val="0"/>
          <w:color w:val="auto"/>
          <w:sz w:val="24"/>
          <w:szCs w:val="24"/>
          <w:lang w:val="zh-CN"/>
        </w:rPr>
        <w:fldChar w:fldCharType="begin"/>
      </w:r>
      <w:r>
        <w:rPr>
          <w:rStyle w:val="36"/>
          <w:rFonts w:hint="eastAsia" w:ascii="宋体" w:hAnsi="宋体" w:eastAsia="宋体" w:cs="宋体"/>
          <w:b w:val="0"/>
          <w:bCs/>
          <w:i w:val="0"/>
          <w:iCs w:val="0"/>
          <w:color w:val="auto"/>
          <w:sz w:val="24"/>
          <w:szCs w:val="24"/>
          <w:lang w:val="zh-CN"/>
        </w:rPr>
        <w:instrText xml:space="preserve"> TOC \o "1-3" \h \z \u </w:instrText>
      </w:r>
      <w:r>
        <w:rPr>
          <w:rFonts w:hint="eastAsia" w:ascii="宋体" w:hAnsi="宋体" w:eastAsia="宋体" w:cs="宋体"/>
          <w:b w:val="0"/>
          <w:bCs/>
          <w:i w:val="0"/>
          <w:iCs w:val="0"/>
          <w:color w:val="auto"/>
          <w:sz w:val="24"/>
          <w:szCs w:val="24"/>
          <w:lang w:val="zh-CN"/>
        </w:rPr>
        <w:fldChar w:fldCharType="separate"/>
      </w: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_Toc19790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lang w:val="zh-CN"/>
        </w:rPr>
        <w:t>第一部分</w:t>
      </w:r>
      <w:r>
        <w:rPr>
          <w:rFonts w:hint="eastAsia" w:ascii="宋体" w:hAnsi="宋体" w:eastAsia="宋体" w:cs="宋体"/>
          <w:b w:val="0"/>
          <w:bCs w:val="0"/>
          <w:i w:val="0"/>
          <w:iCs w:val="0"/>
          <w:color w:val="auto"/>
          <w:sz w:val="24"/>
          <w:szCs w:val="24"/>
          <w:lang w:val="en-US" w:eastAsia="zh-CN"/>
        </w:rPr>
        <w:t xml:space="preserve">  </w:t>
      </w:r>
      <w:r>
        <w:rPr>
          <w:rFonts w:hint="eastAsia" w:ascii="宋体" w:hAnsi="宋体" w:eastAsia="宋体" w:cs="宋体"/>
          <w:b w:val="0"/>
          <w:bCs w:val="0"/>
          <w:i w:val="0"/>
          <w:iCs w:val="0"/>
          <w:color w:val="auto"/>
          <w:sz w:val="24"/>
          <w:szCs w:val="24"/>
          <w:lang w:val="zh-CN"/>
        </w:rPr>
        <w:t>投标邀请</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_Toc19790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5</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78599A39">
      <w:pPr>
        <w:pStyle w:val="1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_Toc7419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lang w:val="zh-CN"/>
        </w:rPr>
        <w:t>第二部分</w:t>
      </w:r>
      <w:r>
        <w:rPr>
          <w:rFonts w:hint="eastAsia" w:ascii="宋体" w:hAnsi="宋体" w:eastAsia="宋体" w:cs="宋体"/>
          <w:b w:val="0"/>
          <w:bCs w:val="0"/>
          <w:i w:val="0"/>
          <w:iCs w:val="0"/>
          <w:color w:val="auto"/>
          <w:sz w:val="24"/>
          <w:szCs w:val="24"/>
          <w:lang w:val="en-US" w:eastAsia="zh-CN"/>
        </w:rPr>
        <w:t xml:space="preserve">  </w:t>
      </w:r>
      <w:r>
        <w:rPr>
          <w:rFonts w:hint="eastAsia" w:ascii="宋体" w:hAnsi="宋体" w:eastAsia="宋体" w:cs="宋体"/>
          <w:b w:val="0"/>
          <w:bCs w:val="0"/>
          <w:i w:val="0"/>
          <w:iCs w:val="0"/>
          <w:color w:val="auto"/>
          <w:sz w:val="24"/>
          <w:szCs w:val="24"/>
          <w:lang w:val="zh-CN"/>
        </w:rPr>
        <w:t>供应商须知前附表</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_Toc7419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7</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0487D2F4">
      <w:pPr>
        <w:pStyle w:val="1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_Toc10682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kern w:val="28"/>
          <w:sz w:val="24"/>
          <w:szCs w:val="24"/>
        </w:rPr>
        <w:t>第三部分  供应商须知</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_Toc10682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9</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6A7EB579">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_Toc31004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一、说  明</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_Toc31004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9</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5C2D27F2">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 w:val="clear" w:pos="8777"/>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_Toc12101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1.适用范围</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_Toc12101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9</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3D06116C">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 w:val="clear" w:pos="8777"/>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_Toc20550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2.采购方式、合格的供应商</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_Toc20550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9</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42ED1F6F">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 w:val="clear" w:pos="8777"/>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_Toc20864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3.磋商费用</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_Toc20864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9</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61D55FD5">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_Toc21776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二、磋商文件说明</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_Toc21776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9</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5D78897D">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 w:val="clear" w:pos="8777"/>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_Toc22750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4.磋商文件的构成</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_Toc22750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9</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4FE9A87F">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 w:val="clear" w:pos="8777"/>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_Toc30057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5.</w:t>
      </w:r>
      <w:r>
        <w:rPr>
          <w:rFonts w:hint="eastAsia" w:ascii="宋体" w:hAnsi="宋体" w:eastAsia="宋体" w:cs="宋体"/>
          <w:b w:val="0"/>
          <w:bCs w:val="0"/>
          <w:i w:val="0"/>
          <w:iCs w:val="0"/>
          <w:color w:val="auto"/>
          <w:sz w:val="24"/>
          <w:szCs w:val="24"/>
          <w:lang w:val="en-US" w:eastAsia="zh-CN"/>
        </w:rPr>
        <w:t>磋商</w:t>
      </w:r>
      <w:r>
        <w:rPr>
          <w:rFonts w:hint="eastAsia" w:ascii="宋体" w:hAnsi="宋体" w:eastAsia="宋体" w:cs="宋体"/>
          <w:b w:val="0"/>
          <w:bCs w:val="0"/>
          <w:i w:val="0"/>
          <w:iCs w:val="0"/>
          <w:color w:val="auto"/>
          <w:sz w:val="24"/>
          <w:szCs w:val="24"/>
          <w:lang w:val="zh-CN"/>
        </w:rPr>
        <w:t>文件、采购活动和</w:t>
      </w:r>
      <w:r>
        <w:rPr>
          <w:rFonts w:hint="eastAsia" w:ascii="宋体" w:hAnsi="宋体" w:eastAsia="宋体" w:cs="宋体"/>
          <w:b w:val="0"/>
          <w:bCs w:val="0"/>
          <w:i w:val="0"/>
          <w:iCs w:val="0"/>
          <w:color w:val="auto"/>
          <w:sz w:val="24"/>
          <w:szCs w:val="24"/>
          <w:lang w:val="en-US" w:eastAsia="zh-CN"/>
        </w:rPr>
        <w:t>成交</w:t>
      </w:r>
      <w:r>
        <w:rPr>
          <w:rFonts w:hint="eastAsia" w:ascii="宋体" w:hAnsi="宋体" w:eastAsia="宋体" w:cs="宋体"/>
          <w:b w:val="0"/>
          <w:bCs w:val="0"/>
          <w:i w:val="0"/>
          <w:iCs w:val="0"/>
          <w:color w:val="auto"/>
          <w:sz w:val="24"/>
          <w:szCs w:val="24"/>
          <w:lang w:val="zh-CN"/>
        </w:rPr>
        <w:t>结果的质疑</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_Toc30057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9</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6434C673">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 w:val="clear" w:pos="8777"/>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_Toc28055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6.磋商文件的澄清、修改</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_Toc28055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10</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0A16FDC9">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_Toc2703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三、响应文件的编制</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_Toc2703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10</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5ED8FDCC">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 w:val="clear" w:pos="8777"/>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_Toc5711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7.响应文件的语言及度量衡单位</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_Toc5711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10</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417E8DB3">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 w:val="clear" w:pos="8777"/>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_Toc12681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8.磋商保证金</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_Toc12681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11</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3355EA31">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 w:val="clear" w:pos="8777"/>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_Toc12570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9.磋商有效期</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_Toc12570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11</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45F255AA">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 w:val="clear" w:pos="8777"/>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_Toc22684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10.响应文件构成</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_Toc22684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11</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70F2E27A">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 w:val="clear" w:pos="8777"/>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_Toc24994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11.响应文件编印和签署</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_Toc24994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12</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5CF70F00">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_Toc12637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四、响应文件的递交</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_Toc12637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12</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222691C1">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 w:val="clear" w:pos="8777"/>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_Toc1397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12.响应文件的密封和标记</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_Toc1397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12</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31E20D80">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 w:val="clear" w:pos="8777"/>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_Toc29764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13.提交响应文件截止时间、地点</w:t>
      </w: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lang w:val="en-US" w:eastAsia="zh-CN"/>
        </w:rPr>
        <w:t>方式</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_Toc29764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12</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36AB8DEA">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_Toc1987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五、磋商过程</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_Toc1987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12</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4D99480F">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 w:val="clear" w:pos="8777"/>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_Toc2544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14.磋商过程</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_Toc2544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12</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4D6EE01D">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_Toc30746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六、磋商程序及方法</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_Toc30746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13</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39BDC4F7">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 w:val="clear" w:pos="8777"/>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_Toc3967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15.磋商小组</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_Toc3967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13</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446EC127">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 w:val="clear" w:pos="8777"/>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_Toc9176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16.磋商程序</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_Toc9176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14</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04A90926">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 w:val="clear" w:pos="8777"/>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_Toc5794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17.评审办法</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_Toc5794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20</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54651809">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_Toc12405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七、确定成交供应商</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_Toc12405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23</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1D99421A">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 w:val="clear" w:pos="8777"/>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_Toc18264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18.推荐并确定成交供应商</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_Toc18264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23</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0D592927">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 w:val="clear" w:pos="8777"/>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_Toc25808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19.成交通知</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_Toc25808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23</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4A9C2EBC">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_Toc30832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八、授予合同</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_Toc30832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23</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0CA21CAA">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 w:val="clear" w:pos="8777"/>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_Toc545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20.签订合同</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_Toc545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23</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72021538">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_Toc15693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九、磋商活动终止</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_Toc15693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24</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544C8B40">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 w:val="clear" w:pos="8777"/>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_Toc20799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21.终止情形</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_Toc20799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24</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4246A8C5">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_Toc6774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十、处罚</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_Toc6774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24</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6AF52489">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 w:val="clear" w:pos="8777"/>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_Toc28508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22.处罚情形</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_Toc28508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24</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3D8ABD88">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_Toc24569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十一、其他</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_Toc24569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24</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72345361">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 w:val="clear" w:pos="8777"/>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_Toc32105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lang w:val="en-US" w:eastAsia="zh-CN"/>
        </w:rPr>
        <w:t>23.中止或终止采购活动</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_Toc32105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24</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26DD76C7">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 w:val="clear" w:pos="8777"/>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_Toc24498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lang w:val="en-US" w:eastAsia="zh-CN"/>
        </w:rPr>
        <w:t>24.其他事项</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_Toc24498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25</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741EB293">
      <w:pPr>
        <w:pStyle w:val="1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_Toc12216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kern w:val="28"/>
          <w:sz w:val="24"/>
          <w:szCs w:val="24"/>
        </w:rPr>
        <w:t>第四部分  采购项目合同书</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_Toc12216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26</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1F5E2C66">
      <w:pPr>
        <w:pStyle w:val="1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_Toc9968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kern w:val="28"/>
          <w:sz w:val="24"/>
          <w:szCs w:val="24"/>
        </w:rPr>
        <w:t>第五部分  响应文件格式</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_Toc9968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40</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0533751E">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_Toc26524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附件1：响应文件封面</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_Toc26524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40</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5A45762E">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_Toc24075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附件2：磋商函</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_Toc24075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41</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755B7050">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_Toc3860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附件3：</w:t>
      </w:r>
      <w:r>
        <w:rPr>
          <w:rFonts w:hint="eastAsia" w:ascii="宋体" w:hAnsi="宋体" w:eastAsia="宋体" w:cs="宋体"/>
          <w:b w:val="0"/>
          <w:bCs w:val="0"/>
          <w:i w:val="0"/>
          <w:iCs w:val="0"/>
          <w:color w:val="auto"/>
          <w:sz w:val="24"/>
          <w:szCs w:val="24"/>
          <w:lang w:eastAsia="zh-CN"/>
        </w:rPr>
        <w:t>磋商报价</w:t>
      </w:r>
      <w:r>
        <w:rPr>
          <w:rFonts w:hint="eastAsia" w:ascii="宋体" w:hAnsi="宋体" w:eastAsia="宋体" w:cs="宋体"/>
          <w:b w:val="0"/>
          <w:bCs w:val="0"/>
          <w:i w:val="0"/>
          <w:iCs w:val="0"/>
          <w:color w:val="auto"/>
          <w:sz w:val="24"/>
          <w:szCs w:val="24"/>
        </w:rPr>
        <w:t>一览表</w:t>
      </w:r>
      <w:r>
        <w:rPr>
          <w:rFonts w:hint="eastAsia" w:ascii="宋体" w:hAnsi="宋体" w:eastAsia="宋体" w:cs="宋体"/>
          <w:b w:val="0"/>
          <w:bCs w:val="0"/>
          <w:i w:val="0"/>
          <w:iCs w:val="0"/>
          <w:color w:val="auto"/>
          <w:sz w:val="24"/>
          <w:szCs w:val="24"/>
          <w:lang w:val="en-US" w:eastAsia="zh-CN"/>
        </w:rPr>
        <w:t>及分项报价表</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_Toc3860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42</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34563381">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_Toc17899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lang w:eastAsia="zh-CN"/>
        </w:rPr>
        <w:t>附件</w:t>
      </w:r>
      <w:r>
        <w:rPr>
          <w:rFonts w:hint="eastAsia" w:ascii="宋体" w:hAnsi="宋体" w:eastAsia="宋体" w:cs="宋体"/>
          <w:b w:val="0"/>
          <w:bCs w:val="0"/>
          <w:i w:val="0"/>
          <w:iCs w:val="0"/>
          <w:color w:val="auto"/>
          <w:sz w:val="24"/>
          <w:szCs w:val="24"/>
          <w:lang w:val="en-US" w:eastAsia="zh-CN"/>
        </w:rPr>
        <w:t>4</w:t>
      </w:r>
      <w:r>
        <w:rPr>
          <w:rFonts w:hint="eastAsia" w:ascii="宋体" w:hAnsi="宋体" w:eastAsia="宋体" w:cs="宋体"/>
          <w:b w:val="0"/>
          <w:bCs w:val="0"/>
          <w:i w:val="0"/>
          <w:iCs w:val="0"/>
          <w:color w:val="auto"/>
          <w:sz w:val="24"/>
          <w:szCs w:val="24"/>
          <w:lang w:eastAsia="zh-CN"/>
        </w:rPr>
        <w:t>：技术规格响应表</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_Toc17899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44</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45EF970B">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_Toc28356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附件</w:t>
      </w:r>
      <w:r>
        <w:rPr>
          <w:rFonts w:hint="eastAsia" w:ascii="宋体" w:hAnsi="宋体" w:eastAsia="宋体" w:cs="宋体"/>
          <w:b w:val="0"/>
          <w:bCs w:val="0"/>
          <w:i w:val="0"/>
          <w:iCs w:val="0"/>
          <w:color w:val="auto"/>
          <w:sz w:val="24"/>
          <w:szCs w:val="24"/>
          <w:lang w:val="en-US" w:eastAsia="zh-CN"/>
        </w:rPr>
        <w:t>5</w:t>
      </w:r>
      <w:r>
        <w:rPr>
          <w:rFonts w:hint="eastAsia" w:ascii="宋体" w:hAnsi="宋体" w:eastAsia="宋体" w:cs="宋体"/>
          <w:b w:val="0"/>
          <w:bCs w:val="0"/>
          <w:i w:val="0"/>
          <w:iCs w:val="0"/>
          <w:color w:val="auto"/>
          <w:sz w:val="24"/>
          <w:szCs w:val="24"/>
        </w:rPr>
        <w:t>：</w:t>
      </w:r>
      <w:r>
        <w:rPr>
          <w:rFonts w:hint="eastAsia" w:ascii="宋体" w:hAnsi="宋体" w:eastAsia="宋体" w:cs="宋体"/>
          <w:b w:val="0"/>
          <w:bCs w:val="0"/>
          <w:i w:val="0"/>
          <w:iCs w:val="0"/>
          <w:color w:val="auto"/>
          <w:sz w:val="24"/>
          <w:szCs w:val="24"/>
          <w:lang w:val="zh-CN"/>
        </w:rPr>
        <w:t>投标产品相关资料</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_Toc28356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46</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0F51CC14">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_Toc19090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lang w:eastAsia="zh-CN"/>
        </w:rPr>
        <w:t>附件6：法定代表人证明书</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_Toc19090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47</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10BE9B81">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_Toc14539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附件</w:t>
      </w:r>
      <w:r>
        <w:rPr>
          <w:rFonts w:hint="eastAsia" w:ascii="宋体" w:hAnsi="宋体" w:eastAsia="宋体" w:cs="宋体"/>
          <w:b w:val="0"/>
          <w:bCs w:val="0"/>
          <w:i w:val="0"/>
          <w:iCs w:val="0"/>
          <w:color w:val="auto"/>
          <w:sz w:val="24"/>
          <w:szCs w:val="24"/>
          <w:lang w:val="en-US" w:eastAsia="zh-CN"/>
        </w:rPr>
        <w:t>7</w:t>
      </w:r>
      <w:r>
        <w:rPr>
          <w:rFonts w:hint="eastAsia" w:ascii="宋体" w:hAnsi="宋体" w:eastAsia="宋体" w:cs="宋体"/>
          <w:b w:val="0"/>
          <w:bCs w:val="0"/>
          <w:i w:val="0"/>
          <w:iCs w:val="0"/>
          <w:color w:val="auto"/>
          <w:sz w:val="24"/>
          <w:szCs w:val="24"/>
        </w:rPr>
        <w:t>：法定代表人授权书</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_Toc14539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48</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4FAF9B73">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_Toc6949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附件</w:t>
      </w:r>
      <w:r>
        <w:rPr>
          <w:rFonts w:hint="eastAsia" w:ascii="宋体" w:hAnsi="宋体" w:eastAsia="宋体" w:cs="宋体"/>
          <w:b w:val="0"/>
          <w:bCs w:val="0"/>
          <w:i w:val="0"/>
          <w:iCs w:val="0"/>
          <w:color w:val="auto"/>
          <w:sz w:val="24"/>
          <w:szCs w:val="24"/>
          <w:lang w:val="en-US" w:eastAsia="zh-CN"/>
        </w:rPr>
        <w:t>8</w:t>
      </w:r>
      <w:r>
        <w:rPr>
          <w:rFonts w:hint="eastAsia" w:ascii="宋体" w:hAnsi="宋体" w:eastAsia="宋体" w:cs="宋体"/>
          <w:b w:val="0"/>
          <w:bCs w:val="0"/>
          <w:i w:val="0"/>
          <w:iCs w:val="0"/>
          <w:color w:val="auto"/>
          <w:sz w:val="24"/>
          <w:szCs w:val="24"/>
        </w:rPr>
        <w:t>：供应商承诺函</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_Toc6949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49</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36D46D9C">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_Toc5945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附件</w:t>
      </w:r>
      <w:r>
        <w:rPr>
          <w:rFonts w:hint="eastAsia" w:ascii="宋体" w:hAnsi="宋体" w:eastAsia="宋体" w:cs="宋体"/>
          <w:b w:val="0"/>
          <w:bCs w:val="0"/>
          <w:i w:val="0"/>
          <w:iCs w:val="0"/>
          <w:color w:val="auto"/>
          <w:sz w:val="24"/>
          <w:szCs w:val="24"/>
          <w:lang w:val="en-US" w:eastAsia="zh-CN"/>
        </w:rPr>
        <w:t>9</w:t>
      </w:r>
      <w:r>
        <w:rPr>
          <w:rFonts w:hint="eastAsia" w:ascii="宋体" w:hAnsi="宋体" w:eastAsia="宋体" w:cs="宋体"/>
          <w:b w:val="0"/>
          <w:bCs w:val="0"/>
          <w:i w:val="0"/>
          <w:iCs w:val="0"/>
          <w:color w:val="auto"/>
          <w:sz w:val="24"/>
          <w:szCs w:val="24"/>
        </w:rPr>
        <w:t>：供应商诚信承诺书</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_Toc5945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50</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1DC8F3DF">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_Toc31495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附件</w:t>
      </w:r>
      <w:r>
        <w:rPr>
          <w:rFonts w:hint="eastAsia" w:ascii="宋体" w:hAnsi="宋体" w:eastAsia="宋体" w:cs="宋体"/>
          <w:b w:val="0"/>
          <w:bCs w:val="0"/>
          <w:i w:val="0"/>
          <w:iCs w:val="0"/>
          <w:color w:val="auto"/>
          <w:sz w:val="24"/>
          <w:szCs w:val="24"/>
          <w:lang w:val="en-US" w:eastAsia="zh-CN"/>
        </w:rPr>
        <w:t>10</w:t>
      </w:r>
      <w:r>
        <w:rPr>
          <w:rFonts w:hint="eastAsia" w:ascii="宋体" w:hAnsi="宋体" w:eastAsia="宋体" w:cs="宋体"/>
          <w:b w:val="0"/>
          <w:bCs w:val="0"/>
          <w:i w:val="0"/>
          <w:iCs w:val="0"/>
          <w:color w:val="auto"/>
          <w:sz w:val="24"/>
          <w:szCs w:val="24"/>
        </w:rPr>
        <w:t>：资格证明材料</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_Toc31495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52</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19AE722D">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_Toc17195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附件1</w:t>
      </w:r>
      <w:r>
        <w:rPr>
          <w:rFonts w:hint="eastAsia" w:ascii="宋体" w:hAnsi="宋体" w:eastAsia="宋体" w:cs="宋体"/>
          <w:b w:val="0"/>
          <w:bCs w:val="0"/>
          <w:i w:val="0"/>
          <w:iCs w:val="0"/>
          <w:color w:val="auto"/>
          <w:sz w:val="24"/>
          <w:szCs w:val="24"/>
          <w:lang w:val="en-US" w:eastAsia="zh-CN"/>
        </w:rPr>
        <w:t>1</w:t>
      </w:r>
      <w:r>
        <w:rPr>
          <w:rFonts w:hint="eastAsia" w:ascii="宋体" w:hAnsi="宋体" w:eastAsia="宋体" w:cs="宋体"/>
          <w:b w:val="0"/>
          <w:bCs w:val="0"/>
          <w:i w:val="0"/>
          <w:iCs w:val="0"/>
          <w:color w:val="auto"/>
          <w:sz w:val="24"/>
          <w:szCs w:val="24"/>
        </w:rPr>
        <w:t>：财务状况证明</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_Toc17195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53</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1EBD3AB9">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_Toc23812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附件1</w:t>
      </w:r>
      <w:r>
        <w:rPr>
          <w:rFonts w:hint="eastAsia" w:ascii="宋体" w:hAnsi="宋体" w:eastAsia="宋体" w:cs="宋体"/>
          <w:b w:val="0"/>
          <w:bCs w:val="0"/>
          <w:i w:val="0"/>
          <w:iCs w:val="0"/>
          <w:color w:val="auto"/>
          <w:sz w:val="24"/>
          <w:szCs w:val="24"/>
          <w:lang w:val="en-US" w:eastAsia="zh-CN"/>
        </w:rPr>
        <w:t>2</w:t>
      </w:r>
      <w:r>
        <w:rPr>
          <w:rFonts w:hint="eastAsia" w:ascii="宋体" w:hAnsi="宋体" w:eastAsia="宋体" w:cs="宋体"/>
          <w:b w:val="0"/>
          <w:bCs w:val="0"/>
          <w:i w:val="0"/>
          <w:iCs w:val="0"/>
          <w:color w:val="auto"/>
          <w:sz w:val="24"/>
          <w:szCs w:val="24"/>
        </w:rPr>
        <w:t>：具备履行合同所必须的设备和专业技术能力证明</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_Toc23812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54</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05F1DA20">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_Toc4571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附件1</w:t>
      </w:r>
      <w:r>
        <w:rPr>
          <w:rFonts w:hint="eastAsia" w:ascii="宋体" w:hAnsi="宋体" w:eastAsia="宋体" w:cs="宋体"/>
          <w:b w:val="0"/>
          <w:bCs w:val="0"/>
          <w:i w:val="0"/>
          <w:iCs w:val="0"/>
          <w:color w:val="auto"/>
          <w:sz w:val="24"/>
          <w:szCs w:val="24"/>
          <w:lang w:val="en-US" w:eastAsia="zh-CN"/>
        </w:rPr>
        <w:t>3</w:t>
      </w:r>
      <w:r>
        <w:rPr>
          <w:rFonts w:hint="eastAsia" w:ascii="宋体" w:hAnsi="宋体" w:eastAsia="宋体" w:cs="宋体"/>
          <w:b w:val="0"/>
          <w:bCs w:val="0"/>
          <w:i w:val="0"/>
          <w:iCs w:val="0"/>
          <w:color w:val="auto"/>
          <w:sz w:val="24"/>
          <w:szCs w:val="24"/>
        </w:rPr>
        <w:t>：无重大违法记录声明</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_Toc4571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55</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444836A6">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_Toc8351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附件1</w:t>
      </w:r>
      <w:r>
        <w:rPr>
          <w:rFonts w:hint="eastAsia" w:ascii="宋体" w:hAnsi="宋体" w:eastAsia="宋体" w:cs="宋体"/>
          <w:b w:val="0"/>
          <w:bCs w:val="0"/>
          <w:i w:val="0"/>
          <w:iCs w:val="0"/>
          <w:color w:val="auto"/>
          <w:sz w:val="24"/>
          <w:szCs w:val="24"/>
          <w:lang w:val="en-US" w:eastAsia="zh-CN"/>
        </w:rPr>
        <w:t>4</w:t>
      </w:r>
      <w:r>
        <w:rPr>
          <w:rFonts w:hint="eastAsia" w:ascii="宋体" w:hAnsi="宋体" w:eastAsia="宋体" w:cs="宋体"/>
          <w:b w:val="0"/>
          <w:bCs w:val="0"/>
          <w:i w:val="0"/>
          <w:iCs w:val="0"/>
          <w:color w:val="auto"/>
          <w:sz w:val="24"/>
          <w:szCs w:val="24"/>
        </w:rPr>
        <w:t>：磋商保证金</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_Toc8351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56</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751E9A81">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_Toc3881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lang w:eastAsia="zh-CN"/>
        </w:rPr>
        <w:t>附件1</w:t>
      </w:r>
      <w:r>
        <w:rPr>
          <w:rFonts w:hint="eastAsia" w:ascii="宋体" w:hAnsi="宋体" w:eastAsia="宋体" w:cs="宋体"/>
          <w:b w:val="0"/>
          <w:bCs w:val="0"/>
          <w:i w:val="0"/>
          <w:iCs w:val="0"/>
          <w:color w:val="auto"/>
          <w:sz w:val="24"/>
          <w:szCs w:val="24"/>
          <w:lang w:val="en-US" w:eastAsia="zh-CN"/>
        </w:rPr>
        <w:t>5</w:t>
      </w:r>
      <w:r>
        <w:rPr>
          <w:rFonts w:hint="eastAsia" w:ascii="宋体" w:hAnsi="宋体" w:eastAsia="宋体" w:cs="宋体"/>
          <w:b w:val="0"/>
          <w:bCs w:val="0"/>
          <w:i w:val="0"/>
          <w:iCs w:val="0"/>
          <w:color w:val="auto"/>
          <w:sz w:val="24"/>
          <w:szCs w:val="24"/>
          <w:lang w:eastAsia="zh-CN"/>
        </w:rPr>
        <w:t>：中小企业声明函</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_Toc3881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57</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3FEC8F76">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_Toc19196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lang w:val="en-US" w:eastAsia="zh-CN"/>
        </w:rPr>
        <w:t>附件16：残疾人福利性单位声明函</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_Toc19196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61</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4B4C43FA">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_Toc14689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lang w:val="en-US" w:eastAsia="zh-CN" w:bidi="ar-SA"/>
        </w:rPr>
        <w:t>附件17：监狱企业证明材料</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_Toc14689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62</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10F1C062">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_Toc8196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lang w:val="en-US" w:eastAsia="zh-CN" w:bidi="ar-SA"/>
        </w:rPr>
        <w:t>附件18：关于符合本国产品标准的声明函或有关证明文件</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_Toc8196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63</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3EDFA623">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_Toc20562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lang w:eastAsia="zh-CN"/>
        </w:rPr>
        <w:t>附件</w:t>
      </w:r>
      <w:r>
        <w:rPr>
          <w:rFonts w:hint="eastAsia" w:ascii="宋体" w:hAnsi="宋体" w:eastAsia="宋体" w:cs="宋体"/>
          <w:b w:val="0"/>
          <w:bCs w:val="0"/>
          <w:i w:val="0"/>
          <w:iCs w:val="0"/>
          <w:color w:val="auto"/>
          <w:sz w:val="24"/>
          <w:szCs w:val="24"/>
          <w:lang w:val="en-US" w:eastAsia="zh-CN"/>
        </w:rPr>
        <w:t>19</w:t>
      </w:r>
      <w:r>
        <w:rPr>
          <w:rFonts w:hint="eastAsia" w:ascii="宋体" w:hAnsi="宋体" w:eastAsia="宋体" w:cs="宋体"/>
          <w:b w:val="0"/>
          <w:bCs w:val="0"/>
          <w:i w:val="0"/>
          <w:iCs w:val="0"/>
          <w:color w:val="auto"/>
          <w:sz w:val="24"/>
          <w:szCs w:val="24"/>
          <w:lang w:eastAsia="zh-CN"/>
        </w:rPr>
        <w:t>：供应商最后报价表</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_Toc20562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65</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093441FF">
      <w:pPr>
        <w:pStyle w:val="1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_Toc26033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kern w:val="28"/>
          <w:sz w:val="24"/>
          <w:szCs w:val="24"/>
        </w:rPr>
        <w:t>第六部分  采购项目要求及技术参数</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_Toc26033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66</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5C7647DD">
      <w:pPr>
        <w:pStyle w:val="1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_Toc31214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lang w:val="zh-CN"/>
        </w:rPr>
        <w:t>（一）投标要求</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_Toc31214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66</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0B62D6C4">
      <w:pPr>
        <w:pStyle w:val="1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_Toc10910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lang w:val="zh-CN"/>
        </w:rPr>
        <w:t>1.投标说明</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_Toc10910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66</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675AA2CA">
      <w:pPr>
        <w:pStyle w:val="1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_Toc20741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rPr>
        <w:t>2.报价说明</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_Toc20741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66</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29030819">
      <w:pPr>
        <w:pStyle w:val="1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_Toc29275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lang w:val="zh-CN"/>
        </w:rPr>
        <w:t>3.重要指标</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_Toc29275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66</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6CD0BD49">
      <w:pPr>
        <w:pStyle w:val="1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_Toc22245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lang w:val="zh-CN"/>
        </w:rPr>
        <w:t>4.商务要求</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_Toc22245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67</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6D83411D">
      <w:pPr>
        <w:pStyle w:val="1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0"/>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color w:val="auto"/>
        </w:rPr>
      </w:pPr>
      <w:r>
        <w:rPr>
          <w:rFonts w:hint="eastAsia" w:ascii="宋体" w:hAnsi="宋体" w:eastAsia="宋体" w:cs="宋体"/>
          <w:b w:val="0"/>
          <w:bCs w:val="0"/>
          <w:i w:val="0"/>
          <w:iCs w:val="0"/>
          <w:color w:val="auto"/>
          <w:sz w:val="24"/>
          <w:szCs w:val="24"/>
          <w:lang w:val="zh-CN"/>
        </w:rPr>
        <w:fldChar w:fldCharType="begin"/>
      </w:r>
      <w:r>
        <w:rPr>
          <w:rFonts w:hint="eastAsia" w:ascii="宋体" w:hAnsi="宋体" w:eastAsia="宋体" w:cs="宋体"/>
          <w:b w:val="0"/>
          <w:bCs w:val="0"/>
          <w:i w:val="0"/>
          <w:iCs w:val="0"/>
          <w:color w:val="auto"/>
          <w:sz w:val="24"/>
          <w:szCs w:val="24"/>
          <w:lang w:val="zh-CN"/>
        </w:rPr>
        <w:instrText xml:space="preserve"> HYPERLINK \l _Toc32017 </w:instrText>
      </w:r>
      <w:r>
        <w:rPr>
          <w:rFonts w:hint="eastAsia" w:ascii="宋体" w:hAnsi="宋体" w:eastAsia="宋体" w:cs="宋体"/>
          <w:b w:val="0"/>
          <w:bCs w:val="0"/>
          <w:i w:val="0"/>
          <w:iCs w:val="0"/>
          <w:color w:val="auto"/>
          <w:sz w:val="24"/>
          <w:szCs w:val="24"/>
          <w:lang w:val="zh-CN"/>
        </w:rPr>
        <w:fldChar w:fldCharType="separate"/>
      </w:r>
      <w:r>
        <w:rPr>
          <w:rFonts w:hint="eastAsia" w:ascii="宋体" w:hAnsi="宋体" w:eastAsia="宋体" w:cs="宋体"/>
          <w:b w:val="0"/>
          <w:bCs w:val="0"/>
          <w:i w:val="0"/>
          <w:iCs w:val="0"/>
          <w:color w:val="auto"/>
          <w:sz w:val="24"/>
          <w:szCs w:val="24"/>
          <w:lang w:val="zh-CN"/>
        </w:rPr>
        <w:t>（</w:t>
      </w:r>
      <w:r>
        <w:rPr>
          <w:rFonts w:hint="eastAsia" w:ascii="宋体" w:hAnsi="宋体" w:eastAsia="宋体" w:cs="宋体"/>
          <w:b w:val="0"/>
          <w:bCs w:val="0"/>
          <w:i w:val="0"/>
          <w:iCs w:val="0"/>
          <w:color w:val="auto"/>
          <w:sz w:val="24"/>
          <w:szCs w:val="24"/>
          <w:lang w:val="en-US" w:eastAsia="zh-CN"/>
        </w:rPr>
        <w:t>二</w:t>
      </w:r>
      <w:r>
        <w:rPr>
          <w:rFonts w:hint="eastAsia" w:ascii="宋体" w:hAnsi="宋体" w:eastAsia="宋体" w:cs="宋体"/>
          <w:b w:val="0"/>
          <w:bCs w:val="0"/>
          <w:i w:val="0"/>
          <w:iCs w:val="0"/>
          <w:color w:val="auto"/>
          <w:sz w:val="24"/>
          <w:szCs w:val="24"/>
          <w:lang w:val="zh-CN"/>
        </w:rPr>
        <w:t>）项目概况及技术参数</w:t>
      </w:r>
      <w:r>
        <w:rPr>
          <w:rFonts w:hint="eastAsia" w:ascii="宋体" w:hAnsi="宋体" w:eastAsia="宋体" w:cs="宋体"/>
          <w:b w:val="0"/>
          <w:bCs w:val="0"/>
          <w:i w:val="0"/>
          <w:iCs w:val="0"/>
          <w:color w:val="auto"/>
          <w:sz w:val="24"/>
          <w:szCs w:val="24"/>
        </w:rPr>
        <w:tab/>
      </w:r>
      <w:r>
        <w:rPr>
          <w:rFonts w:hint="eastAsia" w:ascii="宋体" w:hAnsi="宋体" w:eastAsia="宋体" w:cs="宋体"/>
          <w:b w:val="0"/>
          <w:bCs w:val="0"/>
          <w:i w:val="0"/>
          <w:iCs w:val="0"/>
          <w:color w:val="auto"/>
          <w:sz w:val="24"/>
          <w:szCs w:val="24"/>
        </w:rPr>
        <w:fldChar w:fldCharType="begin"/>
      </w:r>
      <w:r>
        <w:rPr>
          <w:rFonts w:hint="eastAsia" w:ascii="宋体" w:hAnsi="宋体" w:eastAsia="宋体" w:cs="宋体"/>
          <w:b w:val="0"/>
          <w:bCs w:val="0"/>
          <w:i w:val="0"/>
          <w:iCs w:val="0"/>
          <w:color w:val="auto"/>
          <w:sz w:val="24"/>
          <w:szCs w:val="24"/>
        </w:rPr>
        <w:instrText xml:space="preserve"> PAGEREF _Toc32017 \h </w:instrText>
      </w:r>
      <w:r>
        <w:rPr>
          <w:rFonts w:hint="eastAsia" w:ascii="宋体" w:hAnsi="宋体" w:eastAsia="宋体" w:cs="宋体"/>
          <w:b w:val="0"/>
          <w:bCs w:val="0"/>
          <w:i w:val="0"/>
          <w:iCs w:val="0"/>
          <w:color w:val="auto"/>
          <w:sz w:val="24"/>
          <w:szCs w:val="24"/>
        </w:rPr>
        <w:fldChar w:fldCharType="separate"/>
      </w:r>
      <w:r>
        <w:rPr>
          <w:rFonts w:hint="eastAsia" w:ascii="宋体" w:hAnsi="宋体" w:eastAsia="宋体" w:cs="宋体"/>
          <w:b w:val="0"/>
          <w:bCs w:val="0"/>
          <w:i w:val="0"/>
          <w:iCs w:val="0"/>
          <w:color w:val="auto"/>
          <w:sz w:val="24"/>
          <w:szCs w:val="24"/>
        </w:rPr>
        <w:t>68</w:t>
      </w:r>
      <w:r>
        <w:rPr>
          <w:rFonts w:hint="eastAsia" w:ascii="宋体" w:hAnsi="宋体" w:eastAsia="宋体" w:cs="宋体"/>
          <w:b w:val="0"/>
          <w:bCs w:val="0"/>
          <w:i w:val="0"/>
          <w:iCs w:val="0"/>
          <w:color w:val="auto"/>
          <w:sz w:val="24"/>
          <w:szCs w:val="24"/>
        </w:rPr>
        <w:fldChar w:fldCharType="end"/>
      </w:r>
      <w:r>
        <w:rPr>
          <w:rFonts w:hint="eastAsia" w:ascii="宋体" w:hAnsi="宋体" w:eastAsia="宋体" w:cs="宋体"/>
          <w:b w:val="0"/>
          <w:bCs w:val="0"/>
          <w:i w:val="0"/>
          <w:iCs w:val="0"/>
          <w:color w:val="auto"/>
          <w:sz w:val="24"/>
          <w:szCs w:val="24"/>
          <w:lang w:val="zh-CN"/>
        </w:rPr>
        <w:fldChar w:fldCharType="end"/>
      </w:r>
    </w:p>
    <w:p w14:paraId="3283EAE6">
      <w:pPr>
        <w:pStyle w:val="1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tabs>
          <w:tab w:val="right" w:leader="dot" w:pos="8306"/>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Cs/>
          <w:color w:val="auto"/>
          <w:szCs w:val="24"/>
          <w:lang w:val="zh-CN"/>
        </w:rPr>
      </w:pPr>
      <w:r>
        <w:rPr>
          <w:rFonts w:hint="eastAsia" w:ascii="宋体" w:hAnsi="宋体" w:eastAsia="宋体" w:cs="宋体"/>
          <w:bCs/>
          <w:i w:val="0"/>
          <w:iCs w:val="0"/>
          <w:color w:val="auto"/>
          <w:szCs w:val="24"/>
          <w:lang w:val="zh-CN"/>
        </w:rPr>
        <w:fldChar w:fldCharType="end"/>
      </w:r>
      <w:r>
        <w:rPr>
          <w:rFonts w:hint="eastAsia" w:ascii="宋体" w:hAnsi="宋体" w:eastAsia="宋体" w:cs="宋体"/>
          <w:bCs/>
          <w:color w:val="auto"/>
          <w:szCs w:val="24"/>
          <w:lang w:val="zh-CN"/>
        </w:rPr>
        <w:br w:type="page"/>
      </w:r>
    </w:p>
    <w:p w14:paraId="2BC35C9A">
      <w:pPr>
        <w:pStyle w:val="22"/>
        <w:spacing w:before="0" w:after="0" w:line="360" w:lineRule="auto"/>
        <w:ind w:firstLine="0" w:firstLineChars="0"/>
        <w:rPr>
          <w:rFonts w:hint="eastAsia" w:ascii="宋体" w:hAnsi="宋体" w:eastAsia="宋体" w:cs="宋体"/>
          <w:color w:val="auto"/>
          <w:szCs w:val="36"/>
        </w:rPr>
      </w:pPr>
      <w:bookmarkStart w:id="0" w:name="_Toc10494"/>
      <w:bookmarkStart w:id="1" w:name="_Toc19790"/>
      <w:r>
        <w:rPr>
          <w:rFonts w:hint="eastAsia" w:ascii="宋体" w:hAnsi="宋体" w:eastAsia="宋体" w:cs="宋体"/>
          <w:color w:val="auto"/>
          <w:szCs w:val="36"/>
          <w:lang w:val="zh-CN"/>
        </w:rPr>
        <w:t>第一部分</w:t>
      </w:r>
      <w:r>
        <w:rPr>
          <w:rFonts w:hint="eastAsia" w:ascii="宋体" w:hAnsi="宋体" w:eastAsia="宋体" w:cs="宋体"/>
          <w:color w:val="auto"/>
          <w:szCs w:val="36"/>
          <w:lang w:val="en-US" w:eastAsia="zh-CN"/>
        </w:rPr>
        <w:t xml:space="preserve">  </w:t>
      </w:r>
      <w:r>
        <w:rPr>
          <w:rFonts w:hint="eastAsia" w:ascii="宋体" w:hAnsi="宋体" w:eastAsia="宋体" w:cs="宋体"/>
          <w:color w:val="auto"/>
          <w:szCs w:val="36"/>
          <w:lang w:val="zh-CN"/>
        </w:rPr>
        <w:t>投标邀请</w:t>
      </w:r>
      <w:bookmarkEnd w:id="0"/>
      <w:bookmarkEnd w:id="1"/>
    </w:p>
    <w:p w14:paraId="0F7F20AC">
      <w:pPr>
        <w:pStyle w:val="11"/>
        <w:spacing w:after="0" w:line="360" w:lineRule="auto"/>
        <w:ind w:left="0" w:leftChars="0"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青海鼎钊招标代理有限公司（以下均简称“采购代理机构”）受</w:t>
      </w:r>
      <w:r>
        <w:rPr>
          <w:rFonts w:hint="eastAsia" w:ascii="宋体" w:hAnsi="宋体" w:eastAsia="宋体" w:cs="宋体"/>
          <w:color w:val="auto"/>
          <w:sz w:val="24"/>
          <w:szCs w:val="24"/>
          <w:lang w:val="zh-CN" w:eastAsia="zh-CN"/>
        </w:rPr>
        <w:t>天峻县教育局</w:t>
      </w:r>
      <w:r>
        <w:rPr>
          <w:rFonts w:hint="eastAsia" w:ascii="宋体" w:hAnsi="宋体" w:eastAsia="宋体" w:cs="宋体"/>
          <w:color w:val="auto"/>
          <w:sz w:val="24"/>
          <w:szCs w:val="24"/>
          <w:lang w:val="zh-CN"/>
        </w:rPr>
        <w:t>（以下均简称“采购人”）委托</w:t>
      </w:r>
      <w:r>
        <w:rPr>
          <w:rFonts w:hint="eastAsia" w:ascii="宋体" w:hAnsi="宋体" w:eastAsia="宋体" w:cs="宋体"/>
          <w:color w:val="auto"/>
          <w:sz w:val="24"/>
          <w:szCs w:val="24"/>
        </w:rPr>
        <w:t>，拟对“</w:t>
      </w:r>
      <w:r>
        <w:rPr>
          <w:rFonts w:hint="eastAsia" w:ascii="宋体" w:hAnsi="宋体" w:eastAsia="宋体" w:cs="宋体"/>
          <w:color w:val="auto"/>
          <w:sz w:val="24"/>
          <w:szCs w:val="24"/>
          <w:lang w:val="zh-CN"/>
        </w:rPr>
        <w:t>天峻县2026年学前教育装备玩教具采购项目</w:t>
      </w:r>
      <w:r>
        <w:rPr>
          <w:rFonts w:hint="eastAsia" w:ascii="宋体" w:hAnsi="宋体" w:eastAsia="宋体" w:cs="宋体"/>
          <w:color w:val="auto"/>
          <w:sz w:val="24"/>
          <w:szCs w:val="24"/>
        </w:rPr>
        <w:t>”进行国内</w:t>
      </w:r>
      <w:r>
        <w:rPr>
          <w:rFonts w:hint="eastAsia" w:ascii="宋体" w:hAnsi="宋体" w:eastAsia="宋体" w:cs="宋体"/>
          <w:color w:val="auto"/>
          <w:sz w:val="24"/>
          <w:szCs w:val="24"/>
          <w:lang w:val="zh-CN"/>
        </w:rPr>
        <w:t>竞争性磋商采购</w:t>
      </w:r>
      <w:r>
        <w:rPr>
          <w:rFonts w:hint="eastAsia" w:ascii="宋体" w:hAnsi="宋体" w:eastAsia="宋体" w:cs="宋体"/>
          <w:color w:val="auto"/>
          <w:sz w:val="24"/>
          <w:szCs w:val="24"/>
        </w:rPr>
        <w:t>，现予以公告，欢迎符合条件的供应商前来参加投标</w:t>
      </w:r>
      <w:r>
        <w:rPr>
          <w:rFonts w:hint="eastAsia" w:ascii="宋体" w:hAnsi="宋体" w:eastAsia="宋体" w:cs="宋体"/>
          <w:color w:val="auto"/>
          <w:sz w:val="24"/>
          <w:szCs w:val="24"/>
          <w:lang w:val="zh-CN"/>
        </w:rPr>
        <w:t>。</w:t>
      </w:r>
    </w:p>
    <w:tbl>
      <w:tblPr>
        <w:tblStyle w:val="25"/>
        <w:tblW w:w="102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2568"/>
        <w:gridCol w:w="7637"/>
      </w:tblGrid>
      <w:tr w14:paraId="5A68F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2F4A69F3">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采购项目编号</w:t>
            </w:r>
          </w:p>
        </w:tc>
        <w:tc>
          <w:tcPr>
            <w:tcW w:w="7637" w:type="dxa"/>
            <w:tcBorders>
              <w:top w:val="single" w:color="000000" w:sz="4" w:space="0"/>
              <w:left w:val="single" w:color="000000" w:sz="4" w:space="0"/>
              <w:bottom w:val="single" w:color="000000" w:sz="4" w:space="0"/>
              <w:right w:val="single" w:color="000000" w:sz="4" w:space="0"/>
            </w:tcBorders>
            <w:vAlign w:val="center"/>
          </w:tcPr>
          <w:p w14:paraId="6AFE9690">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青海鼎钊竞磋（货物）2026-023</w:t>
            </w:r>
          </w:p>
        </w:tc>
      </w:tr>
      <w:tr w14:paraId="33C5A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0E51833D">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采购项目名称</w:t>
            </w:r>
          </w:p>
        </w:tc>
        <w:tc>
          <w:tcPr>
            <w:tcW w:w="7637" w:type="dxa"/>
            <w:tcBorders>
              <w:top w:val="single" w:color="000000" w:sz="4" w:space="0"/>
              <w:left w:val="single" w:color="000000" w:sz="4" w:space="0"/>
              <w:bottom w:val="single" w:color="000000" w:sz="4" w:space="0"/>
              <w:right w:val="single" w:color="000000" w:sz="4" w:space="0"/>
            </w:tcBorders>
            <w:vAlign w:val="center"/>
          </w:tcPr>
          <w:p w14:paraId="1FB1064A">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天峻县2026年学前教育装备玩教具采购项目</w:t>
            </w:r>
          </w:p>
        </w:tc>
      </w:tr>
      <w:tr w14:paraId="72E89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250D5793">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采购方式</w:t>
            </w:r>
          </w:p>
        </w:tc>
        <w:tc>
          <w:tcPr>
            <w:tcW w:w="7637" w:type="dxa"/>
            <w:tcBorders>
              <w:top w:val="single" w:color="000000" w:sz="4" w:space="0"/>
              <w:left w:val="single" w:color="000000" w:sz="4" w:space="0"/>
              <w:bottom w:val="single" w:color="000000" w:sz="4" w:space="0"/>
              <w:right w:val="single" w:color="000000" w:sz="4" w:space="0"/>
            </w:tcBorders>
            <w:vAlign w:val="center"/>
          </w:tcPr>
          <w:p w14:paraId="5696AE3B">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竞争性磋商</w:t>
            </w:r>
          </w:p>
        </w:tc>
      </w:tr>
      <w:tr w14:paraId="3E393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5D1962F4">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采购预算额度</w:t>
            </w:r>
          </w:p>
        </w:tc>
        <w:tc>
          <w:tcPr>
            <w:tcW w:w="7637" w:type="dxa"/>
            <w:tcBorders>
              <w:top w:val="single" w:color="000000" w:sz="4" w:space="0"/>
              <w:left w:val="single" w:color="000000" w:sz="4" w:space="0"/>
              <w:bottom w:val="single" w:color="000000" w:sz="4" w:space="0"/>
              <w:right w:val="single" w:color="000000" w:sz="4" w:space="0"/>
            </w:tcBorders>
            <w:vAlign w:val="center"/>
          </w:tcPr>
          <w:p w14:paraId="6CD8B1AA">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840000.00元</w:t>
            </w:r>
          </w:p>
        </w:tc>
      </w:tr>
      <w:tr w14:paraId="06E35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646279D0">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最高限价</w:t>
            </w:r>
          </w:p>
        </w:tc>
        <w:tc>
          <w:tcPr>
            <w:tcW w:w="7637" w:type="dxa"/>
            <w:tcBorders>
              <w:top w:val="single" w:color="000000" w:sz="4" w:space="0"/>
              <w:left w:val="single" w:color="000000" w:sz="4" w:space="0"/>
              <w:bottom w:val="single" w:color="000000" w:sz="4" w:space="0"/>
              <w:right w:val="single" w:color="000000" w:sz="4" w:space="0"/>
            </w:tcBorders>
            <w:vAlign w:val="center"/>
          </w:tcPr>
          <w:p w14:paraId="30DEC7A8">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840000.00元</w:t>
            </w:r>
          </w:p>
        </w:tc>
      </w:tr>
      <w:tr w14:paraId="3D5E8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26972106">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项目分包个数</w:t>
            </w:r>
          </w:p>
        </w:tc>
        <w:tc>
          <w:tcPr>
            <w:tcW w:w="7637" w:type="dxa"/>
            <w:tcBorders>
              <w:top w:val="single" w:color="000000" w:sz="4" w:space="0"/>
              <w:left w:val="single" w:color="000000" w:sz="4" w:space="0"/>
              <w:bottom w:val="single" w:color="000000" w:sz="4" w:space="0"/>
              <w:right w:val="single" w:color="000000" w:sz="4" w:space="0"/>
            </w:tcBorders>
            <w:vAlign w:val="center"/>
          </w:tcPr>
          <w:p w14:paraId="1B591F5D">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1个</w:t>
            </w:r>
          </w:p>
        </w:tc>
      </w:tr>
      <w:tr w14:paraId="4A407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512B0A09">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各包要求</w:t>
            </w:r>
          </w:p>
        </w:tc>
        <w:tc>
          <w:tcPr>
            <w:tcW w:w="7637" w:type="dxa"/>
            <w:tcBorders>
              <w:top w:val="single" w:color="000000" w:sz="4" w:space="0"/>
              <w:left w:val="single" w:color="000000" w:sz="4" w:space="0"/>
              <w:bottom w:val="single" w:color="000000" w:sz="4" w:space="0"/>
              <w:right w:val="single" w:color="000000" w:sz="4" w:space="0"/>
            </w:tcBorders>
            <w:vAlign w:val="center"/>
          </w:tcPr>
          <w:p w14:paraId="22935FB8">
            <w:pPr>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磋商内容：</w:t>
            </w:r>
            <w:r>
              <w:rPr>
                <w:rFonts w:hint="eastAsia" w:ascii="宋体" w:hAnsi="宋体" w:eastAsia="宋体" w:cs="宋体"/>
                <w:color w:val="auto"/>
                <w:sz w:val="24"/>
                <w:szCs w:val="24"/>
                <w:lang w:val="zh-CN"/>
              </w:rPr>
              <w:t>学前教育设备购置</w:t>
            </w:r>
            <w:r>
              <w:rPr>
                <w:rFonts w:hint="eastAsia" w:ascii="宋体" w:hAnsi="宋体" w:eastAsia="宋体" w:cs="宋体"/>
                <w:color w:val="auto"/>
                <w:sz w:val="24"/>
                <w:szCs w:val="24"/>
                <w:lang w:val="en-US" w:eastAsia="zh-CN"/>
              </w:rPr>
              <w:t>，具体内容详见《磋商文件》。</w:t>
            </w:r>
          </w:p>
        </w:tc>
      </w:tr>
      <w:tr w14:paraId="62D73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1D1A67FD">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各包供应商资格条件</w:t>
            </w:r>
          </w:p>
        </w:tc>
        <w:tc>
          <w:tcPr>
            <w:tcW w:w="7637" w:type="dxa"/>
            <w:tcBorders>
              <w:top w:val="single" w:color="000000" w:sz="4" w:space="0"/>
              <w:left w:val="single" w:color="000000" w:sz="4" w:space="0"/>
              <w:bottom w:val="single" w:color="000000" w:sz="4" w:space="0"/>
              <w:right w:val="single" w:color="000000" w:sz="4" w:space="0"/>
            </w:tcBorders>
            <w:vAlign w:val="center"/>
          </w:tcPr>
          <w:p w14:paraId="7A6DA9F1">
            <w:pPr>
              <w:pStyle w:val="16"/>
              <w:keepNext w:val="0"/>
              <w:keepLines w:val="0"/>
              <w:pageBreakBefore w:val="0"/>
              <w:widowControl w:val="0"/>
              <w:kinsoku/>
              <w:wordWrap/>
              <w:overflowPunct/>
              <w:topLinePunct w:val="0"/>
              <w:bidi w:val="0"/>
              <w:adjustRightInd/>
              <w:snapToGrid/>
              <w:spacing w:line="36" w:lineRule="atLeas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1.符合《政府采购法》第22条条件，并提供下列材料：</w:t>
            </w:r>
          </w:p>
          <w:p w14:paraId="0AB14E25">
            <w:pPr>
              <w:pStyle w:val="16"/>
              <w:keepNext w:val="0"/>
              <w:keepLines w:val="0"/>
              <w:pageBreakBefore w:val="0"/>
              <w:widowControl w:val="0"/>
              <w:kinsoku/>
              <w:wordWrap/>
              <w:overflowPunct/>
              <w:topLinePunct w:val="0"/>
              <w:bidi w:val="0"/>
              <w:adjustRightInd/>
              <w:snapToGrid/>
              <w:spacing w:line="36" w:lineRule="atLeas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（1）供应商的营业执照等证明文件，自然人的身份证明。</w:t>
            </w:r>
          </w:p>
          <w:p w14:paraId="6855284F">
            <w:pPr>
              <w:pStyle w:val="16"/>
              <w:keepNext w:val="0"/>
              <w:keepLines w:val="0"/>
              <w:pageBreakBefore w:val="0"/>
              <w:widowControl w:val="0"/>
              <w:kinsoku/>
              <w:wordWrap/>
              <w:overflowPunct/>
              <w:topLinePunct w:val="0"/>
              <w:bidi w:val="0"/>
              <w:adjustRightInd/>
              <w:snapToGrid/>
              <w:spacing w:line="36" w:lineRule="atLeas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（2）财务状况报告，依法缴纳税收和社会保障资金的相关材料。</w:t>
            </w:r>
          </w:p>
          <w:p w14:paraId="2606CCF5">
            <w:pPr>
              <w:pStyle w:val="16"/>
              <w:keepNext w:val="0"/>
              <w:keepLines w:val="0"/>
              <w:pageBreakBefore w:val="0"/>
              <w:widowControl w:val="0"/>
              <w:kinsoku/>
              <w:wordWrap/>
              <w:overflowPunct/>
              <w:topLinePunct w:val="0"/>
              <w:bidi w:val="0"/>
              <w:adjustRightInd/>
              <w:snapToGrid/>
              <w:spacing w:line="36" w:lineRule="atLeas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（3）具备履行合同所必需的设备和专业技术能力的证明材料。</w:t>
            </w:r>
          </w:p>
          <w:p w14:paraId="5A062CC6">
            <w:pPr>
              <w:pStyle w:val="16"/>
              <w:keepNext w:val="0"/>
              <w:keepLines w:val="0"/>
              <w:pageBreakBefore w:val="0"/>
              <w:widowControl w:val="0"/>
              <w:kinsoku/>
              <w:wordWrap/>
              <w:overflowPunct/>
              <w:topLinePunct w:val="0"/>
              <w:bidi w:val="0"/>
              <w:adjustRightInd/>
              <w:snapToGrid/>
              <w:spacing w:line="36" w:lineRule="atLeas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（4）参加政府采购活动前3年内在经营活动中没有重大违法记录的书面声明。</w:t>
            </w:r>
          </w:p>
          <w:p w14:paraId="4A78F0A2">
            <w:pPr>
              <w:pStyle w:val="16"/>
              <w:keepNext w:val="0"/>
              <w:keepLines w:val="0"/>
              <w:pageBreakBefore w:val="0"/>
              <w:widowControl w:val="0"/>
              <w:kinsoku/>
              <w:wordWrap/>
              <w:overflowPunct/>
              <w:topLinePunct w:val="0"/>
              <w:bidi w:val="0"/>
              <w:adjustRightInd/>
              <w:snapToGrid/>
              <w:spacing w:line="36" w:lineRule="atLeas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（5）具备法律、行政法规规定的其他条件的证明材料。</w:t>
            </w:r>
          </w:p>
          <w:p w14:paraId="12956555">
            <w:pPr>
              <w:pStyle w:val="16"/>
              <w:keepNext w:val="0"/>
              <w:keepLines w:val="0"/>
              <w:pageBreakBefore w:val="0"/>
              <w:widowControl w:val="0"/>
              <w:kinsoku/>
              <w:wordWrap/>
              <w:overflowPunct/>
              <w:topLinePunct w:val="0"/>
              <w:bidi w:val="0"/>
              <w:adjustRightInd/>
              <w:snapToGrid/>
              <w:spacing w:line="36" w:lineRule="atLeas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2.经信用中国（www.creditchina.gov.cn）、中国政府采购网（www.ccgp.gov.cn）等渠道查询后，列入失信被执行人、重大税收违法失信主体名单、政府采购严重违法失信行为记录名单的，取消投标资格；</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以评审现场查询结果为准并打印留存</w:t>
            </w:r>
            <w:r>
              <w:rPr>
                <w:rFonts w:hint="eastAsia" w:ascii="宋体" w:hAnsi="宋体" w:eastAsia="宋体" w:cs="宋体"/>
                <w:color w:val="auto"/>
                <w:kern w:val="0"/>
                <w:sz w:val="24"/>
                <w:szCs w:val="24"/>
                <w:lang w:eastAsia="zh-CN"/>
              </w:rPr>
              <w:t>）</w:t>
            </w:r>
          </w:p>
          <w:p w14:paraId="4B5A6651">
            <w:pPr>
              <w:pStyle w:val="16"/>
              <w:keepNext w:val="0"/>
              <w:keepLines w:val="0"/>
              <w:pageBreakBefore w:val="0"/>
              <w:widowControl w:val="0"/>
              <w:kinsoku/>
              <w:wordWrap/>
              <w:overflowPunct/>
              <w:topLinePunct w:val="0"/>
              <w:bidi w:val="0"/>
              <w:adjustRightInd/>
              <w:snapToGrid/>
              <w:spacing w:line="36" w:lineRule="atLeas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3.单位负责人为同一人或者存在直接控股、管理关系的不同供应商，不得参加同一合同项下的政府采购活动。否则，皆取消投标资格；</w:t>
            </w:r>
          </w:p>
          <w:p w14:paraId="16D59D66">
            <w:pPr>
              <w:pStyle w:val="16"/>
              <w:keepNext w:val="0"/>
              <w:keepLines w:val="0"/>
              <w:pageBreakBefore w:val="0"/>
              <w:widowControl w:val="0"/>
              <w:kinsoku/>
              <w:wordWrap/>
              <w:overflowPunct/>
              <w:topLinePunct w:val="0"/>
              <w:bidi w:val="0"/>
              <w:adjustRightInd/>
              <w:snapToGrid/>
              <w:spacing w:line="36" w:lineRule="atLeas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4.为本采购项目提供整体设计、规范编制或者项目管理、监理、检测等服务的供应商，不得再参加该采购项目的其他采购活动；</w:t>
            </w:r>
          </w:p>
          <w:p w14:paraId="1B8CF700">
            <w:pPr>
              <w:pStyle w:val="16"/>
              <w:keepNext w:val="0"/>
              <w:keepLines w:val="0"/>
              <w:pageBreakBefore w:val="0"/>
              <w:widowControl w:val="0"/>
              <w:kinsoku/>
              <w:wordWrap/>
              <w:overflowPunct/>
              <w:topLinePunct w:val="0"/>
              <w:bidi w:val="0"/>
              <w:adjustRightInd/>
              <w:snapToGrid/>
              <w:spacing w:line="36" w:lineRule="atLeas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5.本项目不接受供应商以联合体方式进行投标。</w:t>
            </w:r>
          </w:p>
        </w:tc>
      </w:tr>
      <w:tr w14:paraId="79517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0"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6637DB24">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公告发布时间</w:t>
            </w:r>
          </w:p>
        </w:tc>
        <w:tc>
          <w:tcPr>
            <w:tcW w:w="7637" w:type="dxa"/>
            <w:tcBorders>
              <w:top w:val="single" w:color="000000" w:sz="4" w:space="0"/>
              <w:left w:val="single" w:color="000000" w:sz="4" w:space="0"/>
              <w:bottom w:val="single" w:color="000000" w:sz="4" w:space="0"/>
              <w:right w:val="single" w:color="000000" w:sz="4" w:space="0"/>
            </w:tcBorders>
            <w:vAlign w:val="center"/>
          </w:tcPr>
          <w:p w14:paraId="6232FB07">
            <w:pPr>
              <w:keepNext w:val="0"/>
              <w:keepLines w:val="0"/>
              <w:pageBreakBefore w:val="0"/>
              <w:widowControl w:val="0"/>
              <w:kinsoku/>
              <w:wordWrap/>
              <w:overflowPunct/>
              <w:topLinePunct w:val="0"/>
              <w:bidi w:val="0"/>
              <w:adjustRightInd/>
              <w:snapToGrid/>
              <w:spacing w:line="312" w:lineRule="auto"/>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zh-CN"/>
              </w:rPr>
              <w:t>2026年5月6日</w:t>
            </w:r>
          </w:p>
        </w:tc>
      </w:tr>
      <w:tr w14:paraId="3D662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065F8453">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获取磋商文件时间</w:t>
            </w:r>
          </w:p>
        </w:tc>
        <w:tc>
          <w:tcPr>
            <w:tcW w:w="7637" w:type="dxa"/>
            <w:tcBorders>
              <w:top w:val="single" w:color="000000" w:sz="4" w:space="0"/>
              <w:left w:val="single" w:color="000000" w:sz="4" w:space="0"/>
              <w:bottom w:val="single" w:color="000000" w:sz="4" w:space="0"/>
              <w:right w:val="single" w:color="000000" w:sz="4" w:space="0"/>
            </w:tcBorders>
            <w:vAlign w:val="center"/>
          </w:tcPr>
          <w:p w14:paraId="0DEF2C5A">
            <w:pPr>
              <w:keepNext w:val="0"/>
              <w:keepLines w:val="0"/>
              <w:pageBreakBefore w:val="0"/>
              <w:widowControl w:val="0"/>
              <w:kinsoku/>
              <w:wordWrap/>
              <w:overflowPunct/>
              <w:topLinePunct w:val="0"/>
              <w:bidi w:val="0"/>
              <w:adjustRightInd/>
              <w:snapToGrid/>
              <w:spacing w:line="312" w:lineRule="auto"/>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zh-CN"/>
              </w:rPr>
              <w:t>2026年5月6日至5月12日</w:t>
            </w:r>
          </w:p>
        </w:tc>
      </w:tr>
      <w:tr w14:paraId="708C2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6FB30D7D">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获取磋商文件方式</w:t>
            </w:r>
          </w:p>
        </w:tc>
        <w:tc>
          <w:tcPr>
            <w:tcW w:w="7637" w:type="dxa"/>
            <w:tcBorders>
              <w:top w:val="single" w:color="000000" w:sz="4" w:space="0"/>
              <w:left w:val="single" w:color="000000" w:sz="4" w:space="0"/>
              <w:bottom w:val="single" w:color="000000" w:sz="4" w:space="0"/>
              <w:right w:val="single" w:color="000000" w:sz="4" w:space="0"/>
            </w:tcBorders>
            <w:vAlign w:val="center"/>
          </w:tcPr>
          <w:p w14:paraId="415D64E9">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供应商</w:t>
            </w:r>
            <w:r>
              <w:rPr>
                <w:rFonts w:hint="eastAsia" w:ascii="宋体" w:hAnsi="宋体" w:eastAsia="宋体" w:cs="宋体"/>
                <w:color w:val="auto"/>
                <w:sz w:val="24"/>
                <w:szCs w:val="24"/>
              </w:rPr>
              <w:t>登录政采云平台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https</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//www.zcygov.cn/</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在线申请获取采购文件（进入“项目采购”应用，在获取采购文件菜单中选择项目，申请获取采购文件）</w:t>
            </w:r>
          </w:p>
        </w:tc>
      </w:tr>
      <w:tr w14:paraId="7AA4B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69CBA4D1">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磋商文件售价</w:t>
            </w:r>
          </w:p>
        </w:tc>
        <w:tc>
          <w:tcPr>
            <w:tcW w:w="7637" w:type="dxa"/>
            <w:tcBorders>
              <w:top w:val="single" w:color="000000" w:sz="4" w:space="0"/>
              <w:left w:val="single" w:color="000000" w:sz="4" w:space="0"/>
              <w:bottom w:val="single" w:color="000000" w:sz="4" w:space="0"/>
              <w:right w:val="single" w:color="000000" w:sz="4" w:space="0"/>
            </w:tcBorders>
            <w:vAlign w:val="center"/>
          </w:tcPr>
          <w:p w14:paraId="66E46FCE">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0</w:t>
            </w:r>
          </w:p>
        </w:tc>
      </w:tr>
      <w:tr w14:paraId="34097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0A87BD41">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获取磋商文件地点</w:t>
            </w:r>
          </w:p>
        </w:tc>
        <w:tc>
          <w:tcPr>
            <w:tcW w:w="7637" w:type="dxa"/>
            <w:tcBorders>
              <w:top w:val="single" w:color="000000" w:sz="4" w:space="0"/>
              <w:left w:val="single" w:color="000000" w:sz="4" w:space="0"/>
              <w:bottom w:val="single" w:color="000000" w:sz="4" w:space="0"/>
              <w:right w:val="single" w:color="000000" w:sz="4" w:space="0"/>
            </w:tcBorders>
            <w:vAlign w:val="center"/>
          </w:tcPr>
          <w:p w14:paraId="3AAC86EE">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政采云平台（https：//www.zcygov.cn/）</w:t>
            </w:r>
          </w:p>
        </w:tc>
      </w:tr>
      <w:tr w14:paraId="78FFF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27A36E02">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提交响应文件截止时间</w:t>
            </w:r>
          </w:p>
        </w:tc>
        <w:tc>
          <w:tcPr>
            <w:tcW w:w="7637" w:type="dxa"/>
            <w:tcBorders>
              <w:top w:val="single" w:color="000000" w:sz="4" w:space="0"/>
              <w:left w:val="single" w:color="000000" w:sz="4" w:space="0"/>
              <w:bottom w:val="single" w:color="000000" w:sz="4" w:space="0"/>
              <w:right w:val="single" w:color="000000" w:sz="4" w:space="0"/>
            </w:tcBorders>
            <w:vAlign w:val="center"/>
          </w:tcPr>
          <w:p w14:paraId="6BAECA20">
            <w:pPr>
              <w:keepNext w:val="0"/>
              <w:keepLines w:val="0"/>
              <w:pageBreakBefore w:val="0"/>
              <w:widowControl w:val="0"/>
              <w:kinsoku/>
              <w:wordWrap/>
              <w:overflowPunct/>
              <w:topLinePunct w:val="0"/>
              <w:bidi w:val="0"/>
              <w:adjustRightInd/>
              <w:snapToGrid/>
              <w:spacing w:line="312" w:lineRule="auto"/>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zh-CN"/>
              </w:rPr>
              <w:t>2026年5月18日上午9：30（北京时间）</w:t>
            </w:r>
          </w:p>
        </w:tc>
      </w:tr>
      <w:tr w14:paraId="4D484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17"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6F03A5EE">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响应文件开启时间</w:t>
            </w:r>
          </w:p>
        </w:tc>
        <w:tc>
          <w:tcPr>
            <w:tcW w:w="7637" w:type="dxa"/>
            <w:tcBorders>
              <w:top w:val="single" w:color="000000" w:sz="4" w:space="0"/>
              <w:left w:val="single" w:color="000000" w:sz="4" w:space="0"/>
              <w:bottom w:val="single" w:color="000000" w:sz="4" w:space="0"/>
              <w:right w:val="single" w:color="000000" w:sz="4" w:space="0"/>
            </w:tcBorders>
            <w:vAlign w:val="center"/>
          </w:tcPr>
          <w:p w14:paraId="079819B6">
            <w:pPr>
              <w:keepNext w:val="0"/>
              <w:keepLines w:val="0"/>
              <w:pageBreakBefore w:val="0"/>
              <w:widowControl w:val="0"/>
              <w:kinsoku/>
              <w:wordWrap/>
              <w:overflowPunct/>
              <w:topLinePunct w:val="0"/>
              <w:bidi w:val="0"/>
              <w:adjustRightInd/>
              <w:snapToGrid/>
              <w:spacing w:line="312" w:lineRule="auto"/>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zh-CN"/>
              </w:rPr>
              <w:t>2026年5月18日上午9：30（北京时间）</w:t>
            </w:r>
          </w:p>
        </w:tc>
      </w:tr>
      <w:tr w14:paraId="0ECD0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531E17F9">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提交响应文件地点</w:t>
            </w:r>
          </w:p>
        </w:tc>
        <w:tc>
          <w:tcPr>
            <w:tcW w:w="7637" w:type="dxa"/>
            <w:tcBorders>
              <w:top w:val="single" w:color="000000" w:sz="4" w:space="0"/>
              <w:left w:val="single" w:color="000000" w:sz="4" w:space="0"/>
              <w:bottom w:val="single" w:color="000000" w:sz="4" w:space="0"/>
              <w:right w:val="single" w:color="000000" w:sz="4" w:space="0"/>
            </w:tcBorders>
            <w:vAlign w:val="center"/>
          </w:tcPr>
          <w:p w14:paraId="5A444669">
            <w:pPr>
              <w:keepNext w:val="0"/>
              <w:keepLines w:val="0"/>
              <w:pageBreakBefore w:val="0"/>
              <w:widowControl w:val="0"/>
              <w:kinsoku/>
              <w:wordWrap/>
              <w:overflowPunct/>
              <w:topLinePunct w:val="0"/>
              <w:bidi w:val="0"/>
              <w:adjustRightInd/>
              <w:snapToGrid/>
              <w:spacing w:line="312" w:lineRule="auto"/>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政采云平台</w:t>
            </w:r>
            <w:r>
              <w:rPr>
                <w:rFonts w:hint="eastAsia" w:ascii="宋体" w:hAnsi="宋体" w:eastAsia="宋体" w:cs="宋体"/>
                <w:color w:val="auto"/>
                <w:sz w:val="24"/>
                <w:szCs w:val="24"/>
                <w:lang w:val="zh-CN"/>
              </w:rPr>
              <w:t>（https：//www.zcygov.cn/）</w:t>
            </w:r>
          </w:p>
        </w:tc>
      </w:tr>
      <w:tr w14:paraId="08322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59F09894">
            <w:pPr>
              <w:keepNext w:val="0"/>
              <w:keepLines w:val="0"/>
              <w:pageBreakBefore w:val="0"/>
              <w:widowControl w:val="0"/>
              <w:kinsoku/>
              <w:wordWrap/>
              <w:overflowPunct/>
              <w:topLinePunct w:val="0"/>
              <w:bidi w:val="0"/>
              <w:adjustRightInd/>
              <w:snapToGrid/>
              <w:spacing w:line="312" w:lineRule="auto"/>
              <w:ind w:firstLine="0" w:firstLineChars="0"/>
              <w:jc w:val="left"/>
              <w:textAlignment w:val="auto"/>
              <w:outlineLvl w:val="9"/>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采购人及联系人电话</w:t>
            </w:r>
          </w:p>
        </w:tc>
        <w:tc>
          <w:tcPr>
            <w:tcW w:w="7637" w:type="dxa"/>
            <w:tcBorders>
              <w:top w:val="single" w:color="000000" w:sz="4" w:space="0"/>
              <w:left w:val="single" w:color="000000" w:sz="4" w:space="0"/>
              <w:bottom w:val="single" w:color="000000" w:sz="4" w:space="0"/>
              <w:right w:val="single" w:color="000000" w:sz="4" w:space="0"/>
            </w:tcBorders>
            <w:vAlign w:val="center"/>
          </w:tcPr>
          <w:p w14:paraId="1958819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采购人：天峻县教育局</w:t>
            </w:r>
          </w:p>
          <w:p w14:paraId="6E01B9C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zh-CN" w:eastAsia="zh-CN"/>
              </w:rPr>
              <w:t>联系人：王先生</w:t>
            </w:r>
          </w:p>
          <w:p w14:paraId="7A4827C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zh-CN" w:eastAsia="zh-CN"/>
              </w:rPr>
              <w:t>联系电话：</w:t>
            </w:r>
            <w:r>
              <w:rPr>
                <w:rFonts w:hint="eastAsia" w:ascii="宋体" w:hAnsi="宋体" w:eastAsia="宋体" w:cs="宋体"/>
                <w:color w:val="auto"/>
                <w:sz w:val="24"/>
                <w:szCs w:val="24"/>
                <w:lang w:val="zh-CN"/>
              </w:rPr>
              <w:t>0977-8267334</w:t>
            </w:r>
          </w:p>
          <w:p w14:paraId="079381DB">
            <w:pPr>
              <w:keepNext w:val="0"/>
              <w:keepLines w:val="0"/>
              <w:pageBreakBefore w:val="0"/>
              <w:widowControl w:val="0"/>
              <w:kinsoku/>
              <w:wordWrap/>
              <w:overflowPunct/>
              <w:topLinePunct w:val="0"/>
              <w:bidi w:val="0"/>
              <w:adjustRightInd/>
              <w:snapToGrid/>
              <w:spacing w:line="312" w:lineRule="auto"/>
              <w:ind w:firstLine="0" w:firstLineChars="0"/>
              <w:jc w:val="left"/>
              <w:textAlignment w:val="auto"/>
              <w:outlineLvl w:val="9"/>
              <w:rPr>
                <w:rFonts w:hint="eastAsia" w:ascii="宋体" w:hAnsi="宋体" w:eastAsia="宋体" w:cs="宋体"/>
                <w:color w:val="auto"/>
                <w:sz w:val="24"/>
                <w:szCs w:val="24"/>
                <w:lang w:val="zh-CN" w:eastAsia="zh-CN"/>
              </w:rPr>
            </w:pPr>
            <w:r>
              <w:rPr>
                <w:rFonts w:hint="eastAsia" w:ascii="宋体" w:hAnsi="宋体" w:eastAsia="宋体" w:cs="宋体"/>
                <w:color w:val="auto"/>
                <w:kern w:val="0"/>
                <w:sz w:val="24"/>
                <w:szCs w:val="24"/>
                <w:lang w:val="zh-CN" w:eastAsia="zh-CN"/>
              </w:rPr>
              <w:t>联系地址：天峻县新源镇新源东路4号</w:t>
            </w:r>
          </w:p>
        </w:tc>
      </w:tr>
      <w:tr w14:paraId="244B5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6444D2F1">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采购代理机构及联系人电话</w:t>
            </w:r>
          </w:p>
        </w:tc>
        <w:tc>
          <w:tcPr>
            <w:tcW w:w="7637" w:type="dxa"/>
            <w:tcBorders>
              <w:top w:val="single" w:color="000000" w:sz="4" w:space="0"/>
              <w:left w:val="single" w:color="000000" w:sz="4" w:space="0"/>
              <w:bottom w:val="single" w:color="000000" w:sz="4" w:space="0"/>
              <w:right w:val="single" w:color="000000" w:sz="4" w:space="0"/>
            </w:tcBorders>
            <w:vAlign w:val="center"/>
          </w:tcPr>
          <w:p w14:paraId="04513C3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采购代理机构：青海鼎钊招标代理有限公司</w:t>
            </w:r>
          </w:p>
          <w:p w14:paraId="0FEFF89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zh-CN"/>
              </w:rPr>
              <w:t>联系人：</w:t>
            </w:r>
            <w:r>
              <w:rPr>
                <w:rFonts w:hint="eastAsia" w:ascii="宋体" w:hAnsi="宋体" w:eastAsia="宋体" w:cs="宋体"/>
                <w:color w:val="auto"/>
                <w:kern w:val="0"/>
                <w:sz w:val="24"/>
                <w:szCs w:val="24"/>
                <w:lang w:val="zh-CN" w:eastAsia="zh-CN"/>
              </w:rPr>
              <w:t>王先生、</w:t>
            </w:r>
            <w:r>
              <w:rPr>
                <w:rFonts w:hint="eastAsia" w:ascii="宋体" w:hAnsi="宋体" w:eastAsia="宋体" w:cs="宋体"/>
                <w:color w:val="auto"/>
                <w:kern w:val="0"/>
                <w:sz w:val="24"/>
                <w:szCs w:val="24"/>
                <w:lang w:val="en-US" w:eastAsia="zh-CN"/>
              </w:rPr>
              <w:t>马</w:t>
            </w:r>
            <w:r>
              <w:rPr>
                <w:rFonts w:hint="eastAsia" w:ascii="宋体" w:hAnsi="宋体" w:eastAsia="宋体" w:cs="宋体"/>
                <w:color w:val="auto"/>
                <w:kern w:val="0"/>
                <w:sz w:val="24"/>
                <w:szCs w:val="24"/>
                <w:lang w:val="zh-CN" w:eastAsia="zh-CN"/>
              </w:rPr>
              <w:t>女士</w:t>
            </w:r>
          </w:p>
          <w:p w14:paraId="5B6EE8A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zh-CN"/>
              </w:rPr>
              <w:t>联系电话：</w:t>
            </w:r>
            <w:r>
              <w:rPr>
                <w:rFonts w:hint="eastAsia" w:ascii="宋体" w:hAnsi="宋体" w:eastAsia="宋体" w:cs="宋体"/>
                <w:color w:val="auto"/>
                <w:kern w:val="0"/>
                <w:sz w:val="24"/>
                <w:szCs w:val="24"/>
                <w:lang w:val="en-US" w:eastAsia="zh-CN"/>
              </w:rPr>
              <w:t>0971-8179517</w:t>
            </w:r>
          </w:p>
          <w:p w14:paraId="05A3A59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zh-CN"/>
              </w:rPr>
              <w:t>联系地址：西宁市东川工业园区金桥路39号1号楼2楼（新力景瑞新城）</w:t>
            </w:r>
          </w:p>
        </w:tc>
      </w:tr>
      <w:tr w14:paraId="3857B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4FD29D6D">
            <w:pPr>
              <w:keepNext w:val="0"/>
              <w:keepLines w:val="0"/>
              <w:pageBreakBefore w:val="0"/>
              <w:widowControl w:val="0"/>
              <w:kinsoku/>
              <w:wordWrap/>
              <w:overflowPunct/>
              <w:topLinePunct w:val="0"/>
              <w:bidi w:val="0"/>
              <w:adjustRightInd/>
              <w:snapToGrid/>
              <w:spacing w:line="36" w:lineRule="atLeast"/>
              <w:ind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采购代理机构开户银行</w:t>
            </w:r>
          </w:p>
        </w:tc>
        <w:tc>
          <w:tcPr>
            <w:tcW w:w="7637" w:type="dxa"/>
            <w:tcBorders>
              <w:top w:val="single" w:color="000000" w:sz="4" w:space="0"/>
              <w:left w:val="single" w:color="000000" w:sz="4" w:space="0"/>
              <w:bottom w:val="single" w:color="000000" w:sz="4" w:space="0"/>
              <w:right w:val="single" w:color="000000" w:sz="4" w:space="0"/>
            </w:tcBorders>
            <w:vAlign w:val="center"/>
          </w:tcPr>
          <w:p w14:paraId="71419CAB">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上海浦东发展银行股份有限公司西宁城东支行</w:t>
            </w:r>
          </w:p>
        </w:tc>
      </w:tr>
      <w:tr w14:paraId="01915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5196A866">
            <w:pPr>
              <w:keepNext w:val="0"/>
              <w:keepLines w:val="0"/>
              <w:pageBreakBefore w:val="0"/>
              <w:widowControl w:val="0"/>
              <w:kinsoku/>
              <w:wordWrap/>
              <w:overflowPunct/>
              <w:topLinePunct w:val="0"/>
              <w:bidi w:val="0"/>
              <w:adjustRightInd/>
              <w:snapToGrid/>
              <w:spacing w:line="36" w:lineRule="atLeast"/>
              <w:ind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收款人</w:t>
            </w:r>
          </w:p>
        </w:tc>
        <w:tc>
          <w:tcPr>
            <w:tcW w:w="7637" w:type="dxa"/>
            <w:tcBorders>
              <w:top w:val="single" w:color="000000" w:sz="4" w:space="0"/>
              <w:left w:val="single" w:color="000000" w:sz="4" w:space="0"/>
              <w:bottom w:val="single" w:color="000000" w:sz="4" w:space="0"/>
              <w:right w:val="single" w:color="000000" w:sz="4" w:space="0"/>
            </w:tcBorders>
            <w:vAlign w:val="center"/>
          </w:tcPr>
          <w:p w14:paraId="63545394">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青海鼎钊招标代理有限公司</w:t>
            </w:r>
          </w:p>
        </w:tc>
      </w:tr>
      <w:tr w14:paraId="7199E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0BABC982">
            <w:pPr>
              <w:keepNext w:val="0"/>
              <w:keepLines w:val="0"/>
              <w:pageBreakBefore w:val="0"/>
              <w:widowControl w:val="0"/>
              <w:kinsoku/>
              <w:wordWrap/>
              <w:overflowPunct/>
              <w:topLinePunct w:val="0"/>
              <w:bidi w:val="0"/>
              <w:adjustRightInd/>
              <w:snapToGrid/>
              <w:spacing w:line="36" w:lineRule="atLeast"/>
              <w:ind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银行账号</w:t>
            </w:r>
          </w:p>
        </w:tc>
        <w:tc>
          <w:tcPr>
            <w:tcW w:w="7637" w:type="dxa"/>
            <w:tcBorders>
              <w:top w:val="single" w:color="000000" w:sz="4" w:space="0"/>
              <w:left w:val="single" w:color="000000" w:sz="4" w:space="0"/>
              <w:bottom w:val="single" w:color="000000" w:sz="4" w:space="0"/>
              <w:right w:val="single" w:color="000000" w:sz="4" w:space="0"/>
            </w:tcBorders>
            <w:vAlign w:val="center"/>
          </w:tcPr>
          <w:p w14:paraId="6E9EB61D">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35030078801500000377</w:t>
            </w:r>
          </w:p>
        </w:tc>
      </w:tr>
      <w:tr w14:paraId="35273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44DE6301">
            <w:pPr>
              <w:keepNext w:val="0"/>
              <w:keepLines w:val="0"/>
              <w:pageBreakBefore w:val="0"/>
              <w:widowControl w:val="0"/>
              <w:kinsoku/>
              <w:wordWrap/>
              <w:overflowPunct/>
              <w:topLinePunct w:val="0"/>
              <w:bidi w:val="0"/>
              <w:adjustRightInd/>
              <w:snapToGrid/>
              <w:spacing w:line="36" w:lineRule="atLeast"/>
              <w:ind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其他事项</w:t>
            </w:r>
          </w:p>
        </w:tc>
        <w:tc>
          <w:tcPr>
            <w:tcW w:w="7637" w:type="dxa"/>
            <w:tcBorders>
              <w:top w:val="single" w:color="000000" w:sz="4" w:space="0"/>
              <w:left w:val="single" w:color="000000" w:sz="4" w:space="0"/>
              <w:bottom w:val="single" w:color="000000" w:sz="4" w:space="0"/>
              <w:right w:val="single" w:color="000000" w:sz="4" w:space="0"/>
            </w:tcBorders>
            <w:vAlign w:val="center"/>
          </w:tcPr>
          <w:p w14:paraId="58F9A57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val="zh-CN" w:eastAsia="zh-CN"/>
              </w:rPr>
              <w:t>公告发布</w:t>
            </w:r>
            <w:r>
              <w:rPr>
                <w:rFonts w:hint="eastAsia" w:ascii="宋体" w:hAnsi="宋体" w:eastAsia="宋体" w:cs="宋体"/>
                <w:color w:val="auto"/>
                <w:kern w:val="0"/>
                <w:sz w:val="24"/>
                <w:szCs w:val="24"/>
                <w:lang w:val="en-US" w:eastAsia="zh-CN"/>
              </w:rPr>
              <w:t>网站</w:t>
            </w:r>
            <w:r>
              <w:rPr>
                <w:rFonts w:hint="eastAsia" w:ascii="宋体" w:hAnsi="宋体" w:eastAsia="宋体" w:cs="宋体"/>
                <w:color w:val="auto"/>
                <w:kern w:val="0"/>
                <w:sz w:val="24"/>
                <w:szCs w:val="24"/>
                <w:lang w:val="zh-CN" w:eastAsia="zh-CN"/>
              </w:rPr>
              <w:t>：《青海政府采购网》、《青海省电子招标投标公共服务平台》、《青海项目信息网》，公告内容以《青海政府采购网》发布的为准。</w:t>
            </w:r>
          </w:p>
          <w:p w14:paraId="6C407AF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2.本次采购采用线上提交电子响应文件的方式进行，电子响应文件在提交响应文件截止时间前上传。</w:t>
            </w:r>
          </w:p>
          <w:p w14:paraId="149879E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lang w:eastAsia="zh-CN"/>
              </w:rPr>
            </w:pPr>
            <w:r>
              <w:rPr>
                <w:rFonts w:hint="eastAsia" w:ascii="宋体" w:hAnsi="宋体" w:eastAsia="宋体" w:cs="宋体"/>
                <w:color w:val="auto"/>
                <w:kern w:val="0"/>
                <w:sz w:val="24"/>
                <w:szCs w:val="24"/>
                <w:lang w:val="en-US" w:eastAsia="zh-CN"/>
              </w:rPr>
              <w:t>3.若对项目采购电子交易系统</w:t>
            </w:r>
            <w:r>
              <w:rPr>
                <w:rFonts w:hint="eastAsia" w:ascii="宋体" w:hAnsi="宋体" w:eastAsia="宋体" w:cs="宋体"/>
                <w:color w:val="auto"/>
                <w:kern w:val="0"/>
                <w:sz w:val="24"/>
                <w:szCs w:val="24"/>
                <w:lang w:val="zh-CN"/>
              </w:rPr>
              <w:t>（</w:t>
            </w:r>
            <w:r>
              <w:rPr>
                <w:rFonts w:hint="eastAsia" w:ascii="宋体" w:hAnsi="宋体" w:eastAsia="宋体" w:cs="宋体"/>
                <w:color w:val="auto"/>
                <w:sz w:val="24"/>
                <w:szCs w:val="24"/>
                <w:lang w:val="zh-CN"/>
              </w:rPr>
              <w:t>政采云平台</w:t>
            </w:r>
            <w:r>
              <w:rPr>
                <w:rFonts w:hint="eastAsia" w:ascii="宋体" w:hAnsi="宋体" w:eastAsia="宋体" w:cs="宋体"/>
                <w:color w:val="auto"/>
                <w:kern w:val="0"/>
                <w:sz w:val="24"/>
                <w:szCs w:val="24"/>
                <w:lang w:val="zh-CN"/>
              </w:rPr>
              <w:t>）</w:t>
            </w:r>
            <w:r>
              <w:rPr>
                <w:rFonts w:hint="eastAsia" w:ascii="宋体" w:hAnsi="宋体" w:eastAsia="宋体" w:cs="宋体"/>
                <w:color w:val="auto"/>
                <w:kern w:val="0"/>
                <w:sz w:val="24"/>
                <w:szCs w:val="24"/>
                <w:lang w:val="en-US" w:eastAsia="zh-CN"/>
              </w:rPr>
              <w:t>操作有疑问，可登录政采云平台点击右侧咨询小采或拨打政采云服务热线95763。</w:t>
            </w:r>
          </w:p>
        </w:tc>
      </w:tr>
      <w:tr w14:paraId="25C11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718F7BCB">
            <w:pPr>
              <w:keepNext w:val="0"/>
              <w:keepLines w:val="0"/>
              <w:pageBreakBefore w:val="0"/>
              <w:widowControl w:val="0"/>
              <w:kinsoku/>
              <w:wordWrap/>
              <w:overflowPunct/>
              <w:topLinePunct w:val="0"/>
              <w:bidi w:val="0"/>
              <w:adjustRightInd/>
              <w:snapToGrid/>
              <w:spacing w:line="36" w:lineRule="atLeast"/>
              <w:ind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财政部门监督电话</w:t>
            </w:r>
          </w:p>
        </w:tc>
        <w:tc>
          <w:tcPr>
            <w:tcW w:w="7637" w:type="dxa"/>
            <w:tcBorders>
              <w:top w:val="single" w:color="000000" w:sz="4" w:space="0"/>
              <w:left w:val="single" w:color="000000" w:sz="4" w:space="0"/>
              <w:bottom w:val="single" w:color="000000" w:sz="4" w:space="0"/>
              <w:right w:val="single" w:color="000000" w:sz="4" w:space="0"/>
            </w:tcBorders>
            <w:vAlign w:val="center"/>
          </w:tcPr>
          <w:p w14:paraId="2A8B769C">
            <w:pPr>
              <w:spacing w:line="36" w:lineRule="atLeast"/>
              <w:ind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监督单位：</w:t>
            </w:r>
            <w:r>
              <w:rPr>
                <w:rFonts w:hint="eastAsia" w:ascii="宋体" w:hAnsi="宋体" w:eastAsia="宋体" w:cs="宋体"/>
                <w:color w:val="auto"/>
                <w:sz w:val="24"/>
                <w:szCs w:val="24"/>
                <w:lang w:eastAsia="zh-CN"/>
              </w:rPr>
              <w:t>天峻县财政局</w:t>
            </w:r>
          </w:p>
          <w:p w14:paraId="31AAE311">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联系电话：</w:t>
            </w:r>
            <w:r>
              <w:rPr>
                <w:rFonts w:hint="eastAsia" w:ascii="宋体" w:hAnsi="宋体" w:eastAsia="宋体" w:cs="宋体"/>
                <w:color w:val="auto"/>
                <w:kern w:val="0"/>
                <w:sz w:val="24"/>
                <w:szCs w:val="24"/>
                <w:lang w:val="en-US" w:eastAsia="zh-CN"/>
              </w:rPr>
              <w:t>0977-8267630</w:t>
            </w:r>
          </w:p>
        </w:tc>
      </w:tr>
    </w:tbl>
    <w:p w14:paraId="5DCA336C">
      <w:pPr>
        <w:spacing w:line="360" w:lineRule="auto"/>
        <w:ind w:firstLine="0" w:firstLineChars="0"/>
        <w:jc w:val="right"/>
        <w:rPr>
          <w:rFonts w:hint="eastAsia" w:ascii="宋体" w:hAnsi="宋体" w:eastAsia="宋体" w:cs="宋体"/>
          <w:color w:val="auto"/>
          <w:sz w:val="24"/>
          <w:szCs w:val="24"/>
          <w:lang w:eastAsia="zh-CN"/>
        </w:rPr>
      </w:pPr>
    </w:p>
    <w:p w14:paraId="3075679A">
      <w:pPr>
        <w:spacing w:line="360" w:lineRule="auto"/>
        <w:ind w:firstLine="0" w:firstLineChars="0"/>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青海鼎钊招标代理有限公司</w:t>
      </w:r>
    </w:p>
    <w:p w14:paraId="7FC7B096">
      <w:pPr>
        <w:wordWrap w:val="0"/>
        <w:spacing w:line="360" w:lineRule="auto"/>
        <w:ind w:firstLine="0" w:firstLineChars="0"/>
        <w:jc w:val="righ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2026年5月6日   </w:t>
      </w:r>
    </w:p>
    <w:p w14:paraId="17CDEAC7">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7F819D4C">
      <w:pPr>
        <w:pStyle w:val="22"/>
        <w:spacing w:before="0" w:after="0" w:line="360" w:lineRule="auto"/>
        <w:ind w:firstLine="0" w:firstLineChars="0"/>
        <w:rPr>
          <w:rFonts w:hint="eastAsia" w:ascii="宋体" w:hAnsi="宋体" w:eastAsia="宋体" w:cs="宋体"/>
          <w:color w:val="auto"/>
          <w:lang w:val="zh-CN"/>
        </w:rPr>
      </w:pPr>
      <w:bookmarkStart w:id="2" w:name="_Toc7419"/>
      <w:bookmarkStart w:id="3" w:name="_Toc3201"/>
      <w:r>
        <w:rPr>
          <w:rFonts w:hint="eastAsia" w:ascii="宋体" w:hAnsi="宋体" w:eastAsia="宋体" w:cs="宋体"/>
          <w:color w:val="auto"/>
          <w:lang w:val="zh-CN"/>
        </w:rPr>
        <w:t>第二部分</w:t>
      </w:r>
      <w:r>
        <w:rPr>
          <w:rFonts w:hint="eastAsia" w:ascii="宋体" w:hAnsi="宋体" w:eastAsia="宋体" w:cs="宋体"/>
          <w:color w:val="auto"/>
          <w:lang w:val="en-US" w:eastAsia="zh-CN"/>
        </w:rPr>
        <w:t xml:space="preserve">  </w:t>
      </w:r>
      <w:r>
        <w:rPr>
          <w:rFonts w:hint="eastAsia" w:ascii="宋体" w:hAnsi="宋体" w:eastAsia="宋体" w:cs="宋体"/>
          <w:color w:val="auto"/>
          <w:lang w:val="zh-CN"/>
        </w:rPr>
        <w:t>供应商须知前附表</w:t>
      </w:r>
      <w:bookmarkEnd w:id="2"/>
      <w:bookmarkEnd w:id="3"/>
    </w:p>
    <w:p w14:paraId="109B0243">
      <w:pPr>
        <w:spacing w:line="360" w:lineRule="auto"/>
        <w:ind w:firstLine="0" w:firstLineChars="0"/>
        <w:rPr>
          <w:rFonts w:hint="eastAsia" w:ascii="宋体" w:hAnsi="宋体" w:eastAsia="宋体" w:cs="宋体"/>
          <w:color w:val="auto"/>
          <w:sz w:val="24"/>
          <w:szCs w:val="24"/>
          <w:lang w:val="zh-CN"/>
        </w:rPr>
      </w:pPr>
    </w:p>
    <w:tbl>
      <w:tblPr>
        <w:tblStyle w:val="25"/>
        <w:tblW w:w="10205" w:type="dxa"/>
        <w:jc w:val="center"/>
        <w:tblLayout w:type="fixed"/>
        <w:tblCellMar>
          <w:top w:w="0" w:type="dxa"/>
          <w:left w:w="57" w:type="dxa"/>
          <w:bottom w:w="0" w:type="dxa"/>
          <w:right w:w="57" w:type="dxa"/>
        </w:tblCellMar>
      </w:tblPr>
      <w:tblGrid>
        <w:gridCol w:w="653"/>
        <w:gridCol w:w="2530"/>
        <w:gridCol w:w="7022"/>
      </w:tblGrid>
      <w:tr w14:paraId="024BA9D2">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90D594">
            <w:pPr>
              <w:autoSpaceDE w:val="0"/>
              <w:autoSpaceDN w:val="0"/>
              <w:spacing w:line="36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序号</w:t>
            </w:r>
          </w:p>
        </w:tc>
        <w:tc>
          <w:tcPr>
            <w:tcW w:w="9552"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60DAEA2F">
            <w:pPr>
              <w:autoSpaceDE w:val="0"/>
              <w:autoSpaceDN w:val="0"/>
              <w:spacing w:line="36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内容</w:t>
            </w:r>
          </w:p>
        </w:tc>
      </w:tr>
      <w:tr w14:paraId="5B8C437A">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4D66D9">
            <w:pPr>
              <w:numPr>
                <w:ilvl w:val="0"/>
                <w:numId w:val="4"/>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B740AF">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采购项目编号</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1135391C">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青海鼎钊竞磋（货物）2026-023</w:t>
            </w:r>
          </w:p>
        </w:tc>
      </w:tr>
      <w:tr w14:paraId="24EC300C">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310212">
            <w:pPr>
              <w:numPr>
                <w:ilvl w:val="0"/>
                <w:numId w:val="4"/>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09493B">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采购项目名称</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6BFC9E0F">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天峻县2026年学前教育装备玩教具采购项目</w:t>
            </w:r>
          </w:p>
        </w:tc>
      </w:tr>
      <w:tr w14:paraId="14E163E4">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34109F">
            <w:pPr>
              <w:numPr>
                <w:ilvl w:val="0"/>
                <w:numId w:val="4"/>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FD4B5A">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采购人</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4D04F41E">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天峻县教育局</w:t>
            </w:r>
          </w:p>
        </w:tc>
      </w:tr>
      <w:tr w14:paraId="552E1DDF">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A69B72">
            <w:pPr>
              <w:numPr>
                <w:ilvl w:val="0"/>
                <w:numId w:val="4"/>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2B344B">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采购代理机构</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1379877E">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青海鼎钊招标代理有限公司</w:t>
            </w:r>
          </w:p>
        </w:tc>
      </w:tr>
      <w:tr w14:paraId="2B73549E">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558556">
            <w:pPr>
              <w:numPr>
                <w:ilvl w:val="0"/>
                <w:numId w:val="4"/>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713895">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采购方式</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3DBDA962">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竞争性磋商</w:t>
            </w:r>
          </w:p>
        </w:tc>
      </w:tr>
      <w:tr w14:paraId="226B9157">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5E655C">
            <w:pPr>
              <w:numPr>
                <w:ilvl w:val="0"/>
                <w:numId w:val="4"/>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FAAF32">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评分办法</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7BA8BF83">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综合评分法</w:t>
            </w:r>
          </w:p>
        </w:tc>
      </w:tr>
      <w:tr w14:paraId="06325450">
        <w:tblPrEx>
          <w:tblCellMar>
            <w:top w:w="0" w:type="dxa"/>
            <w:left w:w="57" w:type="dxa"/>
            <w:bottom w:w="0" w:type="dxa"/>
            <w:right w:w="57" w:type="dxa"/>
          </w:tblCellMar>
        </w:tblPrEx>
        <w:trPr>
          <w:trHeight w:val="9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344FF5">
            <w:pPr>
              <w:numPr>
                <w:ilvl w:val="0"/>
                <w:numId w:val="4"/>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795BA8">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采购预算额度</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91A1F4">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840000.00元</w:t>
            </w:r>
          </w:p>
        </w:tc>
      </w:tr>
      <w:tr w14:paraId="745134EA">
        <w:tblPrEx>
          <w:tblCellMar>
            <w:top w:w="0" w:type="dxa"/>
            <w:left w:w="57" w:type="dxa"/>
            <w:bottom w:w="0" w:type="dxa"/>
            <w:right w:w="57" w:type="dxa"/>
          </w:tblCellMar>
        </w:tblPrEx>
        <w:trPr>
          <w:trHeight w:val="9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D8341A">
            <w:pPr>
              <w:numPr>
                <w:ilvl w:val="0"/>
                <w:numId w:val="4"/>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0FB8B8">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最高限价</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81AA94">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840000.00元</w:t>
            </w:r>
          </w:p>
        </w:tc>
      </w:tr>
      <w:tr w14:paraId="09F96571">
        <w:tblPrEx>
          <w:tblCellMar>
            <w:top w:w="0" w:type="dxa"/>
            <w:left w:w="57" w:type="dxa"/>
            <w:bottom w:w="0" w:type="dxa"/>
            <w:right w:w="57" w:type="dxa"/>
          </w:tblCellMar>
        </w:tblPrEx>
        <w:trPr>
          <w:trHeight w:val="9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A3B2A9">
            <w:pPr>
              <w:numPr>
                <w:ilvl w:val="0"/>
                <w:numId w:val="4"/>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22AF8D">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项目分包个数</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2B0E0E">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1个</w:t>
            </w:r>
          </w:p>
        </w:tc>
      </w:tr>
      <w:tr w14:paraId="0977816B">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5F5560">
            <w:pPr>
              <w:numPr>
                <w:ilvl w:val="0"/>
                <w:numId w:val="4"/>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43EC3E">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采购要求</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5FE98A">
            <w:pPr>
              <w:autoSpaceDE w:val="0"/>
              <w:autoSpaceDN w:val="0"/>
              <w:spacing w:line="360" w:lineRule="auto"/>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详见磋商文件第六部分</w:t>
            </w:r>
          </w:p>
        </w:tc>
      </w:tr>
      <w:tr w14:paraId="2D620893">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2FB411">
            <w:pPr>
              <w:numPr>
                <w:ilvl w:val="0"/>
                <w:numId w:val="4"/>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5AEF14">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供应商资格条件</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43EE9754">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详见第一部分投标邀请中“各包供应商资格条件”的规定</w:t>
            </w:r>
          </w:p>
        </w:tc>
      </w:tr>
      <w:tr w14:paraId="1344AC4F">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F7106C">
            <w:pPr>
              <w:numPr>
                <w:ilvl w:val="0"/>
                <w:numId w:val="4"/>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4B730C">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磋商保证金</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489A64AC">
            <w:pPr>
              <w:autoSpaceDE w:val="0"/>
              <w:autoSpaceDN w:val="0"/>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zh-CN"/>
              </w:rPr>
              <w:t>磋商保证金金额：</w:t>
            </w:r>
            <w:r>
              <w:rPr>
                <w:rFonts w:hint="eastAsia" w:ascii="宋体" w:hAnsi="宋体" w:eastAsia="宋体" w:cs="宋体"/>
                <w:b/>
                <w:bCs/>
                <w:color w:val="auto"/>
                <w:sz w:val="24"/>
                <w:szCs w:val="24"/>
                <w:lang w:val="en-US" w:eastAsia="zh-CN"/>
              </w:rPr>
              <w:t>1.6万元</w:t>
            </w:r>
          </w:p>
          <w:p w14:paraId="60573504">
            <w:pPr>
              <w:autoSpaceDE w:val="0"/>
              <w:autoSpaceDN w:val="0"/>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收款单位：青海鼎钊招标代理有限公司</w:t>
            </w:r>
          </w:p>
          <w:p w14:paraId="0AB66FAC">
            <w:pPr>
              <w:autoSpaceDE w:val="0"/>
              <w:autoSpaceDN w:val="0"/>
              <w:spacing w:line="360" w:lineRule="auto"/>
              <w:ind w:firstLine="0" w:firstLineChars="0"/>
              <w:jc w:val="left"/>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开 户 行：上海浦东发展银行股份有限公司西宁城东支行</w:t>
            </w:r>
          </w:p>
          <w:p w14:paraId="7598973E">
            <w:pPr>
              <w:autoSpaceDE w:val="0"/>
              <w:autoSpaceDN w:val="0"/>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银行账号：</w:t>
            </w:r>
            <w:r>
              <w:rPr>
                <w:rFonts w:hint="eastAsia" w:ascii="宋体" w:hAnsi="宋体" w:eastAsia="宋体" w:cs="宋体"/>
                <w:color w:val="auto"/>
                <w:sz w:val="24"/>
                <w:szCs w:val="24"/>
                <w:lang w:val="zh-CN"/>
              </w:rPr>
              <w:t>35030078801500000377</w:t>
            </w:r>
          </w:p>
          <w:p w14:paraId="11F75235">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缴费时间：提交响应文件截止时间前，以银行到账时间为准。</w:t>
            </w:r>
          </w:p>
        </w:tc>
      </w:tr>
      <w:tr w14:paraId="3E9C4B84">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8245E8">
            <w:pPr>
              <w:numPr>
                <w:ilvl w:val="0"/>
                <w:numId w:val="4"/>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1CE168">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缴费方式</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0DBFB3AC">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缴费方式：磋商保证金应当以支票、汇票、本票或者金融机构、担保机构出具的保函（含电子保函，电子保函是指供应商利用青海省政府采购云平台电子保函系统（模块）出具的，有关业务操作流程和手册可从“青海省政府采购云平台”查阅下载，供应商在电子保函的申请、使用、查看应用过程中遇到问题可咨询技术支撑方：95763。政采云平台不向供应商收取服务费用）等非现金形式提交。供应商未按照磋商文件要求提交磋商保证金的，响应无效。</w:t>
            </w:r>
          </w:p>
        </w:tc>
      </w:tr>
      <w:tr w14:paraId="485E760C">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875B21">
            <w:pPr>
              <w:numPr>
                <w:ilvl w:val="0"/>
                <w:numId w:val="4"/>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30CE20">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磋商保证金退还</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6F9AF4E2">
            <w:pPr>
              <w:spacing w:line="360" w:lineRule="auto"/>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未成交供应商的磋商保证金在成交通知书发出后5个工作日内退还，成交供应商的磋商保证金在采购合同签订后5个工作日内退还</w:t>
            </w:r>
            <w:r>
              <w:rPr>
                <w:rFonts w:hint="eastAsia" w:ascii="宋体" w:hAnsi="宋体" w:eastAsia="宋体" w:cs="宋体"/>
                <w:color w:val="auto"/>
                <w:sz w:val="24"/>
                <w:szCs w:val="24"/>
              </w:rPr>
              <w:t>。</w:t>
            </w:r>
          </w:p>
        </w:tc>
      </w:tr>
      <w:tr w14:paraId="05F382AA">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6FADF1">
            <w:pPr>
              <w:numPr>
                <w:ilvl w:val="0"/>
                <w:numId w:val="4"/>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FA7A44">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递交响应文件方式</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93FFA6">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政采云平台提交</w:t>
            </w:r>
          </w:p>
        </w:tc>
      </w:tr>
      <w:tr w14:paraId="72CE021B">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CCF80C">
            <w:pPr>
              <w:numPr>
                <w:ilvl w:val="0"/>
                <w:numId w:val="4"/>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7C6C8B">
            <w:pPr>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提交响应文件截止时间</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7AB6DC">
            <w:pPr>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2026年5月18日上午9：30（北京时间）</w:t>
            </w:r>
          </w:p>
        </w:tc>
      </w:tr>
      <w:tr w14:paraId="79619C0A">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3B8B7C">
            <w:pPr>
              <w:numPr>
                <w:ilvl w:val="0"/>
                <w:numId w:val="4"/>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B9ADFB">
            <w:pPr>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响应文件开启时间</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CC7BB2">
            <w:pPr>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2026年5月18日上午9：30（北京时间）</w:t>
            </w:r>
          </w:p>
        </w:tc>
      </w:tr>
      <w:tr w14:paraId="29260BD8">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A45759">
            <w:pPr>
              <w:numPr>
                <w:ilvl w:val="0"/>
                <w:numId w:val="4"/>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2AF0D2">
            <w:pPr>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提交响应文件地点</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5AF7E3">
            <w:pPr>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政采云平台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https</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//www.zcygov.cn/</w:t>
            </w:r>
            <w:r>
              <w:rPr>
                <w:rFonts w:hint="eastAsia" w:ascii="宋体" w:hAnsi="宋体" w:eastAsia="宋体" w:cs="宋体"/>
                <w:color w:val="auto"/>
                <w:sz w:val="24"/>
                <w:szCs w:val="24"/>
                <w:lang w:eastAsia="zh-CN"/>
              </w:rPr>
              <w:t>）</w:t>
            </w:r>
          </w:p>
        </w:tc>
      </w:tr>
      <w:tr w14:paraId="07FA59EE">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5B2552">
            <w:pPr>
              <w:numPr>
                <w:ilvl w:val="0"/>
                <w:numId w:val="4"/>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B36475">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答疑澄清方式</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6B8D3EDD">
            <w:pPr>
              <w:autoSpaceDE w:val="0"/>
              <w:autoSpaceDN w:val="0"/>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评审中需要供应商对响应文件作出澄清、说明或者补正的，磋商小组和供应商应当通过电子交易系统交换数据电文，给予供应商提交澄清说明或补正的时间为60分钟，供应商已经明确表示澄清说明或补正完毕的除外。未在规定时间内进行澄清补正，视同默认原文相关内容。</w:t>
            </w:r>
          </w:p>
        </w:tc>
      </w:tr>
      <w:tr w14:paraId="2C5F782C">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E3AF68">
            <w:pPr>
              <w:numPr>
                <w:ilvl w:val="0"/>
                <w:numId w:val="4"/>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D7D654">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代理服务费收取</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212F469C">
            <w:pPr>
              <w:autoSpaceDE w:val="0"/>
              <w:autoSpaceDN w:val="0"/>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收取对象：</w:t>
            </w:r>
            <w:r>
              <w:rPr>
                <w:rFonts w:hint="eastAsia" w:ascii="宋体" w:hAnsi="宋体" w:eastAsia="宋体" w:cs="宋体"/>
                <w:b/>
                <w:bCs/>
                <w:color w:val="auto"/>
                <w:sz w:val="24"/>
                <w:szCs w:val="24"/>
                <w:lang w:val="en-US" w:eastAsia="zh-CN"/>
              </w:rPr>
              <w:t>成交供应商</w:t>
            </w:r>
          </w:p>
          <w:p w14:paraId="20630083">
            <w:pPr>
              <w:autoSpaceDE w:val="0"/>
              <w:autoSpaceDN w:val="0"/>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收费金额：</w:t>
            </w:r>
            <w:r>
              <w:rPr>
                <w:rFonts w:hint="eastAsia" w:ascii="宋体" w:hAnsi="宋体" w:eastAsia="宋体" w:cs="宋体"/>
                <w:b/>
                <w:bCs/>
                <w:color w:val="auto"/>
                <w:sz w:val="24"/>
                <w:szCs w:val="24"/>
                <w:lang w:val="en-US" w:eastAsia="zh-CN"/>
              </w:rPr>
              <w:t>12600.00元</w:t>
            </w:r>
          </w:p>
          <w:p w14:paraId="630758F9">
            <w:pPr>
              <w:autoSpaceDE w:val="0"/>
              <w:autoSpaceDN w:val="0"/>
              <w:spacing w:line="360" w:lineRule="auto"/>
              <w:ind w:firstLine="0" w:firstLineChars="0"/>
              <w:jc w:val="left"/>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收款单位：青海鼎钊招标代理有限公司</w:t>
            </w:r>
          </w:p>
          <w:p w14:paraId="493F1713">
            <w:pPr>
              <w:autoSpaceDE w:val="0"/>
              <w:autoSpaceDN w:val="0"/>
              <w:spacing w:line="360" w:lineRule="auto"/>
              <w:ind w:firstLine="0" w:firstLineChars="0"/>
              <w:jc w:val="left"/>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开户行：</w:t>
            </w:r>
            <w:r>
              <w:rPr>
                <w:rFonts w:hint="eastAsia" w:ascii="宋体" w:hAnsi="宋体" w:eastAsia="宋体" w:cs="宋体"/>
                <w:color w:val="auto"/>
                <w:sz w:val="24"/>
                <w:szCs w:val="24"/>
                <w:lang w:eastAsia="zh-CN"/>
              </w:rPr>
              <w:t>中国农业银行股份有限公司西宁城东经济技术开发区支行</w:t>
            </w:r>
          </w:p>
          <w:p w14:paraId="0211354C">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银行账号：</w:t>
            </w:r>
            <w:r>
              <w:rPr>
                <w:rFonts w:hint="eastAsia" w:ascii="宋体" w:hAnsi="宋体" w:eastAsia="宋体" w:cs="宋体"/>
                <w:color w:val="auto"/>
                <w:sz w:val="24"/>
                <w:szCs w:val="24"/>
                <w:lang w:eastAsia="zh-CN"/>
              </w:rPr>
              <w:t>2801 2001 0400 0229 1</w:t>
            </w:r>
          </w:p>
        </w:tc>
      </w:tr>
      <w:tr w14:paraId="4627974B">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456076">
            <w:pPr>
              <w:numPr>
                <w:ilvl w:val="0"/>
                <w:numId w:val="4"/>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73E118">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合同签订有效期</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0C09DF2F">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自成交通知书发出之日起</w:t>
            </w:r>
            <w:r>
              <w:rPr>
                <w:rFonts w:hint="eastAsia" w:ascii="宋体" w:hAnsi="宋体" w:eastAsia="宋体" w:cs="宋体"/>
                <w:color w:val="auto"/>
                <w:sz w:val="24"/>
                <w:szCs w:val="24"/>
              </w:rPr>
              <w:t>30</w:t>
            </w:r>
            <w:r>
              <w:rPr>
                <w:rFonts w:hint="eastAsia" w:ascii="宋体" w:hAnsi="宋体" w:eastAsia="宋体" w:cs="宋体"/>
                <w:color w:val="auto"/>
                <w:sz w:val="24"/>
                <w:szCs w:val="24"/>
                <w:lang w:val="zh-CN"/>
              </w:rPr>
              <w:t>日内与采购人签订采购合同</w:t>
            </w:r>
          </w:p>
        </w:tc>
      </w:tr>
      <w:tr w14:paraId="1F606CC3">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2CC0E5">
            <w:pPr>
              <w:numPr>
                <w:ilvl w:val="0"/>
                <w:numId w:val="4"/>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61C9CD">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政府采购合同备案</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7ADCD85E">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采购合同全数返回采购代理机构鉴证，盖章。</w:t>
            </w:r>
          </w:p>
          <w:p w14:paraId="258ADF89">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采购代理机构留存</w:t>
            </w:r>
            <w:r>
              <w:rPr>
                <w:rFonts w:hint="eastAsia" w:ascii="宋体" w:hAnsi="宋体" w:eastAsia="宋体" w:cs="宋体"/>
                <w:color w:val="auto"/>
                <w:sz w:val="24"/>
                <w:szCs w:val="24"/>
                <w:lang w:val="en-US" w:eastAsia="zh-CN"/>
              </w:rPr>
              <w:t>两</w:t>
            </w:r>
            <w:r>
              <w:rPr>
                <w:rFonts w:hint="eastAsia" w:ascii="宋体" w:hAnsi="宋体" w:eastAsia="宋体" w:cs="宋体"/>
                <w:color w:val="auto"/>
                <w:sz w:val="24"/>
                <w:szCs w:val="24"/>
                <w:lang w:val="zh-CN"/>
              </w:rPr>
              <w:t>份原件备案。</w:t>
            </w:r>
          </w:p>
        </w:tc>
      </w:tr>
      <w:tr w14:paraId="507BAEF2">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03DE8F">
            <w:pPr>
              <w:numPr>
                <w:ilvl w:val="0"/>
                <w:numId w:val="4"/>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BD7E07">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磋商有效期</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120073D0">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rPr>
              <w:t>磋商有效期为自磋商开始之日起</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个日历日</w:t>
            </w:r>
          </w:p>
        </w:tc>
      </w:tr>
      <w:tr w14:paraId="16FC53C8">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0BCB5E">
            <w:pPr>
              <w:numPr>
                <w:ilvl w:val="0"/>
                <w:numId w:val="4"/>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9C6E38">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其他事项</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2B027065">
            <w:pPr>
              <w:autoSpaceDE w:val="0"/>
              <w:autoSpaceDN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14:paraId="3D1C540B">
      <w:pPr>
        <w:wordWrap w:val="0"/>
        <w:spacing w:line="360" w:lineRule="auto"/>
        <w:ind w:firstLine="0" w:firstLineChars="0"/>
        <w:rPr>
          <w:rFonts w:hint="eastAsia" w:ascii="宋体" w:hAnsi="宋体" w:eastAsia="宋体" w:cs="宋体"/>
          <w:color w:val="auto"/>
          <w:sz w:val="24"/>
          <w:szCs w:val="24"/>
          <w:lang w:val="zh-CN"/>
        </w:rPr>
      </w:pPr>
    </w:p>
    <w:p w14:paraId="261CC612">
      <w:pPr>
        <w:wordWrap w:val="0"/>
        <w:spacing w:line="360" w:lineRule="auto"/>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br w:type="page"/>
      </w:r>
    </w:p>
    <w:p w14:paraId="10DD1306">
      <w:pPr>
        <w:keepNext/>
        <w:keepLines/>
        <w:pageBreakBefore/>
        <w:widowControl/>
        <w:snapToGrid w:val="0"/>
        <w:spacing w:line="360" w:lineRule="auto"/>
        <w:ind w:firstLine="0" w:firstLineChars="0"/>
        <w:jc w:val="center"/>
        <w:outlineLvl w:val="0"/>
        <w:rPr>
          <w:rFonts w:hint="eastAsia" w:ascii="宋体" w:hAnsi="宋体" w:eastAsia="宋体" w:cs="宋体"/>
          <w:b/>
          <w:color w:val="auto"/>
          <w:kern w:val="28"/>
          <w:sz w:val="36"/>
          <w:szCs w:val="20"/>
        </w:rPr>
      </w:pPr>
      <w:bookmarkStart w:id="4" w:name="_Toc10682"/>
      <w:bookmarkStart w:id="5" w:name="_Toc325725997"/>
      <w:r>
        <w:rPr>
          <w:rFonts w:hint="eastAsia" w:ascii="宋体" w:hAnsi="宋体" w:eastAsia="宋体" w:cs="宋体"/>
          <w:b/>
          <w:color w:val="auto"/>
          <w:kern w:val="28"/>
          <w:sz w:val="36"/>
          <w:szCs w:val="20"/>
        </w:rPr>
        <w:t>第三部分  供应商须知</w:t>
      </w:r>
      <w:bookmarkEnd w:id="4"/>
    </w:p>
    <w:p w14:paraId="6605D6F0">
      <w:pPr>
        <w:widowControl/>
        <w:spacing w:line="360" w:lineRule="auto"/>
        <w:ind w:firstLine="0" w:firstLineChars="0"/>
        <w:jc w:val="center"/>
        <w:outlineLvl w:val="1"/>
        <w:rPr>
          <w:rFonts w:hint="eastAsia" w:ascii="宋体" w:hAnsi="宋体" w:eastAsia="宋体" w:cs="宋体"/>
          <w:b/>
          <w:bCs/>
          <w:color w:val="auto"/>
          <w:sz w:val="24"/>
          <w:szCs w:val="24"/>
        </w:rPr>
      </w:pPr>
      <w:bookmarkStart w:id="6" w:name="_Toc31004"/>
      <w:bookmarkStart w:id="7" w:name="_Toc376936728"/>
      <w:bookmarkStart w:id="8" w:name="_Toc14943"/>
      <w:bookmarkStart w:id="9" w:name="_Toc24622"/>
      <w:r>
        <w:rPr>
          <w:rFonts w:hint="eastAsia" w:ascii="宋体" w:hAnsi="宋体" w:eastAsia="宋体" w:cs="宋体"/>
          <w:b/>
          <w:bCs/>
          <w:color w:val="auto"/>
          <w:sz w:val="24"/>
          <w:szCs w:val="24"/>
        </w:rPr>
        <w:t>一、说  明</w:t>
      </w:r>
      <w:bookmarkEnd w:id="5"/>
      <w:bookmarkEnd w:id="6"/>
      <w:bookmarkEnd w:id="7"/>
      <w:bookmarkEnd w:id="8"/>
      <w:bookmarkEnd w:id="9"/>
    </w:p>
    <w:p w14:paraId="2D35C4E0">
      <w:pPr>
        <w:widowControl/>
        <w:spacing w:line="360" w:lineRule="auto"/>
        <w:ind w:firstLine="0" w:firstLineChars="0"/>
        <w:jc w:val="left"/>
        <w:outlineLvl w:val="2"/>
        <w:rPr>
          <w:rFonts w:hint="eastAsia" w:ascii="宋体" w:hAnsi="宋体" w:eastAsia="宋体" w:cs="宋体"/>
          <w:b/>
          <w:bCs/>
          <w:color w:val="auto"/>
          <w:sz w:val="24"/>
          <w:szCs w:val="24"/>
        </w:rPr>
      </w:pPr>
      <w:bookmarkStart w:id="10" w:name="_Toc376936729"/>
      <w:bookmarkStart w:id="11" w:name="_Toc325725998"/>
      <w:bookmarkStart w:id="12" w:name="_Toc12101"/>
      <w:bookmarkStart w:id="13" w:name="_Toc26944"/>
      <w:bookmarkStart w:id="14" w:name="_Toc9770"/>
      <w:r>
        <w:rPr>
          <w:rFonts w:hint="eastAsia" w:ascii="宋体" w:hAnsi="宋体" w:eastAsia="宋体" w:cs="宋体"/>
          <w:b/>
          <w:bCs/>
          <w:color w:val="auto"/>
          <w:sz w:val="24"/>
          <w:szCs w:val="24"/>
        </w:rPr>
        <w:t>1.适用范围</w:t>
      </w:r>
      <w:bookmarkEnd w:id="10"/>
      <w:bookmarkEnd w:id="11"/>
      <w:bookmarkEnd w:id="12"/>
      <w:bookmarkEnd w:id="13"/>
      <w:bookmarkEnd w:id="14"/>
    </w:p>
    <w:p w14:paraId="3F82C754">
      <w:pPr>
        <w:tabs>
          <w:tab w:val="left" w:pos="840"/>
        </w:tabs>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本次采购依据采购人的采购计划，仅适用于本磋商文件中所叙述的项目。</w:t>
      </w:r>
    </w:p>
    <w:p w14:paraId="63BF3D34">
      <w:pPr>
        <w:widowControl/>
        <w:spacing w:line="360" w:lineRule="auto"/>
        <w:ind w:firstLine="0" w:firstLineChars="0"/>
        <w:jc w:val="left"/>
        <w:outlineLvl w:val="2"/>
        <w:rPr>
          <w:rFonts w:hint="eastAsia" w:ascii="宋体" w:hAnsi="宋体" w:eastAsia="宋体" w:cs="宋体"/>
          <w:b/>
          <w:bCs/>
          <w:color w:val="auto"/>
          <w:sz w:val="24"/>
          <w:szCs w:val="24"/>
        </w:rPr>
      </w:pPr>
      <w:bookmarkStart w:id="15" w:name="_Toc376936730"/>
      <w:bookmarkStart w:id="16" w:name="_Toc21998"/>
      <w:bookmarkStart w:id="17" w:name="_Toc325725999"/>
      <w:bookmarkStart w:id="18" w:name="_Toc20550"/>
      <w:bookmarkStart w:id="19" w:name="_Toc31556"/>
      <w:r>
        <w:rPr>
          <w:rFonts w:hint="eastAsia" w:ascii="宋体" w:hAnsi="宋体" w:eastAsia="宋体" w:cs="宋体"/>
          <w:b/>
          <w:bCs/>
          <w:color w:val="auto"/>
          <w:sz w:val="24"/>
          <w:szCs w:val="24"/>
        </w:rPr>
        <w:t>2.采购方式、合格的</w:t>
      </w:r>
      <w:bookmarkEnd w:id="15"/>
      <w:bookmarkEnd w:id="16"/>
      <w:bookmarkEnd w:id="17"/>
      <w:r>
        <w:rPr>
          <w:rFonts w:hint="eastAsia" w:ascii="宋体" w:hAnsi="宋体" w:eastAsia="宋体" w:cs="宋体"/>
          <w:b/>
          <w:bCs/>
          <w:color w:val="auto"/>
          <w:sz w:val="24"/>
          <w:szCs w:val="24"/>
        </w:rPr>
        <w:t>供应商</w:t>
      </w:r>
      <w:bookmarkEnd w:id="18"/>
      <w:bookmarkEnd w:id="19"/>
    </w:p>
    <w:p w14:paraId="111748AC">
      <w:pPr>
        <w:tabs>
          <w:tab w:val="left" w:pos="840"/>
        </w:tabs>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本次采购采取竞争性磋商方式。</w:t>
      </w:r>
    </w:p>
    <w:p w14:paraId="7BDA7786">
      <w:pPr>
        <w:tabs>
          <w:tab w:val="left" w:pos="840"/>
        </w:tabs>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合格的供应商：</w:t>
      </w:r>
      <w:r>
        <w:rPr>
          <w:rFonts w:hint="eastAsia" w:ascii="宋体" w:hAnsi="宋体" w:eastAsia="宋体" w:cs="宋体"/>
          <w:color w:val="auto"/>
          <w:sz w:val="24"/>
          <w:szCs w:val="24"/>
          <w:lang w:val="zh-CN"/>
        </w:rPr>
        <w:t>详见第一部分投标邀请中“各包供应商资格条件”的规定</w:t>
      </w:r>
    </w:p>
    <w:p w14:paraId="1045E09A">
      <w:pPr>
        <w:widowControl/>
        <w:spacing w:line="360" w:lineRule="auto"/>
        <w:ind w:firstLine="0" w:firstLineChars="0"/>
        <w:jc w:val="left"/>
        <w:outlineLvl w:val="2"/>
        <w:rPr>
          <w:rFonts w:hint="eastAsia" w:ascii="宋体" w:hAnsi="宋体" w:eastAsia="宋体" w:cs="宋体"/>
          <w:b/>
          <w:bCs/>
          <w:color w:val="auto"/>
          <w:sz w:val="24"/>
          <w:szCs w:val="24"/>
        </w:rPr>
      </w:pPr>
      <w:bookmarkStart w:id="20" w:name="_Toc20864"/>
      <w:bookmarkStart w:id="21" w:name="_Toc8820"/>
      <w:bookmarkStart w:id="22" w:name="_Toc8805"/>
      <w:bookmarkStart w:id="23" w:name="_Toc376936731"/>
      <w:bookmarkStart w:id="24" w:name="_Toc325726000"/>
      <w:r>
        <w:rPr>
          <w:rFonts w:hint="eastAsia" w:ascii="宋体" w:hAnsi="宋体" w:eastAsia="宋体" w:cs="宋体"/>
          <w:b/>
          <w:bCs/>
          <w:color w:val="auto"/>
          <w:sz w:val="24"/>
          <w:szCs w:val="24"/>
        </w:rPr>
        <w:t>3.磋商费用</w:t>
      </w:r>
      <w:bookmarkEnd w:id="20"/>
      <w:bookmarkEnd w:id="21"/>
      <w:bookmarkEnd w:id="22"/>
      <w:bookmarkEnd w:id="23"/>
      <w:bookmarkEnd w:id="24"/>
    </w:p>
    <w:p w14:paraId="3AE8E16C">
      <w:pPr>
        <w:tabs>
          <w:tab w:val="left" w:pos="840"/>
        </w:tabs>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供应商应自愿承担与参加本次投标有关的费用。采购代理机构对供应商发生的费用不承担任何责任。</w:t>
      </w:r>
      <w:bookmarkStart w:id="25" w:name="_Toc325726001"/>
      <w:bookmarkStart w:id="26" w:name="_Toc18155"/>
      <w:bookmarkStart w:id="27" w:name="_Toc376936732"/>
    </w:p>
    <w:p w14:paraId="214C4E44">
      <w:pPr>
        <w:widowControl/>
        <w:spacing w:line="360" w:lineRule="auto"/>
        <w:ind w:firstLine="0" w:firstLineChars="0"/>
        <w:jc w:val="center"/>
        <w:outlineLvl w:val="1"/>
        <w:rPr>
          <w:rFonts w:hint="eastAsia" w:ascii="宋体" w:hAnsi="宋体" w:eastAsia="宋体" w:cs="宋体"/>
          <w:b/>
          <w:bCs/>
          <w:color w:val="auto"/>
          <w:sz w:val="24"/>
          <w:szCs w:val="24"/>
        </w:rPr>
      </w:pPr>
      <w:bookmarkStart w:id="28" w:name="_Toc21776"/>
      <w:r>
        <w:rPr>
          <w:rFonts w:hint="eastAsia" w:ascii="宋体" w:hAnsi="宋体" w:eastAsia="宋体" w:cs="宋体"/>
          <w:b/>
          <w:bCs/>
          <w:color w:val="auto"/>
          <w:sz w:val="24"/>
          <w:szCs w:val="24"/>
        </w:rPr>
        <w:t>二、磋商文件说明</w:t>
      </w:r>
      <w:bookmarkEnd w:id="25"/>
      <w:bookmarkEnd w:id="26"/>
      <w:bookmarkEnd w:id="27"/>
      <w:bookmarkEnd w:id="28"/>
    </w:p>
    <w:p w14:paraId="17D0BB8E">
      <w:pPr>
        <w:widowControl/>
        <w:spacing w:line="360" w:lineRule="auto"/>
        <w:ind w:firstLine="0" w:firstLineChars="0"/>
        <w:jc w:val="left"/>
        <w:outlineLvl w:val="2"/>
        <w:rPr>
          <w:rFonts w:hint="eastAsia" w:ascii="宋体" w:hAnsi="宋体" w:eastAsia="宋体" w:cs="宋体"/>
          <w:b/>
          <w:bCs/>
          <w:color w:val="auto"/>
          <w:sz w:val="24"/>
          <w:szCs w:val="24"/>
        </w:rPr>
      </w:pPr>
      <w:bookmarkStart w:id="29" w:name="_Toc22750"/>
      <w:bookmarkStart w:id="30" w:name="_Toc14153"/>
      <w:bookmarkStart w:id="31" w:name="_Toc325726002"/>
      <w:bookmarkStart w:id="32" w:name="_Toc10649"/>
      <w:bookmarkStart w:id="33" w:name="_Toc376936733"/>
      <w:r>
        <w:rPr>
          <w:rFonts w:hint="eastAsia" w:ascii="宋体" w:hAnsi="宋体" w:eastAsia="宋体" w:cs="宋体"/>
          <w:b/>
          <w:bCs/>
          <w:color w:val="auto"/>
          <w:sz w:val="24"/>
          <w:szCs w:val="24"/>
        </w:rPr>
        <w:t>4.磋商文件的构成</w:t>
      </w:r>
      <w:bookmarkEnd w:id="29"/>
      <w:bookmarkEnd w:id="30"/>
      <w:bookmarkEnd w:id="31"/>
      <w:bookmarkEnd w:id="32"/>
      <w:bookmarkEnd w:id="33"/>
    </w:p>
    <w:p w14:paraId="3B602F6D">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4.1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磋商文件包括：</w:t>
      </w:r>
    </w:p>
    <w:p w14:paraId="0C65FA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（1）投标邀请</w:t>
      </w:r>
    </w:p>
    <w:p w14:paraId="519659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供应商须知前附表</w:t>
      </w:r>
    </w:p>
    <w:p w14:paraId="197E75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（3）供应商须知</w:t>
      </w:r>
    </w:p>
    <w:p w14:paraId="47F3FB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（4）采购项目合同书</w:t>
      </w:r>
    </w:p>
    <w:p w14:paraId="52B4D3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（5）响应文件格式（相关附件）</w:t>
      </w:r>
    </w:p>
    <w:p w14:paraId="1E03AE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（6）采购项目要求及技术参数</w:t>
      </w:r>
    </w:p>
    <w:p w14:paraId="623340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（7）磋商过程中发生的澄清、变更和补充文件</w:t>
      </w:r>
    </w:p>
    <w:p w14:paraId="47704EC8">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4.2 供应商应认真阅读磋商文件中列示的事项、格式、条款和要求等内容。如果供应商未按磋商文件要求提交全部资料，或者对磋商文件未作出实质性响应的，将视为无效响应。</w:t>
      </w:r>
    </w:p>
    <w:p w14:paraId="1A65A6A2">
      <w:pPr>
        <w:widowControl/>
        <w:spacing w:line="360" w:lineRule="auto"/>
        <w:ind w:firstLine="0" w:firstLineChars="0"/>
        <w:jc w:val="left"/>
        <w:outlineLvl w:val="2"/>
        <w:rPr>
          <w:rFonts w:hint="eastAsia" w:ascii="宋体" w:hAnsi="宋体" w:eastAsia="宋体" w:cs="宋体"/>
          <w:b/>
          <w:bCs/>
          <w:color w:val="auto"/>
          <w:sz w:val="24"/>
          <w:szCs w:val="24"/>
        </w:rPr>
      </w:pPr>
      <w:bookmarkStart w:id="34" w:name="_Toc325726003"/>
      <w:bookmarkStart w:id="35" w:name="_Toc6482"/>
      <w:bookmarkStart w:id="36" w:name="_Toc3451"/>
      <w:bookmarkStart w:id="37" w:name="_Toc376936734"/>
      <w:bookmarkStart w:id="38" w:name="_Toc30057"/>
      <w:r>
        <w:rPr>
          <w:rFonts w:hint="eastAsia" w:ascii="宋体" w:hAnsi="宋体" w:eastAsia="宋体" w:cs="宋体"/>
          <w:b/>
          <w:bCs/>
          <w:color w:val="auto"/>
          <w:sz w:val="24"/>
          <w:szCs w:val="24"/>
        </w:rPr>
        <w:t>5.</w:t>
      </w:r>
      <w:bookmarkEnd w:id="34"/>
      <w:bookmarkEnd w:id="35"/>
      <w:bookmarkEnd w:id="36"/>
      <w:bookmarkEnd w:id="37"/>
      <w:r>
        <w:rPr>
          <w:rFonts w:hint="eastAsia" w:ascii="宋体" w:hAnsi="宋体" w:eastAsia="宋体" w:cs="宋体"/>
          <w:b/>
          <w:bCs/>
          <w:color w:val="auto"/>
          <w:sz w:val="24"/>
          <w:szCs w:val="24"/>
          <w:lang w:val="en-US" w:eastAsia="zh-CN"/>
        </w:rPr>
        <w:t>磋商</w:t>
      </w:r>
      <w:r>
        <w:rPr>
          <w:rFonts w:hint="eastAsia" w:ascii="宋体" w:hAnsi="宋体" w:eastAsia="宋体" w:cs="宋体"/>
          <w:b/>
          <w:bCs/>
          <w:color w:val="auto"/>
          <w:sz w:val="24"/>
          <w:szCs w:val="24"/>
          <w:lang w:val="zh-CN"/>
        </w:rPr>
        <w:t>文件、采购活动和</w:t>
      </w:r>
      <w:r>
        <w:rPr>
          <w:rFonts w:hint="eastAsia" w:ascii="宋体" w:hAnsi="宋体" w:eastAsia="宋体" w:cs="宋体"/>
          <w:b/>
          <w:bCs/>
          <w:color w:val="auto"/>
          <w:sz w:val="24"/>
          <w:szCs w:val="24"/>
          <w:lang w:val="en-US" w:eastAsia="zh-CN"/>
        </w:rPr>
        <w:t>成交</w:t>
      </w:r>
      <w:r>
        <w:rPr>
          <w:rFonts w:hint="eastAsia" w:ascii="宋体" w:hAnsi="宋体" w:eastAsia="宋体" w:cs="宋体"/>
          <w:b/>
          <w:bCs/>
          <w:color w:val="auto"/>
          <w:sz w:val="24"/>
          <w:szCs w:val="24"/>
          <w:lang w:val="zh-CN"/>
        </w:rPr>
        <w:t>结果的质疑</w:t>
      </w:r>
      <w:bookmarkEnd w:id="38"/>
    </w:p>
    <w:p w14:paraId="0692685E">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val="zh-CN"/>
        </w:rPr>
        <w:t>认为</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val="zh-CN"/>
        </w:rPr>
        <w:t>文件、采购过程和</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lang w:val="zh-CN"/>
        </w:rPr>
        <w:t>结果使自己的权益受到损害的，可以在知道或者应知其权益受到损害之日起7个工作日内以书面形式（如信件、传真等）向采购人或者采购代理机构提出质疑，不接受匿名质疑。</w:t>
      </w:r>
      <w:r>
        <w:rPr>
          <w:rFonts w:hint="eastAsia" w:ascii="宋体" w:hAnsi="宋体" w:eastAsia="宋体" w:cs="宋体"/>
          <w:color w:val="auto"/>
          <w:sz w:val="24"/>
          <w:szCs w:val="24"/>
        </w:rPr>
        <w:t>潜在供应商已依法获取其可质疑的采购文件的，可以对该文件提出质疑，对采购文件提出质疑的，应当在获取采购文件或者采购文件公告期限届满之日起7个工作日内提出。供应商须在法定质疑期内一次性提出针对同一采购程序环节的质疑。</w:t>
      </w:r>
      <w:r>
        <w:rPr>
          <w:rFonts w:hint="eastAsia" w:ascii="宋体" w:hAnsi="宋体" w:eastAsia="宋体" w:cs="宋体"/>
          <w:color w:val="auto"/>
          <w:sz w:val="24"/>
          <w:szCs w:val="24"/>
          <w:lang w:val="zh-CN"/>
        </w:rPr>
        <w:t>采购人或采购代理机构在收到书面</w:t>
      </w:r>
      <w:r>
        <w:rPr>
          <w:rFonts w:hint="eastAsia" w:ascii="宋体" w:hAnsi="宋体" w:eastAsia="宋体" w:cs="宋体"/>
          <w:color w:val="auto"/>
          <w:sz w:val="24"/>
          <w:szCs w:val="24"/>
        </w:rPr>
        <w:t>质疑函后7个工作日内作出答复</w:t>
      </w:r>
      <w:r>
        <w:rPr>
          <w:rFonts w:hint="eastAsia" w:ascii="宋体" w:hAnsi="宋体" w:eastAsia="宋体" w:cs="宋体"/>
          <w:color w:val="auto"/>
          <w:sz w:val="24"/>
          <w:szCs w:val="24"/>
          <w:lang w:val="zh-CN"/>
        </w:rPr>
        <w:t>。</w:t>
      </w:r>
    </w:p>
    <w:p w14:paraId="7B75B7F6">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参与采购活动的</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val="zh-CN"/>
        </w:rPr>
        <w:t>对评审过程或者结果提出质疑的，采购人、采购代理机构可以组织原评审委员会协助答复质疑。质疑事项处理完成后，采购人或采购代理机构应按照规定填写《青海省政府采购</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val="zh-CN"/>
        </w:rPr>
        <w:t>质疑处理情况表》，并在15日内报同级政府采购监督管理部门备案。</w:t>
      </w:r>
    </w:p>
    <w:p w14:paraId="67B20353">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val="zh-CN"/>
        </w:rPr>
        <w:t>应知其权益受到损害之日，是指：</w:t>
      </w:r>
    </w:p>
    <w:p w14:paraId="16F088DB">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）对可以质疑的</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val="zh-CN"/>
        </w:rPr>
        <w:t>文件提出质疑的，为收到</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val="zh-CN"/>
        </w:rPr>
        <w:t>文件之日或者</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val="zh-CN"/>
        </w:rPr>
        <w:t>文件公告期限届满之日；</w:t>
      </w:r>
    </w:p>
    <w:p w14:paraId="15161446">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）对采购过程提出质疑的，为各采购程序环节结束之日；</w:t>
      </w:r>
    </w:p>
    <w:p w14:paraId="5D6F0668">
      <w:pPr>
        <w:spacing w:line="360" w:lineRule="auto"/>
        <w:ind w:firstLine="480"/>
        <w:rPr>
          <w:rFonts w:hint="eastAsia" w:ascii="宋体" w:hAnsi="宋体" w:eastAsia="宋体" w:cs="宋体"/>
          <w:color w:val="auto"/>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）对</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lang w:val="zh-CN"/>
        </w:rPr>
        <w:t>结果提出质疑的，为</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lang w:val="zh-CN"/>
        </w:rPr>
        <w:t>结果公告期限届满之日。</w:t>
      </w:r>
    </w:p>
    <w:p w14:paraId="5201B9E9">
      <w:pPr>
        <w:widowControl/>
        <w:spacing w:line="360" w:lineRule="auto"/>
        <w:ind w:firstLine="0" w:firstLineChars="0"/>
        <w:jc w:val="left"/>
        <w:outlineLvl w:val="2"/>
        <w:rPr>
          <w:rFonts w:hint="eastAsia" w:ascii="宋体" w:hAnsi="宋体" w:eastAsia="宋体" w:cs="宋体"/>
          <w:b/>
          <w:bCs/>
          <w:color w:val="auto"/>
          <w:sz w:val="24"/>
          <w:szCs w:val="24"/>
        </w:rPr>
      </w:pPr>
      <w:bookmarkStart w:id="39" w:name="_Toc13050"/>
      <w:bookmarkStart w:id="40" w:name="_Toc28055"/>
      <w:bookmarkStart w:id="41" w:name="_Toc376936735"/>
      <w:bookmarkStart w:id="42" w:name="_Toc325726004"/>
      <w:bookmarkStart w:id="43" w:name="_Toc26515"/>
      <w:r>
        <w:rPr>
          <w:rFonts w:hint="eastAsia" w:ascii="宋体" w:hAnsi="宋体" w:eastAsia="宋体" w:cs="宋体"/>
          <w:b/>
          <w:bCs/>
          <w:color w:val="auto"/>
          <w:sz w:val="24"/>
          <w:szCs w:val="24"/>
        </w:rPr>
        <w:t>6.磋商文件的澄清、修改</w:t>
      </w:r>
      <w:bookmarkEnd w:id="39"/>
      <w:bookmarkEnd w:id="40"/>
      <w:bookmarkEnd w:id="41"/>
      <w:bookmarkEnd w:id="42"/>
      <w:bookmarkEnd w:id="43"/>
    </w:p>
    <w:p w14:paraId="14DF0280">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6.1</w:t>
      </w:r>
      <w:r>
        <w:rPr>
          <w:rFonts w:hint="eastAsia" w:ascii="宋体" w:hAnsi="宋体" w:eastAsia="宋体" w:cs="宋体"/>
          <w:color w:val="auto"/>
          <w:sz w:val="24"/>
          <w:szCs w:val="24"/>
          <w:lang w:val="en-US" w:eastAsia="zh-CN"/>
        </w:rPr>
        <w:t xml:space="preserve"> </w:t>
      </w:r>
      <w:r>
        <w:rPr>
          <w:rFonts w:hint="eastAsia" w:ascii="宋体" w:hAnsi="宋体" w:eastAsia="宋体" w:cs="宋体"/>
          <w:snapToGrid w:val="0"/>
          <w:color w:val="auto"/>
          <w:sz w:val="24"/>
          <w:szCs w:val="24"/>
        </w:rPr>
        <w:t>提交首次响应文件截止之日前，采购代理机构可以对已发出的磋商文件进行必要的澄清或者修改，澄清或者修改的内容作为磋商文件的组成部分。澄清或者修改的内容可能影响响应文件编制的，采购代理机构应在提交首次响应文件截止时间至少5日前，以书面形式通知所有获取磋商文件的供应商；不足5日的，采购代理机构应当顺延提交首次响应文件截止时间。</w:t>
      </w:r>
    </w:p>
    <w:p w14:paraId="74359585">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6.2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在提交响应文件截止时间前，采购代理机构可以视采购具体情况，延长提交响应文件截止时间和开启时间，并将变更公告发布在</w:t>
      </w:r>
      <w:r>
        <w:rPr>
          <w:rFonts w:hint="eastAsia" w:ascii="宋体" w:hAnsi="宋体" w:eastAsia="宋体" w:cs="宋体"/>
          <w:color w:val="auto"/>
          <w:sz w:val="24"/>
          <w:szCs w:val="24"/>
          <w:lang w:eastAsia="zh-CN"/>
        </w:rPr>
        <w:t>青海政府采购网</w:t>
      </w:r>
      <w:r>
        <w:rPr>
          <w:rFonts w:hint="eastAsia" w:ascii="宋体" w:hAnsi="宋体" w:eastAsia="宋体" w:cs="宋体"/>
          <w:color w:val="auto"/>
          <w:sz w:val="24"/>
          <w:szCs w:val="24"/>
        </w:rPr>
        <w:t>上。</w:t>
      </w:r>
      <w:bookmarkStart w:id="44" w:name="_Toc376936736"/>
      <w:bookmarkStart w:id="45" w:name="_Toc23340"/>
      <w:bookmarkStart w:id="46" w:name="_Toc325726005"/>
    </w:p>
    <w:p w14:paraId="505E0287">
      <w:pPr>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采购代理机构对采购文件进行澄清或修改的，应通过电子交易系统向已获取采购文件的供应商发送更正信息，澄清或修改的内容作为采购文件的组成部分。</w:t>
      </w:r>
    </w:p>
    <w:p w14:paraId="42D706B8">
      <w:pPr>
        <w:widowControl/>
        <w:spacing w:line="360" w:lineRule="auto"/>
        <w:ind w:firstLine="0" w:firstLineChars="0"/>
        <w:jc w:val="center"/>
        <w:outlineLvl w:val="1"/>
        <w:rPr>
          <w:rFonts w:hint="eastAsia" w:ascii="宋体" w:hAnsi="宋体" w:eastAsia="宋体" w:cs="宋体"/>
          <w:b/>
          <w:bCs/>
          <w:color w:val="auto"/>
          <w:sz w:val="24"/>
          <w:szCs w:val="24"/>
        </w:rPr>
      </w:pPr>
      <w:bookmarkStart w:id="47" w:name="_Toc2703"/>
      <w:r>
        <w:rPr>
          <w:rFonts w:hint="eastAsia" w:ascii="宋体" w:hAnsi="宋体" w:eastAsia="宋体" w:cs="宋体"/>
          <w:b/>
          <w:bCs/>
          <w:color w:val="auto"/>
          <w:sz w:val="24"/>
          <w:szCs w:val="24"/>
        </w:rPr>
        <w:t>三、响应文件的编制</w:t>
      </w:r>
      <w:bookmarkEnd w:id="44"/>
      <w:bookmarkEnd w:id="45"/>
      <w:bookmarkEnd w:id="46"/>
      <w:bookmarkEnd w:id="47"/>
    </w:p>
    <w:p w14:paraId="1BF001EA">
      <w:pPr>
        <w:widowControl/>
        <w:spacing w:line="360" w:lineRule="auto"/>
        <w:ind w:firstLine="0" w:firstLineChars="0"/>
        <w:jc w:val="left"/>
        <w:outlineLvl w:val="2"/>
        <w:rPr>
          <w:rFonts w:hint="eastAsia" w:ascii="宋体" w:hAnsi="宋体" w:eastAsia="宋体" w:cs="宋体"/>
          <w:b/>
          <w:bCs/>
          <w:color w:val="auto"/>
          <w:sz w:val="24"/>
          <w:szCs w:val="24"/>
        </w:rPr>
      </w:pPr>
      <w:bookmarkStart w:id="48" w:name="_Toc13057"/>
      <w:bookmarkStart w:id="49" w:name="_Toc5711"/>
      <w:bookmarkStart w:id="50" w:name="_Toc376936737"/>
      <w:bookmarkStart w:id="51" w:name="_Toc325726006"/>
      <w:bookmarkStart w:id="52" w:name="_Toc9674"/>
      <w:r>
        <w:rPr>
          <w:rFonts w:hint="eastAsia" w:ascii="宋体" w:hAnsi="宋体" w:eastAsia="宋体" w:cs="宋体"/>
          <w:b/>
          <w:bCs/>
          <w:color w:val="auto"/>
          <w:sz w:val="24"/>
          <w:szCs w:val="24"/>
        </w:rPr>
        <w:t>7.响应文件的语言及度量衡单位</w:t>
      </w:r>
      <w:bookmarkEnd w:id="48"/>
      <w:bookmarkEnd w:id="49"/>
      <w:bookmarkEnd w:id="50"/>
      <w:bookmarkEnd w:id="51"/>
      <w:bookmarkEnd w:id="52"/>
    </w:p>
    <w:p w14:paraId="4E2950DB">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7.1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供应商提交的响应文件以及供应商与采购代理机构就此磋商发生的所有来往函电均应使用简体中文。</w:t>
      </w:r>
    </w:p>
    <w:p w14:paraId="786823B0">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7.2 除磋商文件中另有规定外，响应文件所使用的度量衡单位，均须采用国家法定计量单位。</w:t>
      </w:r>
    </w:p>
    <w:p w14:paraId="115FF57E">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7.3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附有外文资料的，须翻译成中文并加盖供应商公章，如果翻译的中文资料与外文资料存在差异和矛盾时，以中文资料为准。其准确性由供应商负责。</w:t>
      </w:r>
    </w:p>
    <w:p w14:paraId="33C59637">
      <w:pPr>
        <w:widowControl/>
        <w:spacing w:line="360" w:lineRule="auto"/>
        <w:ind w:firstLine="0" w:firstLineChars="0"/>
        <w:jc w:val="left"/>
        <w:outlineLvl w:val="2"/>
        <w:rPr>
          <w:rFonts w:hint="eastAsia" w:ascii="宋体" w:hAnsi="宋体" w:eastAsia="宋体" w:cs="宋体"/>
          <w:b/>
          <w:bCs/>
          <w:color w:val="auto"/>
          <w:sz w:val="24"/>
          <w:szCs w:val="24"/>
        </w:rPr>
      </w:pPr>
      <w:bookmarkStart w:id="53" w:name="_Toc17093"/>
      <w:bookmarkStart w:id="54" w:name="_Toc12681"/>
      <w:bookmarkStart w:id="55" w:name="_Toc21569"/>
      <w:bookmarkStart w:id="56" w:name="_Toc376936743"/>
      <w:bookmarkStart w:id="57" w:name="_Toc325726012"/>
      <w:r>
        <w:rPr>
          <w:rFonts w:hint="eastAsia" w:ascii="宋体" w:hAnsi="宋体" w:eastAsia="宋体" w:cs="宋体"/>
          <w:b/>
          <w:bCs/>
          <w:color w:val="auto"/>
          <w:sz w:val="24"/>
          <w:szCs w:val="24"/>
        </w:rPr>
        <w:t>8.磋商保证金</w:t>
      </w:r>
      <w:bookmarkEnd w:id="53"/>
      <w:bookmarkEnd w:id="54"/>
      <w:bookmarkEnd w:id="55"/>
      <w:bookmarkEnd w:id="56"/>
      <w:bookmarkEnd w:id="57"/>
    </w:p>
    <w:p w14:paraId="3F0ACC00">
      <w:pPr>
        <w:autoSpaceDE w:val="0"/>
        <w:autoSpaceDN w:val="0"/>
        <w:spacing w:line="360" w:lineRule="auto"/>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.1 供应商须在磋商文件开启时间前缴纳磋商保证金；未成交供应商的磋商保证金在成交通知书发出后5个工作日内退还，成交供应商的磋商保证金在采购合同签订后5个工作日内退还</w:t>
      </w:r>
      <w:r>
        <w:rPr>
          <w:rFonts w:hint="eastAsia" w:ascii="宋体" w:hAnsi="宋体" w:eastAsia="宋体" w:cs="宋体"/>
          <w:color w:val="auto"/>
          <w:sz w:val="24"/>
          <w:szCs w:val="24"/>
        </w:rPr>
        <w:t>。</w:t>
      </w:r>
    </w:p>
    <w:p w14:paraId="41206174">
      <w:pPr>
        <w:autoSpaceDE w:val="0"/>
        <w:autoSpaceDN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 xml:space="preserve">.2 </w:t>
      </w:r>
      <w:r>
        <w:rPr>
          <w:rFonts w:hint="eastAsia" w:ascii="宋体" w:hAnsi="宋体" w:eastAsia="宋体" w:cs="宋体"/>
          <w:color w:val="auto"/>
          <w:sz w:val="24"/>
          <w:szCs w:val="24"/>
        </w:rPr>
        <w:t>有下列情形之一的，磋商保证金不予退还：</w:t>
      </w:r>
    </w:p>
    <w:p w14:paraId="6B52185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（1）供应商在提交响应文件截止时间后撤回响应文件的；</w:t>
      </w:r>
    </w:p>
    <w:p w14:paraId="10B8F17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（2）供应商在响应文件中提供虚假材料的；</w:t>
      </w:r>
    </w:p>
    <w:p w14:paraId="0B1049A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（3）除因不可抗力或磋商文件认可的情形以外，成交供应商不与采购人签订合同的；</w:t>
      </w:r>
    </w:p>
    <w:p w14:paraId="410C35D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（4）供应商与采购人、其他供应商或者采购代理机构恶意串通的；</w:t>
      </w:r>
    </w:p>
    <w:p w14:paraId="0C65121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（5）磋商文件规定的其他情形。</w:t>
      </w:r>
    </w:p>
    <w:p w14:paraId="0092A355">
      <w:pPr>
        <w:widowControl/>
        <w:spacing w:line="360" w:lineRule="auto"/>
        <w:ind w:firstLine="0" w:firstLineChars="0"/>
        <w:jc w:val="left"/>
        <w:outlineLvl w:val="2"/>
        <w:rPr>
          <w:rFonts w:hint="eastAsia" w:ascii="宋体" w:hAnsi="宋体" w:eastAsia="宋体" w:cs="宋体"/>
          <w:b/>
          <w:bCs/>
          <w:color w:val="auto"/>
          <w:sz w:val="24"/>
          <w:szCs w:val="24"/>
        </w:rPr>
      </w:pPr>
      <w:bookmarkStart w:id="58" w:name="_Toc376936744"/>
      <w:bookmarkStart w:id="59" w:name="_Toc32704"/>
      <w:bookmarkStart w:id="60" w:name="_Toc22044"/>
      <w:bookmarkStart w:id="61" w:name="_Toc12570"/>
      <w:bookmarkStart w:id="62" w:name="_Toc325726013"/>
      <w:r>
        <w:rPr>
          <w:rFonts w:hint="eastAsia" w:ascii="宋体" w:hAnsi="宋体" w:eastAsia="宋体" w:cs="宋体"/>
          <w:b/>
          <w:bCs/>
          <w:color w:val="auto"/>
          <w:sz w:val="24"/>
          <w:szCs w:val="24"/>
        </w:rPr>
        <w:t>9.磋商有效期</w:t>
      </w:r>
      <w:bookmarkEnd w:id="58"/>
      <w:bookmarkEnd w:id="59"/>
      <w:bookmarkEnd w:id="60"/>
      <w:bookmarkEnd w:id="61"/>
      <w:bookmarkEnd w:id="62"/>
    </w:p>
    <w:p w14:paraId="5A0EF3BE">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磋商有效期为自磋商开始之日起</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个日历日</w:t>
      </w:r>
    </w:p>
    <w:p w14:paraId="32EA8C29">
      <w:pPr>
        <w:widowControl/>
        <w:spacing w:line="360" w:lineRule="auto"/>
        <w:ind w:firstLine="0" w:firstLineChars="0"/>
        <w:jc w:val="left"/>
        <w:outlineLvl w:val="2"/>
        <w:rPr>
          <w:rFonts w:hint="eastAsia" w:ascii="宋体" w:hAnsi="宋体" w:eastAsia="宋体" w:cs="宋体"/>
          <w:b/>
          <w:bCs/>
          <w:color w:val="auto"/>
          <w:sz w:val="24"/>
          <w:szCs w:val="24"/>
        </w:rPr>
      </w:pPr>
      <w:bookmarkStart w:id="63" w:name="_Toc16445"/>
      <w:bookmarkStart w:id="64" w:name="_Toc31915"/>
      <w:bookmarkStart w:id="65" w:name="_Toc376936739"/>
      <w:bookmarkStart w:id="66" w:name="_Toc325726008"/>
      <w:bookmarkStart w:id="67" w:name="_Toc22684"/>
      <w:r>
        <w:rPr>
          <w:rFonts w:hint="eastAsia" w:ascii="宋体" w:hAnsi="宋体" w:eastAsia="宋体" w:cs="宋体"/>
          <w:b/>
          <w:bCs/>
          <w:color w:val="auto"/>
          <w:sz w:val="24"/>
          <w:szCs w:val="24"/>
        </w:rPr>
        <w:t>10.响应文件构成</w:t>
      </w:r>
      <w:bookmarkEnd w:id="63"/>
      <w:bookmarkEnd w:id="64"/>
      <w:bookmarkEnd w:id="65"/>
      <w:bookmarkEnd w:id="66"/>
      <w:bookmarkEnd w:id="67"/>
    </w:p>
    <w:p w14:paraId="017709DF">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供应商应提交相关证明材料，作为其参加投标和成交后有能力履行合同的证明。编写的响应文件须包括以下内容（格式详见磋商文件第五部分内容）：</w:t>
      </w:r>
    </w:p>
    <w:p w14:paraId="2D8658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（1）响应文件封面</w:t>
      </w:r>
    </w:p>
    <w:p w14:paraId="232A01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（2）磋商函</w:t>
      </w:r>
    </w:p>
    <w:p w14:paraId="7DE234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磋商报价</w:t>
      </w:r>
      <w:r>
        <w:rPr>
          <w:rFonts w:hint="eastAsia" w:ascii="宋体" w:hAnsi="宋体" w:eastAsia="宋体" w:cs="宋体"/>
          <w:color w:val="auto"/>
          <w:sz w:val="24"/>
          <w:szCs w:val="24"/>
          <w:lang w:val="zh-CN"/>
        </w:rPr>
        <w:t>一览表</w:t>
      </w:r>
      <w:r>
        <w:rPr>
          <w:rFonts w:hint="eastAsia" w:ascii="宋体" w:hAnsi="宋体" w:eastAsia="宋体" w:cs="宋体"/>
          <w:color w:val="auto"/>
          <w:sz w:val="24"/>
          <w:szCs w:val="24"/>
          <w:lang w:val="en-US" w:eastAsia="zh-CN"/>
        </w:rPr>
        <w:t>及分项报价表</w:t>
      </w:r>
    </w:p>
    <w:p w14:paraId="2296B2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）技术规格响应表</w:t>
      </w:r>
    </w:p>
    <w:p w14:paraId="01F7DA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）投标产品相关资料</w:t>
      </w:r>
    </w:p>
    <w:p w14:paraId="30C9B2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）法定代表人证明书</w:t>
      </w:r>
    </w:p>
    <w:p w14:paraId="752BFA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）法定代表人授权书</w:t>
      </w:r>
    </w:p>
    <w:p w14:paraId="4D01C5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）供应商承诺函</w:t>
      </w:r>
    </w:p>
    <w:p w14:paraId="681421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）供应商诚信承诺书</w:t>
      </w:r>
    </w:p>
    <w:p w14:paraId="55C0F2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）资格证明材料</w:t>
      </w:r>
    </w:p>
    <w:p w14:paraId="7937BA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）财务状况</w:t>
      </w:r>
      <w:r>
        <w:rPr>
          <w:rFonts w:hint="eastAsia" w:ascii="宋体" w:hAnsi="宋体" w:eastAsia="宋体" w:cs="宋体"/>
          <w:color w:val="auto"/>
          <w:sz w:val="24"/>
          <w:szCs w:val="24"/>
          <w:lang w:val="en-US" w:eastAsia="zh-CN"/>
        </w:rPr>
        <w:t>证明</w:t>
      </w:r>
    </w:p>
    <w:p w14:paraId="532C4A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）具备履行合同所必须的设备和专业技术能力证明</w:t>
      </w:r>
    </w:p>
    <w:p w14:paraId="211B7C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）无重大违法记录声明</w:t>
      </w:r>
    </w:p>
    <w:p w14:paraId="29C76C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）磋商保证金</w:t>
      </w:r>
    </w:p>
    <w:p w14:paraId="391BA8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中小企业声明函</w:t>
      </w:r>
    </w:p>
    <w:p w14:paraId="2F469D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（16）残疾人福利性单位声明函</w:t>
      </w:r>
    </w:p>
    <w:p w14:paraId="594F20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（17）监狱企业证明材料</w:t>
      </w:r>
    </w:p>
    <w:p w14:paraId="29838A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r>
        <w:rPr>
          <w:rFonts w:hint="eastAsia" w:ascii="宋体" w:hAnsi="宋体" w:eastAsia="宋体" w:cs="宋体"/>
          <w:b w:val="0"/>
          <w:bCs/>
          <w:color w:val="auto"/>
          <w:sz w:val="24"/>
          <w:szCs w:val="24"/>
          <w:lang w:val="en-US" w:eastAsia="zh-CN" w:bidi="ar-SA"/>
        </w:rPr>
        <w:t>关于符合本国产品标准的声明函或有关证明文件</w:t>
      </w:r>
    </w:p>
    <w:p w14:paraId="618744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）供应商认为在其他方面有必要说明的事项</w:t>
      </w:r>
    </w:p>
    <w:p w14:paraId="699490B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注：磋商文件要求签字、盖章的地方必须由供应商的法定代表人或委托代理人按要求签字、盖章；供应商提供的扫描件均需加盖公章。供应商须按上述内容、顺序和格式编制响应文件，并按要求编制目录、页码。</w:t>
      </w:r>
    </w:p>
    <w:p w14:paraId="265E67BD">
      <w:pPr>
        <w:widowControl/>
        <w:spacing w:line="360" w:lineRule="auto"/>
        <w:ind w:firstLine="0" w:firstLineChars="0"/>
        <w:jc w:val="left"/>
        <w:outlineLvl w:val="2"/>
        <w:rPr>
          <w:rFonts w:hint="eastAsia" w:ascii="宋体" w:hAnsi="宋体" w:eastAsia="宋体" w:cs="宋体"/>
          <w:b/>
          <w:bCs/>
          <w:color w:val="auto"/>
          <w:sz w:val="24"/>
          <w:szCs w:val="24"/>
        </w:rPr>
      </w:pPr>
      <w:bookmarkStart w:id="68" w:name="_Toc11377"/>
      <w:bookmarkStart w:id="69" w:name="_Toc412617729"/>
      <w:bookmarkStart w:id="70" w:name="_Toc24994"/>
      <w:bookmarkStart w:id="71" w:name="_Toc16453"/>
      <w:bookmarkStart w:id="72" w:name="_Toc373392580"/>
      <w:r>
        <w:rPr>
          <w:rFonts w:hint="eastAsia" w:ascii="宋体" w:hAnsi="宋体" w:eastAsia="宋体" w:cs="宋体"/>
          <w:b/>
          <w:bCs/>
          <w:color w:val="auto"/>
          <w:sz w:val="24"/>
          <w:szCs w:val="24"/>
        </w:rPr>
        <w:t>11.响应文件编印和签署</w:t>
      </w:r>
      <w:bookmarkEnd w:id="68"/>
      <w:bookmarkEnd w:id="69"/>
      <w:bookmarkEnd w:id="70"/>
      <w:bookmarkEnd w:id="71"/>
      <w:bookmarkEnd w:id="72"/>
    </w:p>
    <w:p w14:paraId="346553D4">
      <w:pPr>
        <w:pStyle w:val="13"/>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11.1 </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须提交一份电子</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，电子</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lang w:val="en-US" w:eastAsia="zh-CN"/>
        </w:rPr>
        <w:t>为供应商按10.1要求编制并确认的。</w:t>
      </w:r>
    </w:p>
    <w:p w14:paraId="668C2127">
      <w:pPr>
        <w:pStyle w:val="13"/>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US" w:eastAsia="zh-CN"/>
        </w:rPr>
        <w:t xml:space="preserve">2 </w:t>
      </w:r>
      <w:r>
        <w:rPr>
          <w:rFonts w:hint="eastAsia" w:ascii="宋体" w:hAnsi="宋体" w:eastAsia="宋体" w:cs="宋体"/>
          <w:color w:val="auto"/>
          <w:sz w:val="24"/>
          <w:szCs w:val="24"/>
        </w:rPr>
        <w:t>响应文件中不得行间插字、涂改或增删，如有修改错漏处，须由供应商法定代表人或其委托代理人签字和盖章。</w:t>
      </w:r>
      <w:bookmarkStart w:id="73" w:name="_Toc15102"/>
      <w:bookmarkStart w:id="74" w:name="_Toc412617730"/>
      <w:bookmarkStart w:id="75" w:name="_Toc376936748"/>
      <w:bookmarkStart w:id="76" w:name="_Toc371090029"/>
    </w:p>
    <w:p w14:paraId="0901F224">
      <w:pPr>
        <w:widowControl/>
        <w:spacing w:line="360" w:lineRule="auto"/>
        <w:ind w:firstLine="0" w:firstLineChars="0"/>
        <w:jc w:val="center"/>
        <w:outlineLvl w:val="1"/>
        <w:rPr>
          <w:rFonts w:hint="eastAsia" w:ascii="宋体" w:hAnsi="宋体" w:eastAsia="宋体" w:cs="宋体"/>
          <w:b/>
          <w:bCs/>
          <w:color w:val="auto"/>
          <w:sz w:val="24"/>
          <w:szCs w:val="24"/>
        </w:rPr>
      </w:pPr>
      <w:bookmarkStart w:id="77" w:name="_Toc12637"/>
      <w:r>
        <w:rPr>
          <w:rFonts w:hint="eastAsia" w:ascii="宋体" w:hAnsi="宋体" w:eastAsia="宋体" w:cs="宋体"/>
          <w:b/>
          <w:bCs/>
          <w:color w:val="auto"/>
          <w:sz w:val="24"/>
          <w:szCs w:val="24"/>
        </w:rPr>
        <w:t>四、响应文件的递交</w:t>
      </w:r>
      <w:bookmarkEnd w:id="73"/>
      <w:bookmarkEnd w:id="74"/>
      <w:bookmarkEnd w:id="77"/>
    </w:p>
    <w:p w14:paraId="561BA9D8">
      <w:pPr>
        <w:widowControl/>
        <w:spacing w:line="360" w:lineRule="auto"/>
        <w:ind w:firstLine="0" w:firstLineChars="0"/>
        <w:jc w:val="left"/>
        <w:outlineLvl w:val="2"/>
        <w:rPr>
          <w:rFonts w:hint="eastAsia" w:ascii="宋体" w:hAnsi="宋体" w:eastAsia="宋体" w:cs="宋体"/>
          <w:b/>
          <w:bCs/>
          <w:color w:val="auto"/>
          <w:sz w:val="24"/>
          <w:szCs w:val="24"/>
        </w:rPr>
      </w:pPr>
      <w:bookmarkStart w:id="78" w:name="_Toc1397"/>
      <w:bookmarkStart w:id="79" w:name="_Toc325726016"/>
      <w:bookmarkStart w:id="80" w:name="_Toc1176"/>
      <w:bookmarkStart w:id="81" w:name="_Toc373392582"/>
      <w:bookmarkStart w:id="82" w:name="_Toc412617731"/>
      <w:bookmarkStart w:id="83" w:name="_Toc23823"/>
      <w:r>
        <w:rPr>
          <w:rFonts w:hint="eastAsia" w:ascii="宋体" w:hAnsi="宋体" w:eastAsia="宋体" w:cs="宋体"/>
          <w:b/>
          <w:bCs/>
          <w:color w:val="auto"/>
          <w:sz w:val="24"/>
          <w:szCs w:val="24"/>
        </w:rPr>
        <w:t>12.响应文件的密封和标记</w:t>
      </w:r>
      <w:bookmarkEnd w:id="78"/>
      <w:bookmarkEnd w:id="79"/>
      <w:bookmarkEnd w:id="80"/>
      <w:bookmarkEnd w:id="81"/>
      <w:bookmarkEnd w:id="82"/>
      <w:bookmarkEnd w:id="83"/>
    </w:p>
    <w:bookmarkEnd w:id="75"/>
    <w:bookmarkEnd w:id="76"/>
    <w:p w14:paraId="090B33B0">
      <w:pPr>
        <w:pStyle w:val="13"/>
        <w:spacing w:line="360" w:lineRule="auto"/>
        <w:ind w:firstLine="0" w:firstLineChars="0"/>
        <w:rPr>
          <w:rFonts w:hint="eastAsia" w:ascii="宋体" w:hAnsi="宋体" w:eastAsia="宋体" w:cs="宋体"/>
          <w:color w:val="auto"/>
          <w:lang w:val="en-US" w:eastAsia="zh-CN"/>
        </w:rPr>
      </w:pPr>
      <w:bookmarkStart w:id="84" w:name="_Toc21384"/>
      <w:bookmarkStart w:id="85" w:name="_Toc30756"/>
      <w:bookmarkStart w:id="86" w:name="_Toc4009"/>
      <w:bookmarkStart w:id="87" w:name="_Toc373392583"/>
      <w:bookmarkStart w:id="88" w:name="_Toc325726017"/>
      <w:bookmarkStart w:id="89" w:name="_Toc412617732"/>
      <w:bookmarkStart w:id="90" w:name="_Toc376936749"/>
      <w:bookmarkStart w:id="91" w:name="_Toc371090030"/>
      <w:r>
        <w:rPr>
          <w:rFonts w:hint="eastAsia" w:ascii="宋体" w:hAnsi="宋体" w:eastAsia="宋体" w:cs="宋体"/>
          <w:color w:val="auto"/>
          <w:lang w:val="en-US" w:eastAsia="zh-CN"/>
        </w:rPr>
        <w:t>/</w:t>
      </w:r>
      <w:bookmarkEnd w:id="84"/>
    </w:p>
    <w:p w14:paraId="253EE5F7">
      <w:pPr>
        <w:widowControl/>
        <w:spacing w:line="360" w:lineRule="auto"/>
        <w:ind w:firstLine="0" w:firstLineChars="0"/>
        <w:jc w:val="left"/>
        <w:outlineLvl w:val="2"/>
        <w:rPr>
          <w:rFonts w:hint="eastAsia" w:ascii="宋体" w:hAnsi="宋体" w:eastAsia="宋体" w:cs="宋体"/>
          <w:b/>
          <w:bCs/>
          <w:color w:val="auto"/>
          <w:sz w:val="24"/>
          <w:szCs w:val="24"/>
          <w:lang w:val="en-US" w:eastAsia="zh-CN"/>
        </w:rPr>
      </w:pPr>
      <w:bookmarkStart w:id="92" w:name="_Toc29764"/>
      <w:r>
        <w:rPr>
          <w:rFonts w:hint="eastAsia" w:ascii="宋体" w:hAnsi="宋体" w:eastAsia="宋体" w:cs="宋体"/>
          <w:b/>
          <w:bCs/>
          <w:color w:val="auto"/>
          <w:sz w:val="24"/>
          <w:szCs w:val="24"/>
        </w:rPr>
        <w:t>13.</w:t>
      </w:r>
      <w:bookmarkEnd w:id="85"/>
      <w:bookmarkEnd w:id="86"/>
      <w:bookmarkEnd w:id="87"/>
      <w:bookmarkEnd w:id="88"/>
      <w:bookmarkEnd w:id="89"/>
      <w:r>
        <w:rPr>
          <w:rFonts w:hint="eastAsia" w:ascii="宋体" w:hAnsi="宋体" w:eastAsia="宋体" w:cs="宋体"/>
          <w:b/>
          <w:bCs/>
          <w:color w:val="auto"/>
          <w:sz w:val="24"/>
          <w:szCs w:val="24"/>
        </w:rPr>
        <w:t>提交响应文件截止时间、地点</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方式</w:t>
      </w:r>
      <w:bookmarkEnd w:id="92"/>
    </w:p>
    <w:p w14:paraId="7805BCD1">
      <w:pPr>
        <w:pStyle w:val="13"/>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13.1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提交响应文件截止时间及地点详见“供应商须知前附表”。</w:t>
      </w:r>
    </w:p>
    <w:p w14:paraId="62309704">
      <w:pPr>
        <w:pStyle w:val="13"/>
        <w:spacing w:line="360" w:lineRule="auto"/>
        <w:ind w:firstLine="0" w:firstLineChars="0"/>
        <w:rPr>
          <w:rFonts w:hint="eastAsia" w:ascii="宋体" w:hAnsi="宋体" w:eastAsia="宋体" w:cs="宋体"/>
          <w:color w:val="auto"/>
          <w:lang w:val="en-US" w:eastAsia="zh-CN"/>
        </w:rPr>
      </w:pPr>
      <w:r>
        <w:rPr>
          <w:rFonts w:hint="eastAsia" w:ascii="宋体" w:hAnsi="宋体" w:eastAsia="宋体" w:cs="宋体"/>
          <w:color w:val="auto"/>
          <w:sz w:val="24"/>
          <w:szCs w:val="24"/>
        </w:rPr>
        <w:t>13.2</w:t>
      </w:r>
      <w:bookmarkEnd w:id="90"/>
      <w:bookmarkEnd w:id="91"/>
      <w:bookmarkStart w:id="93" w:name="_Toc376936750"/>
      <w:bookmarkStart w:id="94" w:name="_Toc325726019"/>
      <w:bookmarkStart w:id="95" w:name="_Toc9147"/>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供应商应当按照磋商文件规定和电子交易系统操作规范的要求编制、确认、签章、加密响应文件，并在提交响应文件截止时间前通过电子交易系统上传已加密的响应文件。提交响应文件截止时间前未完成传输的，视为撤回响应文件。提交响应文件截止时间后递交的响应文件，电子交易系统应当拒收。</w:t>
      </w:r>
    </w:p>
    <w:p w14:paraId="4737323D">
      <w:pPr>
        <w:widowControl/>
        <w:spacing w:line="360" w:lineRule="auto"/>
        <w:ind w:firstLine="0" w:firstLineChars="0"/>
        <w:jc w:val="center"/>
        <w:outlineLvl w:val="1"/>
        <w:rPr>
          <w:rFonts w:hint="eastAsia" w:ascii="宋体" w:hAnsi="宋体" w:eastAsia="宋体" w:cs="宋体"/>
          <w:b/>
          <w:bCs/>
          <w:color w:val="auto"/>
          <w:sz w:val="24"/>
          <w:szCs w:val="24"/>
        </w:rPr>
      </w:pPr>
      <w:bookmarkStart w:id="96" w:name="_Toc1987"/>
      <w:bookmarkStart w:id="97" w:name="_Toc5644"/>
      <w:r>
        <w:rPr>
          <w:rFonts w:hint="eastAsia" w:ascii="宋体" w:hAnsi="宋体" w:eastAsia="宋体" w:cs="宋体"/>
          <w:b/>
          <w:bCs/>
          <w:color w:val="auto"/>
          <w:sz w:val="24"/>
          <w:szCs w:val="24"/>
        </w:rPr>
        <w:t>五、</w:t>
      </w:r>
      <w:bookmarkEnd w:id="93"/>
      <w:bookmarkEnd w:id="94"/>
      <w:r>
        <w:rPr>
          <w:rFonts w:hint="eastAsia" w:ascii="宋体" w:hAnsi="宋体" w:eastAsia="宋体" w:cs="宋体"/>
          <w:b/>
          <w:bCs/>
          <w:color w:val="auto"/>
          <w:sz w:val="24"/>
          <w:szCs w:val="24"/>
        </w:rPr>
        <w:t>磋商过程</w:t>
      </w:r>
      <w:bookmarkEnd w:id="95"/>
      <w:bookmarkEnd w:id="96"/>
      <w:bookmarkEnd w:id="97"/>
    </w:p>
    <w:p w14:paraId="696D7F20">
      <w:pPr>
        <w:widowControl/>
        <w:spacing w:line="360" w:lineRule="auto"/>
        <w:ind w:firstLine="0" w:firstLineChars="0"/>
        <w:jc w:val="left"/>
        <w:outlineLvl w:val="2"/>
        <w:rPr>
          <w:rFonts w:hint="eastAsia" w:ascii="宋体" w:hAnsi="宋体" w:eastAsia="宋体" w:cs="宋体"/>
          <w:b/>
          <w:bCs/>
          <w:color w:val="auto"/>
          <w:sz w:val="24"/>
          <w:szCs w:val="24"/>
        </w:rPr>
      </w:pPr>
      <w:bookmarkStart w:id="98" w:name="_Toc325726020"/>
      <w:bookmarkStart w:id="99" w:name="_Toc376936751"/>
      <w:bookmarkStart w:id="100" w:name="_Toc15630"/>
      <w:bookmarkStart w:id="101" w:name="_Toc26723"/>
      <w:bookmarkStart w:id="102" w:name="_Toc2544"/>
      <w:r>
        <w:rPr>
          <w:rFonts w:hint="eastAsia" w:ascii="宋体" w:hAnsi="宋体" w:eastAsia="宋体" w:cs="宋体"/>
          <w:b/>
          <w:bCs/>
          <w:color w:val="auto"/>
          <w:sz w:val="24"/>
          <w:szCs w:val="24"/>
        </w:rPr>
        <w:t>14.</w:t>
      </w:r>
      <w:bookmarkEnd w:id="98"/>
      <w:bookmarkEnd w:id="99"/>
      <w:r>
        <w:rPr>
          <w:rFonts w:hint="eastAsia" w:ascii="宋体" w:hAnsi="宋体" w:eastAsia="宋体" w:cs="宋体"/>
          <w:b/>
          <w:bCs/>
          <w:color w:val="auto"/>
          <w:sz w:val="24"/>
          <w:szCs w:val="24"/>
        </w:rPr>
        <w:t>磋商过程</w:t>
      </w:r>
      <w:bookmarkEnd w:id="100"/>
      <w:bookmarkEnd w:id="101"/>
      <w:bookmarkEnd w:id="102"/>
    </w:p>
    <w:p w14:paraId="12980C28">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14.1</w:t>
      </w:r>
      <w:r>
        <w:rPr>
          <w:rFonts w:hint="eastAsia" w:ascii="宋体" w:hAnsi="宋体" w:eastAsia="宋体" w:cs="宋体"/>
          <w:color w:val="auto"/>
          <w:sz w:val="24"/>
          <w:szCs w:val="24"/>
          <w:lang w:val="en-US" w:eastAsia="zh-CN"/>
        </w:rPr>
        <w:t xml:space="preserve"> 采购代理机构</w:t>
      </w:r>
      <w:r>
        <w:rPr>
          <w:rFonts w:hint="eastAsia" w:ascii="宋体" w:hAnsi="宋体" w:eastAsia="宋体" w:cs="宋体"/>
          <w:color w:val="auto"/>
          <w:sz w:val="24"/>
          <w:szCs w:val="24"/>
          <w:lang w:val="zh-CN"/>
        </w:rPr>
        <w:t>通过电子交易系统按照</w:t>
      </w:r>
      <w:r>
        <w:rPr>
          <w:rFonts w:hint="eastAsia" w:ascii="宋体" w:hAnsi="宋体" w:eastAsia="宋体" w:cs="宋体"/>
          <w:color w:val="auto"/>
          <w:sz w:val="24"/>
          <w:szCs w:val="24"/>
          <w:lang w:val="en-US" w:eastAsia="zh-CN"/>
        </w:rPr>
        <w:t>磋商文件</w:t>
      </w:r>
      <w:r>
        <w:rPr>
          <w:rFonts w:hint="eastAsia" w:ascii="宋体" w:hAnsi="宋体" w:eastAsia="宋体" w:cs="宋体"/>
          <w:color w:val="auto"/>
          <w:sz w:val="24"/>
          <w:szCs w:val="24"/>
          <w:lang w:val="zh-CN"/>
        </w:rPr>
        <w:t>规定的时间、地点组织开启响应文件，电子化采购活动各参与方均应当准时在线参加</w:t>
      </w:r>
      <w:r>
        <w:rPr>
          <w:rFonts w:hint="eastAsia" w:ascii="宋体" w:hAnsi="宋体" w:eastAsia="宋体" w:cs="宋体"/>
          <w:color w:val="auto"/>
          <w:sz w:val="24"/>
          <w:szCs w:val="24"/>
        </w:rPr>
        <w:t>。</w:t>
      </w:r>
    </w:p>
    <w:p w14:paraId="5716F068">
      <w:pPr>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 xml:space="preserve">14.2 </w:t>
      </w:r>
      <w:r>
        <w:rPr>
          <w:rFonts w:hint="eastAsia" w:ascii="宋体" w:hAnsi="宋体" w:eastAsia="宋体" w:cs="宋体"/>
          <w:b/>
          <w:bCs/>
          <w:color w:val="auto"/>
          <w:sz w:val="24"/>
          <w:szCs w:val="24"/>
          <w:lang w:val="zh-CN"/>
        </w:rPr>
        <w:t>开启</w:t>
      </w:r>
      <w:r>
        <w:rPr>
          <w:rFonts w:hint="eastAsia" w:ascii="宋体" w:hAnsi="宋体" w:eastAsia="宋体" w:cs="宋体"/>
          <w:b/>
          <w:bCs/>
          <w:color w:val="auto"/>
          <w:sz w:val="24"/>
          <w:szCs w:val="24"/>
          <w:lang w:val="en-US" w:eastAsia="zh-CN"/>
        </w:rPr>
        <w:t>时，电子交易系统自动提取所有响应文件，并提示供应商按照磋商文件规定按时在线解密，解密时间为60分钟。因供应商原因造成响应文件未解密的，视为撤销其响应文件。</w:t>
      </w:r>
    </w:p>
    <w:p w14:paraId="291437DB">
      <w:pPr>
        <w:spacing w:line="360" w:lineRule="auto"/>
        <w:ind w:firstLine="0" w:firstLineChars="0"/>
        <w:jc w:val="left"/>
        <w:rPr>
          <w:rFonts w:hint="eastAsia" w:ascii="宋体" w:hAnsi="宋体" w:eastAsia="宋体" w:cs="宋体"/>
          <w:strike/>
          <w:dstrike w:val="0"/>
          <w:color w:val="auto"/>
          <w:sz w:val="24"/>
          <w:szCs w:val="24"/>
        </w:rPr>
      </w:pPr>
      <w:r>
        <w:rPr>
          <w:rFonts w:hint="eastAsia" w:ascii="宋体" w:hAnsi="宋体" w:eastAsia="宋体" w:cs="宋体"/>
          <w:strike w:val="0"/>
          <w:dstrike w:val="0"/>
          <w:color w:val="auto"/>
          <w:sz w:val="24"/>
          <w:szCs w:val="24"/>
        </w:rPr>
        <w:t>14.</w:t>
      </w:r>
      <w:r>
        <w:rPr>
          <w:rFonts w:hint="eastAsia" w:ascii="宋体" w:hAnsi="宋体" w:eastAsia="宋体" w:cs="宋体"/>
          <w:strike w:val="0"/>
          <w:dstrike w:val="0"/>
          <w:color w:val="auto"/>
          <w:sz w:val="24"/>
          <w:szCs w:val="24"/>
          <w:lang w:val="en-US" w:eastAsia="zh-CN"/>
        </w:rPr>
        <w:t xml:space="preserve">3 </w:t>
      </w:r>
      <w:r>
        <w:rPr>
          <w:rFonts w:hint="eastAsia" w:ascii="宋体" w:hAnsi="宋体" w:eastAsia="宋体" w:cs="宋体"/>
          <w:strike w:val="0"/>
          <w:dstrike w:val="0"/>
          <w:color w:val="auto"/>
          <w:sz w:val="24"/>
          <w:szCs w:val="24"/>
        </w:rPr>
        <w:t>磋商时，对不同文字文本响应文件的解释发生异议的，以中文文本为准。</w:t>
      </w:r>
    </w:p>
    <w:p w14:paraId="19CEF8E9">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14.</w:t>
      </w:r>
      <w:r>
        <w:rPr>
          <w:rFonts w:hint="eastAsia" w:ascii="宋体" w:hAnsi="宋体" w:eastAsia="宋体" w:cs="宋体"/>
          <w:color w:val="auto"/>
          <w:sz w:val="24"/>
          <w:szCs w:val="24"/>
          <w:lang w:val="en-US" w:eastAsia="zh-CN"/>
        </w:rPr>
        <w:t xml:space="preserve">4 </w:t>
      </w:r>
      <w:r>
        <w:rPr>
          <w:rFonts w:hint="eastAsia" w:ascii="宋体" w:hAnsi="宋体" w:eastAsia="宋体" w:cs="宋体"/>
          <w:color w:val="auto"/>
          <w:sz w:val="24"/>
          <w:szCs w:val="24"/>
        </w:rPr>
        <w:t>磋商工作由采购代理机构组织，采购人、采购监管、纪检监察等有关方面代表可根据采购项目的具体情况列席。</w:t>
      </w:r>
    </w:p>
    <w:p w14:paraId="44AFBFBE">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14.</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磋商过程有专人记录，并存档备查。</w:t>
      </w:r>
    </w:p>
    <w:p w14:paraId="71018E9A">
      <w:pPr>
        <w:widowControl/>
        <w:spacing w:line="360" w:lineRule="auto"/>
        <w:ind w:firstLine="0" w:firstLineChars="0"/>
        <w:jc w:val="center"/>
        <w:outlineLvl w:val="1"/>
        <w:rPr>
          <w:rFonts w:hint="eastAsia" w:ascii="宋体" w:hAnsi="宋体" w:eastAsia="宋体" w:cs="宋体"/>
          <w:b/>
          <w:bCs/>
          <w:color w:val="auto"/>
          <w:sz w:val="24"/>
          <w:szCs w:val="24"/>
        </w:rPr>
      </w:pPr>
      <w:bookmarkStart w:id="103" w:name="_Toc325726021"/>
      <w:bookmarkStart w:id="104" w:name="_Toc18107"/>
      <w:bookmarkStart w:id="105" w:name="_Toc30746"/>
      <w:bookmarkStart w:id="106" w:name="_Toc376936752"/>
      <w:bookmarkStart w:id="107" w:name="_Toc19030"/>
      <w:r>
        <w:rPr>
          <w:rFonts w:hint="eastAsia" w:ascii="宋体" w:hAnsi="宋体" w:eastAsia="宋体" w:cs="宋体"/>
          <w:b/>
          <w:bCs/>
          <w:color w:val="auto"/>
          <w:sz w:val="24"/>
          <w:szCs w:val="24"/>
        </w:rPr>
        <w:t>六、磋商程序及方法</w:t>
      </w:r>
      <w:bookmarkEnd w:id="103"/>
      <w:bookmarkEnd w:id="104"/>
      <w:bookmarkEnd w:id="105"/>
      <w:bookmarkEnd w:id="106"/>
      <w:bookmarkEnd w:id="107"/>
    </w:p>
    <w:p w14:paraId="72C43FD9">
      <w:pPr>
        <w:widowControl/>
        <w:spacing w:line="360" w:lineRule="auto"/>
        <w:ind w:firstLine="0" w:firstLineChars="0"/>
        <w:jc w:val="left"/>
        <w:outlineLvl w:val="2"/>
        <w:rPr>
          <w:rFonts w:hint="eastAsia" w:ascii="宋体" w:hAnsi="宋体" w:eastAsia="宋体" w:cs="宋体"/>
          <w:b/>
          <w:bCs/>
          <w:color w:val="auto"/>
          <w:sz w:val="24"/>
          <w:szCs w:val="24"/>
        </w:rPr>
      </w:pPr>
      <w:bookmarkStart w:id="108" w:name="_Toc26121"/>
      <w:bookmarkStart w:id="109" w:name="_Toc376936753"/>
      <w:bookmarkStart w:id="110" w:name="_Toc325726022"/>
      <w:bookmarkStart w:id="111" w:name="_Toc3967"/>
      <w:bookmarkStart w:id="112" w:name="_Toc16935"/>
      <w:r>
        <w:rPr>
          <w:rFonts w:hint="eastAsia" w:ascii="宋体" w:hAnsi="宋体" w:eastAsia="宋体" w:cs="宋体"/>
          <w:b/>
          <w:bCs/>
          <w:color w:val="auto"/>
          <w:sz w:val="24"/>
          <w:szCs w:val="24"/>
        </w:rPr>
        <w:t>15.磋商小组</w:t>
      </w:r>
      <w:bookmarkEnd w:id="108"/>
      <w:bookmarkEnd w:id="109"/>
      <w:bookmarkEnd w:id="110"/>
      <w:bookmarkEnd w:id="111"/>
      <w:bookmarkEnd w:id="112"/>
    </w:p>
    <w:p w14:paraId="01A172AD">
      <w:pPr>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15.1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采购代理机构将根据采购项目的特点依法组建磋商小组，其成员由具有一定专业水平的技术、经济等方面的专家和采购人代表等三人以上单数组成。其中技术、经济等方面的专家不少于成员总数的三分之二。</w:t>
      </w:r>
      <w:r>
        <w:rPr>
          <w:rFonts w:hint="eastAsia" w:ascii="宋体" w:hAnsi="宋体" w:eastAsia="宋体" w:cs="宋体"/>
          <w:color w:val="auto"/>
          <w:sz w:val="24"/>
          <w:szCs w:val="24"/>
          <w:lang w:val="en-US" w:eastAsia="zh-CN"/>
        </w:rPr>
        <w:t>本项目磋商小组构成：3人，其中采购人代表1人，专家2人。</w:t>
      </w:r>
    </w:p>
    <w:p w14:paraId="47FDCB31">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15.2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磋商由采购代理机构负责组织，具体磋商事务由依法组建的磋商小组负责，并独立履行下列职责：</w:t>
      </w:r>
    </w:p>
    <w:p w14:paraId="49AF1F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（1）审查响应文件是否符合磋商文件要求，并作出评价；</w:t>
      </w:r>
    </w:p>
    <w:p w14:paraId="003382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（2）要求供应商对响应文件有关事项作出解释或澄清；</w:t>
      </w:r>
    </w:p>
    <w:p w14:paraId="284A84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（3）推荐预成交候选供应商；</w:t>
      </w:r>
    </w:p>
    <w:p w14:paraId="2A5F70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（4）对非法干预评标工作的人员和机构进行举报或投诉。</w:t>
      </w:r>
    </w:p>
    <w:p w14:paraId="08F203EE">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15.3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磋商小组应遵守并履行下列义务：</w:t>
      </w:r>
    </w:p>
    <w:p w14:paraId="034FE3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（1）遵纪守法，客观、公正、廉洁地履行职责；</w:t>
      </w:r>
    </w:p>
    <w:p w14:paraId="1A1DBC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（2）按照磋商文件规定的评审方法和评审标准进行评审，对评审意见承担磋商小组成员责任；</w:t>
      </w:r>
    </w:p>
    <w:p w14:paraId="618ED0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（3）对响应文件、磋商情况和磋商中获悉的商业秘密保密；</w:t>
      </w:r>
    </w:p>
    <w:p w14:paraId="04E99C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（4）参与磋商报告的起草；</w:t>
      </w:r>
    </w:p>
    <w:p w14:paraId="335086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（5）解答供应商及有关方面的质疑；</w:t>
      </w:r>
    </w:p>
    <w:p w14:paraId="2E4BC0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（6）配合</w:t>
      </w:r>
      <w:r>
        <w:rPr>
          <w:rFonts w:hint="eastAsia" w:ascii="宋体" w:hAnsi="宋体" w:eastAsia="宋体" w:cs="宋体"/>
          <w:color w:val="auto"/>
          <w:sz w:val="24"/>
          <w:szCs w:val="24"/>
          <w:lang w:val="en-US" w:eastAsia="zh-CN"/>
        </w:rPr>
        <w:t>财政</w:t>
      </w:r>
      <w:r>
        <w:rPr>
          <w:rFonts w:hint="eastAsia" w:ascii="宋体" w:hAnsi="宋体" w:eastAsia="宋体" w:cs="宋体"/>
          <w:color w:val="auto"/>
          <w:sz w:val="24"/>
          <w:szCs w:val="24"/>
        </w:rPr>
        <w:t>部门进行投诉处理工作。</w:t>
      </w:r>
    </w:p>
    <w:p w14:paraId="5FD788BA">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15.4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磋商小组所有成员应当集中与单一供应商分别进行磋商，并给予所有参加磋商的供应商平等的磋商机会。</w:t>
      </w:r>
    </w:p>
    <w:p w14:paraId="3A2C2EAA">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15.5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磋商工作在有关部门的监督和严格保密的情况下依法开展，任何单位和个人不得非法干预、影响磋商工作和磋商结果。</w:t>
      </w:r>
    </w:p>
    <w:p w14:paraId="6F677047">
      <w:pPr>
        <w:widowControl/>
        <w:spacing w:line="360" w:lineRule="auto"/>
        <w:ind w:firstLine="0" w:firstLineChars="0"/>
        <w:jc w:val="left"/>
        <w:outlineLvl w:val="2"/>
        <w:rPr>
          <w:rFonts w:hint="eastAsia" w:ascii="宋体" w:hAnsi="宋体" w:eastAsia="宋体" w:cs="宋体"/>
          <w:b/>
          <w:bCs/>
          <w:color w:val="auto"/>
          <w:sz w:val="24"/>
          <w:szCs w:val="24"/>
        </w:rPr>
      </w:pPr>
      <w:bookmarkStart w:id="113" w:name="_Toc376936754"/>
      <w:bookmarkStart w:id="114" w:name="_Toc325726023"/>
      <w:bookmarkStart w:id="115" w:name="_Toc14694"/>
      <w:bookmarkStart w:id="116" w:name="_Toc9176"/>
      <w:bookmarkStart w:id="117" w:name="_Toc27086"/>
      <w:r>
        <w:rPr>
          <w:rFonts w:hint="eastAsia" w:ascii="宋体" w:hAnsi="宋体" w:eastAsia="宋体" w:cs="宋体"/>
          <w:b/>
          <w:bCs/>
          <w:color w:val="auto"/>
          <w:sz w:val="24"/>
          <w:szCs w:val="24"/>
        </w:rPr>
        <w:t>16.磋商程序</w:t>
      </w:r>
      <w:bookmarkEnd w:id="113"/>
      <w:bookmarkEnd w:id="114"/>
      <w:bookmarkEnd w:id="115"/>
      <w:bookmarkEnd w:id="116"/>
      <w:bookmarkEnd w:id="117"/>
    </w:p>
    <w:p w14:paraId="73311786">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16.1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进入磋商阶段后，磋商小组成员按照客观、公正、审慎的原则，根据磋商文件规定的评审程序、评审方法和评审标准进行独立开展评审工作，负责审议所有响应文件，并按先初审、后详审的程序对响应文件进行评审、评分。</w:t>
      </w:r>
    </w:p>
    <w:p w14:paraId="77A4BD55">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16.2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初审阶段为资格性审查和符合性审查。响应文件在响应磋商文件要求方面出现的偏离，分为实质性偏离和非实质性偏离。</w:t>
      </w:r>
    </w:p>
    <w:p w14:paraId="3B1C4B53">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16.2.1</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rPr>
        <w:t>实质性偏离是指响应文件未能实质性响应磋商文件的要求。以下情况属于实质性偏离，响应文件有下列情况之一的，按无效文件处理。</w:t>
      </w:r>
    </w:p>
    <w:p w14:paraId="4C122C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（1）不符合第</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2款“合格的供应商”之规定的；</w:t>
      </w:r>
    </w:p>
    <w:p w14:paraId="20DC2B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未按磋商文件要求交纳或未足额交纳磋商保证金的；</w:t>
      </w:r>
    </w:p>
    <w:p w14:paraId="34A8C3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（3）未按第1</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1款（1）-（</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lang w:val="zh-CN"/>
        </w:rPr>
        <w:t>）要求提供相关资料的；</w:t>
      </w:r>
    </w:p>
    <w:p w14:paraId="2A1867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（4）响应文件内容没有按磋商文件规定和要求签字、盖章的；</w:t>
      </w:r>
    </w:p>
    <w:p w14:paraId="144AD99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（5）</w:t>
      </w:r>
      <w:r>
        <w:rPr>
          <w:rFonts w:hint="eastAsia" w:ascii="宋体" w:hAnsi="宋体" w:eastAsia="宋体" w:cs="宋体"/>
          <w:b/>
          <w:bCs/>
          <w:color w:val="auto"/>
          <w:sz w:val="24"/>
          <w:szCs w:val="24"/>
          <w:lang w:val="zh-CN"/>
        </w:rPr>
        <w:t>磋商报价超过采购预算额度</w:t>
      </w:r>
      <w:r>
        <w:rPr>
          <w:rFonts w:hint="eastAsia" w:ascii="宋体" w:hAnsi="宋体" w:eastAsia="宋体" w:cs="宋体"/>
          <w:b/>
          <w:bCs/>
          <w:color w:val="auto"/>
          <w:sz w:val="24"/>
          <w:szCs w:val="24"/>
          <w:lang w:val="en-US" w:eastAsia="zh-CN"/>
        </w:rPr>
        <w:t>或最高限价</w:t>
      </w:r>
      <w:r>
        <w:rPr>
          <w:rFonts w:hint="eastAsia" w:ascii="宋体" w:hAnsi="宋体" w:eastAsia="宋体" w:cs="宋体"/>
          <w:b/>
          <w:bCs/>
          <w:color w:val="auto"/>
          <w:sz w:val="24"/>
          <w:szCs w:val="24"/>
          <w:lang w:val="zh-CN"/>
        </w:rPr>
        <w:t>的；</w:t>
      </w:r>
    </w:p>
    <w:p w14:paraId="55F77F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（6）响应文件编排混乱，且擅自修改磋商文件规定的格式内容的；</w:t>
      </w:r>
    </w:p>
    <w:p w14:paraId="4645F3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交货时间</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免费质量保证期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磋商有效期不能满足磋商文件要求的；</w:t>
      </w:r>
    </w:p>
    <w:p w14:paraId="02F085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（8）投标产品未完全满足</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文件确定的</w:t>
      </w:r>
      <w:r>
        <w:rPr>
          <w:rFonts w:hint="eastAsia" w:ascii="宋体" w:hAnsi="宋体" w:eastAsia="宋体" w:cs="宋体"/>
          <w:color w:val="auto"/>
          <w:sz w:val="24"/>
          <w:szCs w:val="24"/>
          <w:lang w:eastAsia="zh-CN"/>
        </w:rPr>
        <w:t>实质性要求</w:t>
      </w:r>
      <w:r>
        <w:rPr>
          <w:rFonts w:hint="eastAsia" w:ascii="宋体" w:hAnsi="宋体" w:eastAsia="宋体" w:cs="宋体"/>
          <w:color w:val="auto"/>
          <w:sz w:val="24"/>
          <w:szCs w:val="24"/>
        </w:rPr>
        <w:t>的；</w:t>
      </w:r>
    </w:p>
    <w:p w14:paraId="2A0CFC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（9）响应文件中附有采购人不能接受的条件的；</w:t>
      </w:r>
    </w:p>
    <w:p w14:paraId="24095C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（10）磋商小组认为应按无效响应处理的其他情况；</w:t>
      </w:r>
    </w:p>
    <w:p w14:paraId="5D51FE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zh-CN"/>
        </w:rPr>
        <w:t>法律、法规和</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val="zh-CN"/>
        </w:rPr>
        <w:t>文件规定的其他</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val="zh-CN"/>
        </w:rPr>
        <w:t>无效情形</w:t>
      </w:r>
      <w:r>
        <w:rPr>
          <w:rFonts w:hint="eastAsia" w:ascii="宋体" w:hAnsi="宋体" w:eastAsia="宋体" w:cs="宋体"/>
          <w:color w:val="auto"/>
          <w:sz w:val="24"/>
          <w:szCs w:val="24"/>
        </w:rPr>
        <w:t>。</w:t>
      </w:r>
    </w:p>
    <w:p w14:paraId="72C0EBBF">
      <w:pPr>
        <w:tabs>
          <w:tab w:val="left" w:pos="8787"/>
        </w:tabs>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16.2.2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非实质性偏离指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5B4D9E9">
      <w:pPr>
        <w:tabs>
          <w:tab w:val="left" w:pos="8787"/>
        </w:tabs>
        <w:spacing w:line="36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w:t>
      </w:r>
    </w:p>
    <w:p w14:paraId="10CAE41B">
      <w:pPr>
        <w:autoSpaceDE w:val="0"/>
        <w:autoSpaceDN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16.2.3 在响应文件初审、详审过程中，如果磋商小组成员出现对评审结果有不同意见的，应当以书面形式反映，磋商报告中应注明该不同意见。磋商小组成员拒绝在磋商报告中签字又不书面说明其不同意见和理由的，视为同意磋商结果。</w:t>
      </w:r>
    </w:p>
    <w:p w14:paraId="1CF64E85">
      <w:pPr>
        <w:autoSpaceDE w:val="0"/>
        <w:autoSpaceDN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16.3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1FF27BA6">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16.4 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59DC0DC1">
      <w:pPr>
        <w:pStyle w:val="20"/>
        <w:ind w:left="0" w:leftChars="0" w:firstLine="0" w:firstLine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16.5 政府采购政策功能落实</w:t>
      </w:r>
    </w:p>
    <w:p w14:paraId="2B42DCF2">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评审过程中，根据《财政部 发展改革委 生态环境部 市场监管总局关于调整优化节能产品、环境标志产品政府采购执行机制的通知》（财库〔2019〕9号）和《财政部 发展改革委关于印发节能产品政府采购品目清单的通知》（财库〔2019〕19号）和《财政部 生态环境部关于印发环境标志产品政府采购品目清单的通知》（财库〔2019〕18号）要求，“采购人拟采购的产品属于品目清单范围的，采购人及其委托的采购代理机构应当依据国家确定的认证机构出具的、处于有效期之内的节能产品、环境标志产品认证证书，对获得证书的产品实施政府优先采购或强制采购。”，在同等条件下，优先采购具有节能产品、环境标志产品认证证书的产品；</w:t>
      </w:r>
      <w:r>
        <w:rPr>
          <w:rFonts w:hint="eastAsia" w:ascii="宋体" w:hAnsi="宋体" w:eastAsia="宋体" w:cs="宋体"/>
          <w:b/>
          <w:bCs/>
          <w:color w:val="auto"/>
          <w:sz w:val="24"/>
          <w:szCs w:val="24"/>
          <w:lang w:val="en-US" w:eastAsia="zh-CN"/>
        </w:rPr>
        <w:t>所投产品为政府强制采购产品（《节能产品政府采购品目清单》中“★”标注的产品）的实施政府强制采购，须提供该产品有效期内的节能产品认证证书，否则响应无效。</w:t>
      </w:r>
    </w:p>
    <w:p w14:paraId="70781C7E">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政府采购促进中小企业发展管理办法》（财库〔2020〕46号）的规定，供应商提供的货物全部由符合政策要求的中小企业制造，须提供《中小企业声明函》，其划型标准严格按照国家工信部、国家统计局、国家发改委、财政部出台的《中小企业划型标准规定》（工信部联企业[2011]300号）执行。供应商提供的《中小企业声明函》资料必须真实，否则属于提供虚假材料谋取成交，依照《中华人民共和国政府采购法》等国家有关规定追究法律责任。</w:t>
      </w:r>
    </w:p>
    <w:p w14:paraId="30371245">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本项目采购标的所属行业为：工业</w:t>
      </w:r>
    </w:p>
    <w:p w14:paraId="30AA8157">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财政部、民政部、中国残疾人联合会关于促进残疾人就业政府采购政策的通知》（财库〔2017〕141号）的规定，供应商为符合条件的残疾人福利性单位的，须提供《残疾人福利性单位声明函》，并由供应商加盖公章。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供应商提供的《残疾人福利性单位声明函》资料必须真实，否则按照有关规定予以处理。</w:t>
      </w:r>
    </w:p>
    <w:p w14:paraId="08F494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财政部、司法部关于政府采购支持监狱企业发展有关问题的通知》（财库〔2014〕68号）的规定，供应商为监狱企业的，须提供由省级以上监狱管理局、戒毒管理局（含新疆生产建设兵团）出具的属于监狱企业的证明文件。监狱企业视同小型、微型企业，享受预留份额、评审中价格扣除等政府采购促进中小企业发展的政府采购政策。向监狱企业采购的金额，计入面向中小企业采购的统计数据。监狱企业属于小型、微型企业的，不重复享受政策。</w:t>
      </w:r>
    </w:p>
    <w:p w14:paraId="0A4ABBF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b/>
          <w:bCs/>
          <w:color w:val="auto"/>
          <w:kern w:val="0"/>
          <w:sz w:val="24"/>
          <w:szCs w:val="24"/>
          <w:lang w:val="en-US" w:eastAsia="zh-CN"/>
        </w:rPr>
        <w:t>本</w:t>
      </w:r>
      <w:r>
        <w:rPr>
          <w:rFonts w:hint="eastAsia" w:ascii="宋体" w:hAnsi="宋体" w:eastAsia="宋体" w:cs="宋体"/>
          <w:b/>
          <w:bCs/>
          <w:color w:val="auto"/>
          <w:kern w:val="0"/>
          <w:sz w:val="24"/>
          <w:szCs w:val="24"/>
          <w:lang w:val="zh-CN" w:eastAsia="zh-CN"/>
        </w:rPr>
        <w:t>项目</w:t>
      </w:r>
      <w:r>
        <w:rPr>
          <w:rFonts w:hint="eastAsia" w:ascii="宋体" w:hAnsi="宋体" w:eastAsia="宋体" w:cs="宋体"/>
          <w:b/>
          <w:bCs/>
          <w:color w:val="auto"/>
          <w:kern w:val="0"/>
          <w:sz w:val="24"/>
          <w:szCs w:val="24"/>
          <w:u w:val="none"/>
          <w:lang w:val="zh-CN" w:eastAsia="zh-CN"/>
        </w:rPr>
        <w:t>是否</w:t>
      </w:r>
      <w:r>
        <w:rPr>
          <w:rFonts w:hint="eastAsia" w:ascii="宋体" w:hAnsi="宋体" w:eastAsia="宋体" w:cs="宋体"/>
          <w:b/>
          <w:bCs/>
          <w:color w:val="auto"/>
          <w:kern w:val="0"/>
          <w:sz w:val="24"/>
          <w:szCs w:val="24"/>
          <w:lang w:val="zh-CN" w:eastAsia="zh-CN"/>
        </w:rPr>
        <w:t>为本国产品标准的适用范围：</w:t>
      </w:r>
      <w:r>
        <w:rPr>
          <w:rFonts w:hint="eastAsia" w:ascii="宋体" w:hAnsi="宋体" w:eastAsia="宋体" w:cs="宋体"/>
          <w:b/>
          <w:bCs/>
          <w:color w:val="auto"/>
          <w:kern w:val="0"/>
          <w:sz w:val="24"/>
          <w:szCs w:val="24"/>
          <w:u w:val="single"/>
          <w:lang w:val="zh-CN" w:eastAsia="zh-CN"/>
        </w:rPr>
        <w:t>是</w:t>
      </w:r>
      <w:r>
        <w:rPr>
          <w:rFonts w:hint="eastAsia" w:ascii="宋体" w:hAnsi="宋体" w:eastAsia="宋体" w:cs="宋体"/>
          <w:b/>
          <w:bCs/>
          <w:color w:val="auto"/>
          <w:kern w:val="0"/>
          <w:sz w:val="24"/>
          <w:szCs w:val="24"/>
          <w:u w:val="single"/>
          <w:lang w:val="en-US" w:eastAsia="zh-CN"/>
        </w:rPr>
        <w:t xml:space="preserve">☑  </w:t>
      </w:r>
      <w:r>
        <w:rPr>
          <w:rFonts w:hint="eastAsia" w:ascii="宋体" w:hAnsi="宋体" w:eastAsia="宋体" w:cs="宋体"/>
          <w:b/>
          <w:bCs/>
          <w:color w:val="auto"/>
          <w:kern w:val="0"/>
          <w:sz w:val="24"/>
          <w:szCs w:val="24"/>
          <w:u w:val="single"/>
          <w:lang w:val="zh-CN" w:eastAsia="zh-CN"/>
        </w:rPr>
        <w:t>否</w:t>
      </w:r>
      <w:r>
        <w:rPr>
          <w:rFonts w:hint="eastAsia" w:ascii="宋体" w:hAnsi="宋体" w:eastAsia="宋体" w:cs="宋体"/>
          <w:b/>
          <w:bCs/>
          <w:color w:val="auto"/>
          <w:kern w:val="0"/>
          <w:sz w:val="24"/>
          <w:szCs w:val="24"/>
          <w:u w:val="single"/>
          <w:lang w:val="en-US" w:eastAsia="zh-CN"/>
        </w:rPr>
        <w:t>□</w:t>
      </w:r>
    </w:p>
    <w:p w14:paraId="160E6F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zh-CN"/>
        </w:rPr>
        <w:t>根据《</w:t>
      </w:r>
      <w:r>
        <w:rPr>
          <w:rFonts w:hint="eastAsia" w:ascii="宋体" w:hAnsi="宋体" w:eastAsia="宋体" w:cs="宋体"/>
          <w:color w:val="auto"/>
          <w:kern w:val="0"/>
          <w:sz w:val="24"/>
          <w:szCs w:val="24"/>
          <w:lang w:val="zh-CN" w:eastAsia="zh-CN"/>
        </w:rPr>
        <w:t>国务院办公厅关于在政府采购中实施本国产品标准及相关政策的通知</w:t>
      </w:r>
      <w:r>
        <w:rPr>
          <w:rFonts w:hint="eastAsia" w:ascii="宋体" w:hAnsi="宋体" w:eastAsia="宋体" w:cs="宋体"/>
          <w:color w:val="auto"/>
          <w:kern w:val="0"/>
          <w:sz w:val="24"/>
          <w:szCs w:val="24"/>
          <w:lang w:val="zh-CN"/>
        </w:rPr>
        <w:t>》（</w:t>
      </w:r>
      <w:r>
        <w:rPr>
          <w:rFonts w:hint="eastAsia" w:ascii="宋体" w:hAnsi="宋体" w:eastAsia="宋体" w:cs="宋体"/>
          <w:color w:val="auto"/>
          <w:kern w:val="0"/>
          <w:sz w:val="24"/>
          <w:szCs w:val="24"/>
          <w:lang w:val="zh-CN" w:eastAsia="zh-CN"/>
        </w:rPr>
        <w:t>国办发〔2025〕34号</w:t>
      </w:r>
      <w:r>
        <w:rPr>
          <w:rFonts w:hint="eastAsia" w:ascii="宋体" w:hAnsi="宋体" w:eastAsia="宋体" w:cs="宋体"/>
          <w:color w:val="auto"/>
          <w:kern w:val="0"/>
          <w:sz w:val="24"/>
          <w:szCs w:val="24"/>
          <w:lang w:val="zh-CN"/>
        </w:rPr>
        <w:t>）</w:t>
      </w:r>
      <w:r>
        <w:rPr>
          <w:rFonts w:hint="eastAsia" w:ascii="宋体" w:hAnsi="宋体" w:eastAsia="宋体" w:cs="宋体"/>
          <w:color w:val="auto"/>
          <w:kern w:val="0"/>
          <w:sz w:val="24"/>
          <w:szCs w:val="24"/>
          <w:lang w:val="en-US" w:eastAsia="zh-CN"/>
        </w:rPr>
        <w:t>（以下简称《通知》）的规定，供应商提供的产品符合本国产品标准的，须提供《关于符合本国产品标准的声明函》（以下简称《声明函》）或</w:t>
      </w:r>
      <w:r>
        <w:rPr>
          <w:rFonts w:hint="eastAsia" w:ascii="宋体" w:hAnsi="宋体" w:eastAsia="宋体" w:cs="宋体"/>
          <w:color w:val="auto"/>
          <w:sz w:val="24"/>
          <w:szCs w:val="24"/>
        </w:rPr>
        <w:t>财政部会同有关部门规定的有关证明文件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提供</w:t>
      </w:r>
      <w:r>
        <w:rPr>
          <w:rFonts w:hint="eastAsia" w:ascii="宋体" w:hAnsi="宋体" w:eastAsia="宋体" w:cs="宋体"/>
          <w:b w:val="0"/>
          <w:bCs w:val="0"/>
          <w:color w:val="auto"/>
          <w:sz w:val="24"/>
          <w:szCs w:val="24"/>
        </w:rPr>
        <w:t>符合要求</w:t>
      </w:r>
      <w:r>
        <w:rPr>
          <w:rFonts w:hint="eastAsia" w:ascii="宋体" w:hAnsi="宋体" w:eastAsia="宋体" w:cs="宋体"/>
          <w:color w:val="auto"/>
          <w:sz w:val="24"/>
          <w:szCs w:val="24"/>
        </w:rPr>
        <w:t>的《声明函》或有关证明文件的，该产品视为本国产品。</w:t>
      </w:r>
      <w:r>
        <w:rPr>
          <w:rFonts w:hint="eastAsia" w:ascii="宋体" w:hAnsi="宋体" w:eastAsia="宋体" w:cs="宋体"/>
          <w:color w:val="auto"/>
          <w:sz w:val="24"/>
          <w:szCs w:val="24"/>
          <w:lang w:val="en-US" w:eastAsia="zh-CN"/>
        </w:rPr>
        <w:t>未提供</w:t>
      </w:r>
      <w:r>
        <w:rPr>
          <w:rFonts w:hint="eastAsia" w:ascii="宋体" w:hAnsi="宋体" w:eastAsia="宋体" w:cs="宋体"/>
          <w:color w:val="auto"/>
          <w:sz w:val="24"/>
          <w:szCs w:val="24"/>
        </w:rPr>
        <w:t>《声明函》或有关证明文件的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不享受政府采购对本国产品的支持政策。</w:t>
      </w:r>
      <w:r>
        <w:rPr>
          <w:rFonts w:hint="eastAsia" w:ascii="宋体" w:hAnsi="宋体" w:eastAsia="宋体" w:cs="宋体"/>
          <w:color w:val="auto"/>
          <w:sz w:val="24"/>
          <w:szCs w:val="24"/>
        </w:rPr>
        <w:t>供应商提供虚假《声明函》、虚假证明文件谋取</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的，依照《中华人民共和国政府采购法》等法律法规规定追究相应责任。</w:t>
      </w:r>
    </w:p>
    <w:p w14:paraId="2E5ED1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磋商小组应对《声明函》的完整性、准确性进行审查，评审中发现《声明函》内容含义不明确、同类事项与响应文件表述不一致或者有明显文字错误等情况的，应当以书面形式（通过电子交易系统交换数据电文）要求供应商作出必要的澄清、说明或者补正。</w:t>
      </w:r>
      <w:r>
        <w:rPr>
          <w:rFonts w:hint="eastAsia" w:ascii="宋体" w:hAnsi="宋体" w:eastAsia="宋体" w:cs="宋体"/>
          <w:b/>
          <w:bCs/>
          <w:color w:val="auto"/>
          <w:sz w:val="24"/>
          <w:szCs w:val="24"/>
        </w:rPr>
        <w:t>给予</w:t>
      </w:r>
      <w:r>
        <w:rPr>
          <w:rFonts w:hint="eastAsia" w:ascii="宋体" w:hAnsi="宋体" w:eastAsia="宋体" w:cs="宋体"/>
          <w:b/>
          <w:bCs/>
          <w:color w:val="auto"/>
          <w:sz w:val="24"/>
          <w:szCs w:val="24"/>
          <w:lang w:val="en-US" w:eastAsia="zh-CN"/>
        </w:rPr>
        <w:t>供应商</w:t>
      </w:r>
      <w:r>
        <w:rPr>
          <w:rFonts w:hint="eastAsia" w:ascii="宋体" w:hAnsi="宋体" w:eastAsia="宋体" w:cs="宋体"/>
          <w:b/>
          <w:bCs/>
          <w:color w:val="auto"/>
          <w:sz w:val="24"/>
          <w:szCs w:val="24"/>
        </w:rPr>
        <w:t>提交澄清说明或补正的时间</w:t>
      </w:r>
      <w:r>
        <w:rPr>
          <w:rFonts w:hint="eastAsia" w:ascii="宋体" w:hAnsi="宋体" w:eastAsia="宋体" w:cs="宋体"/>
          <w:b/>
          <w:bCs/>
          <w:color w:val="auto"/>
          <w:sz w:val="24"/>
          <w:szCs w:val="24"/>
          <w:lang w:val="en-US" w:eastAsia="zh-CN"/>
        </w:rPr>
        <w:t>为60分钟</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供应商</w:t>
      </w:r>
      <w:r>
        <w:rPr>
          <w:rFonts w:hint="eastAsia" w:ascii="宋体" w:hAnsi="宋体" w:eastAsia="宋体" w:cs="宋体"/>
          <w:b/>
          <w:bCs/>
          <w:color w:val="auto"/>
          <w:sz w:val="24"/>
          <w:szCs w:val="24"/>
        </w:rPr>
        <w:t>已经明确表示澄清说明或补正完毕的除外。未在规定时间内进行澄清补正，视同默认原文相关内容</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lang w:val="en-US" w:eastAsia="zh-CN"/>
        </w:rPr>
        <w:t>经澄清、说明或者补正的《声明函》仍然不符合《通知》规定要求的，供应商提供的相关产品视为不符合本国产品标准，不享受政府采购对本国产品的支持政策。</w:t>
      </w:r>
    </w:p>
    <w:p w14:paraId="3EE87B5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一、本国产品标准</w:t>
      </w:r>
    </w:p>
    <w:p w14:paraId="5982F1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本国产品应当符合以下条件：</w:t>
      </w:r>
    </w:p>
    <w:p w14:paraId="1EE06EC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（一）在中国境内生产</w:t>
      </w:r>
    </w:p>
    <w:p w14:paraId="3EAC49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rPr>
        <w:t>产品应当在中国境内生产</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rPr>
        <w:t>，即在中华人民共和国关境内实现从原材料、组件到产品的</w:t>
      </w:r>
      <w:r>
        <w:rPr>
          <w:rFonts w:hint="eastAsia" w:ascii="宋体" w:hAnsi="宋体" w:eastAsia="宋体" w:cs="宋体"/>
          <w:b/>
          <w:bCs/>
          <w:color w:val="auto"/>
          <w:sz w:val="24"/>
          <w:szCs w:val="24"/>
        </w:rPr>
        <w:t>属性改变</w:t>
      </w:r>
      <w:r>
        <w:rPr>
          <w:rFonts w:hint="eastAsia" w:ascii="宋体" w:hAnsi="宋体" w:eastAsia="宋体" w:cs="宋体"/>
          <w:color w:val="auto"/>
          <w:sz w:val="24"/>
          <w:szCs w:val="24"/>
        </w:rPr>
        <w:t>。</w:t>
      </w:r>
    </w:p>
    <w:p w14:paraId="4BDE2EF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属性改变</w:t>
      </w:r>
      <w:r>
        <w:rPr>
          <w:rFonts w:hint="eastAsia" w:ascii="宋体" w:hAnsi="宋体" w:eastAsia="宋体" w:cs="宋体"/>
          <w:color w:val="auto"/>
          <w:sz w:val="24"/>
          <w:szCs w:val="24"/>
        </w:rPr>
        <w:t>是指经过制造、加工或者组装等工序，产生完全不同于原材料、组件的新产品，并具有新的名称和特征（用途）。</w:t>
      </w:r>
      <w:r>
        <w:rPr>
          <w:rFonts w:hint="eastAsia" w:ascii="宋体" w:hAnsi="宋体" w:eastAsia="宋体" w:cs="宋体"/>
          <w:b/>
          <w:bCs/>
          <w:color w:val="auto"/>
          <w:sz w:val="24"/>
          <w:szCs w:val="24"/>
        </w:rPr>
        <w:t>属性改变不包括</w:t>
      </w:r>
      <w:r>
        <w:rPr>
          <w:rFonts w:hint="eastAsia" w:ascii="宋体" w:hAnsi="宋体" w:eastAsia="宋体" w:cs="宋体"/>
          <w:color w:val="auto"/>
          <w:sz w:val="24"/>
          <w:szCs w:val="24"/>
        </w:rPr>
        <w:t>以下细微操作：</w:t>
      </w:r>
    </w:p>
    <w:p w14:paraId="2C7ABC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1.为确保产品在运输或者储存期间保持某种状态而进行的操作；</w:t>
      </w:r>
    </w:p>
    <w:p w14:paraId="3E9AE2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2.为产品运输或者销售进行的包装或者展示；</w:t>
      </w:r>
    </w:p>
    <w:p w14:paraId="572C73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3.在产品或者其包装上粘贴或者印刷品牌、标志、标识以及其他用于区别的标记；</w:t>
      </w:r>
    </w:p>
    <w:p w14:paraId="33EFDF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4.简单的上漆、磨光和分装；</w:t>
      </w:r>
    </w:p>
    <w:p w14:paraId="23819A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5.其他不属于属性改变的情形。</w:t>
      </w:r>
    </w:p>
    <w:p w14:paraId="212D988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（二）在中国境内生产的组件成本占比达到规定比例</w:t>
      </w:r>
    </w:p>
    <w:p w14:paraId="464A13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rPr>
        <w:t>产品在中国境内生产的组件成本占比应当达到规定比例</w:t>
      </w:r>
      <w:r>
        <w:rPr>
          <w:rFonts w:hint="eastAsia" w:ascii="宋体" w:hAnsi="宋体" w:eastAsia="宋体" w:cs="宋体"/>
          <w:color w:val="auto"/>
          <w:sz w:val="24"/>
          <w:szCs w:val="24"/>
        </w:rPr>
        <w:t>，计算公式为：</w:t>
      </w:r>
    </w:p>
    <w:p w14:paraId="3FAC26A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rPr>
      </w:pPr>
      <w:r>
        <w:rPr>
          <w:rFonts w:hint="eastAsia" w:ascii="宋体" w:hAnsi="宋体" w:eastAsia="宋体" w:cs="宋体"/>
          <w:color w:val="auto"/>
        </w:rPr>
        <w:drawing>
          <wp:inline distT="0" distB="0" distL="114300" distR="114300">
            <wp:extent cx="4829175" cy="762000"/>
            <wp:effectExtent l="0" t="0" r="952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4829175" cy="762000"/>
                    </a:xfrm>
                    <a:prstGeom prst="rect">
                      <a:avLst/>
                    </a:prstGeom>
                    <a:noFill/>
                    <a:ln>
                      <a:noFill/>
                    </a:ln>
                  </pic:spPr>
                </pic:pic>
              </a:graphicData>
            </a:graphic>
          </wp:inline>
        </w:drawing>
      </w:r>
    </w:p>
    <w:p w14:paraId="6F9B0C4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lang w:val="en-US" w:eastAsia="zh-CN"/>
        </w:rPr>
      </w:pPr>
      <w:r>
        <w:rPr>
          <w:rFonts w:hint="eastAsia" w:ascii="宋体" w:hAnsi="宋体" w:eastAsia="宋体" w:cs="宋体"/>
          <w:b/>
          <w:bCs/>
          <w:color w:val="auto"/>
          <w:sz w:val="24"/>
          <w:szCs w:val="24"/>
          <w:lang w:val="en-US" w:eastAsia="zh-CN"/>
        </w:rPr>
        <w:t>本项目</w:t>
      </w:r>
      <w:r>
        <w:rPr>
          <w:rFonts w:hint="eastAsia" w:ascii="宋体" w:hAnsi="宋体" w:eastAsia="宋体" w:cs="宋体"/>
          <w:b/>
          <w:bCs/>
          <w:color w:val="auto"/>
          <w:sz w:val="24"/>
          <w:szCs w:val="24"/>
        </w:rPr>
        <w:t>产品在中国境内生产的组件成本占比</w:t>
      </w:r>
      <w:r>
        <w:rPr>
          <w:rFonts w:hint="eastAsia" w:ascii="宋体" w:hAnsi="宋体" w:eastAsia="宋体" w:cs="宋体"/>
          <w:b/>
          <w:bCs/>
          <w:color w:val="auto"/>
          <w:sz w:val="24"/>
          <w:szCs w:val="24"/>
          <w:lang w:val="en-US" w:eastAsia="zh-CN"/>
        </w:rPr>
        <w:t>为：</w:t>
      </w:r>
      <w:r>
        <w:rPr>
          <w:rFonts w:hint="eastAsia" w:ascii="宋体" w:hAnsi="宋体" w:eastAsia="宋体" w:cs="宋体"/>
          <w:b/>
          <w:bCs/>
          <w:color w:val="auto"/>
          <w:sz w:val="24"/>
          <w:szCs w:val="24"/>
          <w:u w:val="single"/>
          <w:lang w:val="en-US" w:eastAsia="zh-CN"/>
        </w:rPr>
        <w:t xml:space="preserve"> / </w:t>
      </w:r>
      <w:r>
        <w:rPr>
          <w:rFonts w:hint="eastAsia" w:ascii="宋体" w:hAnsi="宋体" w:eastAsia="宋体" w:cs="宋体"/>
          <w:b/>
          <w:bCs/>
          <w:color w:val="auto"/>
          <w:sz w:val="24"/>
          <w:szCs w:val="24"/>
          <w:lang w:val="en-US" w:eastAsia="zh-CN"/>
        </w:rPr>
        <w:t>%</w:t>
      </w:r>
    </w:p>
    <w:p w14:paraId="4AD404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财政部会同有关行业主管部门，</w:t>
      </w:r>
      <w:r>
        <w:rPr>
          <w:rFonts w:hint="eastAsia" w:ascii="宋体" w:hAnsi="宋体" w:eastAsia="宋体" w:cs="宋体"/>
          <w:b/>
          <w:bCs/>
          <w:color w:val="auto"/>
          <w:sz w:val="24"/>
          <w:szCs w:val="24"/>
        </w:rPr>
        <w:t>分产品</w:t>
      </w:r>
      <w:r>
        <w:rPr>
          <w:rFonts w:hint="eastAsia" w:ascii="宋体" w:hAnsi="宋体" w:eastAsia="宋体" w:cs="宋体"/>
          <w:color w:val="auto"/>
          <w:sz w:val="24"/>
          <w:szCs w:val="24"/>
        </w:rPr>
        <w:t>确定在中国境内生产的组件成本占比应当达到的规定比例。在</w:t>
      </w:r>
      <w:r>
        <w:rPr>
          <w:rFonts w:hint="eastAsia" w:ascii="宋体" w:hAnsi="宋体" w:eastAsia="宋体" w:cs="宋体"/>
          <w:b/>
          <w:bCs/>
          <w:color w:val="auto"/>
          <w:sz w:val="24"/>
          <w:szCs w:val="24"/>
        </w:rPr>
        <w:t>分产品</w:t>
      </w:r>
      <w:r>
        <w:rPr>
          <w:rFonts w:hint="eastAsia" w:ascii="宋体" w:hAnsi="宋体" w:eastAsia="宋体" w:cs="宋体"/>
          <w:color w:val="auto"/>
          <w:sz w:val="24"/>
          <w:szCs w:val="24"/>
        </w:rPr>
        <w:t>的中国境内生产的组件成本占比相关要求实施前，符合</w:t>
      </w:r>
      <w:r>
        <w:rPr>
          <w:rFonts w:hint="eastAsia" w:ascii="宋体" w:hAnsi="宋体" w:eastAsia="宋体" w:cs="宋体"/>
          <w:color w:val="auto"/>
          <w:sz w:val="24"/>
          <w:szCs w:val="24"/>
          <w:lang w:val="en-US" w:eastAsia="zh-CN"/>
        </w:rPr>
        <w:t>上述</w:t>
      </w:r>
      <w:r>
        <w:rPr>
          <w:rFonts w:hint="eastAsia" w:ascii="宋体" w:hAnsi="宋体" w:eastAsia="宋体" w:cs="宋体"/>
          <w:b/>
          <w:bCs/>
          <w:color w:val="auto"/>
          <w:sz w:val="24"/>
          <w:szCs w:val="24"/>
        </w:rPr>
        <w:t>第一条第（一）项条件的产品</w:t>
      </w:r>
      <w:r>
        <w:rPr>
          <w:rFonts w:hint="eastAsia" w:ascii="宋体" w:hAnsi="宋体" w:eastAsia="宋体" w:cs="宋体"/>
          <w:color w:val="auto"/>
          <w:sz w:val="24"/>
          <w:szCs w:val="24"/>
        </w:rPr>
        <w:t>在政府采购活动中</w:t>
      </w:r>
      <w:r>
        <w:rPr>
          <w:rFonts w:hint="eastAsia" w:ascii="宋体" w:hAnsi="宋体" w:eastAsia="宋体" w:cs="宋体"/>
          <w:b/>
          <w:bCs/>
          <w:color w:val="auto"/>
          <w:sz w:val="24"/>
          <w:szCs w:val="24"/>
        </w:rPr>
        <w:t>视同本国产品</w:t>
      </w:r>
      <w:r>
        <w:rPr>
          <w:rFonts w:hint="eastAsia" w:ascii="宋体" w:hAnsi="宋体" w:eastAsia="宋体" w:cs="宋体"/>
          <w:color w:val="auto"/>
          <w:sz w:val="24"/>
          <w:szCs w:val="24"/>
        </w:rPr>
        <w:t>。</w:t>
      </w:r>
    </w:p>
    <w:p w14:paraId="4202DAB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（三）特定产品的关键组件、关键工序符合相关要求</w:t>
      </w:r>
    </w:p>
    <w:p w14:paraId="28413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对特定产品，在符合</w:t>
      </w:r>
      <w:r>
        <w:rPr>
          <w:rFonts w:hint="eastAsia" w:ascii="宋体" w:hAnsi="宋体" w:eastAsia="宋体" w:cs="宋体"/>
          <w:color w:val="auto"/>
          <w:sz w:val="24"/>
          <w:szCs w:val="24"/>
          <w:lang w:val="en-US" w:eastAsia="zh-CN"/>
        </w:rPr>
        <w:t>上述</w:t>
      </w:r>
      <w:r>
        <w:rPr>
          <w:rFonts w:hint="eastAsia" w:ascii="宋体" w:hAnsi="宋体" w:eastAsia="宋体" w:cs="宋体"/>
          <w:color w:val="auto"/>
          <w:sz w:val="24"/>
          <w:szCs w:val="24"/>
        </w:rPr>
        <w:t>第一条第（一）项和第（二）项条件的基础上，应当符合财政部会同有关行业主管部门确定的</w:t>
      </w:r>
      <w:r>
        <w:rPr>
          <w:rFonts w:hint="eastAsia" w:ascii="宋体" w:hAnsi="宋体" w:eastAsia="宋体" w:cs="宋体"/>
          <w:b/>
          <w:bCs/>
          <w:color w:val="auto"/>
          <w:sz w:val="24"/>
          <w:szCs w:val="24"/>
        </w:rPr>
        <w:t>其关键组件、关键工序在中国境内生产、完成等要求</w:t>
      </w:r>
      <w:r>
        <w:rPr>
          <w:rFonts w:hint="eastAsia" w:ascii="宋体" w:hAnsi="宋体" w:eastAsia="宋体" w:cs="宋体"/>
          <w:color w:val="auto"/>
          <w:sz w:val="24"/>
          <w:szCs w:val="24"/>
        </w:rPr>
        <w:t>。</w:t>
      </w:r>
      <w:r>
        <w:rPr>
          <w:rFonts w:hint="eastAsia" w:ascii="宋体" w:hAnsi="宋体" w:eastAsia="宋体" w:cs="宋体"/>
          <w:b/>
          <w:bCs/>
          <w:color w:val="auto"/>
          <w:sz w:val="24"/>
          <w:szCs w:val="24"/>
          <w:lang w:val="en-US" w:eastAsia="zh-CN"/>
        </w:rPr>
        <w:t>特定产品的关键组件、关键工序相关要求实施前，符合在中国境内生产条件的产品在政府采购活动中视同本国产品。</w:t>
      </w:r>
    </w:p>
    <w:p w14:paraId="392479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财政部会同有关行业主管部门自本通知施行之日起</w:t>
      </w:r>
      <w:r>
        <w:rPr>
          <w:rFonts w:hint="eastAsia" w:ascii="宋体" w:hAnsi="宋体" w:eastAsia="宋体" w:cs="宋体"/>
          <w:b/>
          <w:bCs/>
          <w:color w:val="auto"/>
          <w:sz w:val="24"/>
          <w:szCs w:val="24"/>
        </w:rPr>
        <w:t>5年内</w:t>
      </w:r>
      <w:r>
        <w:rPr>
          <w:rFonts w:hint="eastAsia" w:ascii="宋体" w:hAnsi="宋体" w:eastAsia="宋体" w:cs="宋体"/>
          <w:color w:val="auto"/>
          <w:sz w:val="24"/>
          <w:szCs w:val="24"/>
        </w:rPr>
        <w:t>，在充分征求有关内外资企业、行业协会商会等方面意见的基础上，分类施策、稳妥推进，</w:t>
      </w:r>
      <w:r>
        <w:rPr>
          <w:rFonts w:hint="eastAsia" w:ascii="宋体" w:hAnsi="宋体" w:eastAsia="宋体" w:cs="宋体"/>
          <w:b/>
          <w:bCs/>
          <w:color w:val="auto"/>
          <w:sz w:val="24"/>
          <w:szCs w:val="24"/>
        </w:rPr>
        <w:t>分产品</w:t>
      </w:r>
      <w:r>
        <w:rPr>
          <w:rFonts w:hint="eastAsia" w:ascii="宋体" w:hAnsi="宋体" w:eastAsia="宋体" w:cs="宋体"/>
          <w:color w:val="auto"/>
          <w:sz w:val="24"/>
          <w:szCs w:val="24"/>
        </w:rPr>
        <w:t>确定在中国境内生产的</w:t>
      </w:r>
      <w:r>
        <w:rPr>
          <w:rFonts w:hint="eastAsia" w:ascii="宋体" w:hAnsi="宋体" w:eastAsia="宋体" w:cs="宋体"/>
          <w:b/>
          <w:bCs/>
          <w:color w:val="auto"/>
          <w:sz w:val="24"/>
          <w:szCs w:val="24"/>
        </w:rPr>
        <w:t>组件成本占比要求</w:t>
      </w:r>
      <w:r>
        <w:rPr>
          <w:rFonts w:hint="eastAsia" w:ascii="宋体" w:hAnsi="宋体" w:eastAsia="宋体" w:cs="宋体"/>
          <w:color w:val="auto"/>
          <w:sz w:val="24"/>
          <w:szCs w:val="24"/>
        </w:rPr>
        <w:t>，以及</w:t>
      </w:r>
      <w:r>
        <w:rPr>
          <w:rFonts w:hint="eastAsia" w:ascii="宋体" w:hAnsi="宋体" w:eastAsia="宋体" w:cs="宋体"/>
          <w:b/>
          <w:bCs/>
          <w:color w:val="auto"/>
          <w:sz w:val="24"/>
          <w:szCs w:val="24"/>
        </w:rPr>
        <w:t>特定产品的关键组件、关键工序相关要求</w:t>
      </w:r>
      <w:r>
        <w:rPr>
          <w:rFonts w:hint="eastAsia" w:ascii="宋体" w:hAnsi="宋体" w:eastAsia="宋体" w:cs="宋体"/>
          <w:color w:val="auto"/>
          <w:sz w:val="24"/>
          <w:szCs w:val="24"/>
        </w:rPr>
        <w:t>，并根据不同行业的发展情况，在出台具体产品相关要求时，</w:t>
      </w:r>
      <w:r>
        <w:rPr>
          <w:rFonts w:hint="eastAsia" w:ascii="宋体" w:hAnsi="宋体" w:eastAsia="宋体" w:cs="宋体"/>
          <w:b/>
          <w:bCs/>
          <w:color w:val="auto"/>
          <w:sz w:val="24"/>
          <w:szCs w:val="24"/>
        </w:rPr>
        <w:t>设置3—5年过渡期</w:t>
      </w:r>
      <w:r>
        <w:rPr>
          <w:rFonts w:hint="eastAsia" w:ascii="宋体" w:hAnsi="宋体" w:eastAsia="宋体" w:cs="宋体"/>
          <w:color w:val="auto"/>
          <w:sz w:val="24"/>
          <w:szCs w:val="24"/>
        </w:rPr>
        <w:t>，逐步建立政府采购中</w:t>
      </w:r>
      <w:r>
        <w:rPr>
          <w:rFonts w:hint="eastAsia" w:ascii="宋体" w:hAnsi="宋体" w:eastAsia="宋体" w:cs="宋体"/>
          <w:b/>
          <w:bCs/>
          <w:color w:val="auto"/>
          <w:sz w:val="24"/>
          <w:szCs w:val="24"/>
        </w:rPr>
        <w:t>本国产品标准体系和动态调整机制</w:t>
      </w:r>
      <w:r>
        <w:rPr>
          <w:rFonts w:hint="eastAsia" w:ascii="宋体" w:hAnsi="宋体" w:eastAsia="宋体" w:cs="宋体"/>
          <w:color w:val="auto"/>
          <w:sz w:val="24"/>
          <w:szCs w:val="24"/>
        </w:rPr>
        <w:t>。</w:t>
      </w:r>
    </w:p>
    <w:p w14:paraId="7ADBD1F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二、本国产品标准的适用范围</w:t>
      </w:r>
    </w:p>
    <w:p w14:paraId="0F858C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本国产品标准</w:t>
      </w:r>
      <w:r>
        <w:rPr>
          <w:rFonts w:hint="eastAsia" w:ascii="宋体" w:hAnsi="宋体" w:eastAsia="宋体" w:cs="宋体"/>
          <w:b/>
          <w:bCs/>
          <w:color w:val="auto"/>
          <w:sz w:val="24"/>
          <w:szCs w:val="24"/>
        </w:rPr>
        <w:t>适用于货物</w:t>
      </w:r>
      <w:r>
        <w:rPr>
          <w:rFonts w:hint="eastAsia" w:ascii="宋体" w:hAnsi="宋体" w:eastAsia="宋体" w:cs="宋体"/>
          <w:color w:val="auto"/>
          <w:sz w:val="24"/>
          <w:szCs w:val="24"/>
        </w:rPr>
        <w:t>，包括政府采购</w:t>
      </w:r>
      <w:r>
        <w:rPr>
          <w:rFonts w:hint="eastAsia" w:ascii="宋体" w:hAnsi="宋体" w:eastAsia="宋体" w:cs="宋体"/>
          <w:b/>
          <w:bCs/>
          <w:color w:val="auto"/>
          <w:sz w:val="24"/>
          <w:szCs w:val="24"/>
        </w:rPr>
        <w:t>货物项目</w:t>
      </w:r>
      <w:r>
        <w:rPr>
          <w:rFonts w:hint="eastAsia" w:ascii="宋体" w:hAnsi="宋体" w:eastAsia="宋体" w:cs="宋体"/>
          <w:color w:val="auto"/>
          <w:sz w:val="24"/>
          <w:szCs w:val="24"/>
        </w:rPr>
        <w:t>和</w:t>
      </w:r>
      <w:r>
        <w:rPr>
          <w:rFonts w:hint="eastAsia" w:ascii="宋体" w:hAnsi="宋体" w:eastAsia="宋体" w:cs="宋体"/>
          <w:b/>
          <w:bCs/>
          <w:color w:val="auto"/>
          <w:sz w:val="24"/>
          <w:szCs w:val="24"/>
        </w:rPr>
        <w:t>服务项目中涉及的货物</w:t>
      </w:r>
      <w:r>
        <w:rPr>
          <w:rFonts w:hint="eastAsia" w:ascii="宋体" w:hAnsi="宋体" w:eastAsia="宋体" w:cs="宋体"/>
          <w:color w:val="auto"/>
          <w:sz w:val="24"/>
          <w:szCs w:val="24"/>
        </w:rPr>
        <w:t>。适用本国产品标准的</w:t>
      </w:r>
      <w:r>
        <w:rPr>
          <w:rFonts w:hint="eastAsia" w:ascii="宋体" w:hAnsi="宋体" w:eastAsia="宋体" w:cs="宋体"/>
          <w:b/>
          <w:bCs/>
          <w:color w:val="auto"/>
          <w:sz w:val="24"/>
          <w:szCs w:val="24"/>
        </w:rPr>
        <w:t>货物具体是指</w:t>
      </w:r>
      <w:r>
        <w:rPr>
          <w:rFonts w:hint="eastAsia" w:ascii="宋体" w:hAnsi="宋体" w:eastAsia="宋体" w:cs="宋体"/>
          <w:color w:val="auto"/>
          <w:sz w:val="24"/>
          <w:szCs w:val="24"/>
        </w:rPr>
        <w:t>《政府采购品目分类目录》中的</w:t>
      </w:r>
      <w:r>
        <w:rPr>
          <w:rFonts w:hint="eastAsia" w:ascii="宋体" w:hAnsi="宋体" w:eastAsia="宋体" w:cs="宋体"/>
          <w:b/>
          <w:bCs/>
          <w:color w:val="auto"/>
          <w:sz w:val="24"/>
          <w:szCs w:val="24"/>
        </w:rPr>
        <w:t>货物类产品</w:t>
      </w:r>
      <w:r>
        <w:rPr>
          <w:rFonts w:hint="eastAsia" w:ascii="宋体" w:hAnsi="宋体" w:eastAsia="宋体" w:cs="宋体"/>
          <w:color w:val="auto"/>
          <w:sz w:val="24"/>
          <w:szCs w:val="24"/>
        </w:rPr>
        <w:t>，</w:t>
      </w:r>
      <w:r>
        <w:rPr>
          <w:rFonts w:hint="eastAsia" w:ascii="宋体" w:hAnsi="宋体" w:eastAsia="宋体" w:cs="宋体"/>
          <w:b/>
          <w:bCs/>
          <w:color w:val="auto"/>
          <w:sz w:val="24"/>
          <w:szCs w:val="24"/>
        </w:rPr>
        <w:t>但不包括其中</w:t>
      </w:r>
      <w:r>
        <w:rPr>
          <w:rFonts w:hint="eastAsia" w:ascii="宋体" w:hAnsi="宋体" w:eastAsia="宋体" w:cs="宋体"/>
          <w:color w:val="auto"/>
          <w:sz w:val="24"/>
          <w:szCs w:val="24"/>
        </w:rPr>
        <w:t>的房屋和构筑物，文物和陈列品，图书和档案，特种动植物，农林牧渔业产品，矿与矿物，电力、城市燃气、蒸汽和热水、水，食品、饮料和烟草原料，无形资产。</w:t>
      </w:r>
    </w:p>
    <w:p w14:paraId="755CA06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三、对本国产品的支持政策</w:t>
      </w:r>
    </w:p>
    <w:p w14:paraId="3066E1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当采购项目或采购包的采购标的仅包含单一产品时，</w:t>
      </w:r>
      <w:r>
        <w:rPr>
          <w:rFonts w:hint="eastAsia" w:ascii="宋体" w:hAnsi="宋体" w:eastAsia="宋体" w:cs="宋体"/>
          <w:color w:val="auto"/>
          <w:sz w:val="24"/>
          <w:szCs w:val="24"/>
        </w:rPr>
        <w:t>政府采购活动中</w:t>
      </w:r>
      <w:r>
        <w:rPr>
          <w:rFonts w:hint="eastAsia" w:ascii="宋体" w:hAnsi="宋体" w:eastAsia="宋体" w:cs="宋体"/>
          <w:b/>
          <w:bCs/>
          <w:color w:val="auto"/>
          <w:sz w:val="24"/>
          <w:szCs w:val="24"/>
        </w:rPr>
        <w:t>既有本国产品又有非本国产品</w:t>
      </w:r>
      <w:r>
        <w:rPr>
          <w:rFonts w:hint="eastAsia" w:ascii="宋体" w:hAnsi="宋体" w:eastAsia="宋体" w:cs="宋体"/>
          <w:color w:val="auto"/>
          <w:sz w:val="24"/>
          <w:szCs w:val="24"/>
        </w:rPr>
        <w:t>参与竞争的，依法对</w:t>
      </w:r>
      <w:r>
        <w:rPr>
          <w:rFonts w:hint="eastAsia" w:ascii="宋体" w:hAnsi="宋体" w:eastAsia="宋体" w:cs="宋体"/>
          <w:b/>
          <w:bCs/>
          <w:color w:val="auto"/>
          <w:sz w:val="24"/>
          <w:szCs w:val="24"/>
        </w:rPr>
        <w:t>本国产品</w:t>
      </w:r>
      <w:r>
        <w:rPr>
          <w:rFonts w:hint="eastAsia" w:ascii="宋体" w:hAnsi="宋体" w:eastAsia="宋体" w:cs="宋体"/>
          <w:color w:val="auto"/>
          <w:sz w:val="24"/>
          <w:szCs w:val="24"/>
        </w:rPr>
        <w:t>给予价格评审优惠，对</w:t>
      </w:r>
      <w:r>
        <w:rPr>
          <w:rFonts w:hint="eastAsia" w:ascii="宋体" w:hAnsi="宋体" w:eastAsia="宋体" w:cs="宋体"/>
          <w:b/>
          <w:bCs/>
          <w:color w:val="auto"/>
          <w:sz w:val="24"/>
          <w:szCs w:val="24"/>
        </w:rPr>
        <w:t>本国产品的报价给予20%</w:t>
      </w:r>
      <w:r>
        <w:rPr>
          <w:rFonts w:hint="eastAsia" w:ascii="宋体" w:hAnsi="宋体" w:eastAsia="宋体" w:cs="宋体"/>
          <w:color w:val="auto"/>
          <w:sz w:val="24"/>
          <w:szCs w:val="24"/>
        </w:rPr>
        <w:t>的价格扣除，用扣除后的价格参与评审。</w:t>
      </w:r>
    </w:p>
    <w:p w14:paraId="790A5E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当采购项目或者采购包的采购标的中含有多种产品</w:t>
      </w:r>
      <w:r>
        <w:rPr>
          <w:rFonts w:hint="eastAsia" w:ascii="宋体" w:hAnsi="宋体" w:eastAsia="宋体" w:cs="宋体"/>
          <w:color w:val="auto"/>
          <w:sz w:val="24"/>
          <w:szCs w:val="24"/>
        </w:rPr>
        <w:t>，供应商为该采购项目或者采购包提供的</w:t>
      </w:r>
      <w:r>
        <w:rPr>
          <w:rFonts w:hint="eastAsia" w:ascii="宋体" w:hAnsi="宋体" w:eastAsia="宋体" w:cs="宋体"/>
          <w:b/>
          <w:bCs/>
          <w:color w:val="auto"/>
          <w:sz w:val="24"/>
          <w:szCs w:val="24"/>
        </w:rPr>
        <w:t>符合本国产品标准的产品成本之和</w:t>
      </w:r>
      <w:r>
        <w:rPr>
          <w:rFonts w:hint="eastAsia" w:ascii="宋体" w:hAnsi="宋体" w:eastAsia="宋体" w:cs="宋体"/>
          <w:color w:val="auto"/>
          <w:sz w:val="24"/>
          <w:szCs w:val="24"/>
        </w:rPr>
        <w:t>占该供应商</w:t>
      </w:r>
      <w:r>
        <w:rPr>
          <w:rFonts w:hint="eastAsia" w:ascii="宋体" w:hAnsi="宋体" w:eastAsia="宋体" w:cs="宋体"/>
          <w:b/>
          <w:bCs/>
          <w:color w:val="auto"/>
          <w:sz w:val="24"/>
          <w:szCs w:val="24"/>
        </w:rPr>
        <w:t>提供的全部产品成本之和</w:t>
      </w:r>
      <w:r>
        <w:rPr>
          <w:rFonts w:hint="eastAsia" w:ascii="宋体" w:hAnsi="宋体" w:eastAsia="宋体" w:cs="宋体"/>
          <w:color w:val="auto"/>
          <w:sz w:val="24"/>
          <w:szCs w:val="24"/>
        </w:rPr>
        <w:t>的比例达到</w:t>
      </w:r>
      <w:r>
        <w:rPr>
          <w:rFonts w:hint="eastAsia" w:ascii="宋体" w:hAnsi="宋体" w:eastAsia="宋体" w:cs="宋体"/>
          <w:b/>
          <w:bCs/>
          <w:color w:val="auto"/>
          <w:sz w:val="24"/>
          <w:szCs w:val="24"/>
        </w:rPr>
        <w:t>80%以上时</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且供应商在响应文件中对此作出承诺的（格式自拟），</w:t>
      </w:r>
      <w:r>
        <w:rPr>
          <w:rFonts w:hint="eastAsia" w:ascii="宋体" w:hAnsi="宋体" w:eastAsia="宋体" w:cs="宋体"/>
          <w:color w:val="auto"/>
          <w:sz w:val="24"/>
          <w:szCs w:val="24"/>
        </w:rPr>
        <w:t>依法对</w:t>
      </w:r>
      <w:r>
        <w:rPr>
          <w:rFonts w:hint="eastAsia" w:ascii="宋体" w:hAnsi="宋体" w:eastAsia="宋体" w:cs="宋体"/>
          <w:b/>
          <w:bCs/>
          <w:color w:val="auto"/>
          <w:sz w:val="24"/>
          <w:szCs w:val="24"/>
        </w:rPr>
        <w:t>该供应商提供的全部产品</w:t>
      </w:r>
      <w:r>
        <w:rPr>
          <w:rFonts w:hint="eastAsia" w:ascii="宋体" w:hAnsi="宋体" w:eastAsia="宋体" w:cs="宋体"/>
          <w:color w:val="auto"/>
          <w:sz w:val="24"/>
          <w:szCs w:val="24"/>
        </w:rPr>
        <w:t>给予价格评审优惠，即对该</w:t>
      </w:r>
      <w:r>
        <w:rPr>
          <w:rFonts w:hint="eastAsia" w:ascii="宋体" w:hAnsi="宋体" w:eastAsia="宋体" w:cs="宋体"/>
          <w:b/>
          <w:bCs/>
          <w:color w:val="auto"/>
          <w:sz w:val="24"/>
          <w:szCs w:val="24"/>
        </w:rPr>
        <w:t>供应商提供的全部产品</w:t>
      </w:r>
      <w:r>
        <w:rPr>
          <w:rFonts w:hint="eastAsia" w:ascii="宋体" w:hAnsi="宋体" w:eastAsia="宋体" w:cs="宋体"/>
          <w:color w:val="auto"/>
          <w:sz w:val="24"/>
          <w:szCs w:val="24"/>
        </w:rPr>
        <w:t>的</w:t>
      </w:r>
      <w:r>
        <w:rPr>
          <w:rFonts w:hint="eastAsia" w:ascii="宋体" w:hAnsi="宋体" w:eastAsia="宋体" w:cs="宋体"/>
          <w:b/>
          <w:bCs/>
          <w:color w:val="auto"/>
          <w:sz w:val="24"/>
          <w:szCs w:val="24"/>
        </w:rPr>
        <w:t>总报价给予20%</w:t>
      </w:r>
      <w:r>
        <w:rPr>
          <w:rFonts w:hint="eastAsia" w:ascii="宋体" w:hAnsi="宋体" w:eastAsia="宋体" w:cs="宋体"/>
          <w:color w:val="auto"/>
          <w:sz w:val="24"/>
          <w:szCs w:val="24"/>
        </w:rPr>
        <w:t>的价格扣除，用扣除后的价格参与评审。</w:t>
      </w:r>
      <w:r>
        <w:rPr>
          <w:rFonts w:hint="eastAsia" w:ascii="宋体" w:hAnsi="宋体" w:eastAsia="宋体" w:cs="宋体"/>
          <w:color w:val="auto"/>
          <w:sz w:val="24"/>
          <w:szCs w:val="24"/>
          <w:lang w:val="en-US" w:eastAsia="zh-CN"/>
        </w:rPr>
        <w:t>全部产品是指货物或服务采购项目或采购包中包含的全部货物、服务产品。</w:t>
      </w:r>
    </w:p>
    <w:p w14:paraId="75417A8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注：</w:t>
      </w:r>
    </w:p>
    <w:p w14:paraId="2233FB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1.本项目中</w:t>
      </w:r>
      <w:r>
        <w:rPr>
          <w:rFonts w:hint="eastAsia" w:ascii="宋体" w:hAnsi="宋体" w:eastAsia="宋体" w:cs="宋体"/>
          <w:color w:val="auto"/>
          <w:sz w:val="24"/>
          <w:szCs w:val="24"/>
        </w:rPr>
        <w:t>房屋和构筑物，文物和陈列品，</w:t>
      </w:r>
      <w:r>
        <w:rPr>
          <w:rFonts w:hint="eastAsia" w:ascii="宋体" w:hAnsi="宋体" w:eastAsia="宋体" w:cs="宋体"/>
          <w:b w:val="0"/>
          <w:bCs w:val="0"/>
          <w:color w:val="auto"/>
          <w:sz w:val="24"/>
          <w:szCs w:val="24"/>
        </w:rPr>
        <w:t>图书</w:t>
      </w:r>
      <w:r>
        <w:rPr>
          <w:rFonts w:hint="eastAsia" w:ascii="宋体" w:hAnsi="宋体" w:eastAsia="宋体" w:cs="宋体"/>
          <w:color w:val="auto"/>
          <w:sz w:val="24"/>
          <w:szCs w:val="24"/>
        </w:rPr>
        <w:t>和档案，特种动植物，农林牧渔业产品，矿与矿物，电力、城市燃气、蒸汽和热水、水，食品、饮料和烟草原料，无形资产</w:t>
      </w:r>
      <w:r>
        <w:rPr>
          <w:rFonts w:hint="eastAsia" w:ascii="宋体" w:hAnsi="宋体" w:eastAsia="宋体" w:cs="宋体"/>
          <w:color w:val="auto"/>
          <w:sz w:val="24"/>
          <w:szCs w:val="24"/>
          <w:lang w:val="en-US" w:eastAsia="zh-CN"/>
        </w:rPr>
        <w:t>不计入</w:t>
      </w:r>
      <w:r>
        <w:rPr>
          <w:rFonts w:hint="eastAsia" w:ascii="宋体" w:hAnsi="宋体" w:eastAsia="宋体" w:cs="宋体"/>
          <w:b/>
          <w:bCs/>
          <w:color w:val="auto"/>
          <w:sz w:val="24"/>
          <w:szCs w:val="24"/>
        </w:rPr>
        <w:t>符合本国产品标准的产品成本之和</w:t>
      </w:r>
      <w:r>
        <w:rPr>
          <w:rFonts w:hint="eastAsia" w:ascii="宋体" w:hAnsi="宋体" w:eastAsia="宋体" w:cs="宋体"/>
          <w:b/>
          <w:bCs/>
          <w:color w:val="auto"/>
          <w:sz w:val="24"/>
          <w:szCs w:val="24"/>
          <w:lang w:val="en-US" w:eastAsia="zh-CN"/>
        </w:rPr>
        <w:t>及</w:t>
      </w:r>
      <w:r>
        <w:rPr>
          <w:rFonts w:hint="eastAsia" w:ascii="宋体" w:hAnsi="宋体" w:eastAsia="宋体" w:cs="宋体"/>
          <w:b/>
          <w:bCs/>
          <w:color w:val="auto"/>
          <w:sz w:val="24"/>
          <w:szCs w:val="24"/>
        </w:rPr>
        <w:t>全部产品成本之和</w:t>
      </w:r>
      <w:r>
        <w:rPr>
          <w:rFonts w:hint="eastAsia" w:ascii="宋体" w:hAnsi="宋体" w:eastAsia="宋体" w:cs="宋体"/>
          <w:b/>
          <w:bCs/>
          <w:color w:val="auto"/>
          <w:sz w:val="24"/>
          <w:szCs w:val="24"/>
          <w:lang w:val="en-US" w:eastAsia="zh-CN"/>
        </w:rPr>
        <w:t>计算范围。</w:t>
      </w:r>
    </w:p>
    <w:p w14:paraId="13D073E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2.供应商填写《关于符合本国产品标准的声明函》时，无需填写</w:t>
      </w:r>
      <w:r>
        <w:rPr>
          <w:rFonts w:hint="eastAsia" w:ascii="宋体" w:hAnsi="宋体" w:eastAsia="宋体" w:cs="宋体"/>
          <w:color w:val="auto"/>
          <w:sz w:val="24"/>
          <w:szCs w:val="24"/>
          <w:lang w:val="en-US" w:eastAsia="zh-CN"/>
        </w:rPr>
        <w:t>上述1项内容。</w:t>
      </w:r>
    </w:p>
    <w:p w14:paraId="5AB61FE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四、政策执行要求</w:t>
      </w:r>
    </w:p>
    <w:p w14:paraId="799897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（一）产品在中国境内生产的组件成本核算规则。产品在中国境内生产的组件成本，按照《中国境内生产的组件成本核算基本规则》计算。</w:t>
      </w:r>
    </w:p>
    <w:p w14:paraId="4AF33F06">
      <w:pPr>
        <w:shd w:val="clear" w:color="auto" w:fill="auto"/>
        <w:autoSpaceDE w:val="0"/>
        <w:autoSpaceDN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（二）中华人民共和国缔结或者共同参加的国际条约、协定对政府采购中本国产品政策另有规定的，按照有关条约、协定执行。</w:t>
      </w:r>
    </w:p>
    <w:p w14:paraId="01DA6E8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trike w:val="0"/>
          <w:dstrike w:val="0"/>
          <w:color w:val="auto"/>
          <w:kern w:val="2"/>
          <w:sz w:val="24"/>
          <w:szCs w:val="24"/>
        </w:rPr>
      </w:pPr>
      <w:r>
        <w:rPr>
          <w:rFonts w:hint="eastAsia" w:ascii="宋体" w:hAnsi="宋体" w:eastAsia="宋体" w:cs="宋体"/>
          <w:b/>
          <w:bCs/>
          <w:color w:val="auto"/>
          <w:sz w:val="24"/>
          <w:szCs w:val="24"/>
          <w:lang w:val="en-US" w:eastAsia="zh-CN"/>
        </w:rPr>
        <w:t xml:space="preserve">16.6 </w:t>
      </w:r>
      <w:r>
        <w:rPr>
          <w:rFonts w:hint="eastAsia" w:ascii="宋体" w:hAnsi="宋体" w:eastAsia="宋体" w:cs="宋体"/>
          <w:b/>
          <w:bCs/>
          <w:strike w:val="0"/>
          <w:dstrike w:val="0"/>
          <w:color w:val="auto"/>
          <w:kern w:val="2"/>
          <w:sz w:val="24"/>
          <w:szCs w:val="24"/>
          <w:lang w:val="en-US" w:eastAsia="zh-CN"/>
        </w:rPr>
        <w:t>政府采购异常低价审查</w:t>
      </w:r>
    </w:p>
    <w:p w14:paraId="2CD1D2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strike w:val="0"/>
          <w:dstrike w:val="0"/>
          <w:color w:val="auto"/>
          <w:kern w:val="2"/>
          <w:sz w:val="24"/>
          <w:szCs w:val="24"/>
          <w:lang w:val="en-US" w:eastAsia="zh-CN"/>
        </w:rPr>
        <w:t>（一）</w:t>
      </w:r>
      <w:r>
        <w:rPr>
          <w:rFonts w:hint="eastAsia" w:ascii="宋体" w:hAnsi="宋体" w:eastAsia="宋体" w:cs="宋体"/>
          <w:color w:val="auto"/>
          <w:kern w:val="2"/>
          <w:sz w:val="24"/>
          <w:szCs w:val="24"/>
          <w:lang w:val="en-US" w:eastAsia="zh-CN"/>
        </w:rPr>
        <w:t>政府采购评审中出现下列情形之一的，磋商小组应当启动异常低价响应审查程序：</w:t>
      </w:r>
    </w:p>
    <w:p w14:paraId="61E05B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1.响应报价（</w:t>
      </w:r>
      <w:r>
        <w:rPr>
          <w:rFonts w:hint="eastAsia" w:ascii="宋体" w:hAnsi="宋体" w:eastAsia="宋体" w:cs="宋体"/>
          <w:bCs/>
          <w:color w:val="auto"/>
          <w:sz w:val="24"/>
          <w:szCs w:val="24"/>
        </w:rPr>
        <w:t>最</w:t>
      </w:r>
      <w:r>
        <w:rPr>
          <w:rFonts w:hint="eastAsia" w:ascii="宋体" w:hAnsi="宋体" w:eastAsia="宋体" w:cs="宋体"/>
          <w:bCs/>
          <w:color w:val="auto"/>
          <w:sz w:val="24"/>
          <w:szCs w:val="24"/>
          <w:lang w:val="en-US" w:eastAsia="zh-CN"/>
        </w:rPr>
        <w:t>后</w:t>
      </w:r>
      <w:r>
        <w:rPr>
          <w:rFonts w:hint="eastAsia" w:ascii="宋体" w:hAnsi="宋体" w:eastAsia="宋体" w:cs="宋体"/>
          <w:color w:val="auto"/>
          <w:sz w:val="24"/>
          <w:szCs w:val="24"/>
        </w:rPr>
        <w:t>报价</w:t>
      </w:r>
      <w:r>
        <w:rPr>
          <w:rFonts w:hint="eastAsia" w:ascii="宋体" w:hAnsi="宋体" w:eastAsia="宋体" w:cs="宋体"/>
          <w:color w:val="auto"/>
          <w:kern w:val="2"/>
          <w:sz w:val="24"/>
          <w:szCs w:val="24"/>
          <w:lang w:val="en-US" w:eastAsia="zh-CN"/>
        </w:rPr>
        <w:t>）低于全部通过符合性审查供应商响应报价平均值50%的，即响应报价&lt;全部通过符合性审查供应商响应报价平均值×50%；</w:t>
      </w:r>
    </w:p>
    <w:p w14:paraId="78B32F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2.响应报价（</w:t>
      </w:r>
      <w:r>
        <w:rPr>
          <w:rFonts w:hint="eastAsia" w:ascii="宋体" w:hAnsi="宋体" w:eastAsia="宋体" w:cs="宋体"/>
          <w:bCs/>
          <w:color w:val="auto"/>
          <w:sz w:val="24"/>
          <w:szCs w:val="24"/>
        </w:rPr>
        <w:t>最</w:t>
      </w:r>
      <w:r>
        <w:rPr>
          <w:rFonts w:hint="eastAsia" w:ascii="宋体" w:hAnsi="宋体" w:eastAsia="宋体" w:cs="宋体"/>
          <w:bCs/>
          <w:color w:val="auto"/>
          <w:sz w:val="24"/>
          <w:szCs w:val="24"/>
          <w:lang w:val="en-US" w:eastAsia="zh-CN"/>
        </w:rPr>
        <w:t>后</w:t>
      </w:r>
      <w:r>
        <w:rPr>
          <w:rFonts w:hint="eastAsia" w:ascii="宋体" w:hAnsi="宋体" w:eastAsia="宋体" w:cs="宋体"/>
          <w:color w:val="auto"/>
          <w:sz w:val="24"/>
          <w:szCs w:val="24"/>
        </w:rPr>
        <w:t>报价</w:t>
      </w:r>
      <w:r>
        <w:rPr>
          <w:rFonts w:hint="eastAsia" w:ascii="宋体" w:hAnsi="宋体" w:eastAsia="宋体" w:cs="宋体"/>
          <w:color w:val="auto"/>
          <w:kern w:val="2"/>
          <w:sz w:val="24"/>
          <w:szCs w:val="24"/>
          <w:lang w:val="en-US" w:eastAsia="zh-CN"/>
        </w:rPr>
        <w:t>）低于通过符合性审查的次低报价供应商响应报价50%的，即响应报价&lt;通过符合性审查的次低报价供应商响应报价×50%；</w:t>
      </w:r>
    </w:p>
    <w:p w14:paraId="39EF4B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3.响应报价（</w:t>
      </w:r>
      <w:r>
        <w:rPr>
          <w:rFonts w:hint="eastAsia" w:ascii="宋体" w:hAnsi="宋体" w:eastAsia="宋体" w:cs="宋体"/>
          <w:bCs/>
          <w:color w:val="auto"/>
          <w:sz w:val="24"/>
          <w:szCs w:val="24"/>
        </w:rPr>
        <w:t>最</w:t>
      </w:r>
      <w:r>
        <w:rPr>
          <w:rFonts w:hint="eastAsia" w:ascii="宋体" w:hAnsi="宋体" w:eastAsia="宋体" w:cs="宋体"/>
          <w:bCs/>
          <w:color w:val="auto"/>
          <w:sz w:val="24"/>
          <w:szCs w:val="24"/>
          <w:lang w:val="en-US" w:eastAsia="zh-CN"/>
        </w:rPr>
        <w:t>后</w:t>
      </w:r>
      <w:r>
        <w:rPr>
          <w:rFonts w:hint="eastAsia" w:ascii="宋体" w:hAnsi="宋体" w:eastAsia="宋体" w:cs="宋体"/>
          <w:color w:val="auto"/>
          <w:sz w:val="24"/>
          <w:szCs w:val="24"/>
        </w:rPr>
        <w:t>报价</w:t>
      </w:r>
      <w:r>
        <w:rPr>
          <w:rFonts w:hint="eastAsia" w:ascii="宋体" w:hAnsi="宋体" w:eastAsia="宋体" w:cs="宋体"/>
          <w:color w:val="auto"/>
          <w:kern w:val="2"/>
          <w:sz w:val="24"/>
          <w:szCs w:val="24"/>
          <w:lang w:val="en-US" w:eastAsia="zh-CN"/>
        </w:rPr>
        <w:t>）低于采购项目最高限价65%的，即响应报价&lt;采购项目最高限价×65%；</w:t>
      </w:r>
    </w:p>
    <w:p w14:paraId="68BD22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4.磋商小组基于专业判断，认为供应商报价过低，有可能影响产品质量或者不能诚信履约的其他情形。</w:t>
      </w:r>
    </w:p>
    <w:p w14:paraId="52ADB8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相关法律法规对供应商报价有规定的，从其规定。</w:t>
      </w:r>
    </w:p>
    <w:p w14:paraId="012AF0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（二）磋商小组启动异常低价响应审查后，属于前述第1项至第4项情形的，应当要求相关供应商</w:t>
      </w:r>
      <w:r>
        <w:rPr>
          <w:rFonts w:hint="eastAsia" w:ascii="宋体" w:hAnsi="宋体" w:eastAsia="宋体" w:cs="宋体"/>
          <w:b/>
          <w:bCs/>
          <w:color w:val="auto"/>
          <w:kern w:val="2"/>
          <w:sz w:val="24"/>
          <w:szCs w:val="24"/>
          <w:lang w:val="en-US" w:eastAsia="zh-CN"/>
        </w:rPr>
        <w:t>在电子交易系统中（时间为60分钟）</w:t>
      </w:r>
      <w:r>
        <w:rPr>
          <w:rFonts w:hint="eastAsia" w:ascii="宋体" w:hAnsi="宋体" w:eastAsia="宋体" w:cs="宋体"/>
          <w:color w:val="auto"/>
          <w:kern w:val="2"/>
          <w:sz w:val="24"/>
          <w:szCs w:val="24"/>
          <w:lang w:val="en-US" w:eastAsia="zh-CN"/>
        </w:rPr>
        <w:t>对响应价格作出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5805FB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磋商小组依据专业经验，参考同类项目成交价格、类似产品市场价格水平、行业人工费用标准、国家有关部门指导行业协会发布的行业平均成本等情况，对报价合理性进行判断。供应商</w:t>
      </w:r>
      <w:r>
        <w:rPr>
          <w:rFonts w:hint="eastAsia" w:ascii="宋体" w:hAnsi="宋体" w:eastAsia="宋体" w:cs="宋体"/>
          <w:b/>
          <w:bCs/>
          <w:color w:val="auto"/>
          <w:kern w:val="2"/>
          <w:sz w:val="24"/>
          <w:szCs w:val="24"/>
        </w:rPr>
        <w:t>未在规定时间内</w:t>
      </w:r>
      <w:r>
        <w:rPr>
          <w:rFonts w:hint="eastAsia" w:ascii="宋体" w:hAnsi="宋体" w:eastAsia="宋体" w:cs="宋体"/>
          <w:color w:val="auto"/>
          <w:kern w:val="2"/>
          <w:sz w:val="24"/>
          <w:szCs w:val="24"/>
          <w:lang w:val="en-US" w:eastAsia="zh-CN"/>
        </w:rPr>
        <w:t>提供书面说明、证明材料，或者提供的书面说明、证明材料不能证明其报价合理性的，磋商小组应当将其作为无效响应处理。</w:t>
      </w:r>
    </w:p>
    <w:p w14:paraId="0313E0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采购人、采购代理机构应当为磋商小组在评审现场及时获取同类项目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5FA4DB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异常低价响应审查的启动原因、审查意见和审查结果应当在评审报告中记录，并随供应商提供的相关书面说明及证明材料，以及磋商小组有关互联网浏览、查询历史一并归档。</w:t>
      </w:r>
    </w:p>
    <w:p w14:paraId="63B3CE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rPr>
        <w:t>（三）财政部门在投诉处理、监督检查中发现磋商小组未按规定对异常低价开展审查的，依法予以纠正并追究评审专家的法律责任。</w:t>
      </w:r>
    </w:p>
    <w:p w14:paraId="51C2D8AA">
      <w:pPr>
        <w:widowControl/>
        <w:spacing w:line="360" w:lineRule="auto"/>
        <w:ind w:firstLine="0" w:firstLineChars="0"/>
        <w:jc w:val="left"/>
        <w:outlineLvl w:val="2"/>
        <w:rPr>
          <w:rFonts w:hint="eastAsia" w:ascii="宋体" w:hAnsi="宋体" w:eastAsia="宋体" w:cs="宋体"/>
          <w:b/>
          <w:bCs/>
          <w:color w:val="auto"/>
          <w:sz w:val="24"/>
          <w:szCs w:val="24"/>
        </w:rPr>
      </w:pPr>
      <w:bookmarkStart w:id="118" w:name="_Toc376936755"/>
      <w:bookmarkStart w:id="119" w:name="_Toc325726024"/>
      <w:bookmarkStart w:id="120" w:name="_Toc13668"/>
      <w:bookmarkStart w:id="121" w:name="_Toc5794"/>
      <w:bookmarkStart w:id="122" w:name="_Toc20611"/>
      <w:r>
        <w:rPr>
          <w:rFonts w:hint="eastAsia" w:ascii="宋体" w:hAnsi="宋体" w:eastAsia="宋体" w:cs="宋体"/>
          <w:b/>
          <w:bCs/>
          <w:color w:val="auto"/>
          <w:sz w:val="24"/>
          <w:szCs w:val="24"/>
        </w:rPr>
        <w:t>17.评审办法</w:t>
      </w:r>
      <w:bookmarkEnd w:id="118"/>
      <w:bookmarkEnd w:id="119"/>
      <w:bookmarkEnd w:id="120"/>
      <w:bookmarkEnd w:id="121"/>
      <w:bookmarkEnd w:id="122"/>
    </w:p>
    <w:p w14:paraId="6CB0DB8D">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17.1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依照《中华人民共和国政府采购法》、《中华人民共和国政府采购法实施条例》、《政府采购竞争性磋商采购方式管理暂行办法》的规定，结合该项目的特点制定本评审办法。本次评审采用综合评分法。</w:t>
      </w:r>
    </w:p>
    <w:p w14:paraId="484F9021">
      <w:pPr>
        <w:spacing w:line="360" w:lineRule="auto"/>
        <w:ind w:firstLine="0" w:firstLineChars="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17.2</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评审标准和分值分配：</w:t>
      </w:r>
    </w:p>
    <w:tbl>
      <w:tblPr>
        <w:tblStyle w:val="25"/>
        <w:tblW w:w="10205" w:type="dxa"/>
        <w:jc w:val="center"/>
        <w:tblLayout w:type="fixed"/>
        <w:tblCellMar>
          <w:top w:w="0" w:type="dxa"/>
          <w:left w:w="20" w:type="dxa"/>
          <w:bottom w:w="0" w:type="dxa"/>
          <w:right w:w="20" w:type="dxa"/>
        </w:tblCellMar>
      </w:tblPr>
      <w:tblGrid>
        <w:gridCol w:w="715"/>
        <w:gridCol w:w="1168"/>
        <w:gridCol w:w="8322"/>
      </w:tblGrid>
      <w:tr w14:paraId="33B46A52">
        <w:tblPrEx>
          <w:tblCellMar>
            <w:top w:w="0" w:type="dxa"/>
            <w:left w:w="20" w:type="dxa"/>
            <w:bottom w:w="0" w:type="dxa"/>
            <w:right w:w="20" w:type="dxa"/>
          </w:tblCellMar>
        </w:tblPrEx>
        <w:trPr>
          <w:trHeight w:val="23" w:hRule="atLeast"/>
          <w:jc w:val="center"/>
        </w:trPr>
        <w:tc>
          <w:tcPr>
            <w:tcW w:w="715" w:type="dxa"/>
            <w:tcBorders>
              <w:top w:val="single" w:color="000000" w:sz="6" w:space="0"/>
              <w:left w:val="single" w:color="000000" w:sz="6" w:space="0"/>
              <w:bottom w:val="single" w:color="000000" w:sz="6" w:space="0"/>
              <w:right w:val="single" w:color="000000" w:sz="6" w:space="0"/>
            </w:tcBorders>
            <w:noWrap w:val="0"/>
            <w:vAlign w:val="center"/>
          </w:tcPr>
          <w:p w14:paraId="4E6DFD1F">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序号</w:t>
            </w:r>
          </w:p>
        </w:tc>
        <w:tc>
          <w:tcPr>
            <w:tcW w:w="1168" w:type="dxa"/>
            <w:tcBorders>
              <w:top w:val="single" w:color="000000" w:sz="6" w:space="0"/>
              <w:left w:val="single" w:color="000000" w:sz="6" w:space="0"/>
              <w:bottom w:val="single" w:color="000000" w:sz="6" w:space="0"/>
              <w:right w:val="single" w:color="000000" w:sz="6" w:space="0"/>
            </w:tcBorders>
            <w:noWrap w:val="0"/>
            <w:vAlign w:val="center"/>
          </w:tcPr>
          <w:p w14:paraId="054A6AF2">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zh-CN"/>
              </w:rPr>
              <w:t>评审</w:t>
            </w:r>
            <w:r>
              <w:rPr>
                <w:rFonts w:hint="eastAsia" w:ascii="宋体" w:hAnsi="宋体" w:eastAsia="宋体" w:cs="宋体"/>
                <w:b/>
                <w:bCs/>
                <w:color w:val="auto"/>
                <w:sz w:val="24"/>
                <w:szCs w:val="24"/>
              </w:rPr>
              <w:t>因素</w:t>
            </w:r>
          </w:p>
        </w:tc>
        <w:tc>
          <w:tcPr>
            <w:tcW w:w="8322" w:type="dxa"/>
            <w:tcBorders>
              <w:top w:val="single" w:color="000000" w:sz="6" w:space="0"/>
              <w:left w:val="single" w:color="000000" w:sz="6" w:space="0"/>
              <w:bottom w:val="single" w:color="000000" w:sz="6" w:space="0"/>
              <w:right w:val="single" w:color="000000" w:sz="6" w:space="0"/>
            </w:tcBorders>
            <w:noWrap w:val="0"/>
            <w:vAlign w:val="center"/>
          </w:tcPr>
          <w:p w14:paraId="4F0F1FF5">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评审标准</w:t>
            </w:r>
          </w:p>
        </w:tc>
      </w:tr>
      <w:tr w14:paraId="340DC480">
        <w:tblPrEx>
          <w:tblCellMar>
            <w:top w:w="0" w:type="dxa"/>
            <w:left w:w="20" w:type="dxa"/>
            <w:bottom w:w="0" w:type="dxa"/>
            <w:right w:w="20" w:type="dxa"/>
          </w:tblCellMar>
        </w:tblPrEx>
        <w:trPr>
          <w:trHeight w:val="23" w:hRule="atLeast"/>
          <w:jc w:val="center"/>
        </w:trPr>
        <w:tc>
          <w:tcPr>
            <w:tcW w:w="715" w:type="dxa"/>
            <w:tcBorders>
              <w:top w:val="single" w:color="000000" w:sz="6" w:space="0"/>
              <w:left w:val="single" w:color="000000" w:sz="6" w:space="0"/>
              <w:bottom w:val="single" w:color="auto" w:sz="4" w:space="0"/>
              <w:right w:val="single" w:color="000000" w:sz="6" w:space="0"/>
            </w:tcBorders>
            <w:noWrap w:val="0"/>
            <w:vAlign w:val="center"/>
          </w:tcPr>
          <w:p w14:paraId="1A3A1A77">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p>
        </w:tc>
        <w:tc>
          <w:tcPr>
            <w:tcW w:w="1168" w:type="dxa"/>
            <w:tcBorders>
              <w:top w:val="single" w:color="000000" w:sz="6" w:space="0"/>
              <w:left w:val="single" w:color="000000" w:sz="6" w:space="0"/>
              <w:bottom w:val="single" w:color="auto" w:sz="4" w:space="0"/>
              <w:right w:val="single" w:color="000000" w:sz="6" w:space="0"/>
            </w:tcBorders>
            <w:noWrap w:val="0"/>
            <w:vAlign w:val="center"/>
          </w:tcPr>
          <w:p w14:paraId="0139D44A">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磋商报价</w:t>
            </w:r>
            <w:r>
              <w:rPr>
                <w:rFonts w:hint="eastAsia" w:ascii="宋体" w:hAnsi="宋体" w:eastAsia="宋体" w:cs="宋体"/>
                <w:b/>
                <w:bCs/>
                <w:color w:val="auto"/>
                <w:sz w:val="24"/>
                <w:szCs w:val="24"/>
                <w:shd w:val="clear" w:color="auto" w:fill="FFFFFF"/>
              </w:rPr>
              <w:t>(</w:t>
            </w:r>
            <w:r>
              <w:rPr>
                <w:rFonts w:hint="eastAsia" w:ascii="宋体" w:hAnsi="宋体" w:eastAsia="宋体" w:cs="宋体"/>
                <w:b/>
                <w:bCs/>
                <w:color w:val="auto"/>
                <w:sz w:val="24"/>
                <w:szCs w:val="24"/>
              </w:rPr>
              <w:t>30分</w:t>
            </w:r>
            <w:r>
              <w:rPr>
                <w:rFonts w:hint="eastAsia" w:ascii="宋体" w:hAnsi="宋体" w:eastAsia="宋体" w:cs="宋体"/>
                <w:b/>
                <w:bCs/>
                <w:color w:val="auto"/>
                <w:sz w:val="24"/>
                <w:szCs w:val="24"/>
                <w:shd w:val="clear" w:color="auto" w:fill="FFFFFF"/>
              </w:rPr>
              <w:t>)</w:t>
            </w:r>
          </w:p>
        </w:tc>
        <w:tc>
          <w:tcPr>
            <w:tcW w:w="8322" w:type="dxa"/>
            <w:tcBorders>
              <w:top w:val="single" w:color="000000" w:sz="6" w:space="0"/>
              <w:left w:val="single" w:color="000000" w:sz="6" w:space="0"/>
              <w:bottom w:val="single" w:color="auto" w:sz="4" w:space="0"/>
              <w:right w:val="single" w:color="000000" w:sz="6" w:space="0"/>
            </w:tcBorders>
            <w:noWrap w:val="0"/>
            <w:vAlign w:val="top"/>
          </w:tcPr>
          <w:p w14:paraId="4C841547">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满足磋商文件要求且最后报价最低的供应商的价格为磋商基准价，其价格分为满分。其他供应商的价格分统一按照下列公式计算：</w:t>
            </w:r>
          </w:p>
          <w:p w14:paraId="1F3A9DC7">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磋商报价得分=（磋商基准价/最后磋商报价）×</w:t>
            </w:r>
            <w:r>
              <w:rPr>
                <w:rFonts w:hint="eastAsia" w:ascii="宋体" w:hAnsi="宋体" w:eastAsia="宋体" w:cs="宋体"/>
                <w:color w:val="auto"/>
                <w:sz w:val="24"/>
                <w:szCs w:val="24"/>
                <w:lang w:val="en-US" w:eastAsia="zh-CN"/>
              </w:rPr>
              <w:t>30</w:t>
            </w:r>
          </w:p>
          <w:p w14:paraId="7F62C950">
            <w:pPr>
              <w:pStyle w:val="21"/>
              <w:kinsoku/>
              <w:autoSpaceDE/>
              <w:autoSpaceDN/>
              <w:adjustRightInd/>
              <w:snapToGrid/>
              <w:spacing w:before="0" w:beforeAutospacing="0" w:after="0" w:afterAutospacing="0" w:line="240" w:lineRule="auto"/>
              <w:ind w:left="0" w:leftChars="0" w:firstLine="0" w:firstLineChars="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w:t>
            </w:r>
          </w:p>
          <w:p w14:paraId="457CE41F">
            <w:pPr>
              <w:pStyle w:val="21"/>
              <w:kinsoku/>
              <w:autoSpaceDE/>
              <w:autoSpaceDN/>
              <w:adjustRightInd/>
              <w:snapToGrid/>
              <w:spacing w:before="0" w:beforeAutospacing="0" w:after="0" w:afterAutospacing="0" w:line="24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1.对符合《政府采购促进中小企业发展管理办法》规定的小微企业的报价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rPr>
              <w:t>最后报价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，残疾人福利性单位、监狱企业的报价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rPr>
              <w:t>最后报价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给予10%的扣除，用扣除后的价格计算</w:t>
            </w:r>
            <w:r>
              <w:rPr>
                <w:rFonts w:hint="eastAsia" w:ascii="宋体" w:hAnsi="宋体" w:eastAsia="宋体" w:cs="宋体"/>
                <w:color w:val="auto"/>
                <w:sz w:val="24"/>
                <w:szCs w:val="24"/>
                <w:lang w:eastAsia="zh-CN"/>
              </w:rPr>
              <w:t>磋商报价</w:t>
            </w:r>
            <w:r>
              <w:rPr>
                <w:rFonts w:hint="eastAsia" w:ascii="宋体" w:hAnsi="宋体" w:eastAsia="宋体" w:cs="宋体"/>
                <w:color w:val="auto"/>
                <w:sz w:val="24"/>
                <w:szCs w:val="24"/>
              </w:rPr>
              <w:t>得分，须提供《中小企业声明函》、《残疾人福利性单位声明函》、监狱企业证明材料。</w:t>
            </w:r>
          </w:p>
          <w:p w14:paraId="15B20D91">
            <w:pPr>
              <w:pStyle w:val="21"/>
              <w:kinsoku/>
              <w:autoSpaceDE/>
              <w:autoSpaceDN/>
              <w:adjustRightInd/>
              <w:snapToGrid/>
              <w:spacing w:before="0" w:beforeAutospacing="0" w:after="0" w:afterAutospacing="0" w:line="24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2.对符合《国务院办公厅关于在政府采购中实施本国产品标准及相关政策的通知》规定的本国产品的报价给予20%的扣除，用扣除后的价格计算</w:t>
            </w:r>
            <w:r>
              <w:rPr>
                <w:rFonts w:hint="eastAsia" w:ascii="宋体" w:hAnsi="宋体" w:eastAsia="宋体" w:cs="宋体"/>
                <w:color w:val="auto"/>
                <w:sz w:val="24"/>
                <w:szCs w:val="24"/>
                <w:lang w:eastAsia="zh-CN"/>
              </w:rPr>
              <w:t>磋商报价</w:t>
            </w:r>
            <w:r>
              <w:rPr>
                <w:rFonts w:hint="eastAsia" w:ascii="宋体" w:hAnsi="宋体" w:eastAsia="宋体" w:cs="宋体"/>
                <w:color w:val="auto"/>
                <w:sz w:val="24"/>
                <w:szCs w:val="24"/>
              </w:rPr>
              <w:t>得分，须提供《关于符合本国产品标准的声明函》或财政部会同有关部门规定的有关证明文件和符合本国产品标准的产品成本之和占全部产品成本之和的比例达到80%以上（含80%）的承诺函（格式自拟）。</w:t>
            </w:r>
          </w:p>
          <w:p w14:paraId="4333D235">
            <w:pPr>
              <w:pStyle w:val="21"/>
              <w:kinsoku/>
              <w:autoSpaceDE/>
              <w:autoSpaceDN/>
              <w:adjustRightInd/>
              <w:snapToGrid/>
              <w:spacing w:before="0" w:beforeAutospacing="0" w:after="0" w:afterAutospacing="0" w:line="240" w:lineRule="auto"/>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3.同时满足上述条款的，价格评审优惠叠加计算。例如，供应商</w:t>
            </w:r>
            <w:r>
              <w:rPr>
                <w:rFonts w:hint="eastAsia" w:ascii="宋体" w:hAnsi="宋体" w:eastAsia="宋体" w:cs="宋体"/>
                <w:color w:val="auto"/>
                <w:sz w:val="24"/>
                <w:szCs w:val="24"/>
                <w:lang w:val="en-US" w:eastAsia="zh-CN"/>
              </w:rPr>
              <w:t>最后报价</w:t>
            </w:r>
            <w:r>
              <w:rPr>
                <w:rFonts w:hint="eastAsia" w:ascii="宋体" w:hAnsi="宋体" w:eastAsia="宋体" w:cs="宋体"/>
                <w:color w:val="auto"/>
                <w:sz w:val="24"/>
                <w:szCs w:val="24"/>
              </w:rPr>
              <w:t>为100万元，评审价格=100万元×(1-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0%-20%)=</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0万元</w:t>
            </w:r>
            <w:r>
              <w:rPr>
                <w:rFonts w:hint="eastAsia" w:ascii="宋体" w:hAnsi="宋体" w:eastAsia="宋体" w:cs="宋体"/>
                <w:color w:val="auto"/>
                <w:sz w:val="24"/>
                <w:szCs w:val="24"/>
                <w:lang w:eastAsia="zh-CN"/>
              </w:rPr>
              <w:t>。</w:t>
            </w:r>
          </w:p>
          <w:p w14:paraId="152D9DB6">
            <w:pPr>
              <w:pStyle w:val="10"/>
              <w:spacing w:line="240" w:lineRule="auto"/>
              <w:ind w:left="0" w:leftChars="0" w:firstLine="0" w:firstLineChars="0"/>
              <w:rPr>
                <w:rFonts w:hint="eastAsia" w:ascii="宋体" w:hAnsi="宋体" w:eastAsia="宋体" w:cs="宋体"/>
                <w:color w:val="auto"/>
                <w:lang w:eastAsia="zh-CN"/>
              </w:rPr>
            </w:pPr>
            <w:r>
              <w:rPr>
                <w:rFonts w:hint="eastAsia" w:ascii="宋体" w:hAnsi="宋体" w:eastAsia="宋体" w:cs="宋体"/>
                <w:color w:val="auto"/>
                <w:sz w:val="24"/>
                <w:szCs w:val="24"/>
              </w:rPr>
              <w:t>4.残疾人福利性单位（监狱企业）属于小型、微型企业的，不重复享受政策。</w:t>
            </w:r>
          </w:p>
        </w:tc>
      </w:tr>
      <w:tr w14:paraId="4B78D7B5">
        <w:tblPrEx>
          <w:tblCellMar>
            <w:top w:w="0" w:type="dxa"/>
            <w:left w:w="20" w:type="dxa"/>
            <w:bottom w:w="0" w:type="dxa"/>
            <w:right w:w="20" w:type="dxa"/>
          </w:tblCellMar>
        </w:tblPrEx>
        <w:trPr>
          <w:trHeight w:val="23"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0FDCD20B">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362906BB">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技术水平</w:t>
            </w:r>
          </w:p>
          <w:p w14:paraId="6AA62C1D">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w:t>
            </w:r>
            <w:r>
              <w:rPr>
                <w:rFonts w:hint="eastAsia" w:ascii="宋体" w:hAnsi="宋体" w:eastAsia="宋体" w:cs="宋体"/>
                <w:b/>
                <w:bCs/>
                <w:color w:val="auto"/>
                <w:sz w:val="24"/>
                <w:szCs w:val="24"/>
                <w:lang w:val="en-US" w:eastAsia="zh-CN"/>
              </w:rPr>
              <w:t>52</w:t>
            </w:r>
            <w:r>
              <w:rPr>
                <w:rFonts w:hint="eastAsia" w:ascii="宋体" w:hAnsi="宋体" w:eastAsia="宋体" w:cs="宋体"/>
                <w:b/>
                <w:bCs/>
                <w:color w:val="auto"/>
                <w:sz w:val="24"/>
                <w:szCs w:val="24"/>
              </w:rPr>
              <w:t>分</w:t>
            </w:r>
            <w:r>
              <w:rPr>
                <w:rFonts w:hint="eastAsia" w:ascii="宋体" w:hAnsi="宋体" w:eastAsia="宋体" w:cs="宋体"/>
                <w:b/>
                <w:bCs/>
                <w:color w:val="auto"/>
                <w:sz w:val="24"/>
                <w:szCs w:val="24"/>
                <w:lang w:val="zh-CN"/>
              </w:rPr>
              <w:t>）</w:t>
            </w:r>
          </w:p>
        </w:tc>
        <w:tc>
          <w:tcPr>
            <w:tcW w:w="8322" w:type="dxa"/>
            <w:tcBorders>
              <w:top w:val="single" w:color="auto" w:sz="4" w:space="0"/>
              <w:left w:val="single" w:color="auto" w:sz="4" w:space="0"/>
              <w:bottom w:val="single" w:color="auto" w:sz="4" w:space="0"/>
              <w:right w:val="single" w:color="auto" w:sz="4" w:space="0"/>
            </w:tcBorders>
            <w:noWrap w:val="0"/>
            <w:vAlign w:val="top"/>
          </w:tcPr>
          <w:p w14:paraId="7577D90B">
            <w:pPr>
              <w:pStyle w:val="16"/>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lang w:val="zh-CN" w:eastAsia="zh-CN"/>
              </w:rPr>
            </w:pPr>
            <w:r>
              <w:rPr>
                <w:rFonts w:hint="eastAsia" w:ascii="宋体" w:hAnsi="宋体" w:eastAsia="宋体" w:cs="宋体"/>
                <w:b/>
                <w:bCs/>
                <w:color w:val="auto"/>
                <w:sz w:val="24"/>
                <w:szCs w:val="24"/>
                <w:lang w:val="en-US" w:eastAsia="zh-CN"/>
              </w:rPr>
              <w:t>1.带▲</w:t>
            </w:r>
            <w:r>
              <w:rPr>
                <w:rFonts w:hint="eastAsia" w:ascii="宋体" w:hAnsi="宋体" w:eastAsia="宋体" w:cs="宋体"/>
                <w:b/>
                <w:bCs/>
                <w:color w:val="auto"/>
                <w:sz w:val="24"/>
                <w:szCs w:val="24"/>
                <w:lang w:val="zh-CN" w:eastAsia="zh-CN"/>
              </w:rPr>
              <w:t>技术参数（</w:t>
            </w:r>
            <w:r>
              <w:rPr>
                <w:rFonts w:hint="eastAsia" w:ascii="宋体" w:hAnsi="宋体" w:eastAsia="宋体" w:cs="宋体"/>
                <w:b/>
                <w:bCs/>
                <w:color w:val="auto"/>
                <w:sz w:val="24"/>
                <w:szCs w:val="24"/>
                <w:lang w:val="en-US" w:eastAsia="zh-CN"/>
              </w:rPr>
              <w:t>重要技术参数</w:t>
            </w:r>
            <w:r>
              <w:rPr>
                <w:rFonts w:hint="eastAsia" w:ascii="宋体" w:hAnsi="宋体" w:eastAsia="宋体" w:cs="宋体"/>
                <w:b/>
                <w:bCs/>
                <w:color w:val="auto"/>
                <w:sz w:val="24"/>
                <w:szCs w:val="24"/>
                <w:lang w:val="zh-CN"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lang w:val="zh-CN" w:eastAsia="zh-CN"/>
              </w:rPr>
              <w:t>（</w:t>
            </w:r>
            <w:r>
              <w:rPr>
                <w:rFonts w:hint="eastAsia" w:ascii="宋体" w:hAnsi="宋体" w:eastAsia="宋体" w:cs="宋体"/>
                <w:b/>
                <w:bCs/>
                <w:color w:val="auto"/>
                <w:sz w:val="24"/>
                <w:szCs w:val="24"/>
                <w:lang w:val="en-US" w:eastAsia="zh-CN"/>
              </w:rPr>
              <w:t>30分</w:t>
            </w:r>
            <w:r>
              <w:rPr>
                <w:rFonts w:hint="eastAsia" w:ascii="宋体" w:hAnsi="宋体" w:eastAsia="宋体" w:cs="宋体"/>
                <w:b/>
                <w:bCs/>
                <w:color w:val="auto"/>
                <w:sz w:val="24"/>
                <w:szCs w:val="24"/>
                <w:lang w:val="zh-CN" w:eastAsia="zh-CN"/>
              </w:rPr>
              <w:t>）：</w:t>
            </w:r>
            <w:r>
              <w:rPr>
                <w:rFonts w:hint="eastAsia" w:ascii="宋体" w:hAnsi="宋体" w:eastAsia="宋体" w:cs="宋体"/>
                <w:b w:val="0"/>
                <w:bCs w:val="0"/>
                <w:color w:val="auto"/>
                <w:sz w:val="24"/>
                <w:szCs w:val="24"/>
                <w:lang w:val="zh-CN" w:eastAsia="zh-CN"/>
              </w:rPr>
              <w:t>投标产品技术参数、指标</w:t>
            </w:r>
            <w:r>
              <w:rPr>
                <w:rFonts w:hint="eastAsia" w:ascii="宋体" w:hAnsi="宋体" w:eastAsia="宋体" w:cs="宋体"/>
                <w:color w:val="auto"/>
                <w:sz w:val="24"/>
                <w:szCs w:val="24"/>
                <w:lang w:val="en-US" w:eastAsia="zh-CN"/>
              </w:rPr>
              <w:t>完全满足或高于磋商文件</w:t>
            </w:r>
            <w:r>
              <w:rPr>
                <w:rFonts w:hint="eastAsia" w:ascii="宋体" w:hAnsi="宋体" w:eastAsia="宋体" w:cs="宋体"/>
                <w:b w:val="0"/>
                <w:bCs w:val="0"/>
                <w:color w:val="auto"/>
                <w:sz w:val="24"/>
                <w:szCs w:val="24"/>
                <w:lang w:val="en-US" w:eastAsia="zh-CN"/>
              </w:rPr>
              <w:t>带</w:t>
            </w:r>
            <w:r>
              <w:rPr>
                <w:rFonts w:hint="eastAsia" w:ascii="宋体" w:hAnsi="宋体" w:eastAsia="宋体" w:cs="宋体"/>
                <w:color w:val="auto"/>
                <w:sz w:val="24"/>
                <w:szCs w:val="24"/>
                <w:lang w:val="en-US" w:eastAsia="zh-CN"/>
              </w:rPr>
              <w:t>▲</w:t>
            </w:r>
            <w:r>
              <w:rPr>
                <w:rFonts w:hint="eastAsia" w:ascii="宋体" w:hAnsi="宋体" w:eastAsia="宋体" w:cs="宋体"/>
                <w:b w:val="0"/>
                <w:bCs w:val="0"/>
                <w:color w:val="auto"/>
                <w:sz w:val="24"/>
                <w:szCs w:val="24"/>
                <w:lang w:val="zh-CN" w:eastAsia="zh-CN"/>
              </w:rPr>
              <w:t>技术参数、指标</w:t>
            </w:r>
            <w:r>
              <w:rPr>
                <w:rFonts w:hint="eastAsia" w:ascii="宋体" w:hAnsi="宋体" w:eastAsia="宋体" w:cs="宋体"/>
                <w:color w:val="auto"/>
                <w:sz w:val="24"/>
                <w:szCs w:val="24"/>
                <w:lang w:val="en-US" w:eastAsia="zh-CN"/>
              </w:rPr>
              <w:t>要求的得30分，每有一项负偏离扣2分，扣完为止。[</w:t>
            </w:r>
            <w:r>
              <w:rPr>
                <w:rFonts w:hint="eastAsia" w:ascii="宋体" w:hAnsi="宋体" w:eastAsia="宋体" w:cs="宋体"/>
                <w:color w:val="auto"/>
                <w:sz w:val="24"/>
                <w:szCs w:val="24"/>
                <w:lang w:val="zh-CN" w:eastAsia="zh-CN"/>
              </w:rPr>
              <w:t>此项评分参数中有要求的按其要求为依据，没有要求的以产品检验（检测）报告或</w:t>
            </w:r>
            <w:r>
              <w:rPr>
                <w:rFonts w:hint="eastAsia" w:ascii="宋体" w:hAnsi="宋体" w:eastAsia="宋体" w:cs="宋体"/>
                <w:color w:val="auto"/>
                <w:sz w:val="24"/>
                <w:szCs w:val="24"/>
                <w:lang w:val="en-US" w:eastAsia="zh-CN"/>
              </w:rPr>
              <w:t>生产</w:t>
            </w:r>
            <w:r>
              <w:rPr>
                <w:rFonts w:hint="eastAsia" w:ascii="宋体" w:hAnsi="宋体" w:eastAsia="宋体" w:cs="宋体"/>
                <w:color w:val="auto"/>
                <w:sz w:val="24"/>
                <w:szCs w:val="24"/>
                <w:lang w:val="zh-CN" w:eastAsia="zh-CN"/>
              </w:rPr>
              <w:t>厂家公开发布的</w:t>
            </w:r>
            <w:r>
              <w:rPr>
                <w:rFonts w:hint="eastAsia" w:ascii="宋体" w:hAnsi="宋体" w:eastAsia="宋体" w:cs="宋体"/>
                <w:color w:val="auto"/>
                <w:sz w:val="24"/>
                <w:szCs w:val="24"/>
                <w:lang w:val="en-US" w:eastAsia="zh-CN"/>
              </w:rPr>
              <w:t>产品彩页（技术白皮书）等技术</w:t>
            </w:r>
            <w:r>
              <w:rPr>
                <w:rFonts w:hint="eastAsia" w:ascii="宋体" w:hAnsi="宋体" w:eastAsia="宋体" w:cs="宋体"/>
                <w:color w:val="auto"/>
                <w:sz w:val="24"/>
                <w:szCs w:val="24"/>
                <w:lang w:val="zh-CN" w:eastAsia="zh-CN"/>
              </w:rPr>
              <w:t>参数证明材料</w:t>
            </w:r>
            <w:r>
              <w:rPr>
                <w:rFonts w:hint="eastAsia" w:ascii="宋体" w:hAnsi="宋体" w:eastAsia="宋体" w:cs="宋体"/>
                <w:color w:val="auto"/>
                <w:sz w:val="24"/>
                <w:szCs w:val="24"/>
                <w:lang w:val="en-US" w:eastAsia="zh-CN"/>
              </w:rPr>
              <w:t>为</w:t>
            </w:r>
            <w:r>
              <w:rPr>
                <w:rFonts w:hint="eastAsia" w:ascii="宋体" w:hAnsi="宋体" w:eastAsia="宋体" w:cs="宋体"/>
                <w:color w:val="auto"/>
                <w:sz w:val="24"/>
                <w:szCs w:val="24"/>
                <w:lang w:val="zh-CN" w:eastAsia="zh-CN"/>
              </w:rPr>
              <w:t>依据</w:t>
            </w:r>
            <w:r>
              <w:rPr>
                <w:rFonts w:hint="eastAsia" w:ascii="宋体" w:hAnsi="宋体" w:eastAsia="宋体" w:cs="宋体"/>
                <w:color w:val="auto"/>
                <w:sz w:val="24"/>
                <w:szCs w:val="24"/>
                <w:lang w:val="en-US" w:eastAsia="zh-CN"/>
              </w:rPr>
              <w:t>。]</w:t>
            </w:r>
          </w:p>
          <w:p w14:paraId="292261DA">
            <w:pPr>
              <w:pStyle w:val="16"/>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2.非带▲</w:t>
            </w:r>
            <w:r>
              <w:rPr>
                <w:rFonts w:hint="eastAsia" w:ascii="宋体" w:hAnsi="宋体" w:eastAsia="宋体" w:cs="宋体"/>
                <w:b/>
                <w:bCs/>
                <w:color w:val="auto"/>
                <w:sz w:val="24"/>
                <w:szCs w:val="24"/>
                <w:lang w:val="zh-CN" w:eastAsia="zh-CN"/>
              </w:rPr>
              <w:t>技术参数（</w:t>
            </w:r>
            <w:r>
              <w:rPr>
                <w:rFonts w:hint="eastAsia" w:ascii="宋体" w:hAnsi="宋体" w:eastAsia="宋体" w:cs="宋体"/>
                <w:b/>
                <w:bCs/>
                <w:color w:val="auto"/>
                <w:sz w:val="24"/>
                <w:szCs w:val="24"/>
                <w:lang w:val="en-US" w:eastAsia="zh-CN"/>
              </w:rPr>
              <w:t>一般性技术参数</w:t>
            </w:r>
            <w:r>
              <w:rPr>
                <w:rFonts w:hint="eastAsia" w:ascii="宋体" w:hAnsi="宋体" w:eastAsia="宋体" w:cs="宋体"/>
                <w:b/>
                <w:bCs/>
                <w:color w:val="auto"/>
                <w:sz w:val="24"/>
                <w:szCs w:val="24"/>
                <w:lang w:val="zh-CN"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lang w:val="zh-CN" w:eastAsia="zh-CN"/>
              </w:rPr>
              <w:t>（</w:t>
            </w:r>
            <w:r>
              <w:rPr>
                <w:rFonts w:hint="eastAsia" w:ascii="宋体" w:hAnsi="宋体" w:eastAsia="宋体" w:cs="宋体"/>
                <w:b/>
                <w:bCs/>
                <w:color w:val="auto"/>
                <w:sz w:val="24"/>
                <w:szCs w:val="24"/>
                <w:lang w:val="en-US" w:eastAsia="zh-CN"/>
              </w:rPr>
              <w:t>20分</w:t>
            </w:r>
            <w:r>
              <w:rPr>
                <w:rFonts w:hint="eastAsia" w:ascii="宋体" w:hAnsi="宋体" w:eastAsia="宋体" w:cs="宋体"/>
                <w:b/>
                <w:bCs/>
                <w:color w:val="auto"/>
                <w:sz w:val="24"/>
                <w:szCs w:val="24"/>
                <w:lang w:val="zh-CN" w:eastAsia="zh-CN"/>
              </w:rPr>
              <w:t>）：</w:t>
            </w:r>
            <w:r>
              <w:rPr>
                <w:rFonts w:hint="eastAsia" w:ascii="宋体" w:hAnsi="宋体" w:eastAsia="宋体" w:cs="宋体"/>
                <w:b w:val="0"/>
                <w:bCs w:val="0"/>
                <w:color w:val="auto"/>
                <w:sz w:val="24"/>
                <w:szCs w:val="24"/>
                <w:lang w:val="zh-CN" w:eastAsia="zh-CN"/>
              </w:rPr>
              <w:t>投标产品技术参数、指标</w:t>
            </w:r>
            <w:r>
              <w:rPr>
                <w:rFonts w:hint="eastAsia" w:ascii="宋体" w:hAnsi="宋体" w:eastAsia="宋体" w:cs="宋体"/>
                <w:color w:val="auto"/>
                <w:sz w:val="24"/>
                <w:szCs w:val="24"/>
                <w:lang w:val="en-US" w:eastAsia="zh-CN"/>
              </w:rPr>
              <w:t>完全满足或高于磋商文件非</w:t>
            </w:r>
            <w:r>
              <w:rPr>
                <w:rFonts w:hint="eastAsia" w:ascii="宋体" w:hAnsi="宋体" w:eastAsia="宋体" w:cs="宋体"/>
                <w:b w:val="0"/>
                <w:bCs w:val="0"/>
                <w:color w:val="auto"/>
                <w:sz w:val="24"/>
                <w:szCs w:val="24"/>
                <w:lang w:val="en-US" w:eastAsia="zh-CN"/>
              </w:rPr>
              <w:t>带</w:t>
            </w:r>
            <w:r>
              <w:rPr>
                <w:rFonts w:hint="eastAsia" w:ascii="宋体" w:hAnsi="宋体" w:eastAsia="宋体" w:cs="宋体"/>
                <w:color w:val="auto"/>
                <w:sz w:val="24"/>
                <w:szCs w:val="24"/>
                <w:lang w:val="en-US" w:eastAsia="zh-CN"/>
              </w:rPr>
              <w:t>▲</w:t>
            </w:r>
            <w:r>
              <w:rPr>
                <w:rFonts w:hint="eastAsia" w:ascii="宋体" w:hAnsi="宋体" w:eastAsia="宋体" w:cs="宋体"/>
                <w:b w:val="0"/>
                <w:bCs w:val="0"/>
                <w:color w:val="auto"/>
                <w:sz w:val="24"/>
                <w:szCs w:val="24"/>
                <w:lang w:val="zh-CN" w:eastAsia="zh-CN"/>
              </w:rPr>
              <w:t>技术参数、指标</w:t>
            </w:r>
            <w:r>
              <w:rPr>
                <w:rFonts w:hint="eastAsia" w:ascii="宋体" w:hAnsi="宋体" w:eastAsia="宋体" w:cs="宋体"/>
                <w:color w:val="auto"/>
                <w:sz w:val="24"/>
                <w:szCs w:val="24"/>
                <w:lang w:val="en-US" w:eastAsia="zh-CN"/>
              </w:rPr>
              <w:t>要求的得20分，每有一项负偏离扣1分，扣完为止。[</w:t>
            </w:r>
            <w:r>
              <w:rPr>
                <w:rFonts w:hint="eastAsia" w:ascii="宋体" w:hAnsi="宋体" w:eastAsia="宋体" w:cs="宋体"/>
                <w:color w:val="auto"/>
                <w:sz w:val="24"/>
                <w:szCs w:val="24"/>
                <w:lang w:val="zh-CN" w:eastAsia="zh-CN"/>
              </w:rPr>
              <w:t>此项评分参数中有要求的按其要求为依据，没有要求的以产品检验（检测）报告或</w:t>
            </w:r>
            <w:r>
              <w:rPr>
                <w:rFonts w:hint="eastAsia" w:ascii="宋体" w:hAnsi="宋体" w:eastAsia="宋体" w:cs="宋体"/>
                <w:color w:val="auto"/>
                <w:sz w:val="24"/>
                <w:szCs w:val="24"/>
                <w:lang w:val="en-US" w:eastAsia="zh-CN"/>
              </w:rPr>
              <w:t>生产</w:t>
            </w:r>
            <w:r>
              <w:rPr>
                <w:rFonts w:hint="eastAsia" w:ascii="宋体" w:hAnsi="宋体" w:eastAsia="宋体" w:cs="宋体"/>
                <w:color w:val="auto"/>
                <w:sz w:val="24"/>
                <w:szCs w:val="24"/>
                <w:lang w:val="zh-CN" w:eastAsia="zh-CN"/>
              </w:rPr>
              <w:t>厂家公开发布的</w:t>
            </w:r>
            <w:r>
              <w:rPr>
                <w:rFonts w:hint="eastAsia" w:ascii="宋体" w:hAnsi="宋体" w:eastAsia="宋体" w:cs="宋体"/>
                <w:color w:val="auto"/>
                <w:sz w:val="24"/>
                <w:szCs w:val="24"/>
                <w:lang w:val="en-US" w:eastAsia="zh-CN"/>
              </w:rPr>
              <w:t>产品彩页（技术白皮书）等技术</w:t>
            </w:r>
            <w:r>
              <w:rPr>
                <w:rFonts w:hint="eastAsia" w:ascii="宋体" w:hAnsi="宋体" w:eastAsia="宋体" w:cs="宋体"/>
                <w:color w:val="auto"/>
                <w:sz w:val="24"/>
                <w:szCs w:val="24"/>
                <w:lang w:val="zh-CN" w:eastAsia="zh-CN"/>
              </w:rPr>
              <w:t>参数证明材料</w:t>
            </w:r>
            <w:r>
              <w:rPr>
                <w:rFonts w:hint="eastAsia" w:ascii="宋体" w:hAnsi="宋体" w:eastAsia="宋体" w:cs="宋体"/>
                <w:color w:val="auto"/>
                <w:sz w:val="24"/>
                <w:szCs w:val="24"/>
                <w:lang w:val="en-US" w:eastAsia="zh-CN"/>
              </w:rPr>
              <w:t>为</w:t>
            </w:r>
            <w:r>
              <w:rPr>
                <w:rFonts w:hint="eastAsia" w:ascii="宋体" w:hAnsi="宋体" w:eastAsia="宋体" w:cs="宋体"/>
                <w:color w:val="auto"/>
                <w:sz w:val="24"/>
                <w:szCs w:val="24"/>
                <w:lang w:val="zh-CN" w:eastAsia="zh-CN"/>
              </w:rPr>
              <w:t>依据</w:t>
            </w:r>
            <w:r>
              <w:rPr>
                <w:rFonts w:hint="eastAsia" w:ascii="宋体" w:hAnsi="宋体" w:eastAsia="宋体" w:cs="宋体"/>
                <w:color w:val="auto"/>
                <w:sz w:val="24"/>
                <w:szCs w:val="24"/>
                <w:lang w:val="en-US" w:eastAsia="zh-CN"/>
              </w:rPr>
              <w:t>。]</w:t>
            </w:r>
          </w:p>
          <w:p w14:paraId="7CDC34B9">
            <w:pPr>
              <w:keepNext w:val="0"/>
              <w:keepLines w:val="0"/>
              <w:widowControl/>
              <w:suppressLineNumbers w:val="0"/>
              <w:spacing w:line="240" w:lineRule="auto"/>
              <w:ind w:left="0" w:leftChars="0" w:firstLine="0" w:firstLineChars="0"/>
              <w:jc w:val="left"/>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注：</w:t>
            </w:r>
            <w:r>
              <w:rPr>
                <w:rFonts w:hint="eastAsia" w:ascii="宋体" w:hAnsi="宋体" w:eastAsia="宋体" w:cs="宋体"/>
                <w:b w:val="0"/>
                <w:bCs w:val="0"/>
                <w:color w:val="auto"/>
                <w:sz w:val="24"/>
                <w:szCs w:val="24"/>
                <w:lang w:val="en-US" w:eastAsia="zh-CN"/>
              </w:rPr>
              <w:t>项是指技术参数中以一级数字、中文序号所含内容（如“1.……”“2.……”“3.……”，如“一、……”“二、……”“三”……）为一项（标题除外）；数字、中文序号下有多级序号的，以最小级数字序号所含内容为一项。</w:t>
            </w:r>
          </w:p>
          <w:p w14:paraId="11C6AB56">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3.节能和环保（2分）：</w:t>
            </w:r>
            <w:r>
              <w:rPr>
                <w:rFonts w:hint="eastAsia" w:ascii="宋体" w:hAnsi="宋体" w:eastAsia="宋体" w:cs="宋体"/>
                <w:b w:val="0"/>
                <w:bCs w:val="0"/>
                <w:color w:val="auto"/>
                <w:sz w:val="24"/>
                <w:szCs w:val="24"/>
                <w:lang w:val="en-US" w:eastAsia="zh-CN"/>
              </w:rPr>
              <w:t>所投产品属于《节能产品政府采购品目清单》范围内且获得国家确定的认证机构出具的、处于有效期之内的《节能产品认证证书》的得1分，所投产品属于《环境标志产品政府采购品目清单》范围内且获得国家确定的认证机构出具的、处于有效期之内的《环境标志产品认证证书》的得1分；否则不得分。</w:t>
            </w:r>
          </w:p>
          <w:p w14:paraId="482630D0">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注：</w:t>
            </w:r>
          </w:p>
          <w:p w14:paraId="4A820CC0">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1.《节能产品政府采购品目清单》以《财政部 发展改革委关于印发节能产品政府采购品目清单的通知》（财库〔2019〕19号）为准，《环境标志产品政府采购品目清单》以《财政部 生态环境部关于印发环境标志产品政府采购品目清单的通知》（财库〔2019〕18号）为准，认证机构以市场监管总局《关于发布参与实施政府采购节能产品、环境标志产品认证机构名录的公告》（2019年第16号）为准。</w:t>
            </w:r>
          </w:p>
          <w:p w14:paraId="19911224">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2.所投产品为政府强制采购产品（《节能产品政府采购品目清单》中“★”标注的产品）的实施政府强制采购，不得分。</w:t>
            </w:r>
          </w:p>
        </w:tc>
      </w:tr>
      <w:tr w14:paraId="7FD2F23D">
        <w:tblPrEx>
          <w:tblCellMar>
            <w:top w:w="0" w:type="dxa"/>
            <w:left w:w="20" w:type="dxa"/>
            <w:bottom w:w="0" w:type="dxa"/>
            <w:right w:w="20" w:type="dxa"/>
          </w:tblCellMar>
        </w:tblPrEx>
        <w:trPr>
          <w:trHeight w:val="23"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4440A0E8">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703A704">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履约能力</w:t>
            </w:r>
            <w:r>
              <w:rPr>
                <w:rFonts w:hint="eastAsia" w:ascii="宋体" w:hAnsi="宋体" w:eastAsia="宋体" w:cs="宋体"/>
                <w:b/>
                <w:bCs/>
                <w:color w:val="auto"/>
                <w:sz w:val="24"/>
                <w:szCs w:val="24"/>
                <w:shd w:val="clear" w:color="auto" w:fill="FFFFFF"/>
              </w:rPr>
              <w:t>(</w:t>
            </w:r>
            <w:r>
              <w:rPr>
                <w:rFonts w:hint="eastAsia" w:ascii="宋体" w:hAnsi="宋体" w:eastAsia="宋体" w:cs="宋体"/>
                <w:b/>
                <w:bCs/>
                <w:color w:val="auto"/>
                <w:sz w:val="24"/>
                <w:szCs w:val="24"/>
                <w:shd w:val="clear" w:color="auto" w:fill="FFFFFF"/>
                <w:lang w:val="en-US" w:eastAsia="zh-CN"/>
              </w:rPr>
              <w:t>14</w:t>
            </w:r>
            <w:r>
              <w:rPr>
                <w:rFonts w:hint="eastAsia" w:ascii="宋体" w:hAnsi="宋体" w:eastAsia="宋体" w:cs="宋体"/>
                <w:b/>
                <w:bCs/>
                <w:color w:val="auto"/>
                <w:sz w:val="24"/>
                <w:szCs w:val="24"/>
              </w:rPr>
              <w:t>分</w:t>
            </w:r>
            <w:r>
              <w:rPr>
                <w:rFonts w:hint="eastAsia" w:ascii="宋体" w:hAnsi="宋体" w:eastAsia="宋体" w:cs="宋体"/>
                <w:b/>
                <w:bCs/>
                <w:color w:val="auto"/>
                <w:sz w:val="24"/>
                <w:szCs w:val="24"/>
                <w:shd w:val="clear" w:color="auto" w:fill="FFFFFF"/>
              </w:rPr>
              <w:t>)</w:t>
            </w:r>
          </w:p>
        </w:tc>
        <w:tc>
          <w:tcPr>
            <w:tcW w:w="8322" w:type="dxa"/>
            <w:tcBorders>
              <w:top w:val="single" w:color="auto" w:sz="4" w:space="0"/>
              <w:left w:val="single" w:color="auto" w:sz="4" w:space="0"/>
              <w:bottom w:val="single" w:color="auto" w:sz="4" w:space="0"/>
              <w:right w:val="single" w:color="auto" w:sz="4" w:space="0"/>
            </w:tcBorders>
            <w:noWrap w:val="0"/>
            <w:vAlign w:val="top"/>
          </w:tcPr>
          <w:p w14:paraId="5D16F68E">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类似业绩（</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分）：</w:t>
            </w:r>
            <w:r>
              <w:rPr>
                <w:rFonts w:hint="eastAsia" w:ascii="宋体" w:hAnsi="宋体" w:eastAsia="宋体" w:cs="宋体"/>
                <w:color w:val="auto"/>
                <w:sz w:val="24"/>
                <w:szCs w:val="24"/>
              </w:rPr>
              <w:t>提供</w:t>
            </w:r>
            <w:r>
              <w:rPr>
                <w:rFonts w:hint="eastAsia" w:ascii="宋体" w:hAnsi="宋体" w:eastAsia="宋体" w:cs="宋体"/>
                <w:color w:val="auto"/>
                <w:sz w:val="24"/>
                <w:szCs w:val="24"/>
                <w:lang w:val="en-US" w:eastAsia="zh-CN"/>
              </w:rPr>
              <w:t>2023年1月1日至提交响应文件截止时间</w:t>
            </w:r>
            <w:r>
              <w:rPr>
                <w:rFonts w:hint="eastAsia" w:ascii="宋体" w:hAnsi="宋体" w:eastAsia="宋体" w:cs="宋体"/>
                <w:color w:val="auto"/>
                <w:sz w:val="24"/>
                <w:szCs w:val="24"/>
              </w:rPr>
              <w:t>前</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的类似业绩证明材料</w:t>
            </w:r>
            <w:r>
              <w:rPr>
                <w:rFonts w:hint="eastAsia" w:ascii="宋体" w:hAnsi="宋体" w:eastAsia="宋体" w:cs="宋体"/>
                <w:color w:val="auto"/>
                <w:sz w:val="24"/>
                <w:szCs w:val="24"/>
                <w:lang w:val="en-US" w:eastAsia="zh-CN"/>
              </w:rPr>
              <w:t>（类似业绩是指与采购项目在产品类型、使用功能等方面相同或相近的项目），</w:t>
            </w:r>
            <w:r>
              <w:rPr>
                <w:rFonts w:hint="eastAsia" w:ascii="宋体" w:hAnsi="宋体" w:eastAsia="宋体" w:cs="宋体"/>
                <w:color w:val="auto"/>
                <w:sz w:val="24"/>
                <w:szCs w:val="24"/>
              </w:rPr>
              <w:t>需提供包含合同首页、标的及金额所在页、供货合同签字盖章页的扫描件，</w:t>
            </w:r>
            <w:r>
              <w:rPr>
                <w:rFonts w:hint="eastAsia" w:ascii="宋体" w:hAnsi="宋体" w:eastAsia="宋体" w:cs="宋体"/>
                <w:b w:val="0"/>
                <w:bCs w:val="0"/>
                <w:color w:val="auto"/>
                <w:sz w:val="24"/>
                <w:szCs w:val="24"/>
              </w:rPr>
              <w:t>每提供</w:t>
            </w:r>
            <w:r>
              <w:rPr>
                <w:rFonts w:hint="eastAsia" w:ascii="宋体" w:hAnsi="宋体" w:eastAsia="宋体" w:cs="宋体"/>
                <w:color w:val="auto"/>
                <w:sz w:val="24"/>
                <w:szCs w:val="24"/>
              </w:rPr>
              <w:t>1份</w:t>
            </w:r>
            <w:r>
              <w:rPr>
                <w:rFonts w:hint="eastAsia" w:ascii="宋体" w:hAnsi="宋体" w:eastAsia="宋体" w:cs="宋体"/>
                <w:b w:val="0"/>
                <w:bCs w:val="0"/>
                <w:color w:val="auto"/>
                <w:sz w:val="24"/>
                <w:szCs w:val="24"/>
              </w:rPr>
              <w:t>得</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分,满分</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未</w:t>
            </w:r>
            <w:r>
              <w:rPr>
                <w:rFonts w:hint="eastAsia" w:ascii="宋体" w:hAnsi="宋体" w:eastAsia="宋体" w:cs="宋体"/>
                <w:color w:val="auto"/>
                <w:sz w:val="24"/>
                <w:szCs w:val="24"/>
              </w:rPr>
              <w:t>提供不得分。</w:t>
            </w:r>
          </w:p>
          <w:p w14:paraId="08C00751">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kern w:val="0"/>
                <w:sz w:val="24"/>
                <w:szCs w:val="24"/>
                <w:lang w:val="zh-CN" w:eastAsia="zh-CN" w:bidi="ar"/>
              </w:rPr>
            </w:pPr>
            <w:r>
              <w:rPr>
                <w:rFonts w:hint="eastAsia" w:ascii="宋体" w:hAnsi="宋体" w:eastAsia="宋体" w:cs="宋体"/>
                <w:b/>
                <w:bCs/>
                <w:color w:val="auto"/>
                <w:kern w:val="0"/>
                <w:sz w:val="24"/>
                <w:szCs w:val="24"/>
                <w:lang w:val="en-US" w:eastAsia="zh-CN" w:bidi="ar"/>
              </w:rPr>
              <w:t>2.</w:t>
            </w:r>
            <w:r>
              <w:rPr>
                <w:rFonts w:hint="eastAsia" w:ascii="宋体" w:hAnsi="宋体" w:eastAsia="宋体" w:cs="宋体"/>
                <w:b/>
                <w:bCs/>
                <w:color w:val="auto"/>
                <w:kern w:val="0"/>
                <w:sz w:val="24"/>
                <w:szCs w:val="24"/>
                <w:lang w:val="zh-CN" w:eastAsia="zh-CN" w:bidi="ar"/>
              </w:rPr>
              <w:t>项目管理及实施方案（</w:t>
            </w:r>
            <w:r>
              <w:rPr>
                <w:rFonts w:hint="eastAsia" w:ascii="宋体" w:hAnsi="宋体" w:eastAsia="宋体" w:cs="宋体"/>
                <w:b/>
                <w:bCs/>
                <w:color w:val="auto"/>
                <w:kern w:val="0"/>
                <w:sz w:val="24"/>
                <w:szCs w:val="24"/>
                <w:lang w:val="en-US" w:eastAsia="zh-CN" w:bidi="ar"/>
              </w:rPr>
              <w:t>5分</w:t>
            </w:r>
            <w:r>
              <w:rPr>
                <w:rFonts w:hint="eastAsia" w:ascii="宋体" w:hAnsi="宋体" w:eastAsia="宋体" w:cs="宋体"/>
                <w:b/>
                <w:bCs/>
                <w:color w:val="auto"/>
                <w:kern w:val="0"/>
                <w:sz w:val="24"/>
                <w:szCs w:val="24"/>
                <w:lang w:val="zh-CN" w:eastAsia="zh-CN" w:bidi="ar"/>
              </w:rPr>
              <w:t>）：</w:t>
            </w:r>
            <w:r>
              <w:rPr>
                <w:rFonts w:hint="eastAsia" w:ascii="宋体" w:hAnsi="宋体" w:eastAsia="宋体" w:cs="宋体"/>
                <w:color w:val="auto"/>
                <w:kern w:val="0"/>
                <w:sz w:val="24"/>
                <w:szCs w:val="24"/>
                <w:lang w:val="zh-CN" w:eastAsia="zh-CN" w:bidi="ar"/>
              </w:rPr>
              <w:t>供应商根据本项目</w:t>
            </w:r>
            <w:r>
              <w:rPr>
                <w:rFonts w:hint="eastAsia" w:ascii="宋体" w:hAnsi="宋体" w:eastAsia="宋体" w:cs="宋体"/>
                <w:color w:val="auto"/>
                <w:kern w:val="0"/>
                <w:sz w:val="24"/>
                <w:szCs w:val="24"/>
                <w:lang w:val="en-US" w:eastAsia="zh-CN" w:bidi="ar"/>
              </w:rPr>
              <w:t>采购需求</w:t>
            </w:r>
            <w:r>
              <w:rPr>
                <w:rFonts w:hint="eastAsia" w:ascii="宋体" w:hAnsi="宋体" w:eastAsia="宋体" w:cs="宋体"/>
                <w:color w:val="auto"/>
                <w:kern w:val="0"/>
                <w:sz w:val="24"/>
                <w:szCs w:val="24"/>
                <w:lang w:val="zh-CN" w:eastAsia="zh-CN" w:bidi="ar"/>
              </w:rPr>
              <w:t>制定相应的供货方案及措施，方案内容至少包含：①项目管理机构；②</w:t>
            </w:r>
            <w:r>
              <w:rPr>
                <w:rFonts w:hint="eastAsia" w:ascii="宋体" w:hAnsi="宋体" w:eastAsia="宋体" w:cs="宋体"/>
                <w:color w:val="auto"/>
                <w:kern w:val="0"/>
                <w:sz w:val="24"/>
                <w:szCs w:val="24"/>
                <w:lang w:val="en-US" w:eastAsia="zh-CN" w:bidi="ar"/>
              </w:rPr>
              <w:t>货物</w:t>
            </w:r>
            <w:r>
              <w:rPr>
                <w:rFonts w:hint="eastAsia" w:ascii="宋体" w:hAnsi="宋体" w:eastAsia="宋体" w:cs="宋体"/>
                <w:color w:val="auto"/>
                <w:kern w:val="0"/>
                <w:sz w:val="24"/>
                <w:szCs w:val="24"/>
                <w:lang w:val="zh-CN" w:eastAsia="zh-CN" w:bidi="ar"/>
              </w:rPr>
              <w:t>实施方案；③项目人员配备；④供货进度计划；⑤项目应急预案等。磋商小组对以上内容进行评审，满分</w:t>
            </w:r>
            <w:r>
              <w:rPr>
                <w:rFonts w:hint="eastAsia" w:ascii="宋体" w:hAnsi="宋体" w:eastAsia="宋体" w:cs="宋体"/>
                <w:color w:val="auto"/>
                <w:kern w:val="0"/>
                <w:sz w:val="24"/>
                <w:szCs w:val="24"/>
                <w:lang w:val="en-US" w:eastAsia="zh-CN" w:bidi="ar"/>
              </w:rPr>
              <w:t>5</w:t>
            </w:r>
            <w:r>
              <w:rPr>
                <w:rFonts w:hint="eastAsia" w:ascii="宋体" w:hAnsi="宋体" w:eastAsia="宋体" w:cs="宋体"/>
                <w:color w:val="auto"/>
                <w:kern w:val="0"/>
                <w:sz w:val="24"/>
                <w:szCs w:val="24"/>
                <w:lang w:val="zh-CN" w:eastAsia="zh-CN" w:bidi="ar"/>
              </w:rPr>
              <w:t>分，每缺少一项内容扣</w:t>
            </w: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lang w:val="zh-CN" w:eastAsia="zh-CN" w:bidi="ar"/>
              </w:rPr>
              <w:t>分；所提供的每项内容中每存在一处缺陷</w:t>
            </w:r>
            <w:r>
              <w:rPr>
                <w:rFonts w:hint="eastAsia" w:ascii="宋体" w:hAnsi="宋体" w:eastAsia="宋体" w:cs="宋体"/>
                <w:color w:val="auto"/>
                <w:kern w:val="0"/>
                <w:sz w:val="24"/>
                <w:szCs w:val="24"/>
                <w:lang w:val="en-US" w:eastAsia="zh-CN" w:bidi="ar"/>
              </w:rPr>
              <w:t>或不足的</w:t>
            </w:r>
            <w:r>
              <w:rPr>
                <w:rFonts w:hint="eastAsia" w:ascii="宋体" w:hAnsi="宋体" w:eastAsia="宋体" w:cs="宋体"/>
                <w:color w:val="auto"/>
                <w:kern w:val="0"/>
                <w:sz w:val="24"/>
                <w:szCs w:val="24"/>
                <w:lang w:val="zh-CN" w:eastAsia="zh-CN" w:bidi="ar"/>
              </w:rPr>
              <w:t>扣</w:t>
            </w:r>
            <w:r>
              <w:rPr>
                <w:rFonts w:hint="eastAsia" w:ascii="宋体" w:hAnsi="宋体" w:eastAsia="宋体" w:cs="宋体"/>
                <w:color w:val="auto"/>
                <w:kern w:val="0"/>
                <w:sz w:val="24"/>
                <w:szCs w:val="24"/>
                <w:lang w:val="en-US" w:eastAsia="zh-CN" w:bidi="ar"/>
              </w:rPr>
              <w:t>0.5</w:t>
            </w:r>
            <w:r>
              <w:rPr>
                <w:rFonts w:hint="eastAsia" w:ascii="宋体" w:hAnsi="宋体" w:eastAsia="宋体" w:cs="宋体"/>
                <w:color w:val="auto"/>
                <w:kern w:val="0"/>
                <w:sz w:val="24"/>
                <w:szCs w:val="24"/>
                <w:lang w:val="zh-CN" w:eastAsia="zh-CN" w:bidi="ar"/>
              </w:rPr>
              <w:t>分，每项</w:t>
            </w:r>
            <w:r>
              <w:rPr>
                <w:rFonts w:hint="eastAsia" w:ascii="宋体" w:hAnsi="宋体" w:eastAsia="宋体" w:cs="宋体"/>
                <w:color w:val="auto"/>
                <w:kern w:val="0"/>
                <w:sz w:val="24"/>
                <w:szCs w:val="24"/>
                <w:lang w:val="en-US" w:eastAsia="zh-CN" w:bidi="ar"/>
              </w:rPr>
              <w:t>最多</w:t>
            </w:r>
            <w:r>
              <w:rPr>
                <w:rFonts w:hint="eastAsia" w:ascii="宋体" w:hAnsi="宋体" w:eastAsia="宋体" w:cs="宋体"/>
                <w:color w:val="auto"/>
                <w:kern w:val="0"/>
                <w:sz w:val="24"/>
                <w:szCs w:val="24"/>
                <w:lang w:val="zh-CN" w:eastAsia="zh-CN" w:bidi="ar"/>
              </w:rPr>
              <w:t>扣</w:t>
            </w: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lang w:val="zh-CN" w:eastAsia="zh-CN" w:bidi="ar"/>
              </w:rPr>
              <w:t>分。</w:t>
            </w:r>
          </w:p>
          <w:p w14:paraId="4F9EBA22">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缺陷或不足是指：内容所阐述的项目信息与本项目实际需求信息不一致、内容照抄照搬磋商文件且只有方案框架无实质性内容、内容不完整、套用其他项目方案、地点区域错误、内容前后矛盾、涉及的规范及标准错误、不可能实现的情形等任意一种情形。</w:t>
            </w:r>
          </w:p>
          <w:p w14:paraId="60E81CB7">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kern w:val="0"/>
                <w:sz w:val="24"/>
                <w:szCs w:val="24"/>
                <w:lang w:val="zh-CN" w:eastAsia="zh-CN" w:bidi="ar"/>
              </w:rPr>
            </w:pPr>
            <w:r>
              <w:rPr>
                <w:rFonts w:hint="eastAsia" w:ascii="宋体" w:hAnsi="宋体" w:eastAsia="宋体" w:cs="宋体"/>
                <w:b/>
                <w:bCs/>
                <w:color w:val="auto"/>
                <w:kern w:val="0"/>
                <w:sz w:val="24"/>
                <w:szCs w:val="24"/>
                <w:lang w:val="en-US" w:eastAsia="zh-CN" w:bidi="ar"/>
              </w:rPr>
              <w:t>3.质量控制及保证措施（4分）：</w:t>
            </w:r>
            <w:r>
              <w:rPr>
                <w:rFonts w:hint="eastAsia" w:ascii="宋体" w:hAnsi="宋体" w:eastAsia="宋体" w:cs="宋体"/>
                <w:color w:val="auto"/>
                <w:kern w:val="0"/>
                <w:sz w:val="24"/>
                <w:szCs w:val="24"/>
                <w:lang w:val="zh-CN" w:eastAsia="zh-CN" w:bidi="ar"/>
              </w:rPr>
              <w:t>供应商根据本项目</w:t>
            </w:r>
            <w:r>
              <w:rPr>
                <w:rFonts w:hint="eastAsia" w:ascii="宋体" w:hAnsi="宋体" w:eastAsia="宋体" w:cs="宋体"/>
                <w:color w:val="auto"/>
                <w:kern w:val="0"/>
                <w:sz w:val="24"/>
                <w:szCs w:val="24"/>
                <w:lang w:val="en-US" w:eastAsia="zh-CN" w:bidi="ar"/>
              </w:rPr>
              <w:t>采购需求</w:t>
            </w:r>
            <w:r>
              <w:rPr>
                <w:rFonts w:hint="eastAsia" w:ascii="宋体" w:hAnsi="宋体" w:eastAsia="宋体" w:cs="宋体"/>
                <w:color w:val="auto"/>
                <w:kern w:val="0"/>
                <w:sz w:val="24"/>
                <w:szCs w:val="24"/>
                <w:lang w:val="zh-CN" w:eastAsia="zh-CN" w:bidi="ar"/>
              </w:rPr>
              <w:t>制定相应的质量控制及保证措施</w:t>
            </w:r>
            <w:r>
              <w:rPr>
                <w:rFonts w:hint="eastAsia"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val="zh-CN" w:eastAsia="zh-CN" w:bidi="ar"/>
              </w:rPr>
              <w:t>内容至少包含：</w:t>
            </w:r>
            <w:r>
              <w:rPr>
                <w:rFonts w:hint="eastAsia" w:ascii="宋体" w:hAnsi="宋体" w:eastAsia="宋体" w:cs="宋体"/>
                <w:color w:val="auto"/>
                <w:kern w:val="0"/>
                <w:sz w:val="24"/>
                <w:szCs w:val="24"/>
                <w:lang w:val="en-US" w:eastAsia="zh-CN" w:bidi="ar"/>
              </w:rPr>
              <w:t>①货物质量保证措施；②货物数量保证措施等。</w:t>
            </w:r>
            <w:r>
              <w:rPr>
                <w:rFonts w:hint="eastAsia" w:ascii="宋体" w:hAnsi="宋体" w:eastAsia="宋体" w:cs="宋体"/>
                <w:color w:val="auto"/>
                <w:kern w:val="0"/>
                <w:sz w:val="24"/>
                <w:szCs w:val="24"/>
                <w:lang w:val="zh-CN" w:eastAsia="zh-CN" w:bidi="ar"/>
              </w:rPr>
              <w:t>磋商小组对以上内容进行评审，满分</w:t>
            </w:r>
            <w:r>
              <w:rPr>
                <w:rFonts w:hint="eastAsia" w:ascii="宋体" w:hAnsi="宋体" w:eastAsia="宋体" w:cs="宋体"/>
                <w:color w:val="auto"/>
                <w:kern w:val="0"/>
                <w:sz w:val="24"/>
                <w:szCs w:val="24"/>
                <w:lang w:val="en-US" w:eastAsia="zh-CN" w:bidi="ar"/>
              </w:rPr>
              <w:t>4</w:t>
            </w:r>
            <w:r>
              <w:rPr>
                <w:rFonts w:hint="eastAsia" w:ascii="宋体" w:hAnsi="宋体" w:eastAsia="宋体" w:cs="宋体"/>
                <w:color w:val="auto"/>
                <w:kern w:val="0"/>
                <w:sz w:val="24"/>
                <w:szCs w:val="24"/>
                <w:lang w:val="zh-CN" w:eastAsia="zh-CN" w:bidi="ar"/>
              </w:rPr>
              <w:t>分，每缺少一项内容扣</w:t>
            </w:r>
            <w:r>
              <w:rPr>
                <w:rFonts w:hint="eastAsia" w:ascii="宋体" w:hAnsi="宋体" w:eastAsia="宋体" w:cs="宋体"/>
                <w:color w:val="auto"/>
                <w:kern w:val="0"/>
                <w:sz w:val="24"/>
                <w:szCs w:val="24"/>
                <w:lang w:val="en-US" w:eastAsia="zh-CN" w:bidi="ar"/>
              </w:rPr>
              <w:t>2</w:t>
            </w:r>
            <w:r>
              <w:rPr>
                <w:rFonts w:hint="eastAsia" w:ascii="宋体" w:hAnsi="宋体" w:eastAsia="宋体" w:cs="宋体"/>
                <w:color w:val="auto"/>
                <w:kern w:val="0"/>
                <w:sz w:val="24"/>
                <w:szCs w:val="24"/>
                <w:lang w:val="zh-CN" w:eastAsia="zh-CN" w:bidi="ar"/>
              </w:rPr>
              <w:t>分；所提供的每项内容中每存在一处缺陷</w:t>
            </w:r>
            <w:r>
              <w:rPr>
                <w:rFonts w:hint="eastAsia" w:ascii="宋体" w:hAnsi="宋体" w:eastAsia="宋体" w:cs="宋体"/>
                <w:color w:val="auto"/>
                <w:kern w:val="0"/>
                <w:sz w:val="24"/>
                <w:szCs w:val="24"/>
                <w:lang w:val="en-US" w:eastAsia="zh-CN" w:bidi="ar"/>
              </w:rPr>
              <w:t>或不足的</w:t>
            </w:r>
            <w:r>
              <w:rPr>
                <w:rFonts w:hint="eastAsia" w:ascii="宋体" w:hAnsi="宋体" w:eastAsia="宋体" w:cs="宋体"/>
                <w:color w:val="auto"/>
                <w:kern w:val="0"/>
                <w:sz w:val="24"/>
                <w:szCs w:val="24"/>
                <w:lang w:val="zh-CN" w:eastAsia="zh-CN" w:bidi="ar"/>
              </w:rPr>
              <w:t>扣</w:t>
            </w: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lang w:val="zh-CN" w:eastAsia="zh-CN" w:bidi="ar"/>
              </w:rPr>
              <w:t>分，每项</w:t>
            </w:r>
            <w:r>
              <w:rPr>
                <w:rFonts w:hint="eastAsia" w:ascii="宋体" w:hAnsi="宋体" w:eastAsia="宋体" w:cs="宋体"/>
                <w:color w:val="auto"/>
                <w:kern w:val="0"/>
                <w:sz w:val="24"/>
                <w:szCs w:val="24"/>
                <w:lang w:val="en-US" w:eastAsia="zh-CN" w:bidi="ar"/>
              </w:rPr>
              <w:t>最多</w:t>
            </w:r>
            <w:r>
              <w:rPr>
                <w:rFonts w:hint="eastAsia" w:ascii="宋体" w:hAnsi="宋体" w:eastAsia="宋体" w:cs="宋体"/>
                <w:color w:val="auto"/>
                <w:kern w:val="0"/>
                <w:sz w:val="24"/>
                <w:szCs w:val="24"/>
                <w:lang w:val="zh-CN" w:eastAsia="zh-CN" w:bidi="ar"/>
              </w:rPr>
              <w:t>扣</w:t>
            </w:r>
            <w:r>
              <w:rPr>
                <w:rFonts w:hint="eastAsia" w:ascii="宋体" w:hAnsi="宋体" w:eastAsia="宋体" w:cs="宋体"/>
                <w:color w:val="auto"/>
                <w:kern w:val="0"/>
                <w:sz w:val="24"/>
                <w:szCs w:val="24"/>
                <w:lang w:val="en-US" w:eastAsia="zh-CN" w:bidi="ar"/>
              </w:rPr>
              <w:t>2</w:t>
            </w:r>
            <w:r>
              <w:rPr>
                <w:rFonts w:hint="eastAsia" w:ascii="宋体" w:hAnsi="宋体" w:eastAsia="宋体" w:cs="宋体"/>
                <w:color w:val="auto"/>
                <w:kern w:val="0"/>
                <w:sz w:val="24"/>
                <w:szCs w:val="24"/>
                <w:lang w:val="zh-CN" w:eastAsia="zh-CN" w:bidi="ar"/>
              </w:rPr>
              <w:t>分。</w:t>
            </w:r>
          </w:p>
          <w:p w14:paraId="139B8866">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缺陷或不足是指：内容所阐述的项目信息与本项目实际需求信息不一致、内容照抄照搬磋商文件且只有方案框架无实质性内容、内容不完整、套用其他项目方案、地点区域错误、内容前后矛盾、涉及的规范及标准错误、不可能实现的情形等任意一种情形。</w:t>
            </w:r>
          </w:p>
        </w:tc>
      </w:tr>
      <w:tr w14:paraId="585C9D63">
        <w:tblPrEx>
          <w:tblCellMar>
            <w:top w:w="0" w:type="dxa"/>
            <w:left w:w="20" w:type="dxa"/>
            <w:bottom w:w="0" w:type="dxa"/>
            <w:right w:w="20" w:type="dxa"/>
          </w:tblCellMar>
        </w:tblPrEx>
        <w:trPr>
          <w:trHeight w:val="23"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757D7012">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E1D53C9">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售后服务</w:t>
            </w:r>
            <w:r>
              <w:rPr>
                <w:rFonts w:hint="eastAsia" w:ascii="宋体" w:hAnsi="宋体" w:eastAsia="宋体" w:cs="宋体"/>
                <w:b/>
                <w:bCs/>
                <w:color w:val="auto"/>
                <w:sz w:val="24"/>
                <w:szCs w:val="24"/>
                <w:shd w:val="clear" w:color="auto" w:fill="FFFFFF"/>
              </w:rPr>
              <w:t>(</w:t>
            </w:r>
            <w:r>
              <w:rPr>
                <w:rFonts w:hint="eastAsia" w:ascii="宋体" w:hAnsi="宋体" w:eastAsia="宋体" w:cs="宋体"/>
                <w:b/>
                <w:bCs/>
                <w:color w:val="auto"/>
                <w:sz w:val="24"/>
                <w:szCs w:val="24"/>
                <w:shd w:val="clear" w:color="auto" w:fill="FFFFFF"/>
                <w:lang w:val="en-US" w:eastAsia="zh-CN"/>
              </w:rPr>
              <w:t>4</w:t>
            </w:r>
            <w:r>
              <w:rPr>
                <w:rFonts w:hint="eastAsia" w:ascii="宋体" w:hAnsi="宋体" w:eastAsia="宋体" w:cs="宋体"/>
                <w:b/>
                <w:bCs/>
                <w:color w:val="auto"/>
                <w:sz w:val="24"/>
                <w:szCs w:val="24"/>
              </w:rPr>
              <w:t>分</w:t>
            </w:r>
            <w:r>
              <w:rPr>
                <w:rFonts w:hint="eastAsia" w:ascii="宋体" w:hAnsi="宋体" w:eastAsia="宋体" w:cs="宋体"/>
                <w:b/>
                <w:bCs/>
                <w:color w:val="auto"/>
                <w:sz w:val="24"/>
                <w:szCs w:val="24"/>
                <w:shd w:val="clear" w:color="auto" w:fill="FFFFFF"/>
              </w:rPr>
              <w:t>)</w:t>
            </w:r>
          </w:p>
        </w:tc>
        <w:tc>
          <w:tcPr>
            <w:tcW w:w="8322" w:type="dxa"/>
            <w:tcBorders>
              <w:top w:val="single" w:color="auto" w:sz="4" w:space="0"/>
              <w:left w:val="single" w:color="auto" w:sz="4" w:space="0"/>
              <w:bottom w:val="single" w:color="auto" w:sz="4" w:space="0"/>
              <w:right w:val="single" w:color="auto" w:sz="4" w:space="0"/>
            </w:tcBorders>
            <w:noWrap w:val="0"/>
            <w:vAlign w:val="top"/>
          </w:tcPr>
          <w:p w14:paraId="068B01DD">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kern w:val="0"/>
                <w:sz w:val="24"/>
                <w:szCs w:val="24"/>
                <w:lang w:val="zh-CN" w:eastAsia="zh-CN" w:bidi="ar"/>
              </w:rPr>
            </w:pPr>
            <w:r>
              <w:rPr>
                <w:rFonts w:hint="eastAsia" w:ascii="宋体" w:hAnsi="宋体" w:eastAsia="宋体" w:cs="宋体"/>
                <w:b/>
                <w:bCs/>
                <w:color w:val="auto"/>
                <w:kern w:val="0"/>
                <w:sz w:val="24"/>
                <w:szCs w:val="24"/>
                <w:lang w:val="en-US" w:eastAsia="zh-CN" w:bidi="ar"/>
              </w:rPr>
              <w:t>售后服务计划、措施及服务承诺（4分）：</w:t>
            </w:r>
            <w:r>
              <w:rPr>
                <w:rFonts w:hint="eastAsia" w:ascii="宋体" w:hAnsi="宋体" w:eastAsia="宋体" w:cs="宋体"/>
                <w:color w:val="auto"/>
                <w:kern w:val="0"/>
                <w:sz w:val="24"/>
                <w:szCs w:val="24"/>
                <w:lang w:val="zh-CN" w:eastAsia="zh-CN" w:bidi="ar"/>
              </w:rPr>
              <w:t>供应商根据本项目</w:t>
            </w:r>
            <w:r>
              <w:rPr>
                <w:rFonts w:hint="eastAsia" w:ascii="宋体" w:hAnsi="宋体" w:eastAsia="宋体" w:cs="宋体"/>
                <w:color w:val="auto"/>
                <w:kern w:val="0"/>
                <w:sz w:val="24"/>
                <w:szCs w:val="24"/>
                <w:lang w:val="en-US" w:eastAsia="zh-CN" w:bidi="ar"/>
              </w:rPr>
              <w:t>采购需求提供详尽的售后服务，</w:t>
            </w:r>
            <w:r>
              <w:rPr>
                <w:rFonts w:hint="eastAsia" w:ascii="宋体" w:hAnsi="宋体" w:eastAsia="宋体" w:cs="宋体"/>
                <w:color w:val="auto"/>
                <w:kern w:val="0"/>
                <w:sz w:val="24"/>
                <w:szCs w:val="24"/>
                <w:lang w:val="zh-CN" w:eastAsia="zh-CN" w:bidi="ar"/>
              </w:rPr>
              <w:t>内容至少包含：</w:t>
            </w:r>
            <w:r>
              <w:rPr>
                <w:rFonts w:hint="eastAsia" w:ascii="宋体" w:hAnsi="宋体" w:eastAsia="宋体" w:cs="宋体"/>
                <w:color w:val="auto"/>
                <w:kern w:val="0"/>
                <w:sz w:val="24"/>
                <w:szCs w:val="24"/>
                <w:lang w:val="en-US" w:eastAsia="zh-CN" w:bidi="ar"/>
              </w:rPr>
              <w:t>①售后服务计划；②售后服务措施及服务承诺；③回访措施及相关承诺；④售后服务响应时间、人员配置等。</w:t>
            </w:r>
            <w:r>
              <w:rPr>
                <w:rFonts w:hint="eastAsia" w:ascii="宋体" w:hAnsi="宋体" w:eastAsia="宋体" w:cs="宋体"/>
                <w:color w:val="auto"/>
                <w:kern w:val="0"/>
                <w:sz w:val="24"/>
                <w:szCs w:val="24"/>
                <w:lang w:val="zh-CN" w:eastAsia="zh-CN" w:bidi="ar"/>
              </w:rPr>
              <w:t>磋商小组对以上内容进行评审，满分</w:t>
            </w:r>
            <w:r>
              <w:rPr>
                <w:rFonts w:hint="eastAsia" w:ascii="宋体" w:hAnsi="宋体" w:eastAsia="宋体" w:cs="宋体"/>
                <w:color w:val="auto"/>
                <w:kern w:val="0"/>
                <w:sz w:val="24"/>
                <w:szCs w:val="24"/>
                <w:lang w:val="en-US" w:eastAsia="zh-CN" w:bidi="ar"/>
              </w:rPr>
              <w:t>4</w:t>
            </w:r>
            <w:r>
              <w:rPr>
                <w:rFonts w:hint="eastAsia" w:ascii="宋体" w:hAnsi="宋体" w:eastAsia="宋体" w:cs="宋体"/>
                <w:color w:val="auto"/>
                <w:kern w:val="0"/>
                <w:sz w:val="24"/>
                <w:szCs w:val="24"/>
                <w:lang w:val="zh-CN" w:eastAsia="zh-CN" w:bidi="ar"/>
              </w:rPr>
              <w:t>分，每缺少一项内容扣</w:t>
            </w: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lang w:val="zh-CN" w:eastAsia="zh-CN" w:bidi="ar"/>
              </w:rPr>
              <w:t>分；所提供的每项内容中每存在一处缺陷</w:t>
            </w:r>
            <w:r>
              <w:rPr>
                <w:rFonts w:hint="eastAsia" w:ascii="宋体" w:hAnsi="宋体" w:eastAsia="宋体" w:cs="宋体"/>
                <w:color w:val="auto"/>
                <w:kern w:val="0"/>
                <w:sz w:val="24"/>
                <w:szCs w:val="24"/>
                <w:lang w:val="en-US" w:eastAsia="zh-CN" w:bidi="ar"/>
              </w:rPr>
              <w:t>或不足的</w:t>
            </w:r>
            <w:r>
              <w:rPr>
                <w:rFonts w:hint="eastAsia" w:ascii="宋体" w:hAnsi="宋体" w:eastAsia="宋体" w:cs="宋体"/>
                <w:color w:val="auto"/>
                <w:kern w:val="0"/>
                <w:sz w:val="24"/>
                <w:szCs w:val="24"/>
                <w:lang w:val="zh-CN" w:eastAsia="zh-CN" w:bidi="ar"/>
              </w:rPr>
              <w:t>扣</w:t>
            </w:r>
            <w:r>
              <w:rPr>
                <w:rFonts w:hint="eastAsia" w:ascii="宋体" w:hAnsi="宋体" w:eastAsia="宋体" w:cs="宋体"/>
                <w:color w:val="auto"/>
                <w:kern w:val="0"/>
                <w:sz w:val="24"/>
                <w:szCs w:val="24"/>
                <w:lang w:val="en-US" w:eastAsia="zh-CN" w:bidi="ar"/>
              </w:rPr>
              <w:t>0.5</w:t>
            </w:r>
            <w:r>
              <w:rPr>
                <w:rFonts w:hint="eastAsia" w:ascii="宋体" w:hAnsi="宋体" w:eastAsia="宋体" w:cs="宋体"/>
                <w:color w:val="auto"/>
                <w:kern w:val="0"/>
                <w:sz w:val="24"/>
                <w:szCs w:val="24"/>
                <w:lang w:val="zh-CN" w:eastAsia="zh-CN" w:bidi="ar"/>
              </w:rPr>
              <w:t>分，每项</w:t>
            </w:r>
            <w:r>
              <w:rPr>
                <w:rFonts w:hint="eastAsia" w:ascii="宋体" w:hAnsi="宋体" w:eastAsia="宋体" w:cs="宋体"/>
                <w:color w:val="auto"/>
                <w:kern w:val="0"/>
                <w:sz w:val="24"/>
                <w:szCs w:val="24"/>
                <w:lang w:val="en-US" w:eastAsia="zh-CN" w:bidi="ar"/>
              </w:rPr>
              <w:t>最多</w:t>
            </w:r>
            <w:r>
              <w:rPr>
                <w:rFonts w:hint="eastAsia" w:ascii="宋体" w:hAnsi="宋体" w:eastAsia="宋体" w:cs="宋体"/>
                <w:color w:val="auto"/>
                <w:kern w:val="0"/>
                <w:sz w:val="24"/>
                <w:szCs w:val="24"/>
                <w:lang w:val="zh-CN" w:eastAsia="zh-CN" w:bidi="ar"/>
              </w:rPr>
              <w:t>扣</w:t>
            </w: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lang w:val="zh-CN" w:eastAsia="zh-CN" w:bidi="ar"/>
              </w:rPr>
              <w:t>分。</w:t>
            </w:r>
          </w:p>
          <w:p w14:paraId="0C49C93E">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bCs/>
                <w:color w:val="auto"/>
                <w:sz w:val="24"/>
                <w:szCs w:val="24"/>
                <w:lang w:val="zh-CN"/>
              </w:rPr>
            </w:pPr>
            <w:r>
              <w:rPr>
                <w:rFonts w:hint="eastAsia" w:ascii="宋体" w:hAnsi="宋体" w:eastAsia="宋体" w:cs="宋体"/>
                <w:color w:val="auto"/>
                <w:kern w:val="0"/>
                <w:sz w:val="24"/>
                <w:szCs w:val="24"/>
                <w:lang w:val="en-US" w:eastAsia="zh-CN" w:bidi="ar"/>
              </w:rPr>
              <w:t>缺陷或不足是指：内容所阐述的项目信息与本项目实际需求信息不一致、内容照抄照搬磋商文件且只有方案框架无实质性内容、内容不完整、套用其他项目方案、地点区域错误、内容前后矛盾、涉及的规范及标准错误、不可能实现的情形等任意一种情形。</w:t>
            </w:r>
          </w:p>
        </w:tc>
      </w:tr>
    </w:tbl>
    <w:p w14:paraId="30A3CC43">
      <w:pPr>
        <w:keepNext/>
        <w:pageBreakBefore/>
        <w:widowControl/>
        <w:spacing w:line="360" w:lineRule="auto"/>
        <w:ind w:firstLine="0" w:firstLineChars="0"/>
        <w:jc w:val="center"/>
        <w:outlineLvl w:val="1"/>
        <w:rPr>
          <w:rFonts w:hint="eastAsia" w:ascii="宋体" w:hAnsi="宋体" w:eastAsia="宋体" w:cs="宋体"/>
          <w:b/>
          <w:bCs/>
          <w:color w:val="auto"/>
          <w:sz w:val="24"/>
          <w:szCs w:val="24"/>
        </w:rPr>
      </w:pPr>
      <w:bookmarkStart w:id="123" w:name="_Toc376936756"/>
      <w:bookmarkStart w:id="124" w:name="_Toc325726025"/>
      <w:bookmarkStart w:id="125" w:name="_Toc2506"/>
      <w:bookmarkStart w:id="126" w:name="_Toc6689"/>
      <w:bookmarkStart w:id="127" w:name="_Toc12405"/>
      <w:r>
        <w:rPr>
          <w:rFonts w:hint="eastAsia" w:ascii="宋体" w:hAnsi="宋体" w:eastAsia="宋体" w:cs="宋体"/>
          <w:b/>
          <w:bCs/>
          <w:color w:val="auto"/>
          <w:sz w:val="24"/>
          <w:szCs w:val="24"/>
        </w:rPr>
        <w:t>七、</w:t>
      </w:r>
      <w:bookmarkEnd w:id="123"/>
      <w:bookmarkEnd w:id="124"/>
      <w:r>
        <w:rPr>
          <w:rFonts w:hint="eastAsia" w:ascii="宋体" w:hAnsi="宋体" w:eastAsia="宋体" w:cs="宋体"/>
          <w:b/>
          <w:bCs/>
          <w:color w:val="auto"/>
          <w:sz w:val="24"/>
          <w:szCs w:val="24"/>
        </w:rPr>
        <w:t>确定成交供应商</w:t>
      </w:r>
      <w:bookmarkEnd w:id="125"/>
      <w:bookmarkEnd w:id="126"/>
      <w:bookmarkEnd w:id="127"/>
    </w:p>
    <w:p w14:paraId="5B326AB6">
      <w:pPr>
        <w:widowControl/>
        <w:spacing w:line="360" w:lineRule="auto"/>
        <w:ind w:firstLine="0" w:firstLineChars="0"/>
        <w:jc w:val="left"/>
        <w:outlineLvl w:val="2"/>
        <w:rPr>
          <w:rFonts w:hint="eastAsia" w:ascii="宋体" w:hAnsi="宋体" w:eastAsia="宋体" w:cs="宋体"/>
          <w:b/>
          <w:bCs/>
          <w:color w:val="auto"/>
          <w:sz w:val="24"/>
          <w:szCs w:val="24"/>
        </w:rPr>
      </w:pPr>
      <w:bookmarkStart w:id="128" w:name="_Toc325726026"/>
      <w:bookmarkStart w:id="129" w:name="_Toc376936757"/>
      <w:bookmarkStart w:id="130" w:name="_Toc18264"/>
      <w:bookmarkStart w:id="131" w:name="_Toc28889"/>
      <w:bookmarkStart w:id="132" w:name="_Toc17038"/>
      <w:r>
        <w:rPr>
          <w:rFonts w:hint="eastAsia" w:ascii="宋体" w:hAnsi="宋体" w:eastAsia="宋体" w:cs="宋体"/>
          <w:b/>
          <w:bCs/>
          <w:color w:val="auto"/>
          <w:sz w:val="24"/>
          <w:szCs w:val="24"/>
        </w:rPr>
        <w:t>18.推荐并确定成交</w:t>
      </w:r>
      <w:bookmarkEnd w:id="128"/>
      <w:bookmarkEnd w:id="129"/>
      <w:r>
        <w:rPr>
          <w:rFonts w:hint="eastAsia" w:ascii="宋体" w:hAnsi="宋体" w:eastAsia="宋体" w:cs="宋体"/>
          <w:b/>
          <w:bCs/>
          <w:color w:val="auto"/>
          <w:sz w:val="24"/>
          <w:szCs w:val="24"/>
        </w:rPr>
        <w:t>供应商</w:t>
      </w:r>
      <w:bookmarkEnd w:id="130"/>
      <w:bookmarkEnd w:id="131"/>
      <w:bookmarkEnd w:id="132"/>
    </w:p>
    <w:p w14:paraId="49D1868E">
      <w:pPr>
        <w:spacing w:line="36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AA15F81">
      <w:pPr>
        <w:widowControl/>
        <w:spacing w:line="360" w:lineRule="auto"/>
        <w:ind w:firstLine="0" w:firstLineChars="0"/>
        <w:jc w:val="left"/>
        <w:outlineLvl w:val="2"/>
        <w:rPr>
          <w:rFonts w:hint="eastAsia" w:ascii="宋体" w:hAnsi="宋体" w:eastAsia="宋体" w:cs="宋体"/>
          <w:b/>
          <w:bCs/>
          <w:color w:val="auto"/>
          <w:sz w:val="24"/>
          <w:szCs w:val="24"/>
        </w:rPr>
      </w:pPr>
      <w:bookmarkStart w:id="133" w:name="_Toc25808"/>
      <w:bookmarkStart w:id="134" w:name="_Toc2346"/>
      <w:bookmarkStart w:id="135" w:name="_Toc2963"/>
      <w:bookmarkStart w:id="136" w:name="_Toc376936759"/>
      <w:bookmarkStart w:id="137" w:name="_Toc325726028"/>
      <w:bookmarkStart w:id="138" w:name="_Toc325726027"/>
      <w:r>
        <w:rPr>
          <w:rFonts w:hint="eastAsia" w:ascii="宋体" w:hAnsi="宋体" w:eastAsia="宋体" w:cs="宋体"/>
          <w:b/>
          <w:bCs/>
          <w:color w:val="auto"/>
          <w:sz w:val="24"/>
          <w:szCs w:val="24"/>
        </w:rPr>
        <w:t>19.成交通知</w:t>
      </w:r>
      <w:bookmarkEnd w:id="133"/>
      <w:bookmarkEnd w:id="134"/>
      <w:bookmarkEnd w:id="135"/>
      <w:bookmarkEnd w:id="136"/>
      <w:bookmarkEnd w:id="137"/>
    </w:p>
    <w:p w14:paraId="09E3622D">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19.1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采购人或者采购代理机构应当在成交供应商确定后2个工作日内，在青海政府采购网上公告成交结果，同时向成交供应商发出成交通知书。</w:t>
      </w:r>
    </w:p>
    <w:p w14:paraId="232DC579">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19.2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《成交通知书》发出后，采购人改变成交结果的，或者成交供应商无正当理由放弃成交项目的，依法承担法律责任。</w:t>
      </w:r>
    </w:p>
    <w:p w14:paraId="7DAD0563">
      <w:pPr>
        <w:widowControl/>
        <w:spacing w:line="360" w:lineRule="auto"/>
        <w:ind w:firstLine="0" w:firstLineChars="0"/>
        <w:jc w:val="center"/>
        <w:outlineLvl w:val="1"/>
        <w:rPr>
          <w:rFonts w:hint="eastAsia" w:ascii="宋体" w:hAnsi="宋体" w:eastAsia="宋体" w:cs="宋体"/>
          <w:b/>
          <w:bCs/>
          <w:color w:val="auto"/>
          <w:sz w:val="24"/>
          <w:szCs w:val="24"/>
        </w:rPr>
      </w:pPr>
      <w:bookmarkStart w:id="139" w:name="_Toc376936758"/>
      <w:bookmarkStart w:id="140" w:name="_Toc5556"/>
      <w:bookmarkStart w:id="141" w:name="_Toc18063"/>
      <w:bookmarkStart w:id="142" w:name="_Toc30832"/>
      <w:r>
        <w:rPr>
          <w:rFonts w:hint="eastAsia" w:ascii="宋体" w:hAnsi="宋体" w:eastAsia="宋体" w:cs="宋体"/>
          <w:b/>
          <w:bCs/>
          <w:color w:val="auto"/>
          <w:sz w:val="24"/>
          <w:szCs w:val="24"/>
        </w:rPr>
        <w:t>八、授予合同</w:t>
      </w:r>
      <w:bookmarkEnd w:id="138"/>
      <w:bookmarkEnd w:id="139"/>
      <w:bookmarkEnd w:id="140"/>
      <w:bookmarkEnd w:id="141"/>
      <w:bookmarkEnd w:id="142"/>
    </w:p>
    <w:p w14:paraId="7061950D">
      <w:pPr>
        <w:widowControl/>
        <w:spacing w:line="360" w:lineRule="auto"/>
        <w:ind w:firstLine="0" w:firstLineChars="0"/>
        <w:jc w:val="left"/>
        <w:outlineLvl w:val="2"/>
        <w:rPr>
          <w:rFonts w:hint="eastAsia" w:ascii="宋体" w:hAnsi="宋体" w:eastAsia="宋体" w:cs="宋体"/>
          <w:b/>
          <w:bCs/>
          <w:color w:val="auto"/>
          <w:sz w:val="24"/>
          <w:szCs w:val="24"/>
        </w:rPr>
      </w:pPr>
      <w:bookmarkStart w:id="143" w:name="_Toc376936760"/>
      <w:bookmarkStart w:id="144" w:name="_Toc325726029"/>
      <w:bookmarkStart w:id="145" w:name="_Toc921"/>
      <w:bookmarkStart w:id="146" w:name="_Toc28394"/>
      <w:bookmarkStart w:id="147" w:name="_Toc545"/>
      <w:r>
        <w:rPr>
          <w:rFonts w:hint="eastAsia" w:ascii="宋体" w:hAnsi="宋体" w:eastAsia="宋体" w:cs="宋体"/>
          <w:b/>
          <w:bCs/>
          <w:color w:val="auto"/>
          <w:sz w:val="24"/>
          <w:szCs w:val="24"/>
        </w:rPr>
        <w:t>20.签订合同</w:t>
      </w:r>
      <w:bookmarkEnd w:id="143"/>
      <w:bookmarkEnd w:id="144"/>
      <w:bookmarkEnd w:id="145"/>
      <w:bookmarkEnd w:id="146"/>
      <w:bookmarkEnd w:id="147"/>
    </w:p>
    <w:p w14:paraId="298E8FDC">
      <w:pPr>
        <w:spacing w:line="360" w:lineRule="auto"/>
        <w:ind w:firstLine="0" w:firstLineChars="0"/>
        <w:jc w:val="left"/>
        <w:rPr>
          <w:rFonts w:hint="eastAsia" w:ascii="宋体" w:hAnsi="宋体" w:eastAsia="宋体" w:cs="宋体"/>
          <w:color w:val="auto"/>
          <w:sz w:val="24"/>
          <w:szCs w:val="24"/>
        </w:rPr>
      </w:pPr>
      <w:bookmarkStart w:id="148" w:name="_Toc325726030"/>
      <w:bookmarkStart w:id="149" w:name="_Toc376936761"/>
      <w:r>
        <w:rPr>
          <w:rFonts w:hint="eastAsia" w:ascii="宋体" w:hAnsi="宋体" w:eastAsia="宋体" w:cs="宋体"/>
          <w:color w:val="auto"/>
          <w:sz w:val="24"/>
          <w:szCs w:val="24"/>
        </w:rPr>
        <w:t>20.1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采购人与成交供应商应当在成交通知书发出之日起30日内，按照磋商文件确定的合同文本以及采购标的、规格型号、采购金额、采购数量、技术和服务要求等事项签订政府采购合同。</w:t>
      </w:r>
    </w:p>
    <w:p w14:paraId="50148021">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 xml:space="preserve">2 </w:t>
      </w:r>
      <w:r>
        <w:rPr>
          <w:rFonts w:hint="eastAsia" w:ascii="宋体" w:hAnsi="宋体" w:eastAsia="宋体" w:cs="宋体"/>
          <w:color w:val="auto"/>
          <w:sz w:val="24"/>
          <w:szCs w:val="24"/>
        </w:rPr>
        <w:t>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07822E25">
      <w:pPr>
        <w:pStyle w:val="41"/>
        <w:spacing w:line="360" w:lineRule="auto"/>
        <w:rPr>
          <w:rFonts w:hint="eastAsia" w:ascii="宋体" w:hAnsi="宋体" w:eastAsia="宋体" w:cs="宋体"/>
          <w:color w:val="auto"/>
          <w:lang w:val="en-US"/>
        </w:rPr>
      </w:pPr>
      <w:r>
        <w:rPr>
          <w:rFonts w:hint="eastAsia" w:ascii="宋体" w:hAnsi="宋体" w:eastAsia="宋体" w:cs="宋体"/>
          <w:color w:val="auto"/>
        </w:rPr>
        <w:t>20.3</w:t>
      </w:r>
      <w:r>
        <w:rPr>
          <w:rFonts w:hint="eastAsia" w:ascii="宋体" w:hAnsi="宋体" w:eastAsia="宋体" w:cs="宋体"/>
          <w:color w:val="auto"/>
          <w:lang w:val="en-US" w:eastAsia="zh-CN"/>
        </w:rPr>
        <w:t xml:space="preserve"> </w:t>
      </w:r>
      <w:r>
        <w:rPr>
          <w:rFonts w:hint="eastAsia" w:ascii="宋体" w:hAnsi="宋体" w:eastAsia="宋体" w:cs="宋体"/>
          <w:color w:val="auto"/>
        </w:rPr>
        <w:t>签订合同时，成交供应商应当</w:t>
      </w:r>
      <w:r>
        <w:rPr>
          <w:rFonts w:hint="eastAsia" w:ascii="宋体" w:hAnsi="宋体" w:eastAsia="宋体" w:cs="宋体"/>
          <w:color w:val="auto"/>
          <w:lang w:val="en-US" w:eastAsia="zh-CN"/>
        </w:rPr>
        <w:t>以支票、汇票、本票或者金融机构、担保机构出具的保函</w:t>
      </w:r>
      <w:r>
        <w:rPr>
          <w:rFonts w:hint="eastAsia" w:ascii="宋体" w:hAnsi="宋体" w:eastAsia="宋体" w:cs="宋体"/>
          <w:color w:val="auto"/>
          <w:sz w:val="24"/>
          <w:szCs w:val="24"/>
          <w:lang w:val="zh-CN"/>
        </w:rPr>
        <w:t>（含电子保函，电子保函是指供应商利用青海省政府采购云平台电子保函系统（模块）出具的，有关业务操作流程和手册可从“青海省政府采购云平台”查阅下载，供应商在电子保函的申请、使用、查看应用过程中遇到问题可咨询技术支撑方：95763。政采云平台不向供应商收取服务费用）</w:t>
      </w:r>
      <w:r>
        <w:rPr>
          <w:rFonts w:hint="eastAsia" w:ascii="宋体" w:hAnsi="宋体" w:eastAsia="宋体" w:cs="宋体"/>
          <w:color w:val="auto"/>
          <w:lang w:val="en-US" w:eastAsia="zh-CN"/>
        </w:rPr>
        <w:t>等非现金形式</w:t>
      </w:r>
      <w:r>
        <w:rPr>
          <w:rFonts w:hint="eastAsia" w:ascii="宋体" w:hAnsi="宋体" w:eastAsia="宋体" w:cs="宋体"/>
          <w:color w:val="auto"/>
        </w:rPr>
        <w:t>向采购人指定的账户交纳履约保证金。</w:t>
      </w:r>
      <w:r>
        <w:rPr>
          <w:rFonts w:hint="eastAsia" w:ascii="宋体" w:hAnsi="宋体" w:eastAsia="宋体" w:cs="宋体"/>
          <w:b/>
          <w:bCs/>
          <w:color w:val="auto"/>
          <w:sz w:val="24"/>
          <w:highlight w:val="none"/>
          <w:lang w:val="zh-CN" w:eastAsia="zh-CN"/>
        </w:rPr>
        <w:t>本项目履约保证金金额为成交金额的</w:t>
      </w: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lang w:val="zh-CN" w:eastAsia="zh-CN"/>
        </w:rPr>
        <w:t>％。</w:t>
      </w:r>
    </w:p>
    <w:p w14:paraId="6547F93E">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 xml:space="preserve">4 </w:t>
      </w:r>
      <w:r>
        <w:rPr>
          <w:rFonts w:hint="eastAsia" w:ascii="宋体" w:hAnsi="宋体" w:eastAsia="宋体" w:cs="宋体"/>
          <w:color w:val="auto"/>
          <w:sz w:val="24"/>
          <w:szCs w:val="24"/>
        </w:rPr>
        <w:t>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3DE45B6F">
      <w:pPr>
        <w:widowControl/>
        <w:spacing w:line="360" w:lineRule="auto"/>
        <w:ind w:firstLine="0" w:firstLineChars="0"/>
        <w:jc w:val="center"/>
        <w:outlineLvl w:val="1"/>
        <w:rPr>
          <w:rFonts w:hint="eastAsia" w:ascii="宋体" w:hAnsi="宋体" w:eastAsia="宋体" w:cs="宋体"/>
          <w:b/>
          <w:bCs/>
          <w:color w:val="auto"/>
          <w:sz w:val="24"/>
          <w:szCs w:val="24"/>
        </w:rPr>
      </w:pPr>
      <w:bookmarkStart w:id="150" w:name="_Toc15693"/>
      <w:bookmarkStart w:id="151" w:name="_Toc896"/>
      <w:bookmarkStart w:id="152" w:name="_Toc22442"/>
      <w:r>
        <w:rPr>
          <w:rFonts w:hint="eastAsia" w:ascii="宋体" w:hAnsi="宋体" w:eastAsia="宋体" w:cs="宋体"/>
          <w:b/>
          <w:bCs/>
          <w:color w:val="auto"/>
          <w:sz w:val="24"/>
          <w:szCs w:val="24"/>
        </w:rPr>
        <w:t>九、</w:t>
      </w:r>
      <w:bookmarkEnd w:id="148"/>
      <w:bookmarkEnd w:id="149"/>
      <w:r>
        <w:rPr>
          <w:rFonts w:hint="eastAsia" w:ascii="宋体" w:hAnsi="宋体" w:eastAsia="宋体" w:cs="宋体"/>
          <w:b/>
          <w:bCs/>
          <w:color w:val="auto"/>
          <w:sz w:val="24"/>
          <w:szCs w:val="24"/>
        </w:rPr>
        <w:t>磋商活动终止</w:t>
      </w:r>
      <w:bookmarkEnd w:id="150"/>
      <w:bookmarkEnd w:id="151"/>
      <w:bookmarkEnd w:id="152"/>
    </w:p>
    <w:p w14:paraId="1DA361A4">
      <w:pPr>
        <w:widowControl/>
        <w:spacing w:line="360" w:lineRule="auto"/>
        <w:ind w:firstLine="0" w:firstLineChars="0"/>
        <w:jc w:val="left"/>
        <w:outlineLvl w:val="2"/>
        <w:rPr>
          <w:rFonts w:hint="eastAsia" w:ascii="宋体" w:hAnsi="宋体" w:eastAsia="宋体" w:cs="宋体"/>
          <w:b/>
          <w:bCs/>
          <w:color w:val="auto"/>
          <w:sz w:val="24"/>
          <w:szCs w:val="24"/>
        </w:rPr>
      </w:pPr>
      <w:bookmarkStart w:id="153" w:name="_Toc20799"/>
      <w:bookmarkStart w:id="154" w:name="_Toc11684"/>
      <w:bookmarkStart w:id="155" w:name="_Toc7098"/>
      <w:bookmarkStart w:id="156" w:name="_Toc376936762"/>
      <w:bookmarkStart w:id="157" w:name="_Toc325726031"/>
      <w:r>
        <w:rPr>
          <w:rFonts w:hint="eastAsia" w:ascii="宋体" w:hAnsi="宋体" w:eastAsia="宋体" w:cs="宋体"/>
          <w:b/>
          <w:bCs/>
          <w:color w:val="auto"/>
          <w:sz w:val="24"/>
          <w:szCs w:val="24"/>
        </w:rPr>
        <w:t>21.终止情形</w:t>
      </w:r>
      <w:bookmarkEnd w:id="153"/>
      <w:bookmarkEnd w:id="154"/>
      <w:bookmarkEnd w:id="155"/>
    </w:p>
    <w:p w14:paraId="767DCF28">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21.1</w:t>
      </w:r>
      <w:bookmarkEnd w:id="156"/>
      <w:bookmarkEnd w:id="157"/>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出现下列情形之一的，采购代理机构应当终止竞争性磋商采购活动，发布项目终止公告并说明原因，重新开展采购活动：</w:t>
      </w:r>
    </w:p>
    <w:p w14:paraId="72A284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（1）因情况变化，不再符合规定的竞争性磋商采购方式适用情形的；</w:t>
      </w:r>
    </w:p>
    <w:p w14:paraId="6EA913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70F644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（3）在采购过程中符合要求的供应商或者报价未超过采购预算的供应商不足3家的。</w:t>
      </w:r>
    </w:p>
    <w:p w14:paraId="023D80C4">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终止磋商活动后，由采购代理机构发布终止公告并说明原因。</w:t>
      </w:r>
      <w:bookmarkStart w:id="158" w:name="_Toc325726032"/>
    </w:p>
    <w:p w14:paraId="6AFD674C">
      <w:pPr>
        <w:widowControl/>
        <w:spacing w:line="360" w:lineRule="auto"/>
        <w:ind w:firstLine="0" w:firstLineChars="0"/>
        <w:jc w:val="center"/>
        <w:outlineLvl w:val="1"/>
        <w:rPr>
          <w:rFonts w:hint="eastAsia" w:ascii="宋体" w:hAnsi="宋体" w:eastAsia="宋体" w:cs="宋体"/>
          <w:b/>
          <w:bCs/>
          <w:color w:val="auto"/>
          <w:sz w:val="24"/>
          <w:szCs w:val="24"/>
        </w:rPr>
      </w:pPr>
      <w:bookmarkStart w:id="159" w:name="_Toc27950"/>
      <w:bookmarkStart w:id="160" w:name="_Toc6646"/>
      <w:bookmarkStart w:id="161" w:name="_Toc376936763"/>
      <w:bookmarkStart w:id="162" w:name="_Toc6774"/>
      <w:r>
        <w:rPr>
          <w:rFonts w:hint="eastAsia" w:ascii="宋体" w:hAnsi="宋体" w:eastAsia="宋体" w:cs="宋体"/>
          <w:b/>
          <w:bCs/>
          <w:color w:val="auto"/>
          <w:sz w:val="24"/>
          <w:szCs w:val="24"/>
        </w:rPr>
        <w:t>十、处罚</w:t>
      </w:r>
      <w:bookmarkEnd w:id="158"/>
      <w:bookmarkEnd w:id="159"/>
      <w:bookmarkEnd w:id="160"/>
      <w:bookmarkEnd w:id="161"/>
      <w:bookmarkEnd w:id="162"/>
    </w:p>
    <w:p w14:paraId="133F06D4">
      <w:pPr>
        <w:widowControl/>
        <w:spacing w:line="360" w:lineRule="auto"/>
        <w:ind w:firstLine="0" w:firstLineChars="0"/>
        <w:jc w:val="left"/>
        <w:outlineLvl w:val="2"/>
        <w:rPr>
          <w:rFonts w:hint="eastAsia" w:ascii="宋体" w:hAnsi="宋体" w:eastAsia="宋体" w:cs="宋体"/>
          <w:b/>
          <w:bCs/>
          <w:color w:val="auto"/>
          <w:sz w:val="24"/>
          <w:szCs w:val="24"/>
        </w:rPr>
      </w:pPr>
      <w:bookmarkStart w:id="163" w:name="_Toc376936764"/>
      <w:bookmarkStart w:id="164" w:name="_Toc28018"/>
      <w:bookmarkStart w:id="165" w:name="_Toc325726033"/>
      <w:bookmarkStart w:id="166" w:name="_Toc28508"/>
      <w:bookmarkStart w:id="167" w:name="_Toc17567"/>
      <w:r>
        <w:rPr>
          <w:rFonts w:hint="eastAsia" w:ascii="宋体" w:hAnsi="宋体" w:eastAsia="宋体" w:cs="宋体"/>
          <w:b/>
          <w:bCs/>
          <w:color w:val="auto"/>
          <w:sz w:val="24"/>
          <w:szCs w:val="24"/>
        </w:rPr>
        <w:t>22.处罚情形</w:t>
      </w:r>
      <w:bookmarkEnd w:id="163"/>
      <w:bookmarkEnd w:id="164"/>
      <w:bookmarkEnd w:id="165"/>
      <w:bookmarkEnd w:id="166"/>
      <w:bookmarkEnd w:id="167"/>
    </w:p>
    <w:p w14:paraId="2A98679B">
      <w:pPr>
        <w:autoSpaceDE w:val="0"/>
        <w:autoSpaceDN w:val="0"/>
        <w:spacing w:line="360" w:lineRule="auto"/>
        <w:ind w:firstLine="480"/>
        <w:rPr>
          <w:rFonts w:hint="eastAsia" w:ascii="宋体" w:hAnsi="宋体" w:eastAsia="宋体" w:cs="宋体"/>
          <w:color w:val="auto"/>
          <w:sz w:val="24"/>
          <w:lang w:val="zh-CN"/>
        </w:rPr>
      </w:pPr>
      <w:r>
        <w:rPr>
          <w:rFonts w:hint="eastAsia" w:ascii="宋体" w:hAnsi="宋体" w:eastAsia="宋体" w:cs="宋体"/>
          <w:color w:val="auto"/>
          <w:sz w:val="24"/>
          <w:lang w:val="en-US" w:eastAsia="zh-CN"/>
        </w:rPr>
        <w:t>成交供应商</w:t>
      </w:r>
      <w:r>
        <w:rPr>
          <w:rFonts w:hint="eastAsia" w:ascii="宋体" w:hAnsi="宋体" w:eastAsia="宋体" w:cs="宋体"/>
          <w:color w:val="auto"/>
          <w:sz w:val="24"/>
          <w:lang w:val="zh-CN"/>
        </w:rPr>
        <w:t>有下列情形之一的，</w:t>
      </w:r>
      <w:r>
        <w:rPr>
          <w:rFonts w:hint="eastAsia" w:ascii="宋体" w:hAnsi="宋体" w:eastAsia="宋体" w:cs="宋体"/>
          <w:color w:val="auto"/>
          <w:sz w:val="24"/>
          <w:lang w:val="en-US" w:eastAsia="zh-CN"/>
        </w:rPr>
        <w:t>成交</w:t>
      </w:r>
      <w:r>
        <w:rPr>
          <w:rFonts w:hint="eastAsia" w:ascii="宋体" w:hAnsi="宋体" w:eastAsia="宋体" w:cs="宋体"/>
          <w:color w:val="auto"/>
          <w:sz w:val="24"/>
          <w:lang w:val="zh-CN"/>
        </w:rPr>
        <w:t>无效，磋商保证金不予退还。情节严重的，报同级财政部门依法进行处理：</w:t>
      </w:r>
    </w:p>
    <w:p w14:paraId="0503796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rPr>
        <w:t>1</w:t>
      </w:r>
      <w:r>
        <w:rPr>
          <w:rFonts w:hint="eastAsia" w:ascii="宋体" w:hAnsi="宋体" w:eastAsia="宋体" w:cs="宋体"/>
          <w:color w:val="auto"/>
          <w:sz w:val="24"/>
          <w:lang w:val="zh-CN"/>
        </w:rPr>
        <w:t>）提供虚假材料谋取成交的；</w:t>
      </w:r>
    </w:p>
    <w:p w14:paraId="1BA73C4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）采取不正当手段诋毁、排挤其他供应商的；</w:t>
      </w:r>
    </w:p>
    <w:p w14:paraId="04F9578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rPr>
        <w:t>3</w:t>
      </w:r>
      <w:r>
        <w:rPr>
          <w:rFonts w:hint="eastAsia" w:ascii="宋体" w:hAnsi="宋体" w:eastAsia="宋体" w:cs="宋体"/>
          <w:color w:val="auto"/>
          <w:sz w:val="24"/>
          <w:lang w:val="zh-CN"/>
        </w:rPr>
        <w:t>）与采购人、其他供应商或者采购代理机构恶意串通的；</w:t>
      </w:r>
    </w:p>
    <w:p w14:paraId="6352B4C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rPr>
        <w:t>4</w:t>
      </w:r>
      <w:r>
        <w:rPr>
          <w:rFonts w:hint="eastAsia" w:ascii="宋体" w:hAnsi="宋体" w:eastAsia="宋体" w:cs="宋体"/>
          <w:color w:val="auto"/>
          <w:sz w:val="24"/>
          <w:lang w:val="zh-CN"/>
        </w:rPr>
        <w:t>）向采购人、采购代理机构行贿或者提供其他不正当利益的；</w:t>
      </w:r>
    </w:p>
    <w:p w14:paraId="0AE8113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rPr>
        <w:t>5</w:t>
      </w:r>
      <w:r>
        <w:rPr>
          <w:rFonts w:hint="eastAsia" w:ascii="宋体" w:hAnsi="宋体" w:eastAsia="宋体" w:cs="宋体"/>
          <w:color w:val="auto"/>
          <w:sz w:val="24"/>
          <w:lang w:val="zh-CN"/>
        </w:rPr>
        <w:t>）在招标采购过程中与采购人进行协商谈判的；</w:t>
      </w:r>
    </w:p>
    <w:p w14:paraId="0CFDB9E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rPr>
        <w:t>6</w:t>
      </w:r>
      <w:r>
        <w:rPr>
          <w:rFonts w:hint="eastAsia" w:ascii="宋体" w:hAnsi="宋体" w:eastAsia="宋体" w:cs="宋体"/>
          <w:color w:val="auto"/>
          <w:sz w:val="24"/>
          <w:lang w:val="zh-CN"/>
        </w:rPr>
        <w:t>）向磋商小组行贿或者提供其他不正当利益。</w:t>
      </w:r>
    </w:p>
    <w:p w14:paraId="53DBCDE1">
      <w:pPr>
        <w:widowControl/>
        <w:spacing w:line="360" w:lineRule="auto"/>
        <w:ind w:firstLine="0" w:firstLineChars="0"/>
        <w:jc w:val="center"/>
        <w:outlineLvl w:val="1"/>
        <w:rPr>
          <w:rFonts w:hint="eastAsia" w:ascii="宋体" w:hAnsi="宋体" w:eastAsia="宋体" w:cs="宋体"/>
          <w:b/>
          <w:bCs/>
          <w:color w:val="auto"/>
          <w:sz w:val="24"/>
          <w:szCs w:val="24"/>
        </w:rPr>
      </w:pPr>
      <w:bookmarkStart w:id="168" w:name="_Toc19538"/>
      <w:bookmarkStart w:id="169" w:name="_Toc325726034"/>
      <w:bookmarkStart w:id="170" w:name="_Toc376936765"/>
      <w:bookmarkStart w:id="171" w:name="_Toc16406"/>
      <w:bookmarkStart w:id="172" w:name="_Toc24569"/>
      <w:r>
        <w:rPr>
          <w:rFonts w:hint="eastAsia" w:ascii="宋体" w:hAnsi="宋体" w:eastAsia="宋体" w:cs="宋体"/>
          <w:b/>
          <w:bCs/>
          <w:color w:val="auto"/>
          <w:sz w:val="24"/>
          <w:szCs w:val="24"/>
        </w:rPr>
        <w:t>十一、其他</w:t>
      </w:r>
      <w:bookmarkEnd w:id="168"/>
      <w:bookmarkEnd w:id="169"/>
      <w:bookmarkEnd w:id="170"/>
      <w:bookmarkEnd w:id="171"/>
      <w:bookmarkEnd w:id="172"/>
    </w:p>
    <w:p w14:paraId="040117CC">
      <w:pPr>
        <w:widowControl/>
        <w:spacing w:line="360" w:lineRule="auto"/>
        <w:ind w:firstLine="0" w:firstLineChars="0"/>
        <w:jc w:val="left"/>
        <w:outlineLvl w:val="2"/>
        <w:rPr>
          <w:rFonts w:hint="eastAsia" w:ascii="宋体" w:hAnsi="宋体" w:eastAsia="宋体" w:cs="宋体"/>
          <w:color w:val="auto"/>
          <w:sz w:val="28"/>
          <w:szCs w:val="28"/>
          <w:lang w:val="en-US" w:eastAsia="zh-CN"/>
        </w:rPr>
      </w:pPr>
      <w:bookmarkStart w:id="173" w:name="_Toc32105"/>
      <w:r>
        <w:rPr>
          <w:rFonts w:hint="eastAsia" w:ascii="宋体" w:hAnsi="宋体" w:eastAsia="宋体" w:cs="宋体"/>
          <w:b/>
          <w:bCs/>
          <w:color w:val="auto"/>
          <w:sz w:val="24"/>
          <w:szCs w:val="24"/>
          <w:lang w:val="en-US" w:eastAsia="zh-CN"/>
        </w:rPr>
        <w:t>23.中止或终止采购活动</w:t>
      </w:r>
      <w:bookmarkEnd w:id="173"/>
    </w:p>
    <w:p w14:paraId="596D8001">
      <w:pPr>
        <w:autoSpaceDE w:val="0"/>
        <w:autoSpaceDN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采购过程中出现以下情形，导致电子交易系统无法正常运行，或者无法保证电子交易的公平、公正和安全时，采购人及采购代理机构可中止电子交易活动：</w:t>
      </w:r>
    </w:p>
    <w:p w14:paraId="5CB2685C">
      <w:pPr>
        <w:autoSpaceDE w:val="0"/>
        <w:autoSpaceDN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（1）电子交易系统发生故障而无法登录访问的；</w:t>
      </w:r>
    </w:p>
    <w:p w14:paraId="6117E33F">
      <w:pPr>
        <w:autoSpaceDE w:val="0"/>
        <w:autoSpaceDN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（2）电子交易系统应用或数据库出现错误，不能进行正常操作的；</w:t>
      </w:r>
    </w:p>
    <w:p w14:paraId="2C9EA81B">
      <w:pPr>
        <w:autoSpaceDE w:val="0"/>
        <w:autoSpaceDN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（3）电子交易系统发现严重安全漏洞，有潜在泄密危险的；</w:t>
      </w:r>
    </w:p>
    <w:p w14:paraId="3278C276">
      <w:pPr>
        <w:autoSpaceDE w:val="0"/>
        <w:autoSpaceDN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（4）因计算机病毒发作导致不能进行正常操作的；</w:t>
      </w:r>
    </w:p>
    <w:p w14:paraId="081C53B4">
      <w:pPr>
        <w:autoSpaceDE w:val="0"/>
        <w:autoSpaceDN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（5）其他无法保证电子交易的公平、公正和安全的情况。</w:t>
      </w:r>
    </w:p>
    <w:p w14:paraId="79A8537B">
      <w:pPr>
        <w:autoSpaceDE w:val="0"/>
        <w:autoSpaceDN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出现前款规定情形，不影响采购公平、公正性的，采购人及采购代理机构可以待上述情形消除后继续组织采购活动；出现违法违规情形，影响或可能影响采购公平、公正性的，应当依法废标或者终止采购活动。</w:t>
      </w:r>
    </w:p>
    <w:p w14:paraId="09011199">
      <w:pPr>
        <w:widowControl/>
        <w:spacing w:line="360" w:lineRule="auto"/>
        <w:ind w:firstLine="0" w:firstLineChars="0"/>
        <w:jc w:val="left"/>
        <w:outlineLvl w:val="2"/>
        <w:rPr>
          <w:rFonts w:hint="eastAsia" w:ascii="宋体" w:hAnsi="宋体" w:eastAsia="宋体" w:cs="宋体"/>
          <w:color w:val="auto"/>
          <w:sz w:val="24"/>
          <w:szCs w:val="24"/>
          <w:lang w:val="en-US" w:eastAsia="zh-CN"/>
        </w:rPr>
      </w:pPr>
      <w:bookmarkStart w:id="174" w:name="_Toc24498"/>
      <w:r>
        <w:rPr>
          <w:rFonts w:hint="eastAsia" w:ascii="宋体" w:hAnsi="宋体" w:eastAsia="宋体" w:cs="宋体"/>
          <w:b/>
          <w:bCs/>
          <w:color w:val="auto"/>
          <w:sz w:val="24"/>
          <w:szCs w:val="24"/>
          <w:lang w:val="en-US" w:eastAsia="zh-CN"/>
        </w:rPr>
        <w:t>24.其他事项</w:t>
      </w:r>
      <w:bookmarkEnd w:id="174"/>
    </w:p>
    <w:p w14:paraId="7C5B01DD">
      <w:pPr>
        <w:keepNext w:val="0"/>
        <w:keepLines w:val="0"/>
        <w:pageBreakBefore w:val="0"/>
        <w:widowControl/>
        <w:suppressLineNumbers w:val="0"/>
        <w:kinsoku/>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24.1 </w:t>
      </w:r>
      <w:r>
        <w:rPr>
          <w:rFonts w:hint="eastAsia" w:ascii="宋体" w:hAnsi="宋体" w:eastAsia="宋体" w:cs="宋体"/>
          <w:b/>
          <w:bCs/>
          <w:color w:val="auto"/>
          <w:kern w:val="0"/>
          <w:sz w:val="24"/>
          <w:szCs w:val="24"/>
          <w:lang w:val="en-US" w:eastAsia="zh-CN" w:bidi="ar"/>
        </w:rPr>
        <w:t>有下列情形之一的，视为供应商串通投标，其响应无效，并书面报告本级财政部门：</w:t>
      </w:r>
    </w:p>
    <w:p w14:paraId="663A400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（1）不同供应商的响应文件由同一电子设备编制、打印、复印、加密或者上传；电子响应文件记录的网卡（MAC）地址、CPU序列号和硬盘序列号等硬件信息各有一条以上相同，且无法提供合理解释的；</w:t>
      </w:r>
    </w:p>
    <w:p w14:paraId="6ABDE7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（2）从同一个供应商或者同一个自然人的IP地址下载采购文件或上传响应文件IP地址相同，且无法提供合理解释的。</w:t>
      </w:r>
    </w:p>
    <w:p w14:paraId="78430DFA">
      <w:pPr>
        <w:keepNext w:val="0"/>
        <w:keepLines w:val="0"/>
        <w:pageBreakBefore w:val="0"/>
        <w:widowControl/>
        <w:suppressLineNumbers w:val="0"/>
        <w:kinsoku/>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24.2 </w:t>
      </w:r>
      <w:r>
        <w:rPr>
          <w:rFonts w:hint="eastAsia" w:ascii="宋体" w:hAnsi="宋体" w:eastAsia="宋体" w:cs="宋体"/>
          <w:color w:val="auto"/>
          <w:sz w:val="24"/>
          <w:szCs w:val="24"/>
        </w:rPr>
        <w:t>其他未尽事宜，按照《中华人民共和国政府采购法》、</w:t>
      </w:r>
      <w:r>
        <w:rPr>
          <w:rFonts w:hint="eastAsia" w:ascii="宋体" w:hAnsi="宋体" w:eastAsia="宋体" w:cs="宋体"/>
          <w:color w:val="auto"/>
          <w:sz w:val="24"/>
          <w:szCs w:val="24"/>
          <w:lang w:eastAsia="zh-CN"/>
        </w:rPr>
        <w:t>《中华人民共和国民法典》</w:t>
      </w:r>
      <w:r>
        <w:rPr>
          <w:rFonts w:hint="eastAsia" w:ascii="宋体" w:hAnsi="宋体" w:eastAsia="宋体" w:cs="宋体"/>
          <w:color w:val="auto"/>
          <w:sz w:val="24"/>
          <w:szCs w:val="24"/>
        </w:rPr>
        <w:t>、《中华人民共和国政府采购法实施条例》、《政府采购竞争性磋商采购方式管理暂行办法》等法律法规的有关条款执行。</w:t>
      </w:r>
    </w:p>
    <w:p w14:paraId="716B27EC">
      <w:pPr>
        <w:wordWrap w:val="0"/>
        <w:spacing w:line="360" w:lineRule="auto"/>
        <w:ind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5CD359E4">
      <w:pPr>
        <w:keepNext/>
        <w:keepLines/>
        <w:widowControl/>
        <w:snapToGrid w:val="0"/>
        <w:spacing w:line="360" w:lineRule="auto"/>
        <w:ind w:firstLine="0" w:firstLineChars="0"/>
        <w:jc w:val="center"/>
        <w:outlineLvl w:val="0"/>
        <w:rPr>
          <w:rFonts w:hint="eastAsia" w:ascii="宋体" w:hAnsi="宋体" w:eastAsia="宋体" w:cs="宋体"/>
          <w:color w:val="auto"/>
          <w:sz w:val="24"/>
          <w:szCs w:val="24"/>
        </w:rPr>
      </w:pPr>
      <w:bookmarkStart w:id="175" w:name="_Toc12216"/>
      <w:r>
        <w:rPr>
          <w:rFonts w:hint="eastAsia" w:ascii="宋体" w:hAnsi="宋体" w:eastAsia="宋体" w:cs="宋体"/>
          <w:b/>
          <w:color w:val="auto"/>
          <w:kern w:val="28"/>
          <w:sz w:val="36"/>
          <w:szCs w:val="20"/>
        </w:rPr>
        <w:t>第四部分  采购项目合同书</w:t>
      </w:r>
      <w:bookmarkEnd w:id="175"/>
    </w:p>
    <w:p w14:paraId="33E02C5C">
      <w:pPr>
        <w:spacing w:line="360" w:lineRule="auto"/>
        <w:ind w:firstLine="0" w:firstLineChars="0"/>
        <w:rPr>
          <w:rFonts w:hint="eastAsia" w:ascii="宋体" w:hAnsi="宋体" w:eastAsia="宋体" w:cs="宋体"/>
          <w:color w:val="auto"/>
          <w:sz w:val="24"/>
          <w:szCs w:val="24"/>
        </w:rPr>
      </w:pPr>
    </w:p>
    <w:p w14:paraId="41C74ACD">
      <w:pPr>
        <w:spacing w:line="360" w:lineRule="auto"/>
        <w:ind w:firstLine="0" w:firstLineChars="0"/>
        <w:rPr>
          <w:rFonts w:hint="eastAsia" w:ascii="宋体" w:hAnsi="宋体" w:eastAsia="宋体" w:cs="宋体"/>
          <w:color w:val="auto"/>
          <w:sz w:val="24"/>
          <w:szCs w:val="24"/>
        </w:rPr>
      </w:pPr>
    </w:p>
    <w:p w14:paraId="372976B6">
      <w:pPr>
        <w:spacing w:line="360" w:lineRule="auto"/>
        <w:ind w:firstLine="0" w:firstLineChars="0"/>
        <w:rPr>
          <w:rFonts w:hint="eastAsia" w:ascii="宋体" w:hAnsi="宋体" w:eastAsia="宋体" w:cs="宋体"/>
          <w:color w:val="auto"/>
          <w:sz w:val="24"/>
          <w:szCs w:val="24"/>
        </w:rPr>
      </w:pPr>
    </w:p>
    <w:p w14:paraId="673847A6">
      <w:pPr>
        <w:spacing w:line="360" w:lineRule="auto"/>
        <w:ind w:firstLine="0" w:firstLineChars="0"/>
        <w:rPr>
          <w:rFonts w:hint="eastAsia" w:ascii="宋体" w:hAnsi="宋体" w:eastAsia="宋体" w:cs="宋体"/>
          <w:color w:val="auto"/>
          <w:sz w:val="24"/>
          <w:szCs w:val="24"/>
        </w:rPr>
      </w:pPr>
    </w:p>
    <w:p w14:paraId="21ACB5F6">
      <w:pPr>
        <w:autoSpaceDE w:val="0"/>
        <w:autoSpaceDN w:val="0"/>
        <w:spacing w:line="360" w:lineRule="auto"/>
        <w:ind w:firstLine="0" w:firstLineChars="0"/>
        <w:jc w:val="center"/>
        <w:rPr>
          <w:rFonts w:hint="eastAsia" w:ascii="宋体" w:hAnsi="宋体" w:eastAsia="宋体" w:cs="宋体"/>
          <w:b/>
          <w:bCs/>
          <w:color w:val="auto"/>
          <w:sz w:val="48"/>
          <w:szCs w:val="48"/>
        </w:rPr>
      </w:pPr>
      <w:r>
        <w:rPr>
          <w:rFonts w:hint="eastAsia" w:ascii="宋体" w:hAnsi="宋体" w:eastAsia="宋体" w:cs="宋体"/>
          <w:b/>
          <w:bCs/>
          <w:color w:val="auto"/>
          <w:sz w:val="48"/>
          <w:szCs w:val="48"/>
          <w:lang w:val="zh-CN"/>
        </w:rPr>
        <w:t>青海省政府采购项目合同书</w:t>
      </w:r>
    </w:p>
    <w:p w14:paraId="711D6B16">
      <w:pPr>
        <w:pStyle w:val="16"/>
        <w:ind w:left="0" w:leftChars="0" w:firstLine="0" w:firstLineChars="0"/>
        <w:jc w:val="both"/>
        <w:rPr>
          <w:rFonts w:hint="eastAsia" w:ascii="宋体" w:hAnsi="宋体" w:eastAsia="宋体" w:cs="宋体"/>
          <w:color w:val="auto"/>
          <w:lang w:eastAsia="zh-CN"/>
        </w:rPr>
      </w:pPr>
    </w:p>
    <w:p w14:paraId="03F7C565">
      <w:pPr>
        <w:pStyle w:val="16"/>
        <w:ind w:left="0" w:leftChars="0" w:firstLine="0" w:firstLineChars="0"/>
        <w:jc w:val="both"/>
        <w:rPr>
          <w:rFonts w:hint="eastAsia" w:ascii="宋体" w:hAnsi="宋体" w:eastAsia="宋体" w:cs="宋体"/>
          <w:color w:val="auto"/>
          <w:lang w:eastAsia="zh-CN"/>
        </w:rPr>
      </w:pPr>
    </w:p>
    <w:p w14:paraId="4C1AF778">
      <w:pPr>
        <w:spacing w:line="360" w:lineRule="auto"/>
        <w:ind w:firstLine="0" w:firstLineChars="0"/>
        <w:rPr>
          <w:rFonts w:hint="eastAsia" w:ascii="宋体" w:hAnsi="宋体" w:eastAsia="宋体" w:cs="宋体"/>
          <w:color w:val="auto"/>
          <w:sz w:val="24"/>
          <w:szCs w:val="24"/>
          <w:lang w:eastAsia="zh-CN"/>
        </w:rPr>
      </w:pPr>
    </w:p>
    <w:p w14:paraId="3738028A">
      <w:pPr>
        <w:pStyle w:val="41"/>
        <w:rPr>
          <w:rFonts w:hint="eastAsia" w:ascii="宋体" w:hAnsi="宋体" w:eastAsia="宋体" w:cs="宋体"/>
          <w:color w:val="auto"/>
        </w:rPr>
      </w:pPr>
    </w:p>
    <w:p w14:paraId="22BE821C">
      <w:pPr>
        <w:spacing w:line="360" w:lineRule="auto"/>
        <w:ind w:firstLine="0" w:firstLineChars="0"/>
        <w:rPr>
          <w:rFonts w:hint="eastAsia" w:ascii="宋体" w:hAnsi="宋体" w:eastAsia="宋体" w:cs="宋体"/>
          <w:color w:val="auto"/>
          <w:sz w:val="24"/>
          <w:szCs w:val="24"/>
        </w:rPr>
      </w:pPr>
    </w:p>
    <w:p w14:paraId="5C7E1852">
      <w:pPr>
        <w:spacing w:line="360" w:lineRule="auto"/>
        <w:ind w:firstLine="0" w:firstLineChars="0"/>
        <w:rPr>
          <w:rFonts w:hint="eastAsia" w:ascii="宋体" w:hAnsi="宋体" w:eastAsia="宋体" w:cs="宋体"/>
          <w:color w:val="auto"/>
          <w:sz w:val="24"/>
          <w:szCs w:val="24"/>
        </w:rPr>
      </w:pPr>
    </w:p>
    <w:p w14:paraId="7D32B192">
      <w:pPr>
        <w:autoSpaceDE w:val="0"/>
        <w:autoSpaceDN w:val="0"/>
        <w:spacing w:line="360" w:lineRule="auto"/>
        <w:ind w:firstLine="0" w:firstLineChars="0"/>
        <w:rPr>
          <w:rFonts w:hint="eastAsia" w:ascii="宋体" w:hAnsi="宋体" w:eastAsia="宋体" w:cs="宋体"/>
          <w:b/>
          <w:bCs/>
          <w:color w:val="auto"/>
          <w:sz w:val="30"/>
          <w:szCs w:val="30"/>
          <w:lang w:val="zh-CN"/>
        </w:rPr>
      </w:pPr>
      <w:r>
        <w:rPr>
          <w:rFonts w:hint="eastAsia" w:ascii="宋体" w:hAnsi="宋体" w:eastAsia="宋体" w:cs="宋体"/>
          <w:b/>
          <w:bCs/>
          <w:color w:val="auto"/>
          <w:sz w:val="30"/>
          <w:szCs w:val="30"/>
          <w:lang w:val="zh-CN"/>
        </w:rPr>
        <w:t>采购项目编号：</w:t>
      </w:r>
      <w:r>
        <w:rPr>
          <w:rFonts w:hint="eastAsia" w:ascii="宋体" w:hAnsi="宋体" w:eastAsia="宋体" w:cs="宋体"/>
          <w:b/>
          <w:bCs/>
          <w:color w:val="auto"/>
          <w:sz w:val="30"/>
          <w:szCs w:val="30"/>
          <w:u w:val="single"/>
          <w:lang w:val="zh-CN"/>
        </w:rPr>
        <w:t>青海鼎钊竞磋（货物）2026-023</w:t>
      </w:r>
    </w:p>
    <w:p w14:paraId="33063B20">
      <w:pPr>
        <w:autoSpaceDE w:val="0"/>
        <w:autoSpaceDN w:val="0"/>
        <w:spacing w:line="360" w:lineRule="auto"/>
        <w:ind w:left="2108" w:hanging="2108" w:hangingChars="700"/>
        <w:rPr>
          <w:rFonts w:hint="eastAsia" w:ascii="宋体" w:hAnsi="宋体" w:eastAsia="宋体" w:cs="宋体"/>
          <w:b/>
          <w:bCs/>
          <w:color w:val="auto"/>
          <w:sz w:val="30"/>
          <w:szCs w:val="30"/>
        </w:rPr>
      </w:pPr>
      <w:r>
        <w:rPr>
          <w:rFonts w:hint="eastAsia" w:ascii="宋体" w:hAnsi="宋体" w:eastAsia="宋体" w:cs="宋体"/>
          <w:b/>
          <w:bCs/>
          <w:color w:val="auto"/>
          <w:sz w:val="30"/>
          <w:szCs w:val="30"/>
          <w:lang w:val="zh-CN"/>
        </w:rPr>
        <w:t>采购项目名称：</w:t>
      </w:r>
      <w:r>
        <w:rPr>
          <w:rFonts w:hint="eastAsia" w:ascii="宋体" w:hAnsi="宋体" w:eastAsia="宋体" w:cs="宋体"/>
          <w:b/>
          <w:bCs/>
          <w:color w:val="auto"/>
          <w:sz w:val="30"/>
          <w:szCs w:val="30"/>
          <w:u w:val="single"/>
          <w:lang w:val="zh-CN"/>
        </w:rPr>
        <w:t>天峻县2026年学前教育装备玩教具采购项目</w:t>
      </w:r>
    </w:p>
    <w:p w14:paraId="0B425962">
      <w:pPr>
        <w:autoSpaceDE w:val="0"/>
        <w:autoSpaceDN w:val="0"/>
        <w:spacing w:line="360" w:lineRule="auto"/>
        <w:ind w:firstLine="0" w:firstLineChars="0"/>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zh-CN"/>
        </w:rPr>
        <w:t>采购合同编号：</w:t>
      </w:r>
      <w:r>
        <w:rPr>
          <w:rFonts w:hint="eastAsia" w:ascii="宋体" w:hAnsi="宋体" w:eastAsia="宋体" w:cs="宋体"/>
          <w:b/>
          <w:bCs/>
          <w:color w:val="auto"/>
          <w:sz w:val="30"/>
          <w:szCs w:val="30"/>
          <w:u w:val="single"/>
          <w:lang w:val="zh-CN"/>
        </w:rPr>
        <w:t>QH</w:t>
      </w:r>
      <w:r>
        <w:rPr>
          <w:rFonts w:hint="eastAsia" w:ascii="宋体" w:hAnsi="宋体" w:eastAsia="宋体" w:cs="宋体"/>
          <w:b/>
          <w:bCs/>
          <w:color w:val="auto"/>
          <w:sz w:val="30"/>
          <w:szCs w:val="30"/>
          <w:u w:val="single"/>
          <w:lang w:val="en-US" w:eastAsia="zh-CN"/>
        </w:rPr>
        <w:t>DZ</w:t>
      </w:r>
      <w:r>
        <w:rPr>
          <w:rFonts w:hint="eastAsia" w:ascii="宋体" w:hAnsi="宋体" w:eastAsia="宋体" w:cs="宋体"/>
          <w:b/>
          <w:bCs/>
          <w:color w:val="auto"/>
          <w:sz w:val="30"/>
          <w:szCs w:val="30"/>
          <w:u w:val="single"/>
          <w:lang w:val="zh-CN"/>
        </w:rPr>
        <w:t>-2026-023</w:t>
      </w:r>
    </w:p>
    <w:p w14:paraId="38A835B4">
      <w:pPr>
        <w:autoSpaceDE w:val="0"/>
        <w:autoSpaceDN w:val="0"/>
        <w:spacing w:line="360" w:lineRule="auto"/>
        <w:ind w:firstLine="0" w:firstLineChars="0"/>
        <w:rPr>
          <w:rFonts w:hint="eastAsia" w:ascii="宋体" w:hAnsi="宋体" w:eastAsia="宋体" w:cs="宋体"/>
          <w:b/>
          <w:bCs/>
          <w:color w:val="auto"/>
          <w:sz w:val="30"/>
          <w:szCs w:val="30"/>
          <w:u w:val="single"/>
          <w:lang w:val="en-US" w:eastAsia="zh-CN"/>
        </w:rPr>
      </w:pPr>
      <w:r>
        <w:rPr>
          <w:rFonts w:hint="eastAsia" w:ascii="宋体" w:hAnsi="宋体" w:eastAsia="宋体" w:cs="宋体"/>
          <w:b/>
          <w:bCs/>
          <w:color w:val="auto"/>
          <w:sz w:val="30"/>
          <w:szCs w:val="30"/>
          <w:lang w:val="zh-CN"/>
        </w:rPr>
        <w:t>合同金额（人民币）：</w:t>
      </w:r>
      <w:r>
        <w:rPr>
          <w:rFonts w:hint="eastAsia" w:ascii="宋体" w:hAnsi="宋体" w:eastAsia="宋体" w:cs="宋体"/>
          <w:b/>
          <w:bCs/>
          <w:color w:val="auto"/>
          <w:sz w:val="30"/>
          <w:szCs w:val="30"/>
          <w:u w:val="single"/>
          <w:lang w:val="en-US" w:eastAsia="zh-CN"/>
        </w:rPr>
        <w:t xml:space="preserve">                       </w:t>
      </w:r>
    </w:p>
    <w:p w14:paraId="4B56643E">
      <w:pPr>
        <w:autoSpaceDE w:val="0"/>
        <w:autoSpaceDN w:val="0"/>
        <w:spacing w:line="360" w:lineRule="auto"/>
        <w:ind w:left="2409" w:hanging="2409" w:hangingChars="800"/>
        <w:rPr>
          <w:rFonts w:hint="eastAsia" w:ascii="宋体" w:hAnsi="宋体" w:eastAsia="宋体" w:cs="宋体"/>
          <w:b/>
          <w:bCs/>
          <w:color w:val="auto"/>
          <w:sz w:val="30"/>
          <w:szCs w:val="30"/>
        </w:rPr>
      </w:pPr>
      <w:r>
        <w:rPr>
          <w:rFonts w:hint="eastAsia" w:ascii="宋体" w:hAnsi="宋体" w:eastAsia="宋体" w:cs="宋体"/>
          <w:b/>
          <w:bCs/>
          <w:color w:val="auto"/>
          <w:sz w:val="30"/>
          <w:szCs w:val="30"/>
          <w:lang w:val="zh-CN"/>
        </w:rPr>
        <w:t>采购人（甲方）：</w:t>
      </w:r>
      <w:r>
        <w:rPr>
          <w:rFonts w:hint="eastAsia" w:ascii="宋体" w:hAnsi="宋体" w:eastAsia="宋体" w:cs="宋体"/>
          <w:b/>
          <w:bCs/>
          <w:color w:val="auto"/>
          <w:sz w:val="30"/>
          <w:szCs w:val="30"/>
          <w:u w:val="single"/>
          <w:lang w:val="zh-CN" w:eastAsia="zh-CN"/>
        </w:rPr>
        <w:t>天峻县教育局</w:t>
      </w:r>
      <w:r>
        <w:rPr>
          <w:rFonts w:hint="eastAsia" w:ascii="宋体" w:hAnsi="宋体" w:eastAsia="宋体" w:cs="宋体"/>
          <w:b/>
          <w:bCs/>
          <w:color w:val="auto"/>
          <w:sz w:val="30"/>
          <w:szCs w:val="30"/>
          <w:u w:val="single"/>
          <w:lang w:val="zh-CN"/>
        </w:rPr>
        <w:t>（盖章）</w:t>
      </w:r>
    </w:p>
    <w:p w14:paraId="54C65296">
      <w:pPr>
        <w:autoSpaceDE w:val="0"/>
        <w:autoSpaceDN w:val="0"/>
        <w:spacing w:line="360" w:lineRule="auto"/>
        <w:ind w:firstLine="0" w:firstLineChars="0"/>
        <w:rPr>
          <w:rFonts w:hint="eastAsia" w:ascii="宋体" w:hAnsi="宋体" w:eastAsia="宋体" w:cs="宋体"/>
          <w:b/>
          <w:bCs/>
          <w:color w:val="auto"/>
          <w:sz w:val="30"/>
          <w:szCs w:val="30"/>
        </w:rPr>
      </w:pPr>
      <w:r>
        <w:rPr>
          <w:rFonts w:hint="eastAsia" w:ascii="宋体" w:hAnsi="宋体" w:eastAsia="宋体" w:cs="宋体"/>
          <w:b/>
          <w:bCs/>
          <w:color w:val="auto"/>
          <w:sz w:val="30"/>
          <w:szCs w:val="30"/>
          <w:lang w:val="zh-CN"/>
        </w:rPr>
        <w:t>供应商（乙方）：</w:t>
      </w:r>
      <w:r>
        <w:rPr>
          <w:rFonts w:hint="eastAsia" w:ascii="宋体" w:hAnsi="宋体" w:eastAsia="宋体" w:cs="宋体"/>
          <w:b/>
          <w:bCs/>
          <w:color w:val="auto"/>
          <w:sz w:val="30"/>
          <w:szCs w:val="30"/>
          <w:u w:val="single"/>
          <w:lang w:val="en-US" w:eastAsia="zh-CN"/>
        </w:rPr>
        <w:t xml:space="preserve">                        </w:t>
      </w:r>
      <w:r>
        <w:rPr>
          <w:rFonts w:hint="eastAsia" w:ascii="宋体" w:hAnsi="宋体" w:eastAsia="宋体" w:cs="宋体"/>
          <w:b/>
          <w:bCs/>
          <w:color w:val="auto"/>
          <w:sz w:val="30"/>
          <w:szCs w:val="30"/>
          <w:u w:val="single"/>
          <w:lang w:val="zh-CN"/>
        </w:rPr>
        <w:t>（盖章）</w:t>
      </w:r>
    </w:p>
    <w:p w14:paraId="3EA37436">
      <w:pPr>
        <w:autoSpaceDE w:val="0"/>
        <w:autoSpaceDN w:val="0"/>
        <w:spacing w:line="360" w:lineRule="auto"/>
        <w:ind w:firstLine="0" w:firstLineChars="0"/>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zh-CN"/>
        </w:rPr>
        <w:t>采购日期：</w:t>
      </w:r>
      <w:r>
        <w:rPr>
          <w:rFonts w:hint="eastAsia" w:ascii="宋体" w:hAnsi="宋体" w:eastAsia="宋体" w:cs="宋体"/>
          <w:b/>
          <w:bCs/>
          <w:color w:val="auto"/>
          <w:sz w:val="30"/>
          <w:szCs w:val="30"/>
          <w:u w:val="single"/>
          <w:lang w:val="en-US" w:eastAsia="zh-CN"/>
        </w:rPr>
        <w:t xml:space="preserve">                                 </w:t>
      </w:r>
    </w:p>
    <w:p w14:paraId="49899B37">
      <w:pPr>
        <w:spacing w:line="360" w:lineRule="auto"/>
        <w:ind w:left="0" w:leftChars="0" w:firstLine="0" w:firstLineChars="0"/>
        <w:rPr>
          <w:rFonts w:hint="eastAsia" w:ascii="宋体" w:hAnsi="宋体" w:eastAsia="宋体" w:cs="宋体"/>
          <w:color w:val="auto"/>
          <w:sz w:val="24"/>
          <w:szCs w:val="24"/>
        </w:rPr>
      </w:pPr>
    </w:p>
    <w:p w14:paraId="72ED4DBF">
      <w:pPr>
        <w:spacing w:line="360" w:lineRule="auto"/>
        <w:ind w:left="0" w:leftChars="0" w:firstLine="0" w:firstLineChars="0"/>
        <w:rPr>
          <w:rFonts w:hint="eastAsia" w:ascii="宋体" w:hAnsi="宋体" w:eastAsia="宋体" w:cs="宋体"/>
          <w:color w:val="auto"/>
          <w:sz w:val="24"/>
          <w:szCs w:val="24"/>
        </w:rPr>
      </w:pPr>
    </w:p>
    <w:p w14:paraId="716244DD">
      <w:pPr>
        <w:spacing w:line="360" w:lineRule="auto"/>
        <w:ind w:left="0" w:leftChars="0" w:firstLine="0" w:firstLineChars="0"/>
        <w:rPr>
          <w:rFonts w:hint="eastAsia" w:ascii="宋体" w:hAnsi="宋体" w:eastAsia="宋体" w:cs="宋体"/>
          <w:color w:val="auto"/>
          <w:sz w:val="24"/>
          <w:szCs w:val="24"/>
          <w:lang w:val="en-US" w:eastAsia="zh-CN"/>
        </w:rPr>
      </w:pPr>
    </w:p>
    <w:p w14:paraId="6E90D26D">
      <w:pPr>
        <w:autoSpaceDE w:val="0"/>
        <w:autoSpaceDN w:val="0"/>
        <w:spacing w:line="360" w:lineRule="auto"/>
        <w:ind w:firstLine="0" w:firstLineChars="0"/>
        <w:jc w:val="left"/>
        <w:rPr>
          <w:rFonts w:hint="eastAsia" w:ascii="宋体" w:hAnsi="宋体" w:eastAsia="宋体" w:cs="宋体"/>
          <w:b/>
          <w:bCs/>
          <w:color w:val="auto"/>
          <w:sz w:val="28"/>
          <w:szCs w:val="28"/>
        </w:rPr>
      </w:pPr>
      <w:r>
        <w:rPr>
          <w:rFonts w:hint="eastAsia" w:ascii="宋体" w:hAnsi="宋体" w:eastAsia="宋体" w:cs="宋体"/>
          <w:color w:val="auto"/>
          <w:sz w:val="28"/>
          <w:szCs w:val="28"/>
        </w:rPr>
        <w:br w:type="page"/>
      </w:r>
      <w:r>
        <w:rPr>
          <w:rFonts w:hint="eastAsia" w:ascii="宋体" w:hAnsi="宋体" w:eastAsia="宋体" w:cs="宋体"/>
          <w:b/>
          <w:bCs/>
          <w:color w:val="auto"/>
          <w:sz w:val="28"/>
          <w:szCs w:val="28"/>
          <w:lang w:val="zh-CN"/>
        </w:rPr>
        <w:t>采购人（以下简称甲方）：</w:t>
      </w:r>
    </w:p>
    <w:p w14:paraId="1E81098E">
      <w:pPr>
        <w:autoSpaceDE w:val="0"/>
        <w:autoSpaceDN w:val="0"/>
        <w:spacing w:line="360" w:lineRule="auto"/>
        <w:ind w:firstLine="0" w:firstLineChars="0"/>
        <w:rPr>
          <w:rFonts w:hint="eastAsia" w:ascii="宋体" w:hAnsi="宋体" w:eastAsia="宋体" w:cs="宋体"/>
          <w:color w:val="auto"/>
          <w:sz w:val="28"/>
          <w:szCs w:val="28"/>
        </w:rPr>
      </w:pPr>
      <w:r>
        <w:rPr>
          <w:rFonts w:hint="eastAsia" w:ascii="宋体" w:hAnsi="宋体" w:eastAsia="宋体" w:cs="宋体"/>
          <w:b/>
          <w:bCs/>
          <w:color w:val="auto"/>
          <w:sz w:val="28"/>
          <w:szCs w:val="28"/>
          <w:lang w:val="zh-CN"/>
        </w:rPr>
        <w:t>供应商（以下简称乙方）：</w:t>
      </w:r>
    </w:p>
    <w:p w14:paraId="430F0921">
      <w:pPr>
        <w:pStyle w:val="11"/>
        <w:spacing w:after="0" w:line="360" w:lineRule="auto"/>
        <w:ind w:left="0" w:leftChars="0"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甲、乙双方根据</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日“天峻县2026年学前教育装备玩教具采购项目”（项目编号：青海鼎钊竞磋（货物）2026-023）的磋商文件要求和</w:t>
      </w:r>
      <w:r>
        <w:rPr>
          <w:rFonts w:hint="eastAsia" w:ascii="宋体" w:hAnsi="宋体" w:eastAsia="宋体" w:cs="宋体"/>
          <w:color w:val="auto"/>
          <w:sz w:val="24"/>
          <w:lang w:val="zh-CN"/>
        </w:rPr>
        <w:t>青海鼎钊招标代理有限公司</w:t>
      </w:r>
      <w:r>
        <w:rPr>
          <w:rFonts w:hint="eastAsia" w:ascii="宋体" w:hAnsi="宋体" w:eastAsia="宋体" w:cs="宋体"/>
          <w:color w:val="auto"/>
          <w:sz w:val="24"/>
          <w:szCs w:val="24"/>
          <w:lang w:val="zh-CN"/>
        </w:rPr>
        <w:t>出具的《成交通知书》，并经双方协商一致，签订本合同协议书。</w:t>
      </w:r>
    </w:p>
    <w:p w14:paraId="011FD3BE">
      <w:pPr>
        <w:autoSpaceDE w:val="0"/>
        <w:autoSpaceDN w:val="0"/>
        <w:spacing w:line="360" w:lineRule="auto"/>
        <w:ind w:firstLine="0" w:firstLineChars="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一、签订本政府采购合同的依据</w:t>
      </w:r>
    </w:p>
    <w:p w14:paraId="334A2307">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本政府采购合同所附下列文件是构成本政府采购合同不可分割的部分：</w:t>
      </w:r>
    </w:p>
    <w:p w14:paraId="29F02C1F">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1.磋商文件；</w:t>
      </w:r>
    </w:p>
    <w:p w14:paraId="763929FC">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2.磋商文件的更正、变更公告；</w:t>
      </w:r>
    </w:p>
    <w:p w14:paraId="68DBD77D">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val="zh-CN"/>
        </w:rPr>
        <w:t>提交的响应文件；</w:t>
      </w:r>
    </w:p>
    <w:p w14:paraId="607E444B">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4.磋商文件中规定的政府采购合同通用条款；</w:t>
      </w:r>
    </w:p>
    <w:p w14:paraId="6975CB80">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成交通知书；</w:t>
      </w:r>
    </w:p>
    <w:p w14:paraId="6506719A">
      <w:pPr>
        <w:autoSpaceDE w:val="0"/>
        <w:autoSpaceDN w:val="0"/>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6.履约保证金凭证。</w:t>
      </w:r>
    </w:p>
    <w:p w14:paraId="58740947">
      <w:pPr>
        <w:autoSpaceDE w:val="0"/>
        <w:autoSpaceDN w:val="0"/>
        <w:spacing w:line="360" w:lineRule="auto"/>
        <w:ind w:firstLine="0" w:firstLineChars="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二、合同标的及金额</w:t>
      </w:r>
      <w:r>
        <w:rPr>
          <w:rFonts w:hint="eastAsia" w:ascii="宋体" w:hAnsi="宋体" w:eastAsia="宋体" w:cs="宋体"/>
          <w:color w:val="auto"/>
          <w:sz w:val="24"/>
          <w:szCs w:val="24"/>
          <w:lang w:val="zh-CN"/>
        </w:rPr>
        <w:t xml:space="preserve">                                       单位：元</w:t>
      </w:r>
    </w:p>
    <w:tbl>
      <w:tblPr>
        <w:tblStyle w:val="25"/>
        <w:tblW w:w="10205" w:type="dxa"/>
        <w:jc w:val="center"/>
        <w:tblLayout w:type="fixed"/>
        <w:tblCellMar>
          <w:top w:w="0" w:type="dxa"/>
          <w:left w:w="57" w:type="dxa"/>
          <w:bottom w:w="0" w:type="dxa"/>
          <w:right w:w="57" w:type="dxa"/>
        </w:tblCellMar>
      </w:tblPr>
      <w:tblGrid>
        <w:gridCol w:w="812"/>
        <w:gridCol w:w="2191"/>
        <w:gridCol w:w="1470"/>
        <w:gridCol w:w="1283"/>
        <w:gridCol w:w="1312"/>
        <w:gridCol w:w="1065"/>
        <w:gridCol w:w="1095"/>
        <w:gridCol w:w="977"/>
      </w:tblGrid>
      <w:tr w14:paraId="6DC60736">
        <w:tblPrEx>
          <w:tblCellMar>
            <w:top w:w="0" w:type="dxa"/>
            <w:left w:w="57" w:type="dxa"/>
            <w:bottom w:w="0" w:type="dxa"/>
            <w:right w:w="57" w:type="dxa"/>
          </w:tblCellMar>
        </w:tblPrEx>
        <w:trPr>
          <w:cantSplit/>
          <w:trHeight w:val="23"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14:paraId="67836A6F">
            <w:pPr>
              <w:autoSpaceDE w:val="0"/>
              <w:autoSpaceDN w:val="0"/>
              <w:spacing w:line="240" w:lineRule="atLeast"/>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序号</w:t>
            </w:r>
          </w:p>
        </w:tc>
        <w:tc>
          <w:tcPr>
            <w:tcW w:w="2191" w:type="dxa"/>
            <w:tcBorders>
              <w:top w:val="single" w:color="auto" w:sz="4" w:space="0"/>
              <w:left w:val="single" w:color="auto" w:sz="4" w:space="0"/>
              <w:bottom w:val="single" w:color="auto" w:sz="4" w:space="0"/>
              <w:right w:val="single" w:color="auto" w:sz="4" w:space="0"/>
            </w:tcBorders>
            <w:vAlign w:val="center"/>
          </w:tcPr>
          <w:p w14:paraId="08B884EF">
            <w:pPr>
              <w:autoSpaceDE w:val="0"/>
              <w:autoSpaceDN w:val="0"/>
              <w:spacing w:line="240" w:lineRule="atLeast"/>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标的名称</w:t>
            </w:r>
          </w:p>
        </w:tc>
        <w:tc>
          <w:tcPr>
            <w:tcW w:w="1470" w:type="dxa"/>
            <w:tcBorders>
              <w:top w:val="single" w:color="auto" w:sz="4" w:space="0"/>
              <w:left w:val="single" w:color="auto" w:sz="4" w:space="0"/>
              <w:bottom w:val="single" w:color="auto" w:sz="4" w:space="0"/>
              <w:right w:val="single" w:color="auto" w:sz="4" w:space="0"/>
            </w:tcBorders>
            <w:vAlign w:val="center"/>
          </w:tcPr>
          <w:p w14:paraId="3FA3E2B7">
            <w:pPr>
              <w:autoSpaceDE w:val="0"/>
              <w:autoSpaceDN w:val="0"/>
              <w:spacing w:line="240" w:lineRule="atLeast"/>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规格型号</w:t>
            </w:r>
          </w:p>
        </w:tc>
        <w:tc>
          <w:tcPr>
            <w:tcW w:w="1283" w:type="dxa"/>
            <w:tcBorders>
              <w:top w:val="single" w:color="auto" w:sz="4" w:space="0"/>
              <w:left w:val="single" w:color="auto" w:sz="4" w:space="0"/>
              <w:bottom w:val="single" w:color="auto" w:sz="4" w:space="0"/>
              <w:right w:val="single" w:color="auto" w:sz="4" w:space="0"/>
            </w:tcBorders>
            <w:vAlign w:val="center"/>
          </w:tcPr>
          <w:p w14:paraId="489F9F46">
            <w:pPr>
              <w:autoSpaceDE w:val="0"/>
              <w:autoSpaceDN w:val="0"/>
              <w:spacing w:line="240" w:lineRule="atLeast"/>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数量</w:t>
            </w:r>
          </w:p>
        </w:tc>
        <w:tc>
          <w:tcPr>
            <w:tcW w:w="1312" w:type="dxa"/>
            <w:tcBorders>
              <w:top w:val="single" w:color="auto" w:sz="4" w:space="0"/>
              <w:left w:val="single" w:color="auto" w:sz="4" w:space="0"/>
              <w:bottom w:val="single" w:color="auto" w:sz="4" w:space="0"/>
              <w:right w:val="single" w:color="auto" w:sz="4" w:space="0"/>
            </w:tcBorders>
            <w:vAlign w:val="center"/>
          </w:tcPr>
          <w:p w14:paraId="6AAB8ED9">
            <w:pPr>
              <w:autoSpaceDE w:val="0"/>
              <w:autoSpaceDN w:val="0"/>
              <w:spacing w:line="240" w:lineRule="atLeas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1065" w:type="dxa"/>
            <w:tcBorders>
              <w:top w:val="single" w:color="auto" w:sz="4" w:space="0"/>
              <w:left w:val="single" w:color="auto" w:sz="4" w:space="0"/>
              <w:bottom w:val="single" w:color="auto" w:sz="4" w:space="0"/>
              <w:right w:val="single" w:color="auto" w:sz="4" w:space="0"/>
            </w:tcBorders>
            <w:vAlign w:val="center"/>
          </w:tcPr>
          <w:p w14:paraId="18D4C461">
            <w:pPr>
              <w:autoSpaceDE w:val="0"/>
              <w:autoSpaceDN w:val="0"/>
              <w:spacing w:line="240" w:lineRule="atLeast"/>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单价</w:t>
            </w:r>
          </w:p>
        </w:tc>
        <w:tc>
          <w:tcPr>
            <w:tcW w:w="1095" w:type="dxa"/>
            <w:tcBorders>
              <w:top w:val="single" w:color="auto" w:sz="4" w:space="0"/>
              <w:left w:val="single" w:color="auto" w:sz="4" w:space="0"/>
              <w:bottom w:val="single" w:color="auto" w:sz="4" w:space="0"/>
              <w:right w:val="single" w:color="auto" w:sz="4" w:space="0"/>
            </w:tcBorders>
            <w:vAlign w:val="center"/>
          </w:tcPr>
          <w:p w14:paraId="4AA0F51C">
            <w:pPr>
              <w:autoSpaceDE w:val="0"/>
              <w:autoSpaceDN w:val="0"/>
              <w:spacing w:line="240" w:lineRule="atLeast"/>
              <w:ind w:firstLine="0" w:firstLineChars="0"/>
              <w:jc w:val="center"/>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合计</w:t>
            </w:r>
          </w:p>
        </w:tc>
        <w:tc>
          <w:tcPr>
            <w:tcW w:w="977" w:type="dxa"/>
            <w:tcBorders>
              <w:top w:val="single" w:color="auto" w:sz="4" w:space="0"/>
              <w:left w:val="single" w:color="auto" w:sz="4" w:space="0"/>
              <w:bottom w:val="single" w:color="auto" w:sz="4" w:space="0"/>
              <w:right w:val="single" w:color="auto" w:sz="4" w:space="0"/>
            </w:tcBorders>
            <w:vAlign w:val="center"/>
          </w:tcPr>
          <w:p w14:paraId="6F4FA387">
            <w:pPr>
              <w:autoSpaceDE w:val="0"/>
              <w:autoSpaceDN w:val="0"/>
              <w:spacing w:line="240" w:lineRule="atLeast"/>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备注</w:t>
            </w:r>
          </w:p>
        </w:tc>
      </w:tr>
      <w:tr w14:paraId="230CAC04">
        <w:tblPrEx>
          <w:tblCellMar>
            <w:top w:w="0" w:type="dxa"/>
            <w:left w:w="57" w:type="dxa"/>
            <w:bottom w:w="0" w:type="dxa"/>
            <w:right w:w="57" w:type="dxa"/>
          </w:tblCellMar>
        </w:tblPrEx>
        <w:trPr>
          <w:cantSplit/>
          <w:trHeight w:val="23"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14:paraId="4005A214">
            <w:pPr>
              <w:autoSpaceDE w:val="0"/>
              <w:autoSpaceDN w:val="0"/>
              <w:spacing w:line="240" w:lineRule="atLeast"/>
              <w:ind w:firstLine="0" w:firstLineChars="0"/>
              <w:jc w:val="center"/>
              <w:rPr>
                <w:rFonts w:hint="eastAsia" w:ascii="宋体" w:hAnsi="宋体" w:eastAsia="宋体" w:cs="宋体"/>
                <w:color w:val="auto"/>
                <w:sz w:val="24"/>
                <w:szCs w:val="24"/>
                <w:lang w:val="zh-CN"/>
              </w:rPr>
            </w:pPr>
          </w:p>
        </w:tc>
        <w:tc>
          <w:tcPr>
            <w:tcW w:w="2191" w:type="dxa"/>
            <w:tcBorders>
              <w:top w:val="single" w:color="auto" w:sz="4" w:space="0"/>
              <w:left w:val="single" w:color="auto" w:sz="4" w:space="0"/>
              <w:bottom w:val="single" w:color="auto" w:sz="4" w:space="0"/>
              <w:right w:val="single" w:color="auto" w:sz="4" w:space="0"/>
            </w:tcBorders>
            <w:vAlign w:val="center"/>
          </w:tcPr>
          <w:p w14:paraId="51EAFCA6">
            <w:pPr>
              <w:autoSpaceDE w:val="0"/>
              <w:autoSpaceDN w:val="0"/>
              <w:spacing w:line="240" w:lineRule="atLeast"/>
              <w:ind w:firstLine="0" w:firstLineChars="0"/>
              <w:jc w:val="center"/>
              <w:rPr>
                <w:rFonts w:hint="eastAsia" w:ascii="宋体" w:hAnsi="宋体" w:eastAsia="宋体" w:cs="宋体"/>
                <w:color w:val="auto"/>
                <w:sz w:val="24"/>
                <w:szCs w:val="24"/>
                <w:lang w:val="zh-CN"/>
              </w:rPr>
            </w:pPr>
          </w:p>
        </w:tc>
        <w:tc>
          <w:tcPr>
            <w:tcW w:w="1470" w:type="dxa"/>
            <w:tcBorders>
              <w:top w:val="single" w:color="auto" w:sz="4" w:space="0"/>
              <w:left w:val="single" w:color="auto" w:sz="4" w:space="0"/>
              <w:bottom w:val="single" w:color="auto" w:sz="4" w:space="0"/>
              <w:right w:val="single" w:color="auto" w:sz="4" w:space="0"/>
            </w:tcBorders>
            <w:vAlign w:val="center"/>
          </w:tcPr>
          <w:p w14:paraId="784760BC">
            <w:pPr>
              <w:autoSpaceDE w:val="0"/>
              <w:autoSpaceDN w:val="0"/>
              <w:spacing w:line="240" w:lineRule="atLeast"/>
              <w:ind w:firstLine="0" w:firstLineChars="0"/>
              <w:jc w:val="center"/>
              <w:rPr>
                <w:rFonts w:hint="eastAsia" w:ascii="宋体" w:hAnsi="宋体" w:eastAsia="宋体" w:cs="宋体"/>
                <w:color w:val="auto"/>
                <w:sz w:val="24"/>
                <w:szCs w:val="24"/>
                <w:lang w:val="zh-CN"/>
              </w:rPr>
            </w:pPr>
          </w:p>
        </w:tc>
        <w:tc>
          <w:tcPr>
            <w:tcW w:w="1283" w:type="dxa"/>
            <w:tcBorders>
              <w:top w:val="single" w:color="auto" w:sz="4" w:space="0"/>
              <w:left w:val="single" w:color="auto" w:sz="4" w:space="0"/>
              <w:bottom w:val="single" w:color="auto" w:sz="4" w:space="0"/>
              <w:right w:val="single" w:color="auto" w:sz="4" w:space="0"/>
            </w:tcBorders>
            <w:vAlign w:val="center"/>
          </w:tcPr>
          <w:p w14:paraId="6DC6ECB2">
            <w:pPr>
              <w:autoSpaceDE w:val="0"/>
              <w:autoSpaceDN w:val="0"/>
              <w:spacing w:line="240" w:lineRule="atLeast"/>
              <w:ind w:firstLine="0" w:firstLineChars="0"/>
              <w:jc w:val="center"/>
              <w:rPr>
                <w:rFonts w:hint="eastAsia" w:ascii="宋体" w:hAnsi="宋体" w:eastAsia="宋体" w:cs="宋体"/>
                <w:color w:val="auto"/>
                <w:sz w:val="24"/>
                <w:szCs w:val="24"/>
                <w:lang w:val="zh-CN"/>
              </w:rPr>
            </w:pPr>
          </w:p>
        </w:tc>
        <w:tc>
          <w:tcPr>
            <w:tcW w:w="1312" w:type="dxa"/>
            <w:tcBorders>
              <w:top w:val="single" w:color="auto" w:sz="4" w:space="0"/>
              <w:left w:val="single" w:color="auto" w:sz="4" w:space="0"/>
              <w:bottom w:val="single" w:color="auto" w:sz="4" w:space="0"/>
              <w:right w:val="single" w:color="auto" w:sz="4" w:space="0"/>
            </w:tcBorders>
            <w:vAlign w:val="center"/>
          </w:tcPr>
          <w:p w14:paraId="28312ECF">
            <w:pPr>
              <w:autoSpaceDE w:val="0"/>
              <w:autoSpaceDN w:val="0"/>
              <w:spacing w:line="240" w:lineRule="atLeast"/>
              <w:ind w:firstLine="0" w:firstLineChars="0"/>
              <w:jc w:val="center"/>
              <w:rPr>
                <w:rFonts w:hint="eastAsia" w:ascii="宋体" w:hAnsi="宋体" w:eastAsia="宋体" w:cs="宋体"/>
                <w:color w:val="auto"/>
                <w:sz w:val="24"/>
                <w:szCs w:val="24"/>
                <w:lang w:val="zh-CN"/>
              </w:rPr>
            </w:pPr>
          </w:p>
        </w:tc>
        <w:tc>
          <w:tcPr>
            <w:tcW w:w="1065" w:type="dxa"/>
            <w:tcBorders>
              <w:top w:val="single" w:color="auto" w:sz="4" w:space="0"/>
              <w:left w:val="single" w:color="auto" w:sz="4" w:space="0"/>
              <w:bottom w:val="single" w:color="auto" w:sz="4" w:space="0"/>
              <w:right w:val="single" w:color="auto" w:sz="4" w:space="0"/>
            </w:tcBorders>
            <w:vAlign w:val="center"/>
          </w:tcPr>
          <w:p w14:paraId="63D98453">
            <w:pPr>
              <w:autoSpaceDE w:val="0"/>
              <w:autoSpaceDN w:val="0"/>
              <w:spacing w:line="240" w:lineRule="atLeast"/>
              <w:ind w:firstLine="0" w:firstLineChars="0"/>
              <w:jc w:val="center"/>
              <w:rPr>
                <w:rFonts w:hint="eastAsia" w:ascii="宋体" w:hAnsi="宋体" w:eastAsia="宋体" w:cs="宋体"/>
                <w:color w:val="auto"/>
                <w:sz w:val="24"/>
                <w:szCs w:val="24"/>
                <w:lang w:val="zh-CN"/>
              </w:rPr>
            </w:pPr>
          </w:p>
        </w:tc>
        <w:tc>
          <w:tcPr>
            <w:tcW w:w="1095" w:type="dxa"/>
            <w:tcBorders>
              <w:top w:val="single" w:color="auto" w:sz="4" w:space="0"/>
              <w:left w:val="single" w:color="auto" w:sz="4" w:space="0"/>
              <w:bottom w:val="single" w:color="auto" w:sz="4" w:space="0"/>
              <w:right w:val="single" w:color="auto" w:sz="4" w:space="0"/>
            </w:tcBorders>
            <w:vAlign w:val="center"/>
          </w:tcPr>
          <w:p w14:paraId="46229B0F">
            <w:pPr>
              <w:autoSpaceDE w:val="0"/>
              <w:autoSpaceDN w:val="0"/>
              <w:spacing w:line="240" w:lineRule="atLeast"/>
              <w:ind w:firstLine="0" w:firstLineChars="0"/>
              <w:jc w:val="center"/>
              <w:rPr>
                <w:rFonts w:hint="eastAsia" w:ascii="宋体" w:hAnsi="宋体" w:eastAsia="宋体" w:cs="宋体"/>
                <w:color w:val="auto"/>
                <w:sz w:val="24"/>
                <w:szCs w:val="24"/>
                <w:lang w:val="zh-CN"/>
              </w:rPr>
            </w:pPr>
          </w:p>
        </w:tc>
        <w:tc>
          <w:tcPr>
            <w:tcW w:w="977" w:type="dxa"/>
            <w:tcBorders>
              <w:top w:val="single" w:color="auto" w:sz="4" w:space="0"/>
              <w:left w:val="single" w:color="auto" w:sz="4" w:space="0"/>
              <w:bottom w:val="single" w:color="auto" w:sz="4" w:space="0"/>
              <w:right w:val="single" w:color="auto" w:sz="4" w:space="0"/>
            </w:tcBorders>
            <w:vAlign w:val="center"/>
          </w:tcPr>
          <w:p w14:paraId="61487BC2">
            <w:pPr>
              <w:autoSpaceDE w:val="0"/>
              <w:autoSpaceDN w:val="0"/>
              <w:spacing w:line="240" w:lineRule="atLeast"/>
              <w:ind w:firstLine="0" w:firstLineChars="0"/>
              <w:jc w:val="center"/>
              <w:rPr>
                <w:rFonts w:hint="eastAsia" w:ascii="宋体" w:hAnsi="宋体" w:eastAsia="宋体" w:cs="宋体"/>
                <w:color w:val="auto"/>
                <w:sz w:val="24"/>
                <w:szCs w:val="24"/>
                <w:lang w:val="zh-CN"/>
              </w:rPr>
            </w:pPr>
          </w:p>
        </w:tc>
      </w:tr>
      <w:tr w14:paraId="6647F7C7">
        <w:tblPrEx>
          <w:tblCellMar>
            <w:top w:w="0" w:type="dxa"/>
            <w:left w:w="57" w:type="dxa"/>
            <w:bottom w:w="0" w:type="dxa"/>
            <w:right w:w="57" w:type="dxa"/>
          </w:tblCellMar>
        </w:tblPrEx>
        <w:trPr>
          <w:cantSplit/>
          <w:trHeight w:val="23"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14:paraId="5DB20ACD">
            <w:pPr>
              <w:autoSpaceDE w:val="0"/>
              <w:autoSpaceDN w:val="0"/>
              <w:spacing w:line="240" w:lineRule="atLeast"/>
              <w:ind w:firstLine="0" w:firstLineChars="0"/>
              <w:jc w:val="center"/>
              <w:rPr>
                <w:rFonts w:hint="eastAsia" w:ascii="宋体" w:hAnsi="宋体" w:eastAsia="宋体" w:cs="宋体"/>
                <w:color w:val="auto"/>
                <w:sz w:val="24"/>
                <w:szCs w:val="24"/>
                <w:lang w:val="zh-CN"/>
              </w:rPr>
            </w:pPr>
          </w:p>
        </w:tc>
        <w:tc>
          <w:tcPr>
            <w:tcW w:w="2191" w:type="dxa"/>
            <w:tcBorders>
              <w:top w:val="single" w:color="auto" w:sz="4" w:space="0"/>
              <w:left w:val="single" w:color="auto" w:sz="4" w:space="0"/>
              <w:bottom w:val="single" w:color="auto" w:sz="4" w:space="0"/>
              <w:right w:val="single" w:color="auto" w:sz="4" w:space="0"/>
            </w:tcBorders>
            <w:vAlign w:val="center"/>
          </w:tcPr>
          <w:p w14:paraId="45F90E9E">
            <w:pPr>
              <w:autoSpaceDE w:val="0"/>
              <w:autoSpaceDN w:val="0"/>
              <w:spacing w:line="240" w:lineRule="atLeast"/>
              <w:ind w:firstLine="0" w:firstLineChars="0"/>
              <w:jc w:val="center"/>
              <w:rPr>
                <w:rFonts w:hint="eastAsia" w:ascii="宋体" w:hAnsi="宋体" w:eastAsia="宋体" w:cs="宋体"/>
                <w:color w:val="auto"/>
                <w:sz w:val="24"/>
                <w:szCs w:val="24"/>
                <w:lang w:val="zh-CN"/>
              </w:rPr>
            </w:pPr>
          </w:p>
        </w:tc>
        <w:tc>
          <w:tcPr>
            <w:tcW w:w="1470" w:type="dxa"/>
            <w:tcBorders>
              <w:top w:val="single" w:color="auto" w:sz="4" w:space="0"/>
              <w:left w:val="single" w:color="auto" w:sz="4" w:space="0"/>
              <w:bottom w:val="single" w:color="auto" w:sz="4" w:space="0"/>
              <w:right w:val="single" w:color="auto" w:sz="4" w:space="0"/>
            </w:tcBorders>
            <w:vAlign w:val="center"/>
          </w:tcPr>
          <w:p w14:paraId="71968BDE">
            <w:pPr>
              <w:autoSpaceDE w:val="0"/>
              <w:autoSpaceDN w:val="0"/>
              <w:spacing w:line="240" w:lineRule="atLeast"/>
              <w:ind w:firstLine="0" w:firstLineChars="0"/>
              <w:jc w:val="center"/>
              <w:rPr>
                <w:rFonts w:hint="eastAsia" w:ascii="宋体" w:hAnsi="宋体" w:eastAsia="宋体" w:cs="宋体"/>
                <w:color w:val="auto"/>
                <w:sz w:val="24"/>
                <w:szCs w:val="24"/>
                <w:lang w:val="zh-CN"/>
              </w:rPr>
            </w:pPr>
          </w:p>
        </w:tc>
        <w:tc>
          <w:tcPr>
            <w:tcW w:w="1283" w:type="dxa"/>
            <w:tcBorders>
              <w:top w:val="single" w:color="auto" w:sz="4" w:space="0"/>
              <w:left w:val="single" w:color="auto" w:sz="4" w:space="0"/>
              <w:bottom w:val="single" w:color="auto" w:sz="4" w:space="0"/>
              <w:right w:val="single" w:color="auto" w:sz="4" w:space="0"/>
            </w:tcBorders>
            <w:vAlign w:val="center"/>
          </w:tcPr>
          <w:p w14:paraId="5703749D">
            <w:pPr>
              <w:autoSpaceDE w:val="0"/>
              <w:autoSpaceDN w:val="0"/>
              <w:spacing w:line="240" w:lineRule="atLeast"/>
              <w:ind w:firstLine="0" w:firstLineChars="0"/>
              <w:jc w:val="center"/>
              <w:rPr>
                <w:rFonts w:hint="eastAsia" w:ascii="宋体" w:hAnsi="宋体" w:eastAsia="宋体" w:cs="宋体"/>
                <w:color w:val="auto"/>
                <w:sz w:val="24"/>
                <w:szCs w:val="24"/>
                <w:lang w:val="zh-CN"/>
              </w:rPr>
            </w:pPr>
          </w:p>
        </w:tc>
        <w:tc>
          <w:tcPr>
            <w:tcW w:w="1312" w:type="dxa"/>
            <w:tcBorders>
              <w:top w:val="single" w:color="auto" w:sz="4" w:space="0"/>
              <w:left w:val="single" w:color="auto" w:sz="4" w:space="0"/>
              <w:bottom w:val="single" w:color="auto" w:sz="4" w:space="0"/>
              <w:right w:val="single" w:color="auto" w:sz="4" w:space="0"/>
            </w:tcBorders>
            <w:vAlign w:val="center"/>
          </w:tcPr>
          <w:p w14:paraId="70F9BB8B">
            <w:pPr>
              <w:autoSpaceDE w:val="0"/>
              <w:autoSpaceDN w:val="0"/>
              <w:spacing w:line="240" w:lineRule="atLeast"/>
              <w:ind w:firstLine="0" w:firstLineChars="0"/>
              <w:jc w:val="center"/>
              <w:rPr>
                <w:rFonts w:hint="eastAsia" w:ascii="宋体" w:hAnsi="宋体" w:eastAsia="宋体" w:cs="宋体"/>
                <w:color w:val="auto"/>
                <w:sz w:val="24"/>
                <w:szCs w:val="24"/>
                <w:lang w:val="zh-CN"/>
              </w:rPr>
            </w:pPr>
          </w:p>
        </w:tc>
        <w:tc>
          <w:tcPr>
            <w:tcW w:w="1065" w:type="dxa"/>
            <w:tcBorders>
              <w:top w:val="single" w:color="auto" w:sz="4" w:space="0"/>
              <w:left w:val="single" w:color="auto" w:sz="4" w:space="0"/>
              <w:bottom w:val="single" w:color="auto" w:sz="4" w:space="0"/>
              <w:right w:val="single" w:color="auto" w:sz="4" w:space="0"/>
            </w:tcBorders>
            <w:vAlign w:val="center"/>
          </w:tcPr>
          <w:p w14:paraId="3B0BB266">
            <w:pPr>
              <w:autoSpaceDE w:val="0"/>
              <w:autoSpaceDN w:val="0"/>
              <w:spacing w:line="240" w:lineRule="atLeast"/>
              <w:ind w:firstLine="0" w:firstLineChars="0"/>
              <w:jc w:val="center"/>
              <w:rPr>
                <w:rFonts w:hint="eastAsia" w:ascii="宋体" w:hAnsi="宋体" w:eastAsia="宋体" w:cs="宋体"/>
                <w:color w:val="auto"/>
                <w:sz w:val="24"/>
                <w:szCs w:val="24"/>
                <w:lang w:val="zh-CN"/>
              </w:rPr>
            </w:pPr>
          </w:p>
        </w:tc>
        <w:tc>
          <w:tcPr>
            <w:tcW w:w="1095" w:type="dxa"/>
            <w:tcBorders>
              <w:top w:val="single" w:color="auto" w:sz="4" w:space="0"/>
              <w:left w:val="single" w:color="auto" w:sz="4" w:space="0"/>
              <w:bottom w:val="single" w:color="auto" w:sz="4" w:space="0"/>
              <w:right w:val="single" w:color="auto" w:sz="4" w:space="0"/>
            </w:tcBorders>
            <w:vAlign w:val="center"/>
          </w:tcPr>
          <w:p w14:paraId="436D63B8">
            <w:pPr>
              <w:autoSpaceDE w:val="0"/>
              <w:autoSpaceDN w:val="0"/>
              <w:spacing w:line="240" w:lineRule="atLeast"/>
              <w:ind w:firstLine="0" w:firstLineChars="0"/>
              <w:jc w:val="center"/>
              <w:rPr>
                <w:rFonts w:hint="eastAsia" w:ascii="宋体" w:hAnsi="宋体" w:eastAsia="宋体" w:cs="宋体"/>
                <w:color w:val="auto"/>
                <w:sz w:val="24"/>
                <w:szCs w:val="24"/>
                <w:lang w:val="zh-CN"/>
              </w:rPr>
            </w:pPr>
          </w:p>
        </w:tc>
        <w:tc>
          <w:tcPr>
            <w:tcW w:w="977" w:type="dxa"/>
            <w:tcBorders>
              <w:top w:val="single" w:color="auto" w:sz="4" w:space="0"/>
              <w:left w:val="single" w:color="auto" w:sz="4" w:space="0"/>
              <w:bottom w:val="single" w:color="auto" w:sz="4" w:space="0"/>
              <w:right w:val="single" w:color="auto" w:sz="4" w:space="0"/>
            </w:tcBorders>
            <w:vAlign w:val="center"/>
          </w:tcPr>
          <w:p w14:paraId="29D79764">
            <w:pPr>
              <w:autoSpaceDE w:val="0"/>
              <w:autoSpaceDN w:val="0"/>
              <w:spacing w:line="240" w:lineRule="atLeast"/>
              <w:ind w:firstLine="0" w:firstLineChars="0"/>
              <w:jc w:val="center"/>
              <w:rPr>
                <w:rFonts w:hint="eastAsia" w:ascii="宋体" w:hAnsi="宋体" w:eastAsia="宋体" w:cs="宋体"/>
                <w:color w:val="auto"/>
                <w:sz w:val="24"/>
                <w:szCs w:val="24"/>
                <w:lang w:val="zh-CN"/>
              </w:rPr>
            </w:pPr>
          </w:p>
        </w:tc>
      </w:tr>
    </w:tbl>
    <w:p w14:paraId="144056E6">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根据上述政府采购合同文件要求，本政府采购合同的总金额为人民币</w:t>
      </w:r>
    </w:p>
    <w:p w14:paraId="3618D485">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元。</w:t>
      </w:r>
    </w:p>
    <w:p w14:paraId="10C34E6F">
      <w:pPr>
        <w:autoSpaceDE w:val="0"/>
        <w:autoSpaceDN w:val="0"/>
        <w:spacing w:line="360" w:lineRule="auto"/>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szCs w:val="24"/>
          <w:lang w:val="zh-CN"/>
        </w:rPr>
        <w:t>本合同以人民币进行结算，合同总价包括：</w:t>
      </w:r>
      <w:r>
        <w:rPr>
          <w:rFonts w:hint="eastAsia" w:ascii="宋体" w:hAnsi="宋体" w:eastAsia="宋体" w:cs="宋体"/>
          <w:color w:val="auto"/>
          <w:sz w:val="24"/>
          <w:lang w:val="zh-CN"/>
        </w:rPr>
        <w:t>产品费、验收费、手续费、包装费、运输费、配送费、保险费、培训费、售前、售中、售后服务费、代理服务费、税金及不可预见费等完成合同义务的全部费用。</w:t>
      </w:r>
    </w:p>
    <w:p w14:paraId="5C84AB60">
      <w:pPr>
        <w:autoSpaceDE w:val="0"/>
        <w:autoSpaceDN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b/>
          <w:bCs/>
          <w:color w:val="auto"/>
          <w:sz w:val="24"/>
          <w:szCs w:val="24"/>
          <w:lang w:val="zh-CN"/>
        </w:rPr>
        <w:t>三、</w:t>
      </w:r>
      <w:r>
        <w:rPr>
          <w:rFonts w:hint="eastAsia" w:ascii="宋体" w:hAnsi="宋体" w:eastAsia="宋体" w:cs="宋体"/>
          <w:b/>
          <w:bCs/>
          <w:color w:val="auto"/>
          <w:sz w:val="24"/>
          <w:szCs w:val="24"/>
          <w:lang w:val="zh-CN" w:eastAsia="zh-CN"/>
        </w:rPr>
        <w:t>交货时间</w:t>
      </w:r>
      <w:r>
        <w:rPr>
          <w:rFonts w:hint="eastAsia" w:ascii="宋体" w:hAnsi="宋体" w:eastAsia="宋体" w:cs="宋体"/>
          <w:b/>
          <w:bCs/>
          <w:color w:val="auto"/>
          <w:sz w:val="24"/>
          <w:szCs w:val="24"/>
          <w:lang w:val="zh-CN"/>
        </w:rPr>
        <w:t>、地点和要求</w:t>
      </w:r>
    </w:p>
    <w:p w14:paraId="33EF7D9E">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交货时间</w:t>
      </w:r>
      <w:r>
        <w:rPr>
          <w:rFonts w:hint="eastAsia" w:ascii="宋体" w:hAnsi="宋体" w:eastAsia="宋体" w:cs="宋体"/>
          <w:color w:val="auto"/>
          <w:sz w:val="24"/>
          <w:szCs w:val="24"/>
          <w:lang w:val="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交货地点</w:t>
      </w:r>
      <w:r>
        <w:rPr>
          <w:rFonts w:hint="eastAsia" w:ascii="宋体" w:hAnsi="宋体" w:eastAsia="宋体" w:cs="宋体"/>
          <w:color w:val="auto"/>
          <w:sz w:val="24"/>
          <w:szCs w:val="24"/>
          <w:lang w:val="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w:t>
      </w:r>
    </w:p>
    <w:p w14:paraId="137E9316">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乙方提供不符合磋商文件、响应文件和本合同规定的产品（</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lang w:val="zh-CN"/>
        </w:rPr>
        <w:t>），甲方有权拒绝接受。</w:t>
      </w:r>
    </w:p>
    <w:p w14:paraId="41E2A1D2">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乙方应将提供产品的装箱清单、用户手册、原厂保修卡、随机资料、工具和备品、备件等交付给甲方，如有缺失应及时补齐，否则视为逾期交货。</w:t>
      </w:r>
    </w:p>
    <w:p w14:paraId="099F81AF">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甲方应当在到货后</w:t>
      </w:r>
      <w:r>
        <w:rPr>
          <w:rFonts w:hint="eastAsia" w:ascii="宋体" w:hAnsi="宋体" w:eastAsia="宋体" w:cs="宋体"/>
          <w:color w:val="auto"/>
          <w:sz w:val="24"/>
          <w:szCs w:val="24"/>
          <w:u w:val="single"/>
        </w:rPr>
        <w:t>7</w:t>
      </w:r>
      <w:r>
        <w:rPr>
          <w:rFonts w:hint="eastAsia" w:ascii="宋体" w:hAnsi="宋体" w:eastAsia="宋体" w:cs="宋体"/>
          <w:color w:val="auto"/>
          <w:sz w:val="24"/>
          <w:szCs w:val="24"/>
          <w:lang w:val="zh-CN"/>
        </w:rPr>
        <w:t>个工作日内进行验收，逾期不验收的，乙方可视为验收合格。验收合格后，由甲乙双方签署产品验收单并加盖采购人公章，甲乙双方各执一份。</w:t>
      </w:r>
    </w:p>
    <w:p w14:paraId="33350729">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甲方应提供该项目验收报告交同级财政监管部门，由财政部门按规定程序抽验后办理资金拨付。</w:t>
      </w:r>
    </w:p>
    <w:p w14:paraId="07E928C6">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甲方在验收过程中发现乙方有违约问题，可按磋商文件、响应文件的规定要求乙方及时予以解决。</w:t>
      </w:r>
    </w:p>
    <w:p w14:paraId="7589F0CC">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乙方向甲方提供产品相关完税销售发票。</w:t>
      </w:r>
    </w:p>
    <w:p w14:paraId="2AD9D734">
      <w:pPr>
        <w:autoSpaceDE w:val="0"/>
        <w:autoSpaceDN w:val="0"/>
        <w:spacing w:line="360" w:lineRule="auto"/>
        <w:ind w:firstLine="0"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lang w:val="zh-CN"/>
        </w:rPr>
        <w:t>四、付款方式</w:t>
      </w:r>
    </w:p>
    <w:p w14:paraId="129CDFC8">
      <w:pPr>
        <w:keepNext w:val="0"/>
        <w:keepLines w:val="0"/>
        <w:pageBreakBefore w:val="0"/>
        <w:widowControl w:val="0"/>
        <w:kinsoku/>
        <w:wordWrap/>
        <w:overflowPunct/>
        <w:topLinePunct w:val="0"/>
        <w:autoSpaceDE w:val="0"/>
        <w:autoSpaceDN w:val="0"/>
        <w:bidi w:val="0"/>
        <w:adjustRightInd/>
        <w:snapToGrid/>
        <w:spacing w:line="360" w:lineRule="auto"/>
        <w:ind w:firstLine="48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0"/>
          <w:sz w:val="24"/>
          <w:szCs w:val="24"/>
          <w:lang w:val="en-US" w:eastAsia="zh-CN" w:bidi="ar"/>
        </w:rPr>
        <w:t>合同签订前，乙方向甲方交纳</w:t>
      </w:r>
      <w:r>
        <w:rPr>
          <w:rFonts w:hint="eastAsia" w:ascii="宋体" w:hAnsi="宋体" w:eastAsia="宋体" w:cs="宋体"/>
          <w:b/>
          <w:bCs/>
          <w:color w:val="auto"/>
          <w:sz w:val="24"/>
          <w:szCs w:val="24"/>
          <w:lang w:val="en-US" w:eastAsia="zh-CN"/>
        </w:rPr>
        <w:t>合同金额</w:t>
      </w:r>
      <w:r>
        <w:rPr>
          <w:rFonts w:hint="eastAsia" w:ascii="宋体" w:hAnsi="宋体" w:eastAsia="宋体" w:cs="宋体"/>
          <w:b/>
          <w:bCs/>
          <w:color w:val="auto"/>
          <w:kern w:val="0"/>
          <w:sz w:val="24"/>
          <w:szCs w:val="24"/>
          <w:lang w:val="en-US" w:eastAsia="zh-CN" w:bidi="ar"/>
        </w:rPr>
        <w:t>的5%作为履约保证金，</w:t>
      </w:r>
      <w:r>
        <w:rPr>
          <w:rFonts w:hint="eastAsia" w:ascii="宋体" w:hAnsi="宋体" w:eastAsia="宋体" w:cs="宋体"/>
          <w:b/>
          <w:bCs/>
          <w:color w:val="auto"/>
          <w:sz w:val="24"/>
          <w:szCs w:val="24"/>
          <w:lang w:val="en-US" w:eastAsia="zh-CN"/>
        </w:rPr>
        <w:t>即人民币（大写）：</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lang w:val="en-US" w:eastAsia="zh-CN"/>
        </w:rPr>
        <w:t>元转入甲方指定账户，待免费质保期</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lang w:val="en-US" w:eastAsia="zh-CN"/>
        </w:rPr>
        <w:t>（年）满且产品无质量问题后，由乙方提出书面申请，甲方以转账方式予以无息退还。</w:t>
      </w:r>
    </w:p>
    <w:p w14:paraId="3820EF13">
      <w:pPr>
        <w:keepNext w:val="0"/>
        <w:keepLines w:val="0"/>
        <w:pageBreakBefore w:val="0"/>
        <w:wordWrap/>
        <w:overflowPunct/>
        <w:topLinePunct w:val="0"/>
        <w:bidi w:val="0"/>
        <w:spacing w:line="360" w:lineRule="auto"/>
        <w:ind w:firstLine="450" w:firstLineChars="200"/>
        <w:textAlignment w:val="auto"/>
        <w:rPr>
          <w:rFonts w:hint="eastAsia" w:ascii="宋体" w:hAnsi="宋体" w:eastAsia="宋体" w:cs="宋体"/>
          <w:b/>
          <w:bCs/>
          <w:color w:val="auto"/>
          <w:spacing w:val="-8"/>
          <w:kern w:val="0"/>
          <w:sz w:val="24"/>
          <w:szCs w:val="24"/>
          <w:lang w:val="en-US" w:eastAsia="zh-CN" w:bidi="ar-SA"/>
        </w:rPr>
      </w:pPr>
      <w:r>
        <w:rPr>
          <w:rFonts w:hint="eastAsia" w:ascii="宋体" w:hAnsi="宋体" w:eastAsia="宋体" w:cs="宋体"/>
          <w:b/>
          <w:bCs/>
          <w:color w:val="auto"/>
          <w:spacing w:val="-8"/>
          <w:kern w:val="0"/>
          <w:sz w:val="24"/>
          <w:szCs w:val="24"/>
          <w:lang w:val="en-US" w:eastAsia="zh-CN" w:bidi="ar-SA"/>
        </w:rPr>
        <w:t>签订合同且到货后，甲方向乙方支付合同金额的30%，即人民币（大写）：</w:t>
      </w:r>
      <w:r>
        <w:rPr>
          <w:rFonts w:hint="eastAsia" w:ascii="宋体" w:hAnsi="宋体" w:eastAsia="宋体" w:cs="宋体"/>
          <w:b/>
          <w:bCs/>
          <w:color w:val="auto"/>
          <w:spacing w:val="-8"/>
          <w:kern w:val="0"/>
          <w:sz w:val="24"/>
          <w:szCs w:val="24"/>
          <w:u w:val="single"/>
          <w:lang w:val="en-US" w:eastAsia="zh-CN" w:bidi="ar-SA"/>
        </w:rPr>
        <w:t xml:space="preserve">      </w:t>
      </w:r>
      <w:r>
        <w:rPr>
          <w:rFonts w:hint="eastAsia" w:ascii="宋体" w:hAnsi="宋体" w:eastAsia="宋体" w:cs="宋体"/>
          <w:b/>
          <w:bCs/>
          <w:color w:val="auto"/>
          <w:spacing w:val="-8"/>
          <w:kern w:val="0"/>
          <w:sz w:val="24"/>
          <w:szCs w:val="24"/>
          <w:lang w:val="en-US" w:eastAsia="zh-CN" w:bidi="ar-SA"/>
        </w:rPr>
        <w:t>元；安装完成后，甲方向乙方支付合同金额的40%，即人民币（大写）：</w:t>
      </w:r>
      <w:r>
        <w:rPr>
          <w:rFonts w:hint="eastAsia" w:ascii="宋体" w:hAnsi="宋体" w:eastAsia="宋体" w:cs="宋体"/>
          <w:b/>
          <w:bCs/>
          <w:color w:val="auto"/>
          <w:spacing w:val="-8"/>
          <w:kern w:val="0"/>
          <w:sz w:val="24"/>
          <w:szCs w:val="24"/>
          <w:u w:val="single"/>
          <w:lang w:val="en-US" w:eastAsia="zh-CN" w:bidi="ar-SA"/>
        </w:rPr>
        <w:t xml:space="preserve">      </w:t>
      </w:r>
      <w:r>
        <w:rPr>
          <w:rFonts w:hint="eastAsia" w:ascii="宋体" w:hAnsi="宋体" w:eastAsia="宋体" w:cs="宋体"/>
          <w:b/>
          <w:bCs/>
          <w:color w:val="auto"/>
          <w:spacing w:val="-8"/>
          <w:kern w:val="0"/>
          <w:sz w:val="24"/>
          <w:szCs w:val="24"/>
          <w:lang w:val="en-US" w:eastAsia="zh-CN" w:bidi="ar-SA"/>
        </w:rPr>
        <w:t>元；项目整体验收合格后，甲方向乙方支付合同金额的30%，即人民币（大写）：</w:t>
      </w:r>
      <w:r>
        <w:rPr>
          <w:rFonts w:hint="eastAsia" w:ascii="宋体" w:hAnsi="宋体" w:eastAsia="宋体" w:cs="宋体"/>
          <w:b/>
          <w:bCs/>
          <w:color w:val="auto"/>
          <w:spacing w:val="-8"/>
          <w:kern w:val="0"/>
          <w:sz w:val="24"/>
          <w:szCs w:val="24"/>
          <w:u w:val="single"/>
          <w:lang w:val="en-US" w:eastAsia="zh-CN" w:bidi="ar-SA"/>
        </w:rPr>
        <w:t xml:space="preserve">      </w:t>
      </w:r>
      <w:r>
        <w:rPr>
          <w:rFonts w:hint="eastAsia" w:ascii="宋体" w:hAnsi="宋体" w:eastAsia="宋体" w:cs="宋体"/>
          <w:b/>
          <w:bCs/>
          <w:color w:val="auto"/>
          <w:spacing w:val="-8"/>
          <w:kern w:val="0"/>
          <w:sz w:val="24"/>
          <w:szCs w:val="24"/>
          <w:lang w:val="en-US" w:eastAsia="zh-CN" w:bidi="ar-SA"/>
        </w:rPr>
        <w:t>元。</w:t>
      </w:r>
    </w:p>
    <w:p w14:paraId="38DC555D">
      <w:pPr>
        <w:autoSpaceDE w:val="0"/>
        <w:autoSpaceDN w:val="0"/>
        <w:spacing w:line="360" w:lineRule="auto"/>
        <w:ind w:firstLine="0" w:firstLineChars="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eastAsia="zh-CN"/>
        </w:rPr>
        <w:t>五、</w:t>
      </w:r>
      <w:r>
        <w:rPr>
          <w:rFonts w:hint="eastAsia" w:ascii="宋体" w:hAnsi="宋体" w:eastAsia="宋体" w:cs="宋体"/>
          <w:b/>
          <w:bCs/>
          <w:color w:val="auto"/>
          <w:sz w:val="24"/>
          <w:szCs w:val="24"/>
          <w:lang w:val="zh-CN"/>
        </w:rPr>
        <w:t>甲方的权利和义务</w:t>
      </w:r>
    </w:p>
    <w:p w14:paraId="7C59575C">
      <w:pPr>
        <w:autoSpaceDE w:val="0"/>
        <w:autoSpaceDN w:val="0"/>
        <w:spacing w:line="360" w:lineRule="auto"/>
        <w:ind w:firstLine="48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1.签署合同后，甲方应确定项目负责人（或项目联系人），负责与本合同有关的事务。甲方有权对乙方的履约行为进行检查，并及时确认乙方提交的事项。甲方应当配合乙方完成相关项目实施工作。</w:t>
      </w:r>
    </w:p>
    <w:p w14:paraId="3C0686DF">
      <w:pPr>
        <w:autoSpaceDE w:val="0"/>
        <w:autoSpaceDN w:val="0"/>
        <w:spacing w:line="360" w:lineRule="auto"/>
        <w:ind w:firstLine="48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2.甲方有权要求乙方按时提交各阶段有关安排计划，并有权定期核对乙方提供货物数量、规格、质量等内容。甲方有权督促乙方工作并要求乙方更换不符合要求的货物。</w:t>
      </w:r>
    </w:p>
    <w:p w14:paraId="6DE7B9AB">
      <w:pPr>
        <w:autoSpaceDE w:val="0"/>
        <w:autoSpaceDN w:val="0"/>
        <w:spacing w:line="360" w:lineRule="auto"/>
        <w:ind w:firstLine="48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3.甲方有权要求乙方对缺陷部分予以修复，并按合同约定享有货物保修及其他合同约定的权利。</w:t>
      </w:r>
    </w:p>
    <w:p w14:paraId="5C29D7D5">
      <w:pPr>
        <w:autoSpaceDE w:val="0"/>
        <w:autoSpaceDN w:val="0"/>
        <w:spacing w:line="360" w:lineRule="auto"/>
        <w:ind w:firstLine="48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4.甲方应当按照合同约定及时对交付的货物进行验收，未在约定的期限内对乙方履约提出任何异议或者向乙方作出任何说明的，视为验收通过。</w:t>
      </w:r>
    </w:p>
    <w:p w14:paraId="6CD7E059">
      <w:pPr>
        <w:autoSpaceDE w:val="0"/>
        <w:autoSpaceDN w:val="0"/>
        <w:spacing w:line="360" w:lineRule="auto"/>
        <w:ind w:firstLine="48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5.甲方应当根据合同约定及时向乙方支付合同价款，不得以内部人员变更、履行内部付款流程等为由，拒绝或迟延支付。</w:t>
      </w:r>
    </w:p>
    <w:p w14:paraId="2899C461">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6.国家法律法规规定及合同约定应由甲方承担的其他义务和责任。</w:t>
      </w:r>
    </w:p>
    <w:p w14:paraId="50AD91A3">
      <w:pPr>
        <w:autoSpaceDE w:val="0"/>
        <w:autoSpaceDN w:val="0"/>
        <w:spacing w:line="360" w:lineRule="auto"/>
        <w:ind w:left="0" w:leftChars="0" w:firstLine="0" w:firstLineChars="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eastAsia="zh-CN"/>
        </w:rPr>
        <w:t>六、</w:t>
      </w:r>
      <w:r>
        <w:rPr>
          <w:rFonts w:hint="eastAsia" w:ascii="宋体" w:hAnsi="宋体" w:eastAsia="宋体" w:cs="宋体"/>
          <w:b/>
          <w:bCs/>
          <w:color w:val="auto"/>
          <w:sz w:val="24"/>
          <w:szCs w:val="24"/>
          <w:lang w:val="zh-CN"/>
        </w:rPr>
        <w:t>乙方的权利和义务</w:t>
      </w:r>
    </w:p>
    <w:p w14:paraId="64303824">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1.</w:t>
      </w:r>
      <w:r>
        <w:rPr>
          <w:rFonts w:hint="eastAsia" w:ascii="宋体" w:hAnsi="宋体" w:eastAsia="宋体" w:cs="宋体"/>
          <w:color w:val="auto"/>
          <w:sz w:val="24"/>
          <w:szCs w:val="24"/>
          <w:lang w:val="zh-CN"/>
        </w:rPr>
        <w:t>签署合同后，乙方</w:t>
      </w:r>
      <w:r>
        <w:rPr>
          <w:rFonts w:hint="eastAsia" w:ascii="宋体" w:hAnsi="宋体" w:eastAsia="宋体" w:cs="宋体"/>
          <w:color w:val="auto"/>
          <w:sz w:val="24"/>
          <w:szCs w:val="24"/>
          <w:lang w:val="zh-CN" w:eastAsia="zh-CN"/>
        </w:rPr>
        <w:t>应</w:t>
      </w:r>
      <w:r>
        <w:rPr>
          <w:rFonts w:hint="eastAsia" w:ascii="宋体" w:hAnsi="宋体" w:eastAsia="宋体" w:cs="宋体"/>
          <w:color w:val="auto"/>
          <w:sz w:val="24"/>
          <w:szCs w:val="24"/>
          <w:lang w:val="zh-CN"/>
        </w:rPr>
        <w:t>确定</w:t>
      </w:r>
      <w:r>
        <w:rPr>
          <w:rFonts w:hint="eastAsia" w:ascii="宋体" w:hAnsi="宋体" w:eastAsia="宋体" w:cs="宋体"/>
          <w:color w:val="auto"/>
          <w:sz w:val="24"/>
          <w:szCs w:val="24"/>
          <w:lang w:val="zh-CN" w:eastAsia="zh-CN"/>
        </w:rPr>
        <w:t>项目负责人（或项目联系人）</w:t>
      </w:r>
      <w:r>
        <w:rPr>
          <w:rFonts w:hint="eastAsia" w:ascii="宋体" w:hAnsi="宋体" w:eastAsia="宋体" w:cs="宋体"/>
          <w:color w:val="auto"/>
          <w:sz w:val="24"/>
          <w:szCs w:val="24"/>
          <w:lang w:val="zh-CN"/>
        </w:rPr>
        <w:t>，负责与本合同有关的事务。</w:t>
      </w:r>
    </w:p>
    <w:p w14:paraId="06BE90D6">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2.</w:t>
      </w:r>
      <w:r>
        <w:rPr>
          <w:rFonts w:hint="eastAsia" w:ascii="宋体" w:hAnsi="宋体" w:eastAsia="宋体" w:cs="宋体"/>
          <w:color w:val="auto"/>
          <w:sz w:val="24"/>
          <w:szCs w:val="24"/>
          <w:lang w:val="zh-CN"/>
        </w:rPr>
        <w:t>乙方应按照合同要求履约，充分合理安排，确保提供的货物</w:t>
      </w:r>
      <w:r>
        <w:rPr>
          <w:rFonts w:hint="eastAsia" w:ascii="宋体" w:hAnsi="宋体" w:eastAsia="宋体" w:cs="宋体"/>
          <w:color w:val="auto"/>
          <w:sz w:val="24"/>
          <w:szCs w:val="24"/>
          <w:lang w:val="zh-CN" w:eastAsia="zh-CN"/>
        </w:rPr>
        <w:t>及相关</w:t>
      </w:r>
      <w:r>
        <w:rPr>
          <w:rFonts w:hint="eastAsia" w:ascii="宋体" w:hAnsi="宋体" w:eastAsia="宋体" w:cs="宋体"/>
          <w:color w:val="auto"/>
          <w:sz w:val="24"/>
          <w:szCs w:val="24"/>
          <w:lang w:val="zh-CN"/>
        </w:rPr>
        <w:t>服务符合合同</w:t>
      </w:r>
      <w:r>
        <w:rPr>
          <w:rFonts w:hint="eastAsia" w:ascii="宋体" w:hAnsi="宋体" w:eastAsia="宋体" w:cs="宋体"/>
          <w:color w:val="auto"/>
          <w:sz w:val="24"/>
          <w:szCs w:val="24"/>
          <w:lang w:val="zh-CN" w:eastAsia="zh-CN"/>
        </w:rPr>
        <w:t>有关</w:t>
      </w:r>
      <w:r>
        <w:rPr>
          <w:rFonts w:hint="eastAsia" w:ascii="宋体" w:hAnsi="宋体" w:eastAsia="宋体" w:cs="宋体"/>
          <w:color w:val="auto"/>
          <w:sz w:val="24"/>
          <w:szCs w:val="24"/>
          <w:lang w:val="zh-CN"/>
        </w:rPr>
        <w:t>要求。接受项目行业管理部门及政府有关部门的指导，配合甲方的履约检查</w:t>
      </w:r>
      <w:r>
        <w:rPr>
          <w:rFonts w:hint="eastAsia" w:ascii="宋体" w:hAnsi="宋体" w:eastAsia="宋体" w:cs="宋体"/>
          <w:color w:val="auto"/>
          <w:sz w:val="24"/>
          <w:szCs w:val="24"/>
          <w:lang w:val="zh-CN" w:eastAsia="zh-CN"/>
        </w:rPr>
        <w:t>及验收</w:t>
      </w:r>
      <w:r>
        <w:rPr>
          <w:rFonts w:hint="eastAsia" w:ascii="宋体" w:hAnsi="宋体" w:eastAsia="宋体" w:cs="宋体"/>
          <w:color w:val="auto"/>
          <w:sz w:val="24"/>
          <w:szCs w:val="24"/>
          <w:lang w:val="zh-CN"/>
        </w:rPr>
        <w:t>，并负责项目实施过程中的所有协调工作。</w:t>
      </w:r>
    </w:p>
    <w:p w14:paraId="43782F4B">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3.</w:t>
      </w:r>
      <w:r>
        <w:rPr>
          <w:rFonts w:hint="eastAsia" w:ascii="宋体" w:hAnsi="宋体" w:eastAsia="宋体" w:cs="宋体"/>
          <w:color w:val="auto"/>
          <w:sz w:val="24"/>
          <w:szCs w:val="24"/>
          <w:lang w:val="zh-CN"/>
        </w:rPr>
        <w:t>乙方有权根据合同约定向甲方收取</w:t>
      </w:r>
      <w:r>
        <w:rPr>
          <w:rFonts w:hint="eastAsia" w:ascii="宋体" w:hAnsi="宋体" w:eastAsia="宋体" w:cs="宋体"/>
          <w:color w:val="auto"/>
          <w:sz w:val="24"/>
          <w:szCs w:val="24"/>
          <w:lang w:val="zh-CN" w:eastAsia="zh-CN"/>
        </w:rPr>
        <w:t>合同价款</w:t>
      </w:r>
      <w:r>
        <w:rPr>
          <w:rFonts w:hint="eastAsia" w:ascii="宋体" w:hAnsi="宋体" w:eastAsia="宋体" w:cs="宋体"/>
          <w:color w:val="auto"/>
          <w:sz w:val="24"/>
          <w:szCs w:val="24"/>
          <w:lang w:val="zh-CN"/>
        </w:rPr>
        <w:t>。</w:t>
      </w:r>
    </w:p>
    <w:p w14:paraId="1081EDDF">
      <w:pPr>
        <w:autoSpaceDE w:val="0"/>
        <w:autoSpaceDN w:val="0"/>
        <w:spacing w:line="360" w:lineRule="auto"/>
        <w:ind w:firstLine="48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4.</w:t>
      </w:r>
      <w:r>
        <w:rPr>
          <w:rFonts w:hint="eastAsia" w:ascii="宋体" w:hAnsi="宋体" w:eastAsia="宋体" w:cs="宋体"/>
          <w:color w:val="auto"/>
          <w:sz w:val="24"/>
          <w:szCs w:val="24"/>
          <w:lang w:val="zh-CN"/>
        </w:rPr>
        <w:t>国家法律法规规定</w:t>
      </w:r>
      <w:r>
        <w:rPr>
          <w:rFonts w:hint="eastAsia" w:ascii="宋体" w:hAnsi="宋体" w:eastAsia="宋体" w:cs="宋体"/>
          <w:color w:val="auto"/>
          <w:sz w:val="24"/>
          <w:szCs w:val="24"/>
          <w:lang w:val="zh-CN" w:eastAsia="zh-CN"/>
        </w:rPr>
        <w:t>及合同约定应</w:t>
      </w:r>
      <w:r>
        <w:rPr>
          <w:rFonts w:hint="eastAsia" w:ascii="宋体" w:hAnsi="宋体" w:eastAsia="宋体" w:cs="宋体"/>
          <w:color w:val="auto"/>
          <w:sz w:val="24"/>
          <w:szCs w:val="24"/>
          <w:lang w:val="zh-CN"/>
        </w:rPr>
        <w:t>由乙方承担的其他义务和责任。</w:t>
      </w:r>
    </w:p>
    <w:p w14:paraId="4FADB714">
      <w:pPr>
        <w:autoSpaceDE w:val="0"/>
        <w:autoSpaceDN w:val="0"/>
        <w:spacing w:line="360" w:lineRule="auto"/>
        <w:ind w:left="0" w:leftChars="0" w:firstLine="0" w:firstLineChars="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eastAsia="zh-CN"/>
        </w:rPr>
        <w:t>七</w:t>
      </w:r>
      <w:r>
        <w:rPr>
          <w:rFonts w:hint="eastAsia" w:ascii="宋体" w:hAnsi="宋体" w:eastAsia="宋体" w:cs="宋体"/>
          <w:b/>
          <w:bCs/>
          <w:color w:val="auto"/>
          <w:sz w:val="24"/>
          <w:szCs w:val="24"/>
          <w:lang w:val="zh-CN"/>
        </w:rPr>
        <w:t>、合同的变更、终止与转让</w:t>
      </w:r>
    </w:p>
    <w:p w14:paraId="000FDA17">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1.除《中华人民共和国政府采购法》第</w:t>
      </w:r>
      <w:r>
        <w:rPr>
          <w:rFonts w:hint="eastAsia" w:ascii="宋体" w:hAnsi="宋体" w:eastAsia="宋体" w:cs="宋体"/>
          <w:color w:val="auto"/>
          <w:sz w:val="24"/>
          <w:szCs w:val="24"/>
          <w:lang w:val="en-US" w:eastAsia="zh-CN"/>
        </w:rPr>
        <w:t>五十</w:t>
      </w:r>
      <w:r>
        <w:rPr>
          <w:rFonts w:hint="eastAsia" w:ascii="宋体" w:hAnsi="宋体" w:eastAsia="宋体" w:cs="宋体"/>
          <w:color w:val="auto"/>
          <w:sz w:val="24"/>
          <w:szCs w:val="24"/>
          <w:lang w:val="zh-CN"/>
        </w:rPr>
        <w:t>条规定的情形外，本合同一经签订，甲乙双方不得擅自变更、中止或终止。</w:t>
      </w:r>
    </w:p>
    <w:p w14:paraId="59FA29ED">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2.乙方不得擅自转让其应履行的合同义务。</w:t>
      </w:r>
    </w:p>
    <w:p w14:paraId="61682D3E">
      <w:pPr>
        <w:autoSpaceDE w:val="0"/>
        <w:autoSpaceDN w:val="0"/>
        <w:spacing w:line="360" w:lineRule="auto"/>
        <w:ind w:left="0" w:leftChars="0" w:firstLine="0" w:firstLineChars="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eastAsia="zh-CN"/>
        </w:rPr>
        <w:t>八</w:t>
      </w:r>
      <w:r>
        <w:rPr>
          <w:rFonts w:hint="eastAsia" w:ascii="宋体" w:hAnsi="宋体" w:eastAsia="宋体" w:cs="宋体"/>
          <w:b/>
          <w:bCs/>
          <w:color w:val="auto"/>
          <w:sz w:val="24"/>
          <w:szCs w:val="24"/>
          <w:lang w:val="zh-CN"/>
        </w:rPr>
        <w:t>、违约责任</w:t>
      </w:r>
    </w:p>
    <w:p w14:paraId="084BB11A">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1.乙方所提供的产品规格、技术标准、材料等质量不合格的，应及时更换；更换不及时的，按逾期交货处罚；因质量问题甲方不同意接收的，质保金全额扣除，并由乙方赔偿由此引起的甲方的一切经济损失。</w:t>
      </w:r>
    </w:p>
    <w:p w14:paraId="5EA9939C">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2.乙方提供的货物如侵犯了第三方权益而引发纠纷或诉讼的，均由乙方负责交涉并承担全部责任。</w:t>
      </w:r>
    </w:p>
    <w:p w14:paraId="1F8CC655">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3.因包装、运输引起的货物损坏，按质量不合格处罚。</w:t>
      </w:r>
    </w:p>
    <w:p w14:paraId="7295DAE4">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4.甲方无故延期接受货物和乙方逾期交货的，每天应向对方偿付未交货物的货款</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‰的违约金，但违约金累计不得超过违约货款的</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val="zh-CN"/>
        </w:rPr>
        <w:t>%，超过</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天对方有权解除合同，违约方承担因此给对方造成的经济损失。</w:t>
      </w:r>
    </w:p>
    <w:p w14:paraId="4D230F8F">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5.乙方未按本合同和</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val="zh-CN"/>
        </w:rPr>
        <w:t>文件中的服务承诺提供售后服务的，乙方应按本合同合计金额的5%向甲方支付违约金。</w:t>
      </w:r>
    </w:p>
    <w:p w14:paraId="05D07FE7">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6.乙方提供的货物在质量保证期内，因设计、工艺或材料的缺陷和其它质量原因造成的问题，由乙方负责，费用从履约保证金中扣除，不足另补。</w:t>
      </w:r>
    </w:p>
    <w:p w14:paraId="1A0C1AE7">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7.其它违约行为按违约货款额5%收取违约金并赔偿经济损失。</w:t>
      </w:r>
    </w:p>
    <w:p w14:paraId="00818BE6">
      <w:pPr>
        <w:autoSpaceDE w:val="0"/>
        <w:autoSpaceDN w:val="0"/>
        <w:spacing w:line="360" w:lineRule="auto"/>
        <w:ind w:left="0" w:leftChars="0" w:firstLine="0" w:firstLineChars="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eastAsia="zh-CN"/>
        </w:rPr>
        <w:t>九</w:t>
      </w:r>
      <w:r>
        <w:rPr>
          <w:rFonts w:hint="eastAsia" w:ascii="宋体" w:hAnsi="宋体" w:eastAsia="宋体" w:cs="宋体"/>
          <w:b/>
          <w:bCs/>
          <w:color w:val="auto"/>
          <w:sz w:val="24"/>
          <w:szCs w:val="24"/>
          <w:lang w:val="zh-CN"/>
        </w:rPr>
        <w:t>、不可抗力</w:t>
      </w:r>
    </w:p>
    <w:p w14:paraId="0CF8E21F">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不可抗力使合同的某些内容有变更必要的，双方应通过协商在</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天内达成进一步履行合同的协议，因不可抗力致使合同不能履行的，合同终止。</w:t>
      </w:r>
    </w:p>
    <w:p w14:paraId="498F3944">
      <w:pPr>
        <w:autoSpaceDE w:val="0"/>
        <w:autoSpaceDN w:val="0"/>
        <w:spacing w:line="360" w:lineRule="auto"/>
        <w:ind w:left="0" w:leftChars="0" w:firstLine="0" w:firstLineChars="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eastAsia="zh-CN"/>
        </w:rPr>
        <w:t>十</w:t>
      </w:r>
      <w:r>
        <w:rPr>
          <w:rFonts w:hint="eastAsia" w:ascii="宋体" w:hAnsi="宋体" w:eastAsia="宋体" w:cs="宋体"/>
          <w:b/>
          <w:bCs/>
          <w:color w:val="auto"/>
          <w:sz w:val="24"/>
          <w:szCs w:val="24"/>
          <w:lang w:val="zh-CN"/>
        </w:rPr>
        <w:t>、知识产权：详见合同通用条款</w:t>
      </w:r>
    </w:p>
    <w:p w14:paraId="327D9DEE">
      <w:pPr>
        <w:autoSpaceDE w:val="0"/>
        <w:autoSpaceDN w:val="0"/>
        <w:spacing w:line="360" w:lineRule="auto"/>
        <w:ind w:left="0" w:leftChars="0" w:firstLine="0" w:firstLineChars="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eastAsia="zh-CN"/>
        </w:rPr>
        <w:t>十一</w:t>
      </w:r>
      <w:r>
        <w:rPr>
          <w:rFonts w:hint="eastAsia" w:ascii="宋体" w:hAnsi="宋体" w:eastAsia="宋体" w:cs="宋体"/>
          <w:b/>
          <w:bCs/>
          <w:color w:val="auto"/>
          <w:sz w:val="24"/>
          <w:szCs w:val="24"/>
          <w:lang w:val="zh-CN"/>
        </w:rPr>
        <w:t>、其他约定：</w:t>
      </w:r>
    </w:p>
    <w:p w14:paraId="52084AE5">
      <w:pPr>
        <w:autoSpaceDE w:val="0"/>
        <w:autoSpaceDN w:val="0"/>
        <w:spacing w:line="360" w:lineRule="auto"/>
        <w:ind w:left="0" w:leftChars="0" w:firstLine="0" w:firstLine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    验收方案：</w:t>
      </w:r>
      <w:r>
        <w:rPr>
          <w:rFonts w:hint="eastAsia" w:ascii="宋体" w:hAnsi="宋体" w:eastAsia="宋体" w:cs="宋体"/>
          <w:color w:val="auto"/>
          <w:kern w:val="2"/>
          <w:sz w:val="24"/>
          <w:szCs w:val="24"/>
          <w:lang w:val="en-US" w:eastAsia="zh-CN" w:bidi="ar-SA"/>
        </w:rPr>
        <w:t>由甲方组织相关专业技术人员，对项目进行全面验收。</w:t>
      </w:r>
    </w:p>
    <w:p w14:paraId="6F0ED5FF">
      <w:pPr>
        <w:autoSpaceDE w:val="0"/>
        <w:autoSpaceDN w:val="0"/>
        <w:spacing w:line="360" w:lineRule="auto"/>
        <w:ind w:left="0" w:leftChars="0" w:firstLine="0" w:firstLineChars="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十</w:t>
      </w:r>
      <w:r>
        <w:rPr>
          <w:rFonts w:hint="eastAsia" w:ascii="宋体" w:hAnsi="宋体" w:eastAsia="宋体" w:cs="宋体"/>
          <w:b/>
          <w:bCs/>
          <w:color w:val="auto"/>
          <w:sz w:val="24"/>
          <w:szCs w:val="24"/>
          <w:lang w:val="zh-CN" w:eastAsia="zh-CN"/>
        </w:rPr>
        <w:t>二</w:t>
      </w:r>
      <w:r>
        <w:rPr>
          <w:rFonts w:hint="eastAsia" w:ascii="宋体" w:hAnsi="宋体" w:eastAsia="宋体" w:cs="宋体"/>
          <w:b/>
          <w:bCs/>
          <w:color w:val="auto"/>
          <w:sz w:val="24"/>
          <w:szCs w:val="24"/>
          <w:lang w:val="zh-CN"/>
        </w:rPr>
        <w:t>、合同争议解决</w:t>
      </w:r>
    </w:p>
    <w:p w14:paraId="5EC96E5F">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1.因产品质量问题发生争议的，应邀请国家认可的质量检测机构进行鉴定。产品符合标准的，鉴定费由甲方承担；产品不符合标准的，鉴定费由乙方承担。</w:t>
      </w:r>
    </w:p>
    <w:p w14:paraId="4779CE27">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2.因履行本合同引起的或与本合同有关的争议，甲乙双方应首先通过友好协商解决，如果协商不能解决，可向甲方所在地仲裁委员会申请仲裁或向甲方所在地人民法院提起诉讼。</w:t>
      </w:r>
    </w:p>
    <w:p w14:paraId="304E9DD4">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3.诉讼期间，本合同继续履行。</w:t>
      </w:r>
    </w:p>
    <w:p w14:paraId="0F19A316">
      <w:pPr>
        <w:autoSpaceDE w:val="0"/>
        <w:autoSpaceDN w:val="0"/>
        <w:spacing w:line="360" w:lineRule="auto"/>
        <w:ind w:left="0" w:leftChars="0" w:firstLine="0" w:firstLineChars="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十</w:t>
      </w:r>
      <w:r>
        <w:rPr>
          <w:rFonts w:hint="eastAsia" w:ascii="宋体" w:hAnsi="宋体" w:eastAsia="宋体" w:cs="宋体"/>
          <w:b/>
          <w:bCs/>
          <w:color w:val="auto"/>
          <w:sz w:val="24"/>
          <w:szCs w:val="24"/>
          <w:lang w:val="zh-CN" w:eastAsia="zh-CN"/>
        </w:rPr>
        <w:t>三</w:t>
      </w:r>
      <w:r>
        <w:rPr>
          <w:rFonts w:hint="eastAsia" w:ascii="宋体" w:hAnsi="宋体" w:eastAsia="宋体" w:cs="宋体"/>
          <w:b/>
          <w:bCs/>
          <w:color w:val="auto"/>
          <w:sz w:val="24"/>
          <w:szCs w:val="24"/>
          <w:lang w:val="zh-CN"/>
        </w:rPr>
        <w:t>、合同生效及其它：</w:t>
      </w:r>
    </w:p>
    <w:p w14:paraId="74E88DC0">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1.本合同一式</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份，经双方签字，并加盖公章即为生效。</w:t>
      </w:r>
    </w:p>
    <w:p w14:paraId="64FE392C">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2.本合同未尽事宜，按民法典有关规定处理。</w:t>
      </w:r>
    </w:p>
    <w:p w14:paraId="245C02D6">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3.本合同的组成包含《合同通用条款》。</w:t>
      </w:r>
    </w:p>
    <w:p w14:paraId="2D5A5A7D">
      <w:pPr>
        <w:autoSpaceDE w:val="0"/>
        <w:autoSpaceDN w:val="0"/>
        <w:spacing w:line="360" w:lineRule="auto"/>
        <w:ind w:left="0" w:leftChars="0" w:firstLine="0" w:firstLineChars="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甲方（盖章）：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乙方（盖章）：</w:t>
      </w:r>
    </w:p>
    <w:p w14:paraId="434B222B">
      <w:pPr>
        <w:autoSpaceDE w:val="0"/>
        <w:autoSpaceDN w:val="0"/>
        <w:spacing w:line="360" w:lineRule="auto"/>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法定代表人或委托代理人</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法定代表人或委托代理人</w:t>
      </w:r>
      <w:r>
        <w:rPr>
          <w:rFonts w:hint="eastAsia" w:ascii="宋体" w:hAnsi="宋体" w:eastAsia="宋体" w:cs="宋体"/>
          <w:color w:val="auto"/>
          <w:sz w:val="24"/>
          <w:szCs w:val="24"/>
        </w:rPr>
        <w:t>：</w:t>
      </w:r>
    </w:p>
    <w:p w14:paraId="5F35C7EC">
      <w:pPr>
        <w:autoSpaceDE w:val="0"/>
        <w:autoSpaceDN w:val="0"/>
        <w:spacing w:line="360" w:lineRule="auto"/>
        <w:ind w:firstLine="3120" w:firstLineChars="13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开户银行：</w:t>
      </w:r>
    </w:p>
    <w:p w14:paraId="549BE3A1">
      <w:pPr>
        <w:autoSpaceDE w:val="0"/>
        <w:autoSpaceDN w:val="0"/>
        <w:spacing w:line="360" w:lineRule="auto"/>
        <w:ind w:firstLine="4800" w:firstLineChars="20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账号：</w:t>
      </w:r>
    </w:p>
    <w:p w14:paraId="0DD5FDB4">
      <w:pPr>
        <w:autoSpaceDE w:val="0"/>
        <w:autoSpaceDN w:val="0"/>
        <w:spacing w:line="360" w:lineRule="auto"/>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                                  地址：</w:t>
      </w:r>
    </w:p>
    <w:p w14:paraId="34B607D4">
      <w:pPr>
        <w:autoSpaceDE w:val="0"/>
        <w:autoSpaceDN w:val="0"/>
        <w:spacing w:line="360" w:lineRule="auto"/>
        <w:ind w:left="0" w:leftChars="0"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联系电话：</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联系电话：</w:t>
      </w:r>
    </w:p>
    <w:p w14:paraId="469C5E48">
      <w:pPr>
        <w:autoSpaceDE w:val="0"/>
        <w:autoSpaceDN w:val="0"/>
        <w:spacing w:line="360" w:lineRule="auto"/>
        <w:ind w:firstLine="4800" w:firstLineChars="2000"/>
        <w:jc w:val="left"/>
        <w:rPr>
          <w:rFonts w:hint="eastAsia" w:ascii="宋体" w:hAnsi="宋体" w:eastAsia="宋体" w:cs="宋体"/>
          <w:color w:val="auto"/>
          <w:sz w:val="24"/>
          <w:szCs w:val="24"/>
          <w:lang w:val="zh-CN"/>
        </w:rPr>
      </w:pPr>
    </w:p>
    <w:p w14:paraId="228DEF79">
      <w:pPr>
        <w:autoSpaceDE w:val="0"/>
        <w:autoSpaceDN w:val="0"/>
        <w:spacing w:line="360" w:lineRule="auto"/>
        <w:ind w:firstLine="1320" w:firstLineChars="55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签约时间：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日</w:t>
      </w:r>
    </w:p>
    <w:p w14:paraId="1CBAA195">
      <w:pPr>
        <w:autoSpaceDE w:val="0"/>
        <w:autoSpaceDN w:val="0"/>
        <w:spacing w:line="360" w:lineRule="auto"/>
        <w:ind w:left="0" w:leftChars="0" w:firstLine="0" w:firstLineChars="0"/>
        <w:rPr>
          <w:rFonts w:hint="eastAsia" w:ascii="宋体" w:hAnsi="宋体" w:eastAsia="宋体" w:cs="宋体"/>
          <w:color w:val="auto"/>
          <w:sz w:val="24"/>
          <w:szCs w:val="24"/>
          <w:lang w:val="zh-CN"/>
        </w:rPr>
      </w:pPr>
    </w:p>
    <w:p w14:paraId="3D3A017A">
      <w:pPr>
        <w:autoSpaceDE w:val="0"/>
        <w:autoSpaceDN w:val="0"/>
        <w:spacing w:line="360" w:lineRule="auto"/>
        <w:ind w:firstLine="0" w:firstLineChars="0"/>
        <w:rPr>
          <w:rFonts w:hint="eastAsia" w:ascii="宋体" w:hAnsi="宋体" w:eastAsia="宋体" w:cs="宋体"/>
          <w:color w:val="auto"/>
          <w:sz w:val="24"/>
          <w:szCs w:val="24"/>
          <w:lang w:val="zh-CN"/>
        </w:rPr>
      </w:pPr>
    </w:p>
    <w:p w14:paraId="2AF9FFF7">
      <w:pPr>
        <w:autoSpaceDE w:val="0"/>
        <w:autoSpaceDN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zh-CN"/>
        </w:rPr>
        <w:t>采购代理机构：</w:t>
      </w:r>
      <w:r>
        <w:rPr>
          <w:rFonts w:hint="eastAsia" w:ascii="宋体" w:hAnsi="宋体" w:eastAsia="宋体" w:cs="宋体"/>
          <w:color w:val="auto"/>
          <w:sz w:val="24"/>
          <w:lang w:val="zh-CN"/>
        </w:rPr>
        <w:t>青海鼎钊招标代理有限公司</w:t>
      </w:r>
    </w:p>
    <w:p w14:paraId="7E47F6C0">
      <w:pPr>
        <w:autoSpaceDE w:val="0"/>
        <w:autoSpaceDN w:val="0"/>
        <w:spacing w:line="360" w:lineRule="auto"/>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负责人或经办人：</w:t>
      </w:r>
    </w:p>
    <w:p w14:paraId="3FEDE468">
      <w:pPr>
        <w:autoSpaceDE w:val="0"/>
        <w:autoSpaceDN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zh-CN"/>
        </w:rPr>
        <w:t>合同备案时间：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日</w:t>
      </w:r>
    </w:p>
    <w:p w14:paraId="7BB11377">
      <w:pPr>
        <w:wordWrap w:val="0"/>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78A6631C">
      <w:pPr>
        <w:keepNext/>
        <w:pageBreakBefore/>
        <w:autoSpaceDE w:val="0"/>
        <w:autoSpaceDN w:val="0"/>
        <w:adjustRightInd w:val="0"/>
        <w:spacing w:line="360" w:lineRule="auto"/>
        <w:ind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zh-CN"/>
        </w:rPr>
        <w:t>合同通用条款</w:t>
      </w:r>
    </w:p>
    <w:p w14:paraId="3367777A">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zh-CN"/>
        </w:rPr>
        <w:t>根据《中华人民共和国民法典》、《中华人民共和国政府采购法》的规定，合同双方经协商达成一致，自愿订立本合同，遵循公平原则明确双方的权利、义务，确保双方诚实守信地履行合同。</w:t>
      </w:r>
    </w:p>
    <w:p w14:paraId="3A88403F">
      <w:pPr>
        <w:autoSpaceDE w:val="0"/>
        <w:autoSpaceDN w:val="0"/>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zh-CN"/>
        </w:rPr>
        <w:t>定义</w:t>
      </w:r>
    </w:p>
    <w:p w14:paraId="3230B0B3">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zh-CN"/>
        </w:rPr>
        <w:t>本合同中的下列术语应解释为：</w:t>
      </w:r>
    </w:p>
    <w:p w14:paraId="29CE91CA">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1.1 </w:t>
      </w:r>
      <w:r>
        <w:rPr>
          <w:rFonts w:hint="eastAsia" w:ascii="宋体" w:hAnsi="宋体" w:eastAsia="宋体" w:cs="宋体"/>
          <w:color w:val="auto"/>
          <w:sz w:val="24"/>
          <w:szCs w:val="24"/>
          <w:lang w:val="zh-CN"/>
        </w:rPr>
        <w:t>“合同”指甲乙双方签署的、载明的甲乙双方权利义务的协议，包括所有的附件、附录和上述文件所提到的构成合同的所有文件。</w:t>
      </w:r>
    </w:p>
    <w:p w14:paraId="58DC8C23">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1.2 </w:t>
      </w:r>
      <w:r>
        <w:rPr>
          <w:rFonts w:hint="eastAsia" w:ascii="宋体" w:hAnsi="宋体" w:eastAsia="宋体" w:cs="宋体"/>
          <w:color w:val="auto"/>
          <w:sz w:val="24"/>
          <w:szCs w:val="24"/>
          <w:lang w:val="zh-CN"/>
        </w:rPr>
        <w:t>“合同金额”指根据合同规定，乙方在正确地完全履行合同义务后甲方应付给乙方的价款。</w:t>
      </w:r>
    </w:p>
    <w:p w14:paraId="5592D542">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1.3 </w:t>
      </w:r>
      <w:r>
        <w:rPr>
          <w:rFonts w:hint="eastAsia" w:ascii="宋体" w:hAnsi="宋体" w:eastAsia="宋体" w:cs="宋体"/>
          <w:color w:val="auto"/>
          <w:sz w:val="24"/>
          <w:szCs w:val="24"/>
          <w:lang w:val="zh-CN"/>
        </w:rPr>
        <w:t>“合同条款”指本合同条款。</w:t>
      </w:r>
    </w:p>
    <w:p w14:paraId="54D101C7">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1.4 </w:t>
      </w:r>
      <w:r>
        <w:rPr>
          <w:rFonts w:hint="eastAsia" w:ascii="宋体" w:hAnsi="宋体" w:eastAsia="宋体" w:cs="宋体"/>
          <w:color w:val="auto"/>
          <w:sz w:val="24"/>
          <w:szCs w:val="24"/>
          <w:lang w:val="zh-CN"/>
        </w:rPr>
        <w:t>“货物”指乙方根据合同约定须向甲方提供的一切产品、设备、机械、仪表、备件等，包括辅助工具、使用手册等相关资料。</w:t>
      </w:r>
    </w:p>
    <w:p w14:paraId="630A7542">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1.5 </w:t>
      </w:r>
      <w:r>
        <w:rPr>
          <w:rFonts w:hint="eastAsia" w:ascii="宋体" w:hAnsi="宋体" w:eastAsia="宋体" w:cs="宋体"/>
          <w:color w:val="auto"/>
          <w:sz w:val="24"/>
          <w:szCs w:val="24"/>
          <w:lang w:val="zh-CN"/>
        </w:rPr>
        <w:t>“服务”指根据本合同规定乙方承担与供货有关的辅助服务，如运输、保险及安装、调试、提供技术援助、培训和合同中规定乙方应承担的其它义务。</w:t>
      </w:r>
    </w:p>
    <w:p w14:paraId="31E09F8D">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1.6 </w:t>
      </w:r>
      <w:r>
        <w:rPr>
          <w:rFonts w:hint="eastAsia" w:ascii="宋体" w:hAnsi="宋体" w:eastAsia="宋体" w:cs="宋体"/>
          <w:color w:val="auto"/>
          <w:sz w:val="24"/>
          <w:szCs w:val="24"/>
          <w:lang w:val="zh-CN"/>
        </w:rPr>
        <w:t>“甲方”指购买货物和服务的单位。</w:t>
      </w:r>
    </w:p>
    <w:p w14:paraId="2B90310C">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1.7 </w:t>
      </w:r>
      <w:r>
        <w:rPr>
          <w:rFonts w:hint="eastAsia" w:ascii="宋体" w:hAnsi="宋体" w:eastAsia="宋体" w:cs="宋体"/>
          <w:color w:val="auto"/>
          <w:sz w:val="24"/>
          <w:szCs w:val="24"/>
          <w:lang w:val="zh-CN"/>
        </w:rPr>
        <w:t>“乙方”指提供本合同条款下货物和服务的公司或其他实体。</w:t>
      </w:r>
    </w:p>
    <w:p w14:paraId="05442A54">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1.8 </w:t>
      </w:r>
      <w:r>
        <w:rPr>
          <w:rFonts w:hint="eastAsia" w:ascii="宋体" w:hAnsi="宋体" w:eastAsia="宋体" w:cs="宋体"/>
          <w:color w:val="auto"/>
          <w:sz w:val="24"/>
          <w:szCs w:val="24"/>
          <w:lang w:val="zh-CN"/>
        </w:rPr>
        <w:t>“现场”指合同规定货物将要运至和安装的地点。</w:t>
      </w:r>
    </w:p>
    <w:p w14:paraId="71841BF7">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1.9 </w:t>
      </w:r>
      <w:r>
        <w:rPr>
          <w:rFonts w:hint="eastAsia" w:ascii="宋体" w:hAnsi="宋体" w:eastAsia="宋体" w:cs="宋体"/>
          <w:color w:val="auto"/>
          <w:sz w:val="24"/>
          <w:szCs w:val="24"/>
          <w:lang w:val="zh-CN"/>
        </w:rPr>
        <w:t>“验收”指合同双方依据强制性的国家技术质量规范和合同约定，确认合同条款下的货物符合合同规定的活动。</w:t>
      </w:r>
    </w:p>
    <w:p w14:paraId="476432F2">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1.10</w:t>
      </w:r>
      <w:r>
        <w:rPr>
          <w:rFonts w:hint="eastAsia" w:ascii="宋体" w:hAnsi="宋体" w:eastAsia="宋体" w:cs="宋体"/>
          <w:color w:val="auto"/>
          <w:sz w:val="24"/>
          <w:szCs w:val="24"/>
          <w:lang w:val="zh-CN"/>
        </w:rPr>
        <w:t>原厂商：产品制造商或其在中国境内设立的办事或技术服务机构。除另有说明外，本合同文件所述的制造商、产品制造商、制造厂家、产品制造厂家均为原厂商。</w:t>
      </w:r>
    </w:p>
    <w:p w14:paraId="4AB4AE19">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1.11 </w:t>
      </w:r>
      <w:r>
        <w:rPr>
          <w:rFonts w:hint="eastAsia" w:ascii="宋体" w:hAnsi="宋体" w:eastAsia="宋体" w:cs="宋体"/>
          <w:color w:val="auto"/>
          <w:sz w:val="24"/>
          <w:szCs w:val="24"/>
          <w:lang w:val="zh-CN"/>
        </w:rPr>
        <w:t>原产地：指产品的生产地，或提供服务的来源地。</w:t>
      </w:r>
    </w:p>
    <w:p w14:paraId="17167143">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1.12 </w:t>
      </w:r>
      <w:r>
        <w:rPr>
          <w:rFonts w:hint="eastAsia" w:ascii="宋体" w:hAnsi="宋体" w:eastAsia="宋体" w:cs="宋体"/>
          <w:color w:val="auto"/>
          <w:sz w:val="24"/>
          <w:szCs w:val="24"/>
          <w:lang w:val="zh-CN"/>
        </w:rPr>
        <w:t>“工作日”指国家法定工作日，“天”指日历天数。</w:t>
      </w:r>
    </w:p>
    <w:p w14:paraId="3123648B">
      <w:pPr>
        <w:autoSpaceDE w:val="0"/>
        <w:autoSpaceDN w:val="0"/>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技术规格要求</w:t>
      </w:r>
    </w:p>
    <w:p w14:paraId="2B20C10E">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2.1 </w:t>
      </w:r>
      <w:r>
        <w:rPr>
          <w:rFonts w:hint="eastAsia" w:ascii="宋体" w:hAnsi="宋体" w:eastAsia="宋体" w:cs="宋体"/>
          <w:color w:val="auto"/>
          <w:sz w:val="24"/>
          <w:szCs w:val="24"/>
          <w:lang w:val="zh-CN"/>
        </w:rPr>
        <w:t>本合同条款下提交货物的技术规格要求应等于或优于磋商文件、响应文件技术规格要求。若技术规格要求中无相应规定，则应符合相应的国家有关部门最新颁布的相应正式标准。</w:t>
      </w:r>
    </w:p>
    <w:p w14:paraId="3EB88DEF">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2.2 </w:t>
      </w:r>
      <w:r>
        <w:rPr>
          <w:rFonts w:hint="eastAsia" w:ascii="宋体" w:hAnsi="宋体" w:eastAsia="宋体" w:cs="宋体"/>
          <w:color w:val="auto"/>
          <w:sz w:val="24"/>
          <w:szCs w:val="24"/>
          <w:lang w:val="zh-CN"/>
        </w:rPr>
        <w:t>乙方应向甲方提供货物及服务有关的标准的中文文本。</w:t>
      </w:r>
    </w:p>
    <w:p w14:paraId="453D1C71">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2.3 </w:t>
      </w:r>
      <w:r>
        <w:rPr>
          <w:rFonts w:hint="eastAsia" w:ascii="宋体" w:hAnsi="宋体" w:eastAsia="宋体" w:cs="宋体"/>
          <w:color w:val="auto"/>
          <w:sz w:val="24"/>
          <w:szCs w:val="24"/>
          <w:lang w:val="zh-CN"/>
        </w:rPr>
        <w:t>除非技术规范中另有规定，计量单位均采用中华人民共和国法定计量单位。</w:t>
      </w:r>
    </w:p>
    <w:p w14:paraId="472DB5B5">
      <w:pPr>
        <w:autoSpaceDE w:val="0"/>
        <w:autoSpaceDN w:val="0"/>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合同范围</w:t>
      </w:r>
    </w:p>
    <w:p w14:paraId="778523DE">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3.1 </w:t>
      </w:r>
      <w:r>
        <w:rPr>
          <w:rFonts w:hint="eastAsia" w:ascii="宋体" w:hAnsi="宋体" w:eastAsia="宋体" w:cs="宋体"/>
          <w:color w:val="auto"/>
          <w:sz w:val="24"/>
          <w:szCs w:val="24"/>
          <w:lang w:val="zh-CN"/>
        </w:rPr>
        <w:t>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14:paraId="620E9AC6">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3.2 </w:t>
      </w:r>
      <w:r>
        <w:rPr>
          <w:rFonts w:hint="eastAsia" w:ascii="宋体" w:hAnsi="宋体" w:eastAsia="宋体" w:cs="宋体"/>
          <w:color w:val="auto"/>
          <w:sz w:val="24"/>
          <w:szCs w:val="24"/>
          <w:lang w:val="zh-CN"/>
        </w:rPr>
        <w:t>乙方应负责培训甲方的技术人员。</w:t>
      </w:r>
    </w:p>
    <w:p w14:paraId="24BDBDD7">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3.3 </w:t>
      </w:r>
      <w:r>
        <w:rPr>
          <w:rFonts w:hint="eastAsia" w:ascii="宋体" w:hAnsi="宋体" w:eastAsia="宋体" w:cs="宋体"/>
          <w:color w:val="auto"/>
          <w:sz w:val="24"/>
          <w:szCs w:val="24"/>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14:paraId="6C6901C8">
      <w:pPr>
        <w:autoSpaceDE w:val="0"/>
        <w:autoSpaceDN w:val="0"/>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合同文件和资料</w:t>
      </w:r>
    </w:p>
    <w:p w14:paraId="2871B1C5">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4.1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乙方在提供仪器设备时应同时提供中文版相关的技术资料，如目录索引、图纸、操作手册、使用指南、维修指南、服务手册等。</w:t>
      </w:r>
    </w:p>
    <w:p w14:paraId="3D1D8E02">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4.2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66CBB5DB">
      <w:pPr>
        <w:autoSpaceDE w:val="0"/>
        <w:autoSpaceDN w:val="0"/>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5.</w:t>
      </w:r>
      <w:r>
        <w:rPr>
          <w:rFonts w:hint="eastAsia" w:ascii="宋体" w:hAnsi="宋体" w:eastAsia="宋体" w:cs="宋体"/>
          <w:b/>
          <w:bCs/>
          <w:color w:val="auto"/>
          <w:sz w:val="24"/>
          <w:szCs w:val="24"/>
          <w:lang w:val="zh-CN"/>
        </w:rPr>
        <w:t>知识产权</w:t>
      </w:r>
    </w:p>
    <w:p w14:paraId="4AC1D45C">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5.1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乙方应保证甲方在使用该货物或其任何一部分时不受第三方提出的侵犯专利权、著作权、商标权和工业设计权等的起诉。</w:t>
      </w:r>
    </w:p>
    <w:p w14:paraId="48E00302">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任何第三方提出侵权指控，乙方须与第三方交涉并承担由此产生的一切责任、费用和经济赔偿。</w:t>
      </w:r>
    </w:p>
    <w:p w14:paraId="47DA245A">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5.3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双方应共同遵守国家有关版权、专利、商标等知识产权方面的法律规定，相互尊重对方的知识产权，对本合同内容、对方的技术秘密和商业秘密负有保密责任。如有违反，违约方负相关法律责任。</w:t>
      </w:r>
    </w:p>
    <w:p w14:paraId="05C92A41">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5.4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在本合同生效时已经存在并为各方合法拥有或使用的所有技术、资料和信息的知识产权，仍应属于其各自的原权利人所有或享有，另有约定的除外。</w:t>
      </w:r>
    </w:p>
    <w:p w14:paraId="11B0F674">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5.5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21038B91">
      <w:pPr>
        <w:autoSpaceDE w:val="0"/>
        <w:autoSpaceDN w:val="0"/>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6.</w:t>
      </w:r>
      <w:r>
        <w:rPr>
          <w:rFonts w:hint="eastAsia" w:ascii="宋体" w:hAnsi="宋体" w:eastAsia="宋体" w:cs="宋体"/>
          <w:b/>
          <w:bCs/>
          <w:color w:val="auto"/>
          <w:sz w:val="24"/>
          <w:szCs w:val="24"/>
          <w:lang w:val="zh-CN"/>
        </w:rPr>
        <w:t>保密</w:t>
      </w:r>
    </w:p>
    <w:p w14:paraId="032E91C7">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6.1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274182FB">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6.2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保密信息指任何一方因履行本合同所知悉的任何以口头、书面、图表或电子形式存在的对方信息，具体包括：</w:t>
      </w:r>
    </w:p>
    <w:p w14:paraId="24C36D72">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6.2.1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任何涉及对方过去、现在或将来的商业计划、规章制度、操作规程、处理手段、财务信息；</w:t>
      </w:r>
    </w:p>
    <w:p w14:paraId="2E7D1D6E">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6.2.2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任何对方的技术措施、技术方案、软件应用及开发，硬件设备的品种、质量、数量、品牌等；</w:t>
      </w:r>
    </w:p>
    <w:p w14:paraId="60685689">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6.2.3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任何对方的技术秘密或专有知识、文件、报告、数据、客户软件、流程图、数据库、发明、知识、贸易秘密。</w:t>
      </w:r>
    </w:p>
    <w:p w14:paraId="4DE1A7BF">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6.3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乙方应根据甲方的要求签署相应的保密协议，保密协议与本条款存在不一致的，以保密协议为准。</w:t>
      </w:r>
    </w:p>
    <w:p w14:paraId="7302E559">
      <w:pPr>
        <w:autoSpaceDE w:val="0"/>
        <w:autoSpaceDN w:val="0"/>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7. </w:t>
      </w:r>
      <w:r>
        <w:rPr>
          <w:rFonts w:hint="eastAsia" w:ascii="宋体" w:hAnsi="宋体" w:eastAsia="宋体" w:cs="宋体"/>
          <w:b/>
          <w:bCs/>
          <w:color w:val="auto"/>
          <w:sz w:val="24"/>
          <w:szCs w:val="24"/>
          <w:lang w:val="zh-CN"/>
        </w:rPr>
        <w:t>质量保证</w:t>
      </w:r>
    </w:p>
    <w:p w14:paraId="792C9E71">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7.1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货物质量保证</w:t>
      </w:r>
    </w:p>
    <w:p w14:paraId="6E0F7BB6">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7.1.1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乙方必须保证货物是全新、未使用过的，并完全符合强制性的国家技术质量规范和合同规定的质量、规格、性能和技术规范等的要求。</w:t>
      </w:r>
    </w:p>
    <w:p w14:paraId="34DCB4C3">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7.1.2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2BB7299A">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7.1.3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07EB914E">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7.1.4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2B208505">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7.1.5 </w:t>
      </w:r>
      <w:r>
        <w:rPr>
          <w:rFonts w:hint="eastAsia" w:ascii="宋体" w:hAnsi="宋体" w:eastAsia="宋体" w:cs="宋体"/>
          <w:color w:val="auto"/>
          <w:sz w:val="24"/>
          <w:szCs w:val="24"/>
          <w:lang w:val="zh-CN"/>
        </w:rPr>
        <w:t>合同条款下货物的质量保证期自货物通过最终验收起算，合同另行规定除外。</w:t>
      </w:r>
    </w:p>
    <w:p w14:paraId="0CF0368F">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7.2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辅助服务质量保证</w:t>
      </w:r>
    </w:p>
    <w:p w14:paraId="2665F2E5">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7.2.1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39FD564F">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7.2.2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乙方应保证合同条款下所提供的服务包括培训、安装指导、单机调试、系统联调和试验等，按合同规定方式进行，并保证不存在因乙方工作人员的过失、错误或疏忽而产生的缺陷。</w:t>
      </w:r>
    </w:p>
    <w:p w14:paraId="7905F80C">
      <w:pPr>
        <w:autoSpaceDE w:val="0"/>
        <w:autoSpaceDN w:val="0"/>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8.</w:t>
      </w:r>
      <w:r>
        <w:rPr>
          <w:rFonts w:hint="eastAsia" w:ascii="宋体" w:hAnsi="宋体" w:eastAsia="宋体" w:cs="宋体"/>
          <w:b/>
          <w:bCs/>
          <w:color w:val="auto"/>
          <w:sz w:val="24"/>
          <w:szCs w:val="24"/>
          <w:lang w:val="zh-CN"/>
        </w:rPr>
        <w:t>包装要求</w:t>
      </w:r>
    </w:p>
    <w:p w14:paraId="027E0EFD">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8.1 </w:t>
      </w:r>
      <w:r>
        <w:rPr>
          <w:rFonts w:hint="eastAsia" w:ascii="宋体" w:hAnsi="宋体" w:eastAsia="宋体" w:cs="宋体"/>
          <w:color w:val="auto"/>
          <w:sz w:val="24"/>
          <w:szCs w:val="24"/>
          <w:lang w:val="zh-CN"/>
        </w:rPr>
        <w:t>除合同另有约定外</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乙方提供的全部货物</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均应采用本行业通用的方式进行包装，且该包装应符合国家有关包装的法律、法规的规定。</w:t>
      </w:r>
    </w:p>
    <w:p w14:paraId="530B59D7">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8.2 </w:t>
      </w:r>
      <w:r>
        <w:rPr>
          <w:rFonts w:hint="eastAsia" w:ascii="宋体" w:hAnsi="宋体" w:eastAsia="宋体" w:cs="宋体"/>
          <w:color w:val="auto"/>
          <w:sz w:val="24"/>
          <w:szCs w:val="24"/>
          <w:lang w:val="zh-CN"/>
        </w:rPr>
        <w:t>包装应适应于远距离运输，并有良好的防潮、防震、防锈和防粗暴装卸等保护措施，以确保货物安全运抵现场。由于包装不善所引起的货物锈蚀、损坏和损失均由乙方承担。</w:t>
      </w:r>
    </w:p>
    <w:p w14:paraId="6935499F">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zh-CN"/>
        </w:rPr>
        <w:t>乙方应提供货物运至合同规定的最终目的地所需要的包装，以防止货物在转运中损坏或变质。</w:t>
      </w:r>
    </w:p>
    <w:p w14:paraId="21EE1EC4">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8.3 </w:t>
      </w:r>
      <w:r>
        <w:rPr>
          <w:rFonts w:hint="eastAsia" w:ascii="宋体" w:hAnsi="宋体" w:eastAsia="宋体" w:cs="宋体"/>
          <w:color w:val="auto"/>
          <w:sz w:val="24"/>
          <w:szCs w:val="24"/>
          <w:lang w:val="zh-CN"/>
        </w:rPr>
        <w:t>乙方所提供的货物包装均为出厂时原包装。</w:t>
      </w:r>
    </w:p>
    <w:p w14:paraId="61B3A7DB">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8.4 </w:t>
      </w:r>
      <w:r>
        <w:rPr>
          <w:rFonts w:hint="eastAsia" w:ascii="宋体" w:hAnsi="宋体" w:eastAsia="宋体" w:cs="宋体"/>
          <w:color w:val="auto"/>
          <w:sz w:val="24"/>
          <w:szCs w:val="24"/>
          <w:lang w:val="zh-CN"/>
        </w:rPr>
        <w:t>乙方所提供货物必须附有质量合格证，装箱清单，主机、附件、各种零部件和消耗品，有清楚的与装箱单相对应的名称和编号。</w:t>
      </w:r>
    </w:p>
    <w:p w14:paraId="6B78B89E">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8.5 </w:t>
      </w:r>
      <w:r>
        <w:rPr>
          <w:rFonts w:hint="eastAsia" w:ascii="宋体" w:hAnsi="宋体" w:eastAsia="宋体" w:cs="宋体"/>
          <w:color w:val="auto"/>
          <w:sz w:val="24"/>
          <w:szCs w:val="24"/>
          <w:lang w:val="zh-CN"/>
        </w:rPr>
        <w:t>货物运输中的运输费用和保险费用均由乙方承担。运输过程中的一切损失、损坏均由乙方负责。</w:t>
      </w:r>
    </w:p>
    <w:p w14:paraId="58E8F8AC">
      <w:pPr>
        <w:autoSpaceDE w:val="0"/>
        <w:autoSpaceDN w:val="0"/>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9. </w:t>
      </w:r>
      <w:r>
        <w:rPr>
          <w:rFonts w:hint="eastAsia" w:ascii="宋体" w:hAnsi="宋体" w:eastAsia="宋体" w:cs="宋体"/>
          <w:b/>
          <w:bCs/>
          <w:color w:val="auto"/>
          <w:sz w:val="24"/>
          <w:szCs w:val="24"/>
          <w:lang w:val="zh-CN"/>
        </w:rPr>
        <w:t>价格</w:t>
      </w:r>
    </w:p>
    <w:p w14:paraId="27C150F5">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9.1 </w:t>
      </w:r>
      <w:r>
        <w:rPr>
          <w:rFonts w:hint="eastAsia" w:ascii="宋体" w:hAnsi="宋体" w:eastAsia="宋体" w:cs="宋体"/>
          <w:color w:val="auto"/>
          <w:sz w:val="24"/>
          <w:szCs w:val="24"/>
          <w:lang w:val="zh-CN"/>
        </w:rPr>
        <w:t>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08AC8DC2">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9.2 </w:t>
      </w:r>
      <w:r>
        <w:rPr>
          <w:rFonts w:hint="eastAsia" w:ascii="宋体" w:hAnsi="宋体" w:eastAsia="宋体" w:cs="宋体"/>
          <w:color w:val="auto"/>
          <w:sz w:val="24"/>
          <w:szCs w:val="24"/>
          <w:lang w:val="zh-CN"/>
        </w:rPr>
        <w:t>本合同价格为固定价格，包括了乙方履行合同全过程产生的所有成本和费用以及乙方应承担的一切税费。</w:t>
      </w:r>
    </w:p>
    <w:p w14:paraId="75789C21">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9.3</w:t>
      </w:r>
      <w:r>
        <w:rPr>
          <w:rFonts w:hint="eastAsia" w:ascii="宋体" w:hAnsi="宋体" w:eastAsia="宋体" w:cs="宋体"/>
          <w:color w:val="auto"/>
          <w:sz w:val="24"/>
          <w:szCs w:val="24"/>
          <w:lang w:val="zh-CN"/>
        </w:rPr>
        <w:t>检验费用</w:t>
      </w:r>
    </w:p>
    <w:p w14:paraId="389C5AC2">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9.3.1 </w:t>
      </w:r>
      <w:r>
        <w:rPr>
          <w:rFonts w:hint="eastAsia" w:ascii="宋体" w:hAnsi="宋体" w:eastAsia="宋体" w:cs="宋体"/>
          <w:color w:val="auto"/>
          <w:sz w:val="24"/>
          <w:szCs w:val="24"/>
          <w:lang w:val="zh-CN"/>
        </w:rPr>
        <w:t>乙方必须负担本条款下属于乙方负责的检验、测试、调试、试运行和验收的所有费用，并负责乙方派往买方组织的检验、测试和验收人员的所有费用。</w:t>
      </w:r>
    </w:p>
    <w:p w14:paraId="5A602A21">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9.3.2 </w:t>
      </w:r>
      <w:r>
        <w:rPr>
          <w:rFonts w:hint="eastAsia" w:ascii="宋体" w:hAnsi="宋体" w:eastAsia="宋体" w:cs="宋体"/>
          <w:color w:val="auto"/>
          <w:sz w:val="24"/>
          <w:szCs w:val="24"/>
          <w:lang w:val="zh-CN"/>
        </w:rPr>
        <w:t>甲方按合同计划参加在乙方工厂所在地检验、测试和验收的费用全部由乙方负责并已包含在合同总价中。</w:t>
      </w:r>
    </w:p>
    <w:p w14:paraId="4F6772EA">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9.3.3</w:t>
      </w:r>
      <w:r>
        <w:rPr>
          <w:rFonts w:hint="eastAsia" w:ascii="宋体" w:hAnsi="宋体" w:eastAsia="宋体" w:cs="宋体"/>
          <w:color w:val="auto"/>
          <w:sz w:val="24"/>
          <w:szCs w:val="24"/>
          <w:lang w:val="zh-CN"/>
        </w:rPr>
        <w:t>甲方检验人员已到卖方所在地，测试无法依照合同进行，而引起甲方人员延长逗留时间，所有由此产生的包括甲方人员在内的直接费用及成本由乙方承担。</w:t>
      </w:r>
    </w:p>
    <w:p w14:paraId="3F1DD9F1">
      <w:pPr>
        <w:autoSpaceDE w:val="0"/>
        <w:autoSpaceDN w:val="0"/>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10.</w:t>
      </w:r>
      <w:r>
        <w:rPr>
          <w:rFonts w:hint="eastAsia" w:ascii="宋体" w:hAnsi="宋体" w:eastAsia="宋体" w:cs="宋体"/>
          <w:b/>
          <w:bCs/>
          <w:color w:val="auto"/>
          <w:sz w:val="24"/>
          <w:szCs w:val="24"/>
          <w:lang w:val="zh-CN"/>
        </w:rPr>
        <w:t>交货方式及交货日期</w:t>
      </w:r>
    </w:p>
    <w:p w14:paraId="59CEDFF0">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交货方式：现场交货，乙方负责办理运输和保险，将货物运抵现场。</w:t>
      </w:r>
    </w:p>
    <w:p w14:paraId="2E482802">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交货时间应根据产品的特点实事求是填写，进口产品90个工作日内，国产产品60个工作日内。特殊产品交货时间需说明。</w:t>
      </w:r>
    </w:p>
    <w:p w14:paraId="4FF082F0">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交货日期：所有货物运抵现场并经双方开箱验收合格之日。</w:t>
      </w:r>
    </w:p>
    <w:p w14:paraId="447B8C1B">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11.检验和验收</w:t>
      </w:r>
    </w:p>
    <w:p w14:paraId="25DB3041">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11.1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开箱验收</w:t>
      </w:r>
    </w:p>
    <w:p w14:paraId="43E10955">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11.1.1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货物运抵现场后，双方应及时开箱验收，并制作验收记录，以确认与本合同约定的数量、型号等是否一致。</w:t>
      </w:r>
    </w:p>
    <w:p w14:paraId="039A3AD6">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11.1.2 </w:t>
      </w:r>
      <w:r>
        <w:rPr>
          <w:rFonts w:hint="eastAsia" w:ascii="宋体" w:hAnsi="宋体" w:eastAsia="宋体" w:cs="宋体"/>
          <w:color w:val="auto"/>
          <w:sz w:val="24"/>
          <w:szCs w:val="24"/>
          <w:lang w:val="zh-CN"/>
        </w:rPr>
        <w:t>乙方应在交货前对货物的质量、规格、数量等进行详细而全面的检验，并出具证明货物符合合同规定的文件。该文件将作为申请付款单据的一部分，但有关质量、规格、数量的检验不应视为最终检验。</w:t>
      </w:r>
    </w:p>
    <w:p w14:paraId="1FDC4DFC">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11.1.3 </w:t>
      </w:r>
      <w:r>
        <w:rPr>
          <w:rFonts w:hint="eastAsia" w:ascii="宋体" w:hAnsi="宋体" w:eastAsia="宋体" w:cs="宋体"/>
          <w:color w:val="auto"/>
          <w:sz w:val="24"/>
          <w:szCs w:val="24"/>
          <w:lang w:val="zh-CN"/>
        </w:rPr>
        <w:t>开箱验收中如发现货物的数量、规格与合同约定不符，甲方有权拒收货物，乙方应及时按甲方要求免费对拒收货物采取更换或其他必要的补救措施，直至开箱验收合格，方视为乙方完成交货。</w:t>
      </w:r>
    </w:p>
    <w:p w14:paraId="78335723">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11.2 </w:t>
      </w:r>
      <w:r>
        <w:rPr>
          <w:rFonts w:hint="eastAsia" w:ascii="宋体" w:hAnsi="宋体" w:eastAsia="宋体" w:cs="宋体"/>
          <w:color w:val="auto"/>
          <w:sz w:val="24"/>
          <w:szCs w:val="24"/>
          <w:lang w:val="zh-CN"/>
        </w:rPr>
        <w:t>检验验收</w:t>
      </w:r>
    </w:p>
    <w:p w14:paraId="5FDB6367">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11.2.1 </w:t>
      </w:r>
      <w:r>
        <w:rPr>
          <w:rFonts w:hint="eastAsia" w:ascii="宋体" w:hAnsi="宋体" w:eastAsia="宋体" w:cs="宋体"/>
          <w:color w:val="auto"/>
          <w:sz w:val="24"/>
          <w:szCs w:val="24"/>
          <w:lang w:val="zh-CN"/>
        </w:rPr>
        <w:t>交货完成后，乙方应及时组装、调试、试运行，按照合同专用条款规定的试运行完成后，双方及时组织对货物检验验收。合同双方均须派人参加合同要求双方参加的试验、检验。</w:t>
      </w:r>
    </w:p>
    <w:p w14:paraId="121E8DC7">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11.2.2 </w:t>
      </w:r>
      <w:r>
        <w:rPr>
          <w:rFonts w:hint="eastAsia" w:ascii="宋体" w:hAnsi="宋体" w:eastAsia="宋体" w:cs="宋体"/>
          <w:color w:val="auto"/>
          <w:sz w:val="24"/>
          <w:szCs w:val="24"/>
          <w:lang w:val="zh-CN"/>
        </w:rPr>
        <w:t>在具体实施合同规定的检验验收之前，乙方需提前提交相应的测试计划（包括测试程序、测试内容和检验标准、试验时间安排等）供甲方确认。</w:t>
      </w:r>
    </w:p>
    <w:p w14:paraId="47B54F58">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11.2.3 </w:t>
      </w:r>
      <w:r>
        <w:rPr>
          <w:rFonts w:hint="eastAsia" w:ascii="宋体" w:hAnsi="宋体" w:eastAsia="宋体" w:cs="宋体"/>
          <w:color w:val="auto"/>
          <w:sz w:val="24"/>
          <w:szCs w:val="24"/>
          <w:lang w:val="zh-CN"/>
        </w:rPr>
        <w:t>除需甲方确认的试验验收外，乙方还应对所有检验验收测试的结果、步骤、原始数据等作妥善记录。如甲方要求，乙方应提供这些记录给买方。</w:t>
      </w:r>
    </w:p>
    <w:p w14:paraId="7D04A669">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11.2.4 </w:t>
      </w:r>
      <w:r>
        <w:rPr>
          <w:rFonts w:hint="eastAsia" w:ascii="宋体" w:hAnsi="宋体" w:eastAsia="宋体" w:cs="宋体"/>
          <w:color w:val="auto"/>
          <w:sz w:val="24"/>
          <w:szCs w:val="24"/>
          <w:lang w:val="zh-CN"/>
        </w:rPr>
        <w:t>检验测试出现全部或部分未达到本合同所约定的技术指标，甲方有权选择下列任一处理方式：</w:t>
      </w:r>
    </w:p>
    <w:p w14:paraId="18DBA233">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a.</w:t>
      </w:r>
      <w:r>
        <w:rPr>
          <w:rFonts w:hint="eastAsia" w:ascii="宋体" w:hAnsi="宋体" w:eastAsia="宋体" w:cs="宋体"/>
          <w:color w:val="auto"/>
          <w:sz w:val="24"/>
          <w:szCs w:val="24"/>
          <w:lang w:val="zh-CN"/>
        </w:rPr>
        <w:t>重新测试直至合格为止；</w:t>
      </w:r>
    </w:p>
    <w:p w14:paraId="6BE3FC95">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b.</w:t>
      </w:r>
      <w:r>
        <w:rPr>
          <w:rFonts w:hint="eastAsia" w:ascii="宋体" w:hAnsi="宋体" w:eastAsia="宋体" w:cs="宋体"/>
          <w:color w:val="auto"/>
          <w:sz w:val="24"/>
          <w:szCs w:val="24"/>
          <w:lang w:val="zh-CN"/>
        </w:rPr>
        <w:t>要求乙方对货物进行免费更换，然后重新测试直至合格为止；</w:t>
      </w:r>
    </w:p>
    <w:p w14:paraId="54B87019">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zh-CN"/>
        </w:rPr>
        <w:t>无论选择何种方式，甲方因此而发生的因卖方原因引起的所有费用均由乙方负担。</w:t>
      </w:r>
    </w:p>
    <w:p w14:paraId="4BA53587">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11.3 </w:t>
      </w:r>
      <w:r>
        <w:rPr>
          <w:rFonts w:hint="eastAsia" w:ascii="宋体" w:hAnsi="宋体" w:eastAsia="宋体" w:cs="宋体"/>
          <w:color w:val="auto"/>
          <w:sz w:val="24"/>
          <w:szCs w:val="24"/>
          <w:lang w:val="zh-CN"/>
        </w:rPr>
        <w:t>使用过程检验</w:t>
      </w:r>
    </w:p>
    <w:p w14:paraId="0265C76B">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11.3.1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在合同规定的质量保证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14:paraId="6921EBAE">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11.3.2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如果合同双方对乙方提供的上述试验结果报告的解释有分歧，双方须于出现分歧后</w:t>
      </w: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天内给对方声明，以陈述己方的观点。声明须附有关证据。分歧应通过协商解决。</w:t>
      </w:r>
    </w:p>
    <w:p w14:paraId="5747EB4E">
      <w:pPr>
        <w:autoSpaceDE w:val="0"/>
        <w:autoSpaceDN w:val="0"/>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12.</w:t>
      </w:r>
      <w:r>
        <w:rPr>
          <w:rFonts w:hint="eastAsia" w:ascii="宋体" w:hAnsi="宋体" w:eastAsia="宋体" w:cs="宋体"/>
          <w:b/>
          <w:bCs/>
          <w:color w:val="auto"/>
          <w:sz w:val="24"/>
          <w:szCs w:val="24"/>
          <w:lang w:val="zh-CN"/>
        </w:rPr>
        <w:t>付款条件</w:t>
      </w:r>
    </w:p>
    <w:p w14:paraId="172F0715">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zh-CN"/>
        </w:rPr>
        <w:t>本合同条款下的付款方法和条件在“青海省政府采购合同书”中具体规定。</w:t>
      </w:r>
    </w:p>
    <w:p w14:paraId="05F81BAF">
      <w:pPr>
        <w:autoSpaceDE w:val="0"/>
        <w:autoSpaceDN w:val="0"/>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13.</w:t>
      </w:r>
      <w:r>
        <w:rPr>
          <w:rFonts w:hint="eastAsia" w:ascii="宋体" w:hAnsi="宋体" w:eastAsia="宋体" w:cs="宋体"/>
          <w:b/>
          <w:bCs/>
          <w:color w:val="auto"/>
          <w:sz w:val="24"/>
          <w:szCs w:val="24"/>
          <w:lang w:val="zh-CN"/>
        </w:rPr>
        <w:t>履约保证金</w:t>
      </w:r>
    </w:p>
    <w:p w14:paraId="2DFBF57E">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13.1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乙方应在合同签订前，按磋商文件的约定提交履约保证金。</w:t>
      </w:r>
    </w:p>
    <w:p w14:paraId="7456EEC8">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13.2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履约保证金用于补偿甲方因乙方不能履行其合同义务而蒙受的损失。</w:t>
      </w:r>
    </w:p>
    <w:p w14:paraId="5CD84355">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13.3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履约保证金应使用本合同货币，按下述方式之一提交（磋商文件中另有约定的除外）：</w:t>
      </w:r>
    </w:p>
    <w:p w14:paraId="2EFB0D1D">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13.3.1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甲方可接受的在中华人民共和国注册和营业的银行出具的履约保函；</w:t>
      </w:r>
    </w:p>
    <w:p w14:paraId="326135B4">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13.3.2 </w:t>
      </w:r>
      <w:r>
        <w:rPr>
          <w:rFonts w:hint="eastAsia" w:ascii="宋体" w:hAnsi="宋体" w:eastAsia="宋体" w:cs="宋体"/>
          <w:color w:val="auto"/>
          <w:sz w:val="24"/>
          <w:szCs w:val="24"/>
          <w:lang w:val="zh-CN"/>
        </w:rPr>
        <w:t>支票或汇票。</w:t>
      </w:r>
    </w:p>
    <w:p w14:paraId="61EC6633">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13.4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乙方未能按合同规定履行其义务，甲方有权从履约保证金中取得补偿。货物验收合格后，甲方将履约保证金退还乙方或转为质量保证金。</w:t>
      </w:r>
    </w:p>
    <w:p w14:paraId="0002BB21">
      <w:pPr>
        <w:autoSpaceDE w:val="0"/>
        <w:autoSpaceDN w:val="0"/>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14.</w:t>
      </w:r>
      <w:r>
        <w:rPr>
          <w:rFonts w:hint="eastAsia" w:ascii="宋体" w:hAnsi="宋体" w:eastAsia="宋体" w:cs="宋体"/>
          <w:b/>
          <w:bCs/>
          <w:color w:val="auto"/>
          <w:sz w:val="24"/>
          <w:szCs w:val="24"/>
          <w:lang w:val="zh-CN"/>
        </w:rPr>
        <w:t>索赔</w:t>
      </w:r>
    </w:p>
    <w:p w14:paraId="2C7414BB">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14.1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19482427">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14.2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在履约保证期和检验期内，乙方对甲方提出的索赔负有责任，乙方应按照甲方同意的下列一种或多种方式解决索赔事宜：</w:t>
      </w:r>
    </w:p>
    <w:p w14:paraId="72F44EE1">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14.2.1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2211F8E1">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14.2.2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根据货物低劣程度、损坏程度以及甲方所遭受损失的数额，经甲乙双方商定降低货物的价格，或由有资质的中介机构评估，以降低后的价格或评估价格为准。</w:t>
      </w:r>
    </w:p>
    <w:p w14:paraId="4770A20D">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14.2.3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4109F549">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14.3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乙方收到甲方发出的索赔通知之日起</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个工作日内未作答复的，甲方可从合同款或履约保证金中扣回索赔金额，如金额不足以补偿索赔金额，乙方应补足差额部分。</w:t>
      </w:r>
    </w:p>
    <w:p w14:paraId="6B9BA08B">
      <w:pPr>
        <w:autoSpaceDE w:val="0"/>
        <w:autoSpaceDN w:val="0"/>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15.</w:t>
      </w:r>
      <w:r>
        <w:rPr>
          <w:rFonts w:hint="eastAsia" w:ascii="宋体" w:hAnsi="宋体" w:eastAsia="宋体" w:cs="宋体"/>
          <w:b/>
          <w:bCs/>
          <w:color w:val="auto"/>
          <w:sz w:val="24"/>
          <w:szCs w:val="24"/>
          <w:lang w:val="zh-CN"/>
        </w:rPr>
        <w:t>迟延交货</w:t>
      </w:r>
    </w:p>
    <w:p w14:paraId="7F737EAC">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15.1 </w:t>
      </w:r>
      <w:r>
        <w:rPr>
          <w:rFonts w:hint="eastAsia" w:ascii="宋体" w:hAnsi="宋体" w:eastAsia="宋体" w:cs="宋体"/>
          <w:color w:val="auto"/>
          <w:sz w:val="24"/>
          <w:szCs w:val="24"/>
          <w:lang w:val="zh-CN"/>
        </w:rPr>
        <w:t>乙方应按照合同约定的时间交货和提供服务。</w:t>
      </w:r>
    </w:p>
    <w:p w14:paraId="16D04CF0">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15.2 </w:t>
      </w:r>
      <w:r>
        <w:rPr>
          <w:rFonts w:hint="eastAsia" w:ascii="宋体" w:hAnsi="宋体" w:eastAsia="宋体" w:cs="宋体"/>
          <w:color w:val="auto"/>
          <w:sz w:val="24"/>
          <w:szCs w:val="24"/>
          <w:lang w:val="zh-CN"/>
        </w:rPr>
        <w:t>除不可抗力因素外，乙方迟延交货，甲方有权提出违约损失赔偿或解除合同。</w:t>
      </w:r>
    </w:p>
    <w:p w14:paraId="01801BF5">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15.3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在履行合同过程中，乙方遇到不能按时交货和提供服务的情况，应及时以书面形式将不能按时交货的理由、预期延误时间通知甲方。甲方收到乙方通知后，认为其理由正当的，可酌情延长交货时间。</w:t>
      </w:r>
    </w:p>
    <w:p w14:paraId="66FCE8E8">
      <w:pPr>
        <w:autoSpaceDE w:val="0"/>
        <w:autoSpaceDN w:val="0"/>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违约赔偿</w:t>
      </w:r>
    </w:p>
    <w:p w14:paraId="2F171D91">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zh-CN"/>
        </w:rPr>
        <w:t>除不可抗力因素外，乙方没有按照合同规定的时间交货和提供服务，甲方可要求乙方支付违约金。违约金每日按合同总价款的千分之五计收。</w:t>
      </w:r>
    </w:p>
    <w:p w14:paraId="44B11EDC">
      <w:pPr>
        <w:autoSpaceDE w:val="0"/>
        <w:autoSpaceDN w:val="0"/>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17.</w:t>
      </w:r>
      <w:r>
        <w:rPr>
          <w:rFonts w:hint="eastAsia" w:ascii="宋体" w:hAnsi="宋体" w:eastAsia="宋体" w:cs="宋体"/>
          <w:b/>
          <w:bCs/>
          <w:color w:val="auto"/>
          <w:sz w:val="24"/>
          <w:szCs w:val="24"/>
          <w:lang w:val="zh-CN"/>
        </w:rPr>
        <w:t>不可抗力</w:t>
      </w:r>
    </w:p>
    <w:p w14:paraId="428A187C">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17.1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双方中任何一方遭遇法律规定的不可抗力，致使合同履行受阻时，履行合同的期限应予延长，延长的期限应相当于不可抗力所影响的时间。</w:t>
      </w:r>
    </w:p>
    <w:p w14:paraId="691A7043">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17.2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受事故影响的一方应在不可抗力的事故发生后以书面形式通知另一方。</w:t>
      </w:r>
    </w:p>
    <w:p w14:paraId="3E20A502">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17.3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不可抗力使合同的某些内容有变更必要的，双方应通过协商达成进一步履行合同的协议，因不可抗力致使合同不能履行的，合同终止。</w:t>
      </w:r>
    </w:p>
    <w:p w14:paraId="5A340411">
      <w:pPr>
        <w:autoSpaceDE w:val="0"/>
        <w:autoSpaceDN w:val="0"/>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18.</w:t>
      </w:r>
      <w:r>
        <w:rPr>
          <w:rFonts w:hint="eastAsia" w:ascii="宋体" w:hAnsi="宋体" w:eastAsia="宋体" w:cs="宋体"/>
          <w:b/>
          <w:bCs/>
          <w:color w:val="auto"/>
          <w:sz w:val="24"/>
          <w:szCs w:val="24"/>
          <w:lang w:val="zh-CN"/>
        </w:rPr>
        <w:t>税费</w:t>
      </w:r>
    </w:p>
    <w:p w14:paraId="645DDED1">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zh-CN"/>
        </w:rPr>
        <w:t>与本合同有关的一切税费均由乙方承担。</w:t>
      </w:r>
    </w:p>
    <w:p w14:paraId="28AE044B">
      <w:pPr>
        <w:autoSpaceDE w:val="0"/>
        <w:autoSpaceDN w:val="0"/>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19.</w:t>
      </w:r>
      <w:r>
        <w:rPr>
          <w:rFonts w:hint="eastAsia" w:ascii="宋体" w:hAnsi="宋体" w:eastAsia="宋体" w:cs="宋体"/>
          <w:b/>
          <w:bCs/>
          <w:color w:val="auto"/>
          <w:sz w:val="24"/>
          <w:szCs w:val="24"/>
          <w:lang w:val="zh-CN"/>
        </w:rPr>
        <w:t>合同争议的解决</w:t>
      </w:r>
    </w:p>
    <w:p w14:paraId="0951ABC8">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19.1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甲方和乙方由于本合同的履行而发生任何争议时，双方可先通过协商解决。</w:t>
      </w:r>
    </w:p>
    <w:p w14:paraId="7353B7A5">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19.2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任何一方不愿通过协商或通过协商仍不能解决争议，则双方中任何一方均应向甲方所在地人民法院起诉。</w:t>
      </w:r>
    </w:p>
    <w:p w14:paraId="1264F8E1">
      <w:pPr>
        <w:autoSpaceDE w:val="0"/>
        <w:autoSpaceDN w:val="0"/>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20.</w:t>
      </w:r>
      <w:r>
        <w:rPr>
          <w:rFonts w:hint="eastAsia" w:ascii="宋体" w:hAnsi="宋体" w:eastAsia="宋体" w:cs="宋体"/>
          <w:b/>
          <w:bCs/>
          <w:color w:val="auto"/>
          <w:sz w:val="24"/>
          <w:szCs w:val="24"/>
          <w:lang w:val="zh-CN"/>
        </w:rPr>
        <w:t>违约解除合同</w:t>
      </w:r>
    </w:p>
    <w:p w14:paraId="209EBBBF">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20.1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出现下列情形之一的，视为乙方违约。甲方可向乙方发出书面通知，部分或全部终止合同，同时保留向乙方索赔的权利。</w:t>
      </w:r>
    </w:p>
    <w:p w14:paraId="0E0B0E83">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20.1.1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乙方未能在合同规定的限期或甲方同意延长的限期内，提供全部或部分货物的；</w:t>
      </w:r>
    </w:p>
    <w:p w14:paraId="2C87228E">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20.1.2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乙方未能履行合同规定的其它主要义务的；</w:t>
      </w:r>
    </w:p>
    <w:p w14:paraId="40976257">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20.1.3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乙方在本合同履行过程中有欺诈行为的。</w:t>
      </w:r>
    </w:p>
    <w:p w14:paraId="0BCBFF0F">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715CDA32">
      <w:pPr>
        <w:autoSpaceDE w:val="0"/>
        <w:autoSpaceDN w:val="0"/>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21.</w:t>
      </w:r>
      <w:r>
        <w:rPr>
          <w:rFonts w:hint="eastAsia" w:ascii="宋体" w:hAnsi="宋体" w:eastAsia="宋体" w:cs="宋体"/>
          <w:b/>
          <w:bCs/>
          <w:color w:val="auto"/>
          <w:sz w:val="24"/>
          <w:szCs w:val="24"/>
          <w:lang w:val="zh-CN"/>
        </w:rPr>
        <w:t>破产终止合同</w:t>
      </w:r>
    </w:p>
    <w:p w14:paraId="501E4FE8">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zh-CN"/>
        </w:rPr>
        <w:t>乙方破产而无法完全履行本合同义务时，甲方可以书面方式通知乙方终止合同而不给予乙方补偿。该合同的终止将不损害或不影响甲方已经采取或将要采取任何行动或补救措施的权利。</w:t>
      </w:r>
    </w:p>
    <w:p w14:paraId="5518E81B">
      <w:pPr>
        <w:autoSpaceDE w:val="0"/>
        <w:autoSpaceDN w:val="0"/>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22.</w:t>
      </w:r>
      <w:r>
        <w:rPr>
          <w:rFonts w:hint="eastAsia" w:ascii="宋体" w:hAnsi="宋体" w:eastAsia="宋体" w:cs="宋体"/>
          <w:b/>
          <w:bCs/>
          <w:color w:val="auto"/>
          <w:sz w:val="24"/>
          <w:szCs w:val="24"/>
          <w:lang w:val="zh-CN"/>
        </w:rPr>
        <w:t>转让和分包</w:t>
      </w:r>
    </w:p>
    <w:p w14:paraId="2ADF800C">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zh-CN"/>
        </w:rPr>
        <w:t>政府采购合同不能转让。</w:t>
      </w:r>
    </w:p>
    <w:p w14:paraId="60CC59D1">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22.2</w:t>
      </w:r>
      <w:r>
        <w:rPr>
          <w:rFonts w:hint="eastAsia" w:ascii="宋体" w:hAnsi="宋体" w:eastAsia="宋体" w:cs="宋体"/>
          <w:color w:val="auto"/>
          <w:sz w:val="24"/>
          <w:szCs w:val="24"/>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4CF11C2F">
      <w:pPr>
        <w:autoSpaceDE w:val="0"/>
        <w:autoSpaceDN w:val="0"/>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23.</w:t>
      </w:r>
      <w:r>
        <w:rPr>
          <w:rFonts w:hint="eastAsia" w:ascii="宋体" w:hAnsi="宋体" w:eastAsia="宋体" w:cs="宋体"/>
          <w:b/>
          <w:bCs/>
          <w:color w:val="auto"/>
          <w:sz w:val="24"/>
          <w:szCs w:val="24"/>
          <w:lang w:val="zh-CN"/>
        </w:rPr>
        <w:t>合同修改</w:t>
      </w:r>
    </w:p>
    <w:p w14:paraId="6E6BFED7">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zh-CN"/>
        </w:rPr>
        <w:t>甲方和乙方都不得擅自变更本合同，但合同继续履行将损害国家和社会公共利益的除外。如必须对合同条款进行改动时，当事人双方须共同签署书面文件，做为合同的补充。</w:t>
      </w:r>
    </w:p>
    <w:p w14:paraId="18A15D81">
      <w:pPr>
        <w:autoSpaceDE w:val="0"/>
        <w:autoSpaceDN w:val="0"/>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24.</w:t>
      </w:r>
      <w:r>
        <w:rPr>
          <w:rFonts w:hint="eastAsia" w:ascii="宋体" w:hAnsi="宋体" w:eastAsia="宋体" w:cs="宋体"/>
          <w:b/>
          <w:bCs/>
          <w:color w:val="auto"/>
          <w:sz w:val="24"/>
          <w:szCs w:val="24"/>
          <w:lang w:val="zh-CN"/>
        </w:rPr>
        <w:t>通知</w:t>
      </w:r>
    </w:p>
    <w:p w14:paraId="671FF0AB">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zh-CN"/>
        </w:rPr>
        <w:t>本合同任何一方给另一方的通知，都应以书面形式发送，而另一方也应以书面形式确认并发送到对方明确的地址。</w:t>
      </w:r>
    </w:p>
    <w:p w14:paraId="645FFD1E">
      <w:pPr>
        <w:autoSpaceDE w:val="0"/>
        <w:autoSpaceDN w:val="0"/>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25.</w:t>
      </w:r>
      <w:r>
        <w:rPr>
          <w:rFonts w:hint="eastAsia" w:ascii="宋体" w:hAnsi="宋体" w:eastAsia="宋体" w:cs="宋体"/>
          <w:b/>
          <w:bCs/>
          <w:color w:val="auto"/>
          <w:sz w:val="24"/>
          <w:szCs w:val="24"/>
          <w:lang w:val="zh-CN"/>
        </w:rPr>
        <w:t>计量单位</w:t>
      </w:r>
    </w:p>
    <w:p w14:paraId="3155C240">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zh-CN"/>
        </w:rPr>
        <w:t>除技术规范中另有规定外</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计量单位均使用国家法定计量单位。</w:t>
      </w:r>
    </w:p>
    <w:p w14:paraId="78EAEA4A">
      <w:pPr>
        <w:autoSpaceDE w:val="0"/>
        <w:autoSpaceDN w:val="0"/>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26.</w:t>
      </w:r>
      <w:r>
        <w:rPr>
          <w:rFonts w:hint="eastAsia" w:ascii="宋体" w:hAnsi="宋体" w:eastAsia="宋体" w:cs="宋体"/>
          <w:b/>
          <w:bCs/>
          <w:color w:val="auto"/>
          <w:sz w:val="24"/>
          <w:szCs w:val="24"/>
          <w:lang w:val="zh-CN"/>
        </w:rPr>
        <w:t>适用法律</w:t>
      </w:r>
    </w:p>
    <w:p w14:paraId="1FA22C6C">
      <w:pPr>
        <w:wordWrap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本合同按照中华人民共和国的相关法律进行解释。</w:t>
      </w:r>
    </w:p>
    <w:p w14:paraId="0E9DA2C8">
      <w:pPr>
        <w:wordWrap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br w:type="page"/>
      </w:r>
    </w:p>
    <w:p w14:paraId="60108527">
      <w:pPr>
        <w:keepNext/>
        <w:keepLines/>
        <w:widowControl/>
        <w:snapToGrid w:val="0"/>
        <w:spacing w:line="360" w:lineRule="auto"/>
        <w:ind w:firstLine="0" w:firstLineChars="0"/>
        <w:jc w:val="center"/>
        <w:outlineLvl w:val="0"/>
        <w:rPr>
          <w:rFonts w:hint="eastAsia" w:ascii="宋体" w:hAnsi="宋体" w:eastAsia="宋体" w:cs="宋体"/>
          <w:b/>
          <w:color w:val="auto"/>
          <w:kern w:val="28"/>
          <w:sz w:val="36"/>
          <w:szCs w:val="20"/>
        </w:rPr>
      </w:pPr>
      <w:bookmarkStart w:id="176" w:name="_Toc9968"/>
      <w:r>
        <w:rPr>
          <w:rFonts w:hint="eastAsia" w:ascii="宋体" w:hAnsi="宋体" w:eastAsia="宋体" w:cs="宋体"/>
          <w:b/>
          <w:color w:val="auto"/>
          <w:kern w:val="28"/>
          <w:sz w:val="36"/>
          <w:szCs w:val="20"/>
        </w:rPr>
        <w:t>第五部分  响应文件格式</w:t>
      </w:r>
      <w:bookmarkEnd w:id="176"/>
    </w:p>
    <w:p w14:paraId="2C91A4A4">
      <w:pPr>
        <w:widowControl/>
        <w:snapToGrid w:val="0"/>
        <w:spacing w:line="360" w:lineRule="auto"/>
        <w:ind w:firstLine="0" w:firstLineChars="0"/>
        <w:outlineLvl w:val="1"/>
        <w:rPr>
          <w:rFonts w:hint="eastAsia" w:ascii="宋体" w:hAnsi="宋体" w:eastAsia="宋体" w:cs="宋体"/>
          <w:b/>
          <w:color w:val="auto"/>
          <w:sz w:val="28"/>
          <w:szCs w:val="28"/>
        </w:rPr>
      </w:pPr>
      <w:bookmarkStart w:id="177" w:name="_Toc16431"/>
      <w:bookmarkStart w:id="178" w:name="_Toc9848"/>
      <w:bookmarkStart w:id="179" w:name="_Toc26524"/>
      <w:r>
        <w:rPr>
          <w:rFonts w:hint="eastAsia" w:ascii="宋体" w:hAnsi="宋体" w:eastAsia="宋体" w:cs="宋体"/>
          <w:b/>
          <w:color w:val="auto"/>
          <w:sz w:val="28"/>
          <w:szCs w:val="28"/>
        </w:rPr>
        <w:t>附件1：响应文件封面</w:t>
      </w:r>
      <w:bookmarkEnd w:id="177"/>
      <w:bookmarkEnd w:id="178"/>
      <w:bookmarkEnd w:id="179"/>
    </w:p>
    <w:p w14:paraId="7109FEA0">
      <w:pPr>
        <w:spacing w:line="360" w:lineRule="auto"/>
        <w:ind w:firstLine="0" w:firstLineChars="0"/>
        <w:rPr>
          <w:rFonts w:hint="eastAsia" w:ascii="宋体" w:hAnsi="宋体" w:eastAsia="宋体" w:cs="宋体"/>
          <w:b/>
          <w:color w:val="auto"/>
          <w:sz w:val="36"/>
          <w:szCs w:val="36"/>
        </w:rPr>
      </w:pPr>
    </w:p>
    <w:p w14:paraId="31C5719D">
      <w:pPr>
        <w:spacing w:line="360" w:lineRule="auto"/>
        <w:ind w:firstLine="0" w:firstLineChars="0"/>
        <w:rPr>
          <w:rFonts w:hint="eastAsia" w:ascii="宋体" w:hAnsi="宋体" w:eastAsia="宋体" w:cs="宋体"/>
          <w:b/>
          <w:color w:val="auto"/>
          <w:sz w:val="36"/>
          <w:szCs w:val="36"/>
        </w:rPr>
      </w:pPr>
    </w:p>
    <w:p w14:paraId="2FC3BF55">
      <w:pPr>
        <w:spacing w:line="360" w:lineRule="auto"/>
        <w:ind w:firstLine="0" w:firstLineChars="0"/>
        <w:rPr>
          <w:rFonts w:hint="eastAsia" w:ascii="宋体" w:hAnsi="宋体" w:eastAsia="宋体" w:cs="宋体"/>
          <w:b/>
          <w:color w:val="auto"/>
          <w:sz w:val="36"/>
          <w:szCs w:val="36"/>
        </w:rPr>
      </w:pPr>
    </w:p>
    <w:p w14:paraId="3783032F">
      <w:pPr>
        <w:spacing w:line="360" w:lineRule="auto"/>
        <w:ind w:firstLine="2364" w:firstLineChars="327"/>
        <w:rPr>
          <w:rFonts w:hint="eastAsia" w:ascii="宋体" w:hAnsi="宋体" w:eastAsia="宋体" w:cs="宋体"/>
          <w:b/>
          <w:color w:val="auto"/>
          <w:sz w:val="72"/>
          <w:szCs w:val="72"/>
        </w:rPr>
      </w:pPr>
      <w:r>
        <w:rPr>
          <w:rFonts w:hint="eastAsia" w:ascii="宋体" w:hAnsi="宋体" w:eastAsia="宋体" w:cs="宋体"/>
          <w:b/>
          <w:color w:val="auto"/>
          <w:sz w:val="72"/>
          <w:szCs w:val="72"/>
        </w:rPr>
        <w:t>响应文件</w:t>
      </w:r>
    </w:p>
    <w:p w14:paraId="54591FE1">
      <w:pPr>
        <w:adjustRightInd w:val="0"/>
        <w:spacing w:line="360" w:lineRule="auto"/>
        <w:ind w:firstLine="0" w:firstLineChars="0"/>
        <w:textAlignment w:val="baseline"/>
        <w:rPr>
          <w:rFonts w:hint="eastAsia" w:ascii="宋体" w:hAnsi="宋体" w:eastAsia="宋体" w:cs="宋体"/>
          <w:b/>
          <w:bCs/>
          <w:color w:val="auto"/>
          <w:sz w:val="36"/>
          <w:szCs w:val="36"/>
        </w:rPr>
      </w:pPr>
    </w:p>
    <w:p w14:paraId="008122EE">
      <w:pPr>
        <w:adjustRightInd w:val="0"/>
        <w:spacing w:line="360" w:lineRule="auto"/>
        <w:ind w:firstLine="0" w:firstLineChars="0"/>
        <w:textAlignment w:val="baseline"/>
        <w:rPr>
          <w:rFonts w:hint="eastAsia" w:ascii="宋体" w:hAnsi="宋体" w:eastAsia="宋体" w:cs="宋体"/>
          <w:b/>
          <w:color w:val="auto"/>
          <w:sz w:val="36"/>
          <w:szCs w:val="36"/>
        </w:rPr>
      </w:pPr>
      <w:r>
        <w:rPr>
          <w:rFonts w:hint="eastAsia" w:ascii="宋体" w:hAnsi="宋体" w:eastAsia="宋体" w:cs="宋体"/>
          <w:b/>
          <w:bCs/>
          <w:color w:val="auto"/>
          <w:sz w:val="36"/>
          <w:szCs w:val="36"/>
        </w:rPr>
        <w:t>采购项目编号</w:t>
      </w:r>
      <w:r>
        <w:rPr>
          <w:rFonts w:hint="eastAsia" w:ascii="宋体" w:hAnsi="宋体" w:eastAsia="宋体" w:cs="宋体"/>
          <w:b/>
          <w:color w:val="auto"/>
          <w:sz w:val="36"/>
          <w:szCs w:val="36"/>
        </w:rPr>
        <w:t>：</w:t>
      </w:r>
    </w:p>
    <w:p w14:paraId="6954443C">
      <w:pPr>
        <w:adjustRightInd w:val="0"/>
        <w:spacing w:line="360" w:lineRule="auto"/>
        <w:ind w:left="2530" w:hanging="2530" w:hangingChars="700"/>
        <w:textAlignment w:val="baseline"/>
        <w:rPr>
          <w:rFonts w:hint="eastAsia" w:ascii="宋体" w:hAnsi="宋体" w:eastAsia="宋体" w:cs="宋体"/>
          <w:b/>
          <w:bCs/>
          <w:color w:val="auto"/>
          <w:sz w:val="36"/>
          <w:szCs w:val="36"/>
        </w:rPr>
      </w:pPr>
      <w:r>
        <w:rPr>
          <w:rFonts w:hint="eastAsia" w:ascii="宋体" w:hAnsi="宋体" w:eastAsia="宋体" w:cs="宋体"/>
          <w:b/>
          <w:bCs/>
          <w:color w:val="auto"/>
          <w:sz w:val="36"/>
          <w:szCs w:val="36"/>
        </w:rPr>
        <w:t>采购项目名称：</w:t>
      </w:r>
    </w:p>
    <w:p w14:paraId="533B5FE5">
      <w:pPr>
        <w:adjustRightInd w:val="0"/>
        <w:spacing w:line="360" w:lineRule="auto"/>
        <w:ind w:firstLine="0" w:firstLineChars="0"/>
        <w:textAlignment w:val="baseline"/>
        <w:rPr>
          <w:rFonts w:hint="eastAsia" w:ascii="宋体" w:hAnsi="宋体" w:eastAsia="宋体" w:cs="宋体"/>
          <w:b/>
          <w:color w:val="auto"/>
          <w:sz w:val="36"/>
          <w:szCs w:val="36"/>
        </w:rPr>
      </w:pPr>
      <w:r>
        <w:rPr>
          <w:rFonts w:hint="eastAsia" w:ascii="宋体" w:hAnsi="宋体" w:eastAsia="宋体" w:cs="宋体"/>
          <w:b/>
          <w:bCs/>
          <w:color w:val="auto"/>
          <w:sz w:val="36"/>
          <w:szCs w:val="36"/>
        </w:rPr>
        <w:t>供应商名称</w:t>
      </w:r>
      <w:r>
        <w:rPr>
          <w:rFonts w:hint="eastAsia" w:ascii="宋体" w:hAnsi="宋体" w:eastAsia="宋体" w:cs="宋体"/>
          <w:b/>
          <w:color w:val="auto"/>
          <w:sz w:val="36"/>
          <w:szCs w:val="36"/>
        </w:rPr>
        <w:t>：</w:t>
      </w:r>
    </w:p>
    <w:p w14:paraId="6BAD2575">
      <w:pPr>
        <w:adjustRightInd w:val="0"/>
        <w:spacing w:line="360" w:lineRule="auto"/>
        <w:ind w:firstLine="0" w:firstLineChars="0"/>
        <w:textAlignment w:val="baseline"/>
        <w:rPr>
          <w:rFonts w:hint="eastAsia" w:ascii="宋体" w:hAnsi="宋体" w:eastAsia="宋体" w:cs="宋体"/>
          <w:b/>
          <w:color w:val="auto"/>
          <w:sz w:val="36"/>
          <w:szCs w:val="36"/>
        </w:rPr>
      </w:pPr>
      <w:r>
        <w:rPr>
          <w:rFonts w:hint="eastAsia" w:ascii="宋体" w:hAnsi="宋体" w:eastAsia="宋体" w:cs="宋体"/>
          <w:b/>
          <w:bCs/>
          <w:color w:val="auto"/>
          <w:kern w:val="0"/>
          <w:sz w:val="36"/>
          <w:szCs w:val="36"/>
          <w:lang w:val="en-US" w:eastAsia="zh-CN"/>
        </w:rPr>
        <w:t>所投包号：</w:t>
      </w:r>
    </w:p>
    <w:p w14:paraId="4BF68B95">
      <w:pPr>
        <w:adjustRightInd w:val="0"/>
        <w:spacing w:line="360" w:lineRule="auto"/>
        <w:ind w:firstLine="0" w:firstLineChars="0"/>
        <w:textAlignment w:val="baseline"/>
        <w:rPr>
          <w:rFonts w:hint="eastAsia" w:ascii="宋体" w:hAnsi="宋体" w:eastAsia="宋体" w:cs="宋体"/>
          <w:b/>
          <w:color w:val="auto"/>
          <w:sz w:val="36"/>
          <w:szCs w:val="36"/>
        </w:rPr>
      </w:pPr>
    </w:p>
    <w:p w14:paraId="58D5CA26">
      <w:pPr>
        <w:adjustRightInd w:val="0"/>
        <w:spacing w:line="360" w:lineRule="auto"/>
        <w:ind w:firstLine="0" w:firstLineChars="0"/>
        <w:textAlignment w:val="baseline"/>
        <w:rPr>
          <w:rFonts w:hint="eastAsia" w:ascii="宋体" w:hAnsi="宋体" w:eastAsia="宋体" w:cs="宋体"/>
          <w:b/>
          <w:color w:val="auto"/>
          <w:sz w:val="36"/>
          <w:szCs w:val="36"/>
        </w:rPr>
      </w:pPr>
    </w:p>
    <w:p w14:paraId="592F27C0">
      <w:pPr>
        <w:adjustRightInd w:val="0"/>
        <w:spacing w:line="360" w:lineRule="auto"/>
        <w:ind w:firstLine="0" w:firstLineChars="0"/>
        <w:textAlignment w:val="baseline"/>
        <w:rPr>
          <w:rFonts w:hint="eastAsia" w:ascii="宋体" w:hAnsi="宋体" w:eastAsia="宋体" w:cs="宋体"/>
          <w:b/>
          <w:color w:val="auto"/>
          <w:sz w:val="36"/>
          <w:szCs w:val="36"/>
        </w:rPr>
      </w:pPr>
    </w:p>
    <w:p w14:paraId="75288351">
      <w:pPr>
        <w:spacing w:line="360" w:lineRule="auto"/>
        <w:ind w:firstLine="643"/>
        <w:jc w:val="center"/>
        <w:rPr>
          <w:rFonts w:hint="eastAsia" w:ascii="宋体" w:hAnsi="宋体" w:eastAsia="宋体" w:cs="宋体"/>
          <w:b/>
          <w:color w:val="auto"/>
          <w:sz w:val="32"/>
        </w:rPr>
      </w:pPr>
      <w:r>
        <w:rPr>
          <w:rFonts w:hint="eastAsia" w:ascii="宋体" w:hAnsi="宋体" w:eastAsia="宋体" w:cs="宋体"/>
          <w:b/>
          <w:color w:val="auto"/>
          <w:sz w:val="32"/>
          <w:lang w:val="en-US" w:eastAsia="zh-CN"/>
        </w:rPr>
        <w:t xml:space="preserve">    </w:t>
      </w:r>
      <w:r>
        <w:rPr>
          <w:rFonts w:hint="eastAsia" w:ascii="宋体" w:hAnsi="宋体" w:eastAsia="宋体" w:cs="宋体"/>
          <w:b/>
          <w:color w:val="auto"/>
          <w:sz w:val="32"/>
        </w:rPr>
        <w:t>供应商：</w:t>
      </w:r>
      <w:r>
        <w:rPr>
          <w:rFonts w:hint="eastAsia" w:ascii="宋体" w:hAnsi="宋体" w:eastAsia="宋体" w:cs="宋体"/>
          <w:b/>
          <w:color w:val="auto"/>
          <w:sz w:val="32"/>
          <w:u w:val="single"/>
          <w:lang w:val="en-US" w:eastAsia="zh-CN"/>
        </w:rPr>
        <w:t xml:space="preserve">             </w:t>
      </w:r>
      <w:r>
        <w:rPr>
          <w:rFonts w:hint="eastAsia" w:ascii="宋体" w:hAnsi="宋体" w:eastAsia="宋体" w:cs="宋体"/>
          <w:b/>
          <w:color w:val="auto"/>
          <w:sz w:val="32"/>
        </w:rPr>
        <w:t>（公章）</w:t>
      </w:r>
    </w:p>
    <w:p w14:paraId="0B6E5DFD">
      <w:pPr>
        <w:spacing w:line="360" w:lineRule="auto"/>
        <w:ind w:firstLine="643"/>
        <w:jc w:val="center"/>
        <w:rPr>
          <w:rFonts w:hint="eastAsia" w:ascii="宋体" w:hAnsi="宋体" w:eastAsia="宋体" w:cs="宋体"/>
          <w:b/>
          <w:color w:val="auto"/>
          <w:sz w:val="32"/>
        </w:rPr>
      </w:pPr>
      <w:r>
        <w:rPr>
          <w:rFonts w:hint="eastAsia" w:ascii="宋体" w:hAnsi="宋体" w:eastAsia="宋体" w:cs="宋体"/>
          <w:b/>
          <w:color w:val="auto"/>
          <w:sz w:val="32"/>
        </w:rPr>
        <w:t>法定代表人或委托代理人：</w:t>
      </w:r>
      <w:r>
        <w:rPr>
          <w:rFonts w:hint="eastAsia" w:ascii="宋体" w:hAnsi="宋体" w:eastAsia="宋体" w:cs="宋体"/>
          <w:b/>
          <w:color w:val="auto"/>
          <w:sz w:val="32"/>
          <w:u w:val="single"/>
          <w:lang w:val="en-US" w:eastAsia="zh-CN"/>
        </w:rPr>
        <w:t xml:space="preserve">      </w:t>
      </w:r>
      <w:r>
        <w:rPr>
          <w:rFonts w:hint="eastAsia" w:ascii="宋体" w:hAnsi="宋体" w:eastAsia="宋体" w:cs="宋体"/>
          <w:b/>
          <w:color w:val="auto"/>
          <w:sz w:val="32"/>
        </w:rPr>
        <w:t>（签字或盖章）</w:t>
      </w:r>
    </w:p>
    <w:p w14:paraId="2843A496">
      <w:pPr>
        <w:wordWrap w:val="0"/>
        <w:spacing w:line="360" w:lineRule="auto"/>
        <w:ind w:firstLine="0" w:firstLineChars="0"/>
        <w:jc w:val="center"/>
        <w:rPr>
          <w:rFonts w:hint="eastAsia" w:ascii="宋体" w:hAnsi="宋体" w:eastAsia="宋体" w:cs="宋体"/>
          <w:b/>
          <w:color w:val="auto"/>
          <w:sz w:val="32"/>
        </w:rPr>
      </w:pPr>
      <w:r>
        <w:rPr>
          <w:rFonts w:hint="eastAsia" w:ascii="宋体" w:hAnsi="宋体" w:eastAsia="宋体" w:cs="宋体"/>
          <w:b/>
          <w:color w:val="auto"/>
          <w:sz w:val="32"/>
        </w:rPr>
        <w:t xml:space="preserve">年   月 </w:t>
      </w:r>
      <w:r>
        <w:rPr>
          <w:rFonts w:hint="eastAsia" w:ascii="宋体" w:hAnsi="宋体" w:eastAsia="宋体" w:cs="宋体"/>
          <w:b/>
          <w:color w:val="auto"/>
          <w:sz w:val="32"/>
          <w:lang w:val="en-US" w:eastAsia="zh-CN"/>
        </w:rPr>
        <w:t xml:space="preserve"> </w:t>
      </w:r>
      <w:r>
        <w:rPr>
          <w:rFonts w:hint="eastAsia" w:ascii="宋体" w:hAnsi="宋体" w:eastAsia="宋体" w:cs="宋体"/>
          <w:b/>
          <w:color w:val="auto"/>
          <w:sz w:val="32"/>
        </w:rPr>
        <w:t xml:space="preserve"> 日</w:t>
      </w:r>
    </w:p>
    <w:p w14:paraId="3D91D7A5">
      <w:pPr>
        <w:wordWrap w:val="0"/>
        <w:spacing w:line="360" w:lineRule="auto"/>
        <w:ind w:firstLine="0" w:firstLineChars="0"/>
        <w:jc w:val="center"/>
        <w:rPr>
          <w:rFonts w:hint="eastAsia" w:ascii="宋体" w:hAnsi="宋体" w:eastAsia="宋体" w:cs="宋体"/>
          <w:b/>
          <w:color w:val="auto"/>
          <w:sz w:val="32"/>
        </w:rPr>
      </w:pPr>
      <w:r>
        <w:rPr>
          <w:rFonts w:hint="eastAsia" w:ascii="宋体" w:hAnsi="宋体" w:eastAsia="宋体" w:cs="宋体"/>
          <w:b/>
          <w:color w:val="auto"/>
          <w:sz w:val="32"/>
        </w:rPr>
        <w:br w:type="page"/>
      </w:r>
    </w:p>
    <w:p w14:paraId="58ACFBA7">
      <w:pPr>
        <w:keepNext/>
        <w:pageBreakBefore/>
        <w:widowControl/>
        <w:spacing w:line="360" w:lineRule="auto"/>
        <w:ind w:firstLine="0" w:firstLineChars="0"/>
        <w:jc w:val="left"/>
        <w:outlineLvl w:val="1"/>
        <w:rPr>
          <w:rFonts w:hint="eastAsia" w:ascii="宋体" w:hAnsi="宋体" w:eastAsia="宋体" w:cs="宋体"/>
          <w:b/>
          <w:color w:val="auto"/>
          <w:sz w:val="24"/>
          <w:szCs w:val="24"/>
        </w:rPr>
      </w:pPr>
      <w:bookmarkStart w:id="180" w:name="_Toc30269"/>
      <w:bookmarkStart w:id="181" w:name="_Toc24075"/>
      <w:bookmarkStart w:id="182" w:name="_Toc17238"/>
      <w:r>
        <w:rPr>
          <w:rFonts w:hint="eastAsia" w:ascii="宋体" w:hAnsi="宋体" w:eastAsia="宋体" w:cs="宋体"/>
          <w:b/>
          <w:color w:val="auto"/>
          <w:sz w:val="24"/>
          <w:szCs w:val="24"/>
        </w:rPr>
        <w:t>附件2</w:t>
      </w:r>
      <w:bookmarkStart w:id="183" w:name="_Toc376936768"/>
      <w:bookmarkStart w:id="184" w:name="_Toc325726037"/>
      <w:r>
        <w:rPr>
          <w:rFonts w:hint="eastAsia" w:ascii="宋体" w:hAnsi="宋体" w:eastAsia="宋体" w:cs="宋体"/>
          <w:b/>
          <w:color w:val="auto"/>
          <w:sz w:val="24"/>
          <w:szCs w:val="24"/>
        </w:rPr>
        <w:t>：磋商函</w:t>
      </w:r>
      <w:bookmarkEnd w:id="180"/>
      <w:bookmarkEnd w:id="181"/>
      <w:bookmarkEnd w:id="182"/>
      <w:bookmarkEnd w:id="183"/>
      <w:bookmarkEnd w:id="184"/>
    </w:p>
    <w:p w14:paraId="2E69BF43">
      <w:pPr>
        <w:spacing w:line="360" w:lineRule="auto"/>
        <w:ind w:firstLine="0" w:firstLineChars="0"/>
        <w:rPr>
          <w:rFonts w:hint="eastAsia" w:ascii="宋体" w:hAnsi="宋体" w:eastAsia="宋体" w:cs="宋体"/>
          <w:b/>
          <w:color w:val="auto"/>
          <w:sz w:val="24"/>
          <w:szCs w:val="24"/>
        </w:rPr>
      </w:pPr>
    </w:p>
    <w:p w14:paraId="17B1F753">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磋商函</w:t>
      </w:r>
    </w:p>
    <w:p w14:paraId="4640FCE3">
      <w:pPr>
        <w:spacing w:line="360" w:lineRule="auto"/>
        <w:ind w:firstLine="0" w:firstLineChars="0"/>
        <w:textAlignment w:val="baseline"/>
        <w:rPr>
          <w:rFonts w:hint="eastAsia" w:ascii="宋体" w:hAnsi="宋体" w:eastAsia="宋体" w:cs="宋体"/>
          <w:b/>
          <w:color w:val="auto"/>
          <w:sz w:val="24"/>
          <w:szCs w:val="24"/>
        </w:rPr>
      </w:pPr>
    </w:p>
    <w:p w14:paraId="3C38296C">
      <w:pPr>
        <w:spacing w:line="360" w:lineRule="auto"/>
        <w:ind w:firstLine="0" w:firstLineChars="0"/>
        <w:textAlignment w:val="baseline"/>
        <w:rPr>
          <w:rFonts w:hint="eastAsia" w:ascii="宋体" w:hAnsi="宋体" w:eastAsia="宋体" w:cs="宋体"/>
          <w:color w:val="auto"/>
          <w:sz w:val="24"/>
          <w:szCs w:val="24"/>
        </w:rPr>
      </w:pPr>
      <w:r>
        <w:rPr>
          <w:rFonts w:hint="eastAsia" w:ascii="宋体" w:hAnsi="宋体" w:eastAsia="宋体" w:cs="宋体"/>
          <w:b/>
          <w:color w:val="auto"/>
          <w:sz w:val="24"/>
          <w:szCs w:val="24"/>
        </w:rPr>
        <w:t>致：</w:t>
      </w:r>
      <w:r>
        <w:rPr>
          <w:rFonts w:hint="eastAsia" w:ascii="宋体" w:hAnsi="宋体" w:eastAsia="宋体" w:cs="宋体"/>
          <w:b/>
          <w:color w:val="auto"/>
          <w:sz w:val="24"/>
          <w:szCs w:val="24"/>
          <w:lang w:eastAsia="zh-CN"/>
        </w:rPr>
        <w:t>青海鼎钊招标代理有限公司</w:t>
      </w:r>
    </w:p>
    <w:p w14:paraId="01ADCC37">
      <w:pPr>
        <w:spacing w:line="360" w:lineRule="auto"/>
        <w:ind w:firstLine="48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我们收到</w:t>
      </w:r>
      <w:r>
        <w:rPr>
          <w:rFonts w:hint="eastAsia" w:ascii="宋体" w:hAnsi="宋体" w:eastAsia="宋体" w:cs="宋体"/>
          <w:color w:val="auto"/>
          <w:sz w:val="24"/>
          <w:szCs w:val="24"/>
          <w:u w:val="single"/>
          <w:lang w:eastAsia="zh-CN"/>
        </w:rPr>
        <w:t>青海鼎钊竞磋（货物）2026-023</w:t>
      </w:r>
      <w:r>
        <w:rPr>
          <w:rFonts w:hint="eastAsia" w:ascii="宋体" w:hAnsi="宋体" w:eastAsia="宋体" w:cs="宋体"/>
          <w:color w:val="auto"/>
          <w:sz w:val="24"/>
          <w:szCs w:val="24"/>
        </w:rPr>
        <w:t>磋商文件，经研究，法定代表人（</w:t>
      </w:r>
      <w:r>
        <w:rPr>
          <w:rFonts w:hint="eastAsia" w:ascii="宋体" w:hAnsi="宋体" w:eastAsia="宋体" w:cs="宋体"/>
          <w:color w:val="auto"/>
          <w:sz w:val="24"/>
          <w:szCs w:val="24"/>
          <w:u w:val="single"/>
        </w:rPr>
        <w:t>姓名、职务</w:t>
      </w:r>
      <w:r>
        <w:rPr>
          <w:rFonts w:hint="eastAsia" w:ascii="宋体" w:hAnsi="宋体" w:eastAsia="宋体" w:cs="宋体"/>
          <w:color w:val="auto"/>
          <w:sz w:val="24"/>
          <w:szCs w:val="24"/>
        </w:rPr>
        <w:t>）正式授权（</w:t>
      </w:r>
      <w:r>
        <w:rPr>
          <w:rFonts w:hint="eastAsia" w:ascii="宋体" w:hAnsi="宋体" w:eastAsia="宋体" w:cs="宋体"/>
          <w:color w:val="auto"/>
          <w:sz w:val="24"/>
          <w:szCs w:val="24"/>
          <w:u w:val="single"/>
        </w:rPr>
        <w:t>委托代理人姓名、职务</w:t>
      </w:r>
      <w:r>
        <w:rPr>
          <w:rFonts w:hint="eastAsia" w:ascii="宋体" w:hAnsi="宋体" w:eastAsia="宋体" w:cs="宋体"/>
          <w:color w:val="auto"/>
          <w:sz w:val="24"/>
          <w:szCs w:val="24"/>
        </w:rPr>
        <w:t>）代表供应商（</w:t>
      </w:r>
      <w:r>
        <w:rPr>
          <w:rFonts w:hint="eastAsia" w:ascii="宋体" w:hAnsi="宋体" w:eastAsia="宋体" w:cs="宋体"/>
          <w:color w:val="auto"/>
          <w:sz w:val="24"/>
          <w:szCs w:val="24"/>
          <w:u w:val="single"/>
        </w:rPr>
        <w:t>供应商名称、地址</w:t>
      </w:r>
      <w:r>
        <w:rPr>
          <w:rFonts w:hint="eastAsia" w:ascii="宋体" w:hAnsi="宋体" w:eastAsia="宋体" w:cs="宋体"/>
          <w:color w:val="auto"/>
          <w:sz w:val="24"/>
          <w:szCs w:val="24"/>
        </w:rPr>
        <w:t>）提交响应文件。据此函，签字代表宣布同意如下：</w:t>
      </w:r>
    </w:p>
    <w:p w14:paraId="03519F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我方已详阅磋商文件的全部内容，包括澄清、修改条款等有关附件，承诺对其完全理解并接受。</w:t>
      </w:r>
    </w:p>
    <w:p w14:paraId="383DCA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磋商有效期自磋商开始之日起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个日历日</w:t>
      </w:r>
      <w:r>
        <w:rPr>
          <w:rFonts w:hint="eastAsia" w:ascii="宋体" w:hAnsi="宋体" w:eastAsia="宋体" w:cs="宋体"/>
          <w:color w:val="auto"/>
          <w:sz w:val="24"/>
          <w:szCs w:val="24"/>
          <w:lang w:eastAsia="zh-CN"/>
        </w:rPr>
        <w:t>内有效</w:t>
      </w:r>
      <w:r>
        <w:rPr>
          <w:rFonts w:hint="eastAsia" w:ascii="宋体" w:hAnsi="宋体" w:eastAsia="宋体" w:cs="宋体"/>
          <w:color w:val="auto"/>
          <w:sz w:val="24"/>
          <w:szCs w:val="24"/>
        </w:rPr>
        <w:t>。如果在规定的磋商时间后，我方在磋商有效期内撤回投标或成交后不签约的，磋商保证金将被贵方没收。</w:t>
      </w:r>
    </w:p>
    <w:p w14:paraId="64550C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我方同意按照贵方要求提供与磋商有关的一切数据或资料，理解并接受贵方制定的评标办法。</w:t>
      </w:r>
    </w:p>
    <w:p w14:paraId="281032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与本磋商有关的一切正式往来通讯请寄：</w:t>
      </w:r>
    </w:p>
    <w:p w14:paraId="6C9990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邮编：</w:t>
      </w:r>
      <w:r>
        <w:rPr>
          <w:rFonts w:hint="eastAsia" w:ascii="宋体" w:hAnsi="宋体" w:eastAsia="宋体" w:cs="宋体"/>
          <w:color w:val="auto"/>
          <w:sz w:val="24"/>
          <w:szCs w:val="24"/>
          <w:u w:val="single"/>
          <w:lang w:val="en-US" w:eastAsia="zh-CN"/>
        </w:rPr>
        <w:t xml:space="preserve">            </w:t>
      </w:r>
    </w:p>
    <w:p w14:paraId="38F838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传真：</w:t>
      </w:r>
      <w:r>
        <w:rPr>
          <w:rFonts w:hint="eastAsia" w:ascii="宋体" w:hAnsi="宋体" w:eastAsia="宋体" w:cs="宋体"/>
          <w:color w:val="auto"/>
          <w:sz w:val="24"/>
          <w:szCs w:val="24"/>
          <w:u w:val="single"/>
          <w:lang w:val="en-US" w:eastAsia="zh-CN"/>
        </w:rPr>
        <w:t xml:space="preserve">             </w:t>
      </w:r>
    </w:p>
    <w:p w14:paraId="70E5D7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法定代表人姓名：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职务：</w:t>
      </w:r>
      <w:r>
        <w:rPr>
          <w:rFonts w:hint="eastAsia" w:ascii="宋体" w:hAnsi="宋体" w:eastAsia="宋体" w:cs="宋体"/>
          <w:color w:val="auto"/>
          <w:sz w:val="24"/>
          <w:szCs w:val="24"/>
          <w:u w:val="single"/>
          <w:lang w:val="en-US" w:eastAsia="zh-CN"/>
        </w:rPr>
        <w:t xml:space="preserve">             </w:t>
      </w:r>
    </w:p>
    <w:p w14:paraId="400D84FF">
      <w:pPr>
        <w:spacing w:line="360" w:lineRule="auto"/>
        <w:ind w:firstLine="0" w:firstLineChars="0"/>
        <w:rPr>
          <w:rFonts w:hint="eastAsia" w:ascii="宋体" w:hAnsi="宋体" w:eastAsia="宋体" w:cs="宋体"/>
          <w:color w:val="auto"/>
          <w:sz w:val="24"/>
          <w:szCs w:val="24"/>
        </w:rPr>
      </w:pPr>
    </w:p>
    <w:p w14:paraId="387A334D">
      <w:pPr>
        <w:spacing w:line="360" w:lineRule="auto"/>
        <w:ind w:firstLine="0" w:firstLineChars="0"/>
        <w:textAlignment w:val="baseline"/>
        <w:rPr>
          <w:rFonts w:hint="eastAsia" w:ascii="宋体" w:hAnsi="宋体" w:eastAsia="宋体" w:cs="宋体"/>
          <w:color w:val="auto"/>
          <w:sz w:val="24"/>
          <w:szCs w:val="24"/>
        </w:rPr>
      </w:pPr>
    </w:p>
    <w:p w14:paraId="7E2BE202">
      <w:pPr>
        <w:spacing w:line="360" w:lineRule="auto"/>
        <w:ind w:firstLine="0" w:firstLineChars="0"/>
        <w:textAlignment w:val="baseline"/>
        <w:rPr>
          <w:rFonts w:hint="eastAsia" w:ascii="宋体" w:hAnsi="宋体" w:eastAsia="宋体" w:cs="宋体"/>
          <w:color w:val="auto"/>
          <w:sz w:val="24"/>
          <w:szCs w:val="24"/>
        </w:rPr>
      </w:pPr>
    </w:p>
    <w:p w14:paraId="2949A68E">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（公章）</w:t>
      </w:r>
    </w:p>
    <w:p w14:paraId="16AC4FCC">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（签字或盖章）</w:t>
      </w:r>
    </w:p>
    <w:p w14:paraId="39D737BF">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年   月  </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日</w:t>
      </w:r>
    </w:p>
    <w:p w14:paraId="3FE9D700">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14C465EA">
      <w:pPr>
        <w:keepNext/>
        <w:pageBreakBefore/>
        <w:widowControl/>
        <w:spacing w:line="360" w:lineRule="auto"/>
        <w:ind w:firstLine="0" w:firstLineChars="0"/>
        <w:jc w:val="left"/>
        <w:outlineLvl w:val="1"/>
        <w:rPr>
          <w:rFonts w:hint="eastAsia" w:ascii="宋体" w:hAnsi="宋体" w:eastAsia="宋体" w:cs="宋体"/>
          <w:b/>
          <w:color w:val="auto"/>
          <w:sz w:val="24"/>
          <w:szCs w:val="24"/>
        </w:rPr>
      </w:pPr>
      <w:bookmarkStart w:id="185" w:name="_Toc3860"/>
      <w:bookmarkStart w:id="186" w:name="_Toc31069"/>
      <w:bookmarkStart w:id="187" w:name="_Toc26950"/>
      <w:r>
        <w:rPr>
          <w:rFonts w:hint="eastAsia" w:ascii="宋体" w:hAnsi="宋体" w:eastAsia="宋体" w:cs="宋体"/>
          <w:b/>
          <w:color w:val="auto"/>
          <w:sz w:val="24"/>
          <w:szCs w:val="24"/>
        </w:rPr>
        <w:t>附件3：</w:t>
      </w:r>
      <w:r>
        <w:rPr>
          <w:rFonts w:hint="eastAsia" w:ascii="宋体" w:hAnsi="宋体" w:eastAsia="宋体" w:cs="宋体"/>
          <w:b/>
          <w:color w:val="auto"/>
          <w:sz w:val="24"/>
          <w:szCs w:val="24"/>
          <w:lang w:eastAsia="zh-CN"/>
        </w:rPr>
        <w:t>磋商报价</w:t>
      </w:r>
      <w:r>
        <w:rPr>
          <w:rFonts w:hint="eastAsia" w:ascii="宋体" w:hAnsi="宋体" w:eastAsia="宋体" w:cs="宋体"/>
          <w:b/>
          <w:color w:val="auto"/>
          <w:sz w:val="24"/>
          <w:szCs w:val="24"/>
        </w:rPr>
        <w:t>一览表</w:t>
      </w:r>
      <w:bookmarkEnd w:id="185"/>
      <w:bookmarkEnd w:id="186"/>
      <w:bookmarkEnd w:id="187"/>
    </w:p>
    <w:p w14:paraId="4560C6F1">
      <w:pPr>
        <w:spacing w:line="360" w:lineRule="auto"/>
        <w:ind w:firstLine="0" w:firstLineChars="0"/>
        <w:textAlignment w:val="baseline"/>
        <w:rPr>
          <w:rFonts w:hint="eastAsia" w:ascii="宋体" w:hAnsi="宋体" w:eastAsia="宋体" w:cs="宋体"/>
          <w:color w:val="auto"/>
          <w:sz w:val="24"/>
          <w:szCs w:val="24"/>
        </w:rPr>
      </w:pPr>
    </w:p>
    <w:p w14:paraId="5AB870B5">
      <w:pPr>
        <w:autoSpaceDE w:val="0"/>
        <w:autoSpaceDN w:val="0"/>
        <w:spacing w:line="360" w:lineRule="auto"/>
        <w:ind w:firstLine="0" w:firstLineChars="0"/>
        <w:jc w:val="center"/>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eastAsia="zh-CN"/>
        </w:rPr>
        <w:t>磋商报价</w:t>
      </w:r>
      <w:r>
        <w:rPr>
          <w:rFonts w:hint="eastAsia" w:ascii="宋体" w:hAnsi="宋体" w:eastAsia="宋体" w:cs="宋体"/>
          <w:b/>
          <w:bCs/>
          <w:color w:val="auto"/>
          <w:sz w:val="24"/>
          <w:szCs w:val="24"/>
          <w:lang w:val="zh-CN"/>
        </w:rPr>
        <w:t>一览表</w:t>
      </w:r>
    </w:p>
    <w:p w14:paraId="7C242A62">
      <w:pPr>
        <w:autoSpaceDE w:val="0"/>
        <w:autoSpaceDN w:val="0"/>
        <w:spacing w:line="360" w:lineRule="auto"/>
        <w:ind w:firstLine="0" w:firstLineChars="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供应商名称：</w:t>
      </w:r>
    </w:p>
    <w:tbl>
      <w:tblPr>
        <w:tblStyle w:val="25"/>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528"/>
        <w:gridCol w:w="5749"/>
      </w:tblGrid>
      <w:tr w14:paraId="04BA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528" w:type="dxa"/>
            <w:vAlign w:val="center"/>
          </w:tcPr>
          <w:p w14:paraId="5ED811A9">
            <w:pPr>
              <w:pStyle w:val="7"/>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5749" w:type="dxa"/>
            <w:vAlign w:val="center"/>
          </w:tcPr>
          <w:p w14:paraId="2AA725B2">
            <w:pPr>
              <w:pStyle w:val="7"/>
              <w:spacing w:line="360" w:lineRule="auto"/>
              <w:ind w:firstLine="0" w:firstLineChars="0"/>
              <w:rPr>
                <w:rFonts w:hint="eastAsia" w:ascii="宋体" w:hAnsi="宋体" w:eastAsia="宋体" w:cs="宋体"/>
                <w:color w:val="auto"/>
                <w:sz w:val="24"/>
                <w:szCs w:val="24"/>
              </w:rPr>
            </w:pPr>
          </w:p>
        </w:tc>
      </w:tr>
      <w:tr w14:paraId="7155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528" w:type="dxa"/>
            <w:vAlign w:val="center"/>
          </w:tcPr>
          <w:p w14:paraId="097E524A">
            <w:pPr>
              <w:pStyle w:val="7"/>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5749" w:type="dxa"/>
            <w:vAlign w:val="center"/>
          </w:tcPr>
          <w:p w14:paraId="1E46B0AB">
            <w:pPr>
              <w:pStyle w:val="7"/>
              <w:spacing w:line="360" w:lineRule="auto"/>
              <w:ind w:firstLine="0" w:firstLineChars="0"/>
              <w:rPr>
                <w:rFonts w:hint="eastAsia" w:ascii="宋体" w:hAnsi="宋体" w:eastAsia="宋体" w:cs="宋体"/>
                <w:color w:val="auto"/>
                <w:sz w:val="24"/>
                <w:szCs w:val="24"/>
              </w:rPr>
            </w:pPr>
          </w:p>
        </w:tc>
      </w:tr>
      <w:tr w14:paraId="6D25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528" w:type="dxa"/>
            <w:vAlign w:val="center"/>
          </w:tcPr>
          <w:p w14:paraId="055BC16B">
            <w:pPr>
              <w:pStyle w:val="7"/>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包号</w:t>
            </w:r>
          </w:p>
        </w:tc>
        <w:tc>
          <w:tcPr>
            <w:tcW w:w="5749" w:type="dxa"/>
            <w:vAlign w:val="center"/>
          </w:tcPr>
          <w:p w14:paraId="4C070D5F">
            <w:pPr>
              <w:pStyle w:val="7"/>
              <w:spacing w:line="360" w:lineRule="auto"/>
              <w:ind w:firstLine="0" w:firstLineChars="0"/>
              <w:rPr>
                <w:rFonts w:hint="eastAsia" w:ascii="宋体" w:hAnsi="宋体" w:eastAsia="宋体" w:cs="宋体"/>
                <w:color w:val="auto"/>
                <w:sz w:val="24"/>
                <w:szCs w:val="24"/>
                <w:lang w:val="en-US"/>
              </w:rPr>
            </w:pPr>
          </w:p>
        </w:tc>
      </w:tr>
      <w:tr w14:paraId="3F94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6" w:hRule="atLeast"/>
          <w:jc w:val="center"/>
        </w:trPr>
        <w:tc>
          <w:tcPr>
            <w:tcW w:w="2528" w:type="dxa"/>
            <w:vAlign w:val="center"/>
          </w:tcPr>
          <w:p w14:paraId="77C10CF4">
            <w:pPr>
              <w:pStyle w:val="7"/>
              <w:spacing w:line="360" w:lineRule="auto"/>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磋商报价</w:t>
            </w:r>
          </w:p>
        </w:tc>
        <w:tc>
          <w:tcPr>
            <w:tcW w:w="5749" w:type="dxa"/>
            <w:vAlign w:val="center"/>
          </w:tcPr>
          <w:p w14:paraId="122D6FA4">
            <w:pPr>
              <w:pStyle w:val="7"/>
              <w:spacing w:line="360" w:lineRule="auto"/>
              <w:ind w:firstLine="0" w:firstLineChars="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大写：</w:t>
            </w:r>
            <w:r>
              <w:rPr>
                <w:rFonts w:hint="eastAsia" w:ascii="宋体" w:hAnsi="宋体" w:eastAsia="宋体" w:cs="宋体"/>
                <w:color w:val="auto"/>
                <w:sz w:val="24"/>
                <w:szCs w:val="24"/>
                <w:u w:val="single"/>
                <w:lang w:val="en-US" w:eastAsia="zh-CN"/>
              </w:rPr>
              <w:t xml:space="preserve">          </w:t>
            </w:r>
          </w:p>
          <w:p w14:paraId="5B351BB5">
            <w:pPr>
              <w:pStyle w:val="7"/>
              <w:spacing w:line="360" w:lineRule="auto"/>
              <w:ind w:firstLine="0" w:firstLineChars="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小写：</w:t>
            </w:r>
            <w:r>
              <w:rPr>
                <w:rFonts w:hint="eastAsia" w:ascii="宋体" w:hAnsi="宋体" w:eastAsia="宋体" w:cs="宋体"/>
                <w:color w:val="auto"/>
                <w:sz w:val="24"/>
                <w:szCs w:val="24"/>
                <w:u w:val="single"/>
                <w:lang w:val="en-US" w:eastAsia="zh-CN"/>
              </w:rPr>
              <w:t xml:space="preserve">          </w:t>
            </w:r>
          </w:p>
        </w:tc>
      </w:tr>
      <w:tr w14:paraId="0350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528" w:type="dxa"/>
            <w:vAlign w:val="center"/>
          </w:tcPr>
          <w:p w14:paraId="1E7C07AA">
            <w:pPr>
              <w:pStyle w:val="7"/>
              <w:spacing w:line="360" w:lineRule="auto"/>
              <w:ind w:firstLine="0" w:firstLineChars="0"/>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交货时间</w:t>
            </w:r>
          </w:p>
        </w:tc>
        <w:tc>
          <w:tcPr>
            <w:tcW w:w="5749" w:type="dxa"/>
            <w:vAlign w:val="center"/>
          </w:tcPr>
          <w:p w14:paraId="1AEF0D74">
            <w:pPr>
              <w:pStyle w:val="7"/>
              <w:spacing w:line="360" w:lineRule="auto"/>
              <w:ind w:firstLine="0" w:firstLineChars="0"/>
              <w:rPr>
                <w:rFonts w:hint="eastAsia" w:ascii="宋体" w:hAnsi="宋体" w:eastAsia="宋体" w:cs="宋体"/>
                <w:color w:val="auto"/>
                <w:sz w:val="24"/>
                <w:szCs w:val="24"/>
              </w:rPr>
            </w:pPr>
          </w:p>
        </w:tc>
      </w:tr>
      <w:tr w14:paraId="1C89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528" w:type="dxa"/>
            <w:vAlign w:val="center"/>
          </w:tcPr>
          <w:p w14:paraId="5897A1AF">
            <w:pPr>
              <w:pStyle w:val="7"/>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免费质量保证期</w:t>
            </w:r>
          </w:p>
        </w:tc>
        <w:tc>
          <w:tcPr>
            <w:tcW w:w="5749" w:type="dxa"/>
            <w:vAlign w:val="center"/>
          </w:tcPr>
          <w:p w14:paraId="79858029">
            <w:pPr>
              <w:pStyle w:val="7"/>
              <w:spacing w:line="360" w:lineRule="auto"/>
              <w:ind w:firstLine="0" w:firstLineChars="0"/>
              <w:rPr>
                <w:rFonts w:hint="eastAsia" w:ascii="宋体" w:hAnsi="宋体" w:eastAsia="宋体" w:cs="宋体"/>
                <w:color w:val="auto"/>
                <w:sz w:val="24"/>
                <w:szCs w:val="24"/>
              </w:rPr>
            </w:pPr>
          </w:p>
        </w:tc>
      </w:tr>
      <w:tr w14:paraId="42B3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277" w:type="dxa"/>
            <w:gridSpan w:val="2"/>
            <w:vAlign w:val="center"/>
          </w:tcPr>
          <w:p w14:paraId="170C932A">
            <w:pPr>
              <w:pStyle w:val="7"/>
              <w:spacing w:line="360" w:lineRule="auto"/>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优惠承诺及其他：</w:t>
            </w:r>
          </w:p>
          <w:p w14:paraId="150D040C">
            <w:pPr>
              <w:pStyle w:val="7"/>
              <w:spacing w:line="360" w:lineRule="auto"/>
              <w:ind w:firstLine="0" w:firstLineChars="0"/>
              <w:rPr>
                <w:rFonts w:hint="eastAsia" w:ascii="宋体" w:hAnsi="宋体" w:eastAsia="宋体" w:cs="宋体"/>
                <w:color w:val="auto"/>
                <w:sz w:val="24"/>
                <w:szCs w:val="24"/>
                <w:lang w:val="zh-CN"/>
              </w:rPr>
            </w:pPr>
          </w:p>
          <w:p w14:paraId="420C9771">
            <w:pPr>
              <w:pStyle w:val="7"/>
              <w:spacing w:line="360" w:lineRule="auto"/>
              <w:ind w:firstLine="0" w:firstLineChars="0"/>
              <w:rPr>
                <w:rFonts w:hint="eastAsia" w:ascii="宋体" w:hAnsi="宋体" w:eastAsia="宋体" w:cs="宋体"/>
                <w:color w:val="auto"/>
                <w:sz w:val="24"/>
                <w:szCs w:val="24"/>
                <w:lang w:val="zh-CN"/>
              </w:rPr>
            </w:pPr>
          </w:p>
          <w:p w14:paraId="1BFEC56A">
            <w:pPr>
              <w:pStyle w:val="7"/>
              <w:spacing w:line="360" w:lineRule="auto"/>
              <w:ind w:firstLine="0" w:firstLineChars="0"/>
              <w:rPr>
                <w:rFonts w:hint="eastAsia" w:ascii="宋体" w:hAnsi="宋体" w:eastAsia="宋体" w:cs="宋体"/>
                <w:color w:val="auto"/>
                <w:sz w:val="24"/>
                <w:szCs w:val="24"/>
                <w:lang w:val="zh-CN"/>
              </w:rPr>
            </w:pPr>
          </w:p>
          <w:p w14:paraId="606F76F9">
            <w:pPr>
              <w:pStyle w:val="7"/>
              <w:spacing w:line="360" w:lineRule="auto"/>
              <w:ind w:firstLine="0" w:firstLineChars="0"/>
              <w:rPr>
                <w:rFonts w:hint="eastAsia" w:ascii="宋体" w:hAnsi="宋体" w:eastAsia="宋体" w:cs="宋体"/>
                <w:color w:val="auto"/>
                <w:sz w:val="24"/>
                <w:szCs w:val="24"/>
                <w:lang w:val="zh-CN"/>
              </w:rPr>
            </w:pPr>
          </w:p>
        </w:tc>
      </w:tr>
    </w:tbl>
    <w:p w14:paraId="484386A2">
      <w:pPr>
        <w:spacing w:line="360" w:lineRule="auto"/>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注：1.</w:t>
      </w:r>
      <w:r>
        <w:rPr>
          <w:rFonts w:hint="eastAsia" w:ascii="宋体" w:hAnsi="宋体" w:eastAsia="宋体" w:cs="宋体"/>
          <w:color w:val="auto"/>
          <w:sz w:val="24"/>
          <w:szCs w:val="24"/>
          <w:lang w:eastAsia="zh-CN"/>
        </w:rPr>
        <w:t>磋商报价</w:t>
      </w:r>
      <w:r>
        <w:rPr>
          <w:rFonts w:hint="eastAsia" w:ascii="宋体" w:hAnsi="宋体" w:eastAsia="宋体" w:cs="宋体"/>
          <w:color w:val="auto"/>
          <w:sz w:val="24"/>
          <w:szCs w:val="24"/>
          <w:lang w:val="zh-CN"/>
        </w:rPr>
        <w:t>为总价。包括：产品费、验收费、手续费、包装费、运输费、配送费、保险费、培训费、售前、售中、售后服务费、代理服务费、税金及不可预见费等完成合同义务的全部费用。</w:t>
      </w:r>
    </w:p>
    <w:p w14:paraId="0560AE2B">
      <w:pPr>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    2.</w:t>
      </w:r>
      <w:r>
        <w:rPr>
          <w:rFonts w:hint="eastAsia" w:ascii="宋体" w:hAnsi="宋体" w:eastAsia="宋体" w:cs="宋体"/>
          <w:color w:val="auto"/>
          <w:sz w:val="24"/>
          <w:szCs w:val="24"/>
          <w:lang w:val="zh-CN"/>
        </w:rPr>
        <w:t>磋商报价不能有两个或两个以上的报价方案。</w:t>
      </w:r>
      <w:r>
        <w:rPr>
          <w:rFonts w:hint="eastAsia" w:ascii="宋体" w:hAnsi="宋体" w:eastAsia="宋体" w:cs="宋体"/>
          <w:b/>
          <w:bCs/>
          <w:color w:val="auto"/>
          <w:sz w:val="24"/>
          <w:szCs w:val="24"/>
        </w:rPr>
        <w:t>否则，</w:t>
      </w:r>
      <w:r>
        <w:rPr>
          <w:rFonts w:hint="eastAsia" w:ascii="宋体" w:hAnsi="宋体" w:eastAsia="宋体" w:cs="宋体"/>
          <w:b/>
          <w:bCs/>
          <w:color w:val="auto"/>
          <w:sz w:val="24"/>
          <w:szCs w:val="24"/>
          <w:lang w:eastAsia="zh-CN"/>
        </w:rPr>
        <w:t>响应无效</w:t>
      </w:r>
      <w:r>
        <w:rPr>
          <w:rFonts w:hint="eastAsia" w:ascii="宋体" w:hAnsi="宋体" w:eastAsia="宋体" w:cs="宋体"/>
          <w:b/>
          <w:bCs/>
          <w:color w:val="auto"/>
          <w:sz w:val="24"/>
          <w:szCs w:val="24"/>
          <w:lang w:val="zh-CN"/>
        </w:rPr>
        <w:t>。</w:t>
      </w:r>
    </w:p>
    <w:p w14:paraId="1A77D141">
      <w:pPr>
        <w:spacing w:line="360" w:lineRule="auto"/>
        <w:ind w:firstLine="0" w:firstLineChars="0"/>
        <w:rPr>
          <w:rFonts w:hint="eastAsia" w:ascii="宋体" w:hAnsi="宋体" w:eastAsia="宋体" w:cs="宋体"/>
          <w:color w:val="auto"/>
          <w:sz w:val="24"/>
          <w:szCs w:val="24"/>
        </w:rPr>
      </w:pPr>
    </w:p>
    <w:p w14:paraId="219A04C8">
      <w:pPr>
        <w:spacing w:line="360" w:lineRule="auto"/>
        <w:ind w:firstLine="0" w:firstLineChars="0"/>
        <w:textAlignment w:val="baseline"/>
        <w:rPr>
          <w:rFonts w:hint="eastAsia" w:ascii="宋体" w:hAnsi="宋体" w:eastAsia="宋体" w:cs="宋体"/>
          <w:color w:val="auto"/>
          <w:sz w:val="24"/>
          <w:szCs w:val="24"/>
        </w:rPr>
      </w:pPr>
    </w:p>
    <w:p w14:paraId="4FF6E478">
      <w:pPr>
        <w:spacing w:line="360" w:lineRule="auto"/>
        <w:ind w:firstLine="0" w:firstLineChars="0"/>
        <w:textAlignment w:val="baseline"/>
        <w:rPr>
          <w:rFonts w:hint="eastAsia" w:ascii="宋体" w:hAnsi="宋体" w:eastAsia="宋体" w:cs="宋体"/>
          <w:color w:val="auto"/>
          <w:sz w:val="24"/>
          <w:szCs w:val="24"/>
        </w:rPr>
      </w:pPr>
    </w:p>
    <w:p w14:paraId="7AF044D2">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供应商：</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（公章）</w:t>
      </w:r>
    </w:p>
    <w:p w14:paraId="4427D1D3">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（签字或盖章）</w:t>
      </w:r>
    </w:p>
    <w:p w14:paraId="7BFF01BE">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年   月 </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 xml:space="preserve"> 日</w:t>
      </w:r>
    </w:p>
    <w:p w14:paraId="5BE39182">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4BD6D296">
      <w:pPr>
        <w:autoSpaceDE w:val="0"/>
        <w:autoSpaceDN w:val="0"/>
        <w:spacing w:line="360" w:lineRule="auto"/>
        <w:ind w:firstLine="0" w:firstLineChars="0"/>
        <w:jc w:val="center"/>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分项报价表</w:t>
      </w:r>
    </w:p>
    <w:p w14:paraId="747302A4">
      <w:pPr>
        <w:autoSpaceDE w:val="0"/>
        <w:autoSpaceDN w:val="0"/>
        <w:spacing w:line="360" w:lineRule="auto"/>
        <w:ind w:firstLine="0" w:firstLineChars="0"/>
        <w:rPr>
          <w:rFonts w:hint="eastAsia" w:ascii="宋体" w:hAnsi="宋体" w:eastAsia="宋体" w:cs="宋体"/>
          <w:b/>
          <w:bCs/>
          <w:color w:val="auto"/>
          <w:sz w:val="24"/>
          <w:szCs w:val="24"/>
          <w:lang w:val="zh-CN"/>
        </w:rPr>
      </w:pPr>
    </w:p>
    <w:p w14:paraId="2DC7281C">
      <w:pPr>
        <w:autoSpaceDE w:val="0"/>
        <w:autoSpaceDN w:val="0"/>
        <w:spacing w:line="360" w:lineRule="auto"/>
        <w:ind w:firstLine="0" w:firstLine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zh-CN"/>
        </w:rPr>
        <w:t>供应商名称：</w:t>
      </w:r>
    </w:p>
    <w:p w14:paraId="0FEE4AD1">
      <w:pPr>
        <w:autoSpaceDE w:val="0"/>
        <w:autoSpaceDN w:val="0"/>
        <w:spacing w:line="360" w:lineRule="auto"/>
        <w:ind w:firstLine="0" w:firstLine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包号：</w:t>
      </w:r>
    </w:p>
    <w:tbl>
      <w:tblPr>
        <w:tblStyle w:val="25"/>
        <w:tblW w:w="10205" w:type="dxa"/>
        <w:jc w:val="center"/>
        <w:tblLayout w:type="fixed"/>
        <w:tblCellMar>
          <w:top w:w="0" w:type="dxa"/>
          <w:left w:w="28" w:type="dxa"/>
          <w:bottom w:w="0" w:type="dxa"/>
          <w:right w:w="28" w:type="dxa"/>
        </w:tblCellMar>
      </w:tblPr>
      <w:tblGrid>
        <w:gridCol w:w="743"/>
        <w:gridCol w:w="1585"/>
        <w:gridCol w:w="1275"/>
        <w:gridCol w:w="1152"/>
        <w:gridCol w:w="1211"/>
        <w:gridCol w:w="781"/>
        <w:gridCol w:w="737"/>
        <w:gridCol w:w="755"/>
        <w:gridCol w:w="985"/>
        <w:gridCol w:w="981"/>
      </w:tblGrid>
      <w:tr w14:paraId="24BC8063">
        <w:tblPrEx>
          <w:tblCellMar>
            <w:top w:w="0" w:type="dxa"/>
            <w:left w:w="28" w:type="dxa"/>
            <w:bottom w:w="0" w:type="dxa"/>
            <w:right w:w="28" w:type="dxa"/>
          </w:tblCellMar>
        </w:tblPrEx>
        <w:trPr>
          <w:trHeight w:val="23" w:hRule="atLeast"/>
          <w:jc w:val="center"/>
        </w:trPr>
        <w:tc>
          <w:tcPr>
            <w:tcW w:w="743" w:type="dxa"/>
            <w:tcBorders>
              <w:top w:val="single" w:color="000000" w:sz="8" w:space="0"/>
              <w:left w:val="single" w:color="000000" w:sz="8" w:space="0"/>
              <w:bottom w:val="single" w:color="000000" w:sz="6" w:space="0"/>
              <w:right w:val="single" w:color="000000" w:sz="6" w:space="0"/>
            </w:tcBorders>
            <w:vAlign w:val="center"/>
          </w:tcPr>
          <w:p w14:paraId="58B15D98">
            <w:pPr>
              <w:autoSpaceDE w:val="0"/>
              <w:autoSpaceDN w:val="0"/>
              <w:spacing w:line="36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序号</w:t>
            </w:r>
          </w:p>
        </w:tc>
        <w:tc>
          <w:tcPr>
            <w:tcW w:w="1585" w:type="dxa"/>
            <w:tcBorders>
              <w:top w:val="single" w:color="000000" w:sz="8" w:space="0"/>
              <w:left w:val="single" w:color="000000" w:sz="6" w:space="0"/>
              <w:bottom w:val="single" w:color="000000" w:sz="6" w:space="0"/>
              <w:right w:val="single" w:color="000000" w:sz="6" w:space="0"/>
            </w:tcBorders>
            <w:vAlign w:val="center"/>
          </w:tcPr>
          <w:p w14:paraId="3353FEB8">
            <w:pPr>
              <w:autoSpaceDE w:val="0"/>
              <w:autoSpaceDN w:val="0"/>
              <w:spacing w:line="36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产品名称</w:t>
            </w:r>
          </w:p>
        </w:tc>
        <w:tc>
          <w:tcPr>
            <w:tcW w:w="1275" w:type="dxa"/>
            <w:tcBorders>
              <w:top w:val="single" w:color="000000" w:sz="8" w:space="0"/>
              <w:left w:val="single" w:color="000000" w:sz="6" w:space="0"/>
              <w:bottom w:val="single" w:color="000000" w:sz="6" w:space="0"/>
              <w:right w:val="single" w:color="000000" w:sz="6" w:space="0"/>
            </w:tcBorders>
            <w:vAlign w:val="center"/>
          </w:tcPr>
          <w:p w14:paraId="29595584">
            <w:pPr>
              <w:autoSpaceDE w:val="0"/>
              <w:autoSpaceDN w:val="0"/>
              <w:spacing w:line="36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品牌（</w:t>
            </w:r>
            <w:r>
              <w:rPr>
                <w:rFonts w:hint="eastAsia" w:ascii="宋体" w:hAnsi="宋体" w:eastAsia="宋体" w:cs="宋体"/>
                <w:color w:val="auto"/>
                <w:sz w:val="24"/>
                <w:szCs w:val="24"/>
                <w:lang w:val="en-US" w:eastAsia="zh-CN"/>
              </w:rPr>
              <w:t>如有</w:t>
            </w:r>
            <w:r>
              <w:rPr>
                <w:rFonts w:hint="eastAsia" w:ascii="宋体" w:hAnsi="宋体" w:eastAsia="宋体" w:cs="宋体"/>
                <w:color w:val="auto"/>
                <w:sz w:val="24"/>
                <w:szCs w:val="24"/>
                <w:lang w:val="zh-CN"/>
              </w:rPr>
              <w:t>）</w:t>
            </w:r>
          </w:p>
        </w:tc>
        <w:tc>
          <w:tcPr>
            <w:tcW w:w="1152" w:type="dxa"/>
            <w:tcBorders>
              <w:top w:val="single" w:color="000000" w:sz="8" w:space="0"/>
              <w:left w:val="single" w:color="000000" w:sz="6" w:space="0"/>
              <w:bottom w:val="single" w:color="000000" w:sz="6" w:space="0"/>
              <w:right w:val="single" w:color="000000" w:sz="6" w:space="0"/>
            </w:tcBorders>
            <w:vAlign w:val="center"/>
          </w:tcPr>
          <w:p w14:paraId="120B8646">
            <w:pPr>
              <w:autoSpaceDE w:val="0"/>
              <w:autoSpaceDN w:val="0"/>
              <w:spacing w:line="36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规格型号</w:t>
            </w:r>
          </w:p>
        </w:tc>
        <w:tc>
          <w:tcPr>
            <w:tcW w:w="1211" w:type="dxa"/>
            <w:tcBorders>
              <w:top w:val="single" w:color="000000" w:sz="8" w:space="0"/>
              <w:left w:val="single" w:color="000000" w:sz="6" w:space="0"/>
              <w:bottom w:val="single" w:color="000000" w:sz="6" w:space="0"/>
              <w:right w:val="single" w:color="000000" w:sz="6" w:space="0"/>
            </w:tcBorders>
            <w:vAlign w:val="center"/>
          </w:tcPr>
          <w:p w14:paraId="2EF7EA5F">
            <w:pPr>
              <w:autoSpaceDE w:val="0"/>
              <w:autoSpaceDN w:val="0"/>
              <w:spacing w:line="36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生产厂家</w:t>
            </w:r>
          </w:p>
        </w:tc>
        <w:tc>
          <w:tcPr>
            <w:tcW w:w="781" w:type="dxa"/>
            <w:tcBorders>
              <w:top w:val="single" w:color="000000" w:sz="8" w:space="0"/>
              <w:left w:val="single" w:color="000000" w:sz="6" w:space="0"/>
              <w:bottom w:val="single" w:color="000000" w:sz="6" w:space="0"/>
              <w:right w:val="single" w:color="000000" w:sz="6" w:space="0"/>
            </w:tcBorders>
            <w:vAlign w:val="center"/>
          </w:tcPr>
          <w:p w14:paraId="5689DEF4">
            <w:pPr>
              <w:autoSpaceDE w:val="0"/>
              <w:autoSpaceDN w:val="0"/>
              <w:spacing w:line="36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数量</w:t>
            </w:r>
          </w:p>
        </w:tc>
        <w:tc>
          <w:tcPr>
            <w:tcW w:w="737" w:type="dxa"/>
            <w:tcBorders>
              <w:top w:val="single" w:color="000000" w:sz="8" w:space="0"/>
              <w:left w:val="single" w:color="000000" w:sz="6" w:space="0"/>
              <w:bottom w:val="single" w:color="000000" w:sz="6" w:space="0"/>
              <w:right w:val="single" w:color="000000" w:sz="6" w:space="0"/>
            </w:tcBorders>
            <w:vAlign w:val="center"/>
          </w:tcPr>
          <w:p w14:paraId="478FFA5D">
            <w:pPr>
              <w:autoSpaceDE w:val="0"/>
              <w:autoSpaceDN w:val="0"/>
              <w:spacing w:line="36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单位</w:t>
            </w:r>
          </w:p>
        </w:tc>
        <w:tc>
          <w:tcPr>
            <w:tcW w:w="755" w:type="dxa"/>
            <w:tcBorders>
              <w:top w:val="single" w:color="000000" w:sz="8" w:space="0"/>
              <w:left w:val="single" w:color="000000" w:sz="6" w:space="0"/>
              <w:bottom w:val="single" w:color="000000" w:sz="6" w:space="0"/>
              <w:right w:val="single" w:color="000000" w:sz="6" w:space="0"/>
            </w:tcBorders>
            <w:vAlign w:val="center"/>
          </w:tcPr>
          <w:p w14:paraId="7D889085">
            <w:pPr>
              <w:autoSpaceDE w:val="0"/>
              <w:autoSpaceDN w:val="0"/>
              <w:spacing w:line="36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单价（</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lang w:val="zh-CN"/>
              </w:rPr>
              <w:t>）</w:t>
            </w:r>
          </w:p>
        </w:tc>
        <w:tc>
          <w:tcPr>
            <w:tcW w:w="985" w:type="dxa"/>
            <w:tcBorders>
              <w:top w:val="single" w:color="000000" w:sz="8" w:space="0"/>
              <w:left w:val="single" w:color="000000" w:sz="6" w:space="0"/>
              <w:bottom w:val="single" w:color="000000" w:sz="6" w:space="0"/>
              <w:right w:val="single" w:color="000000" w:sz="6" w:space="0"/>
            </w:tcBorders>
            <w:vAlign w:val="center"/>
          </w:tcPr>
          <w:p w14:paraId="18E43BF1">
            <w:pPr>
              <w:autoSpaceDE w:val="0"/>
              <w:autoSpaceDN w:val="0"/>
              <w:spacing w:line="36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合计（</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lang w:val="zh-CN"/>
              </w:rPr>
              <w:t>）</w:t>
            </w:r>
          </w:p>
        </w:tc>
        <w:tc>
          <w:tcPr>
            <w:tcW w:w="981" w:type="dxa"/>
            <w:tcBorders>
              <w:top w:val="single" w:color="000000" w:sz="8" w:space="0"/>
              <w:left w:val="single" w:color="000000" w:sz="6" w:space="0"/>
              <w:bottom w:val="single" w:color="000000" w:sz="6" w:space="0"/>
              <w:right w:val="single" w:color="000000" w:sz="8" w:space="0"/>
            </w:tcBorders>
            <w:vAlign w:val="center"/>
          </w:tcPr>
          <w:p w14:paraId="7BDF9D2B">
            <w:pPr>
              <w:autoSpaceDE w:val="0"/>
              <w:autoSpaceDN w:val="0"/>
              <w:spacing w:line="36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备注</w:t>
            </w:r>
          </w:p>
        </w:tc>
      </w:tr>
      <w:tr w14:paraId="0EC906A9">
        <w:tblPrEx>
          <w:tblCellMar>
            <w:top w:w="0" w:type="dxa"/>
            <w:left w:w="28" w:type="dxa"/>
            <w:bottom w:w="0" w:type="dxa"/>
            <w:right w:w="28" w:type="dxa"/>
          </w:tblCellMar>
        </w:tblPrEx>
        <w:trPr>
          <w:trHeight w:val="23" w:hRule="atLeast"/>
          <w:jc w:val="center"/>
        </w:trPr>
        <w:tc>
          <w:tcPr>
            <w:tcW w:w="743" w:type="dxa"/>
            <w:tcBorders>
              <w:top w:val="single" w:color="000000" w:sz="6" w:space="0"/>
              <w:left w:val="single" w:color="000000" w:sz="8" w:space="0"/>
              <w:bottom w:val="single" w:color="000000" w:sz="6" w:space="0"/>
              <w:right w:val="single" w:color="000000" w:sz="6" w:space="0"/>
            </w:tcBorders>
            <w:vAlign w:val="center"/>
          </w:tcPr>
          <w:p w14:paraId="4CFD2099">
            <w:pPr>
              <w:autoSpaceDE w:val="0"/>
              <w:autoSpaceDN w:val="0"/>
              <w:spacing w:line="36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p>
        </w:tc>
        <w:tc>
          <w:tcPr>
            <w:tcW w:w="1585" w:type="dxa"/>
            <w:tcBorders>
              <w:top w:val="single" w:color="000000" w:sz="6" w:space="0"/>
              <w:left w:val="single" w:color="000000" w:sz="6" w:space="0"/>
              <w:bottom w:val="single" w:color="000000" w:sz="6" w:space="0"/>
              <w:right w:val="single" w:color="000000" w:sz="6" w:space="0"/>
            </w:tcBorders>
            <w:vAlign w:val="center"/>
          </w:tcPr>
          <w:p w14:paraId="6A4F7B7B">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1275" w:type="dxa"/>
            <w:tcBorders>
              <w:top w:val="single" w:color="000000" w:sz="6" w:space="0"/>
              <w:left w:val="single" w:color="000000" w:sz="6" w:space="0"/>
              <w:bottom w:val="single" w:color="000000" w:sz="6" w:space="0"/>
              <w:right w:val="single" w:color="000000" w:sz="6" w:space="0"/>
            </w:tcBorders>
            <w:vAlign w:val="center"/>
          </w:tcPr>
          <w:p w14:paraId="0B6DCBF1">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1152" w:type="dxa"/>
            <w:tcBorders>
              <w:top w:val="single" w:color="000000" w:sz="6" w:space="0"/>
              <w:left w:val="single" w:color="000000" w:sz="6" w:space="0"/>
              <w:bottom w:val="single" w:color="000000" w:sz="6" w:space="0"/>
              <w:right w:val="single" w:color="000000" w:sz="6" w:space="0"/>
            </w:tcBorders>
            <w:vAlign w:val="center"/>
          </w:tcPr>
          <w:p w14:paraId="24D95354">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1211" w:type="dxa"/>
            <w:tcBorders>
              <w:top w:val="single" w:color="000000" w:sz="6" w:space="0"/>
              <w:left w:val="single" w:color="000000" w:sz="6" w:space="0"/>
              <w:bottom w:val="single" w:color="000000" w:sz="6" w:space="0"/>
              <w:right w:val="single" w:color="000000" w:sz="6" w:space="0"/>
            </w:tcBorders>
            <w:vAlign w:val="center"/>
          </w:tcPr>
          <w:p w14:paraId="6BA77FB0">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781" w:type="dxa"/>
            <w:tcBorders>
              <w:top w:val="single" w:color="000000" w:sz="6" w:space="0"/>
              <w:left w:val="single" w:color="000000" w:sz="6" w:space="0"/>
              <w:bottom w:val="single" w:color="000000" w:sz="6" w:space="0"/>
              <w:right w:val="single" w:color="000000" w:sz="6" w:space="0"/>
            </w:tcBorders>
            <w:vAlign w:val="center"/>
          </w:tcPr>
          <w:p w14:paraId="680E650E">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737" w:type="dxa"/>
            <w:tcBorders>
              <w:top w:val="single" w:color="000000" w:sz="6" w:space="0"/>
              <w:left w:val="single" w:color="000000" w:sz="6" w:space="0"/>
              <w:bottom w:val="single" w:color="000000" w:sz="6" w:space="0"/>
              <w:right w:val="single" w:color="000000" w:sz="6" w:space="0"/>
            </w:tcBorders>
            <w:vAlign w:val="center"/>
          </w:tcPr>
          <w:p w14:paraId="72A2864A">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755" w:type="dxa"/>
            <w:tcBorders>
              <w:top w:val="single" w:color="000000" w:sz="6" w:space="0"/>
              <w:left w:val="single" w:color="000000" w:sz="6" w:space="0"/>
              <w:bottom w:val="single" w:color="000000" w:sz="6" w:space="0"/>
              <w:right w:val="single" w:color="000000" w:sz="6" w:space="0"/>
            </w:tcBorders>
            <w:vAlign w:val="center"/>
          </w:tcPr>
          <w:p w14:paraId="534F40B6">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985" w:type="dxa"/>
            <w:tcBorders>
              <w:top w:val="single" w:color="000000" w:sz="6" w:space="0"/>
              <w:left w:val="single" w:color="000000" w:sz="6" w:space="0"/>
              <w:bottom w:val="single" w:color="000000" w:sz="6" w:space="0"/>
              <w:right w:val="single" w:color="000000" w:sz="6" w:space="0"/>
            </w:tcBorders>
            <w:vAlign w:val="center"/>
          </w:tcPr>
          <w:p w14:paraId="423D9408">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981" w:type="dxa"/>
            <w:tcBorders>
              <w:top w:val="single" w:color="000000" w:sz="6" w:space="0"/>
              <w:left w:val="single" w:color="000000" w:sz="6" w:space="0"/>
              <w:bottom w:val="single" w:color="000000" w:sz="6" w:space="0"/>
              <w:right w:val="single" w:color="000000" w:sz="8" w:space="0"/>
            </w:tcBorders>
            <w:vAlign w:val="center"/>
          </w:tcPr>
          <w:p w14:paraId="49964D39">
            <w:pPr>
              <w:autoSpaceDE w:val="0"/>
              <w:autoSpaceDN w:val="0"/>
              <w:spacing w:line="360" w:lineRule="auto"/>
              <w:ind w:firstLine="0" w:firstLineChars="0"/>
              <w:jc w:val="center"/>
              <w:rPr>
                <w:rFonts w:hint="eastAsia" w:ascii="宋体" w:hAnsi="宋体" w:eastAsia="宋体" w:cs="宋体"/>
                <w:color w:val="auto"/>
                <w:sz w:val="24"/>
                <w:szCs w:val="24"/>
                <w:lang w:val="zh-CN"/>
              </w:rPr>
            </w:pPr>
          </w:p>
        </w:tc>
      </w:tr>
      <w:tr w14:paraId="7A11571E">
        <w:tblPrEx>
          <w:tblCellMar>
            <w:top w:w="0" w:type="dxa"/>
            <w:left w:w="28" w:type="dxa"/>
            <w:bottom w:w="0" w:type="dxa"/>
            <w:right w:w="28" w:type="dxa"/>
          </w:tblCellMar>
        </w:tblPrEx>
        <w:trPr>
          <w:trHeight w:val="23" w:hRule="atLeast"/>
          <w:jc w:val="center"/>
        </w:trPr>
        <w:tc>
          <w:tcPr>
            <w:tcW w:w="743" w:type="dxa"/>
            <w:tcBorders>
              <w:top w:val="single" w:color="000000" w:sz="6" w:space="0"/>
              <w:left w:val="single" w:color="000000" w:sz="8" w:space="0"/>
              <w:bottom w:val="single" w:color="000000" w:sz="6" w:space="0"/>
              <w:right w:val="single" w:color="000000" w:sz="6" w:space="0"/>
            </w:tcBorders>
            <w:vAlign w:val="center"/>
          </w:tcPr>
          <w:p w14:paraId="342B4944">
            <w:pPr>
              <w:autoSpaceDE w:val="0"/>
              <w:autoSpaceDN w:val="0"/>
              <w:spacing w:line="36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p>
        </w:tc>
        <w:tc>
          <w:tcPr>
            <w:tcW w:w="1585" w:type="dxa"/>
            <w:tcBorders>
              <w:top w:val="single" w:color="000000" w:sz="6" w:space="0"/>
              <w:left w:val="single" w:color="000000" w:sz="6" w:space="0"/>
              <w:bottom w:val="single" w:color="000000" w:sz="6" w:space="0"/>
              <w:right w:val="single" w:color="000000" w:sz="6" w:space="0"/>
            </w:tcBorders>
            <w:vAlign w:val="center"/>
          </w:tcPr>
          <w:p w14:paraId="1FD9E88F">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1275" w:type="dxa"/>
            <w:tcBorders>
              <w:top w:val="single" w:color="000000" w:sz="6" w:space="0"/>
              <w:left w:val="single" w:color="000000" w:sz="6" w:space="0"/>
              <w:bottom w:val="single" w:color="000000" w:sz="6" w:space="0"/>
              <w:right w:val="single" w:color="000000" w:sz="6" w:space="0"/>
            </w:tcBorders>
            <w:vAlign w:val="center"/>
          </w:tcPr>
          <w:p w14:paraId="3F81F89E">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1152" w:type="dxa"/>
            <w:tcBorders>
              <w:top w:val="single" w:color="000000" w:sz="6" w:space="0"/>
              <w:left w:val="single" w:color="000000" w:sz="6" w:space="0"/>
              <w:bottom w:val="single" w:color="000000" w:sz="6" w:space="0"/>
              <w:right w:val="single" w:color="000000" w:sz="6" w:space="0"/>
            </w:tcBorders>
            <w:vAlign w:val="center"/>
          </w:tcPr>
          <w:p w14:paraId="470258E8">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1211" w:type="dxa"/>
            <w:tcBorders>
              <w:top w:val="single" w:color="000000" w:sz="6" w:space="0"/>
              <w:left w:val="single" w:color="000000" w:sz="6" w:space="0"/>
              <w:bottom w:val="single" w:color="000000" w:sz="6" w:space="0"/>
              <w:right w:val="single" w:color="000000" w:sz="6" w:space="0"/>
            </w:tcBorders>
            <w:vAlign w:val="center"/>
          </w:tcPr>
          <w:p w14:paraId="1D86AD83">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781" w:type="dxa"/>
            <w:tcBorders>
              <w:top w:val="single" w:color="000000" w:sz="6" w:space="0"/>
              <w:left w:val="single" w:color="000000" w:sz="6" w:space="0"/>
              <w:bottom w:val="single" w:color="000000" w:sz="6" w:space="0"/>
              <w:right w:val="single" w:color="000000" w:sz="6" w:space="0"/>
            </w:tcBorders>
            <w:vAlign w:val="center"/>
          </w:tcPr>
          <w:p w14:paraId="07A3B76F">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737" w:type="dxa"/>
            <w:tcBorders>
              <w:top w:val="single" w:color="000000" w:sz="6" w:space="0"/>
              <w:left w:val="single" w:color="000000" w:sz="6" w:space="0"/>
              <w:bottom w:val="single" w:color="000000" w:sz="6" w:space="0"/>
              <w:right w:val="single" w:color="000000" w:sz="6" w:space="0"/>
            </w:tcBorders>
            <w:vAlign w:val="center"/>
          </w:tcPr>
          <w:p w14:paraId="3B53A510">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755" w:type="dxa"/>
            <w:tcBorders>
              <w:top w:val="single" w:color="000000" w:sz="6" w:space="0"/>
              <w:left w:val="single" w:color="000000" w:sz="6" w:space="0"/>
              <w:bottom w:val="single" w:color="000000" w:sz="6" w:space="0"/>
              <w:right w:val="single" w:color="000000" w:sz="6" w:space="0"/>
            </w:tcBorders>
            <w:vAlign w:val="center"/>
          </w:tcPr>
          <w:p w14:paraId="268031EE">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985" w:type="dxa"/>
            <w:tcBorders>
              <w:top w:val="single" w:color="000000" w:sz="6" w:space="0"/>
              <w:left w:val="single" w:color="000000" w:sz="6" w:space="0"/>
              <w:bottom w:val="single" w:color="000000" w:sz="6" w:space="0"/>
              <w:right w:val="single" w:color="000000" w:sz="6" w:space="0"/>
            </w:tcBorders>
            <w:vAlign w:val="center"/>
          </w:tcPr>
          <w:p w14:paraId="01331EF7">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981" w:type="dxa"/>
            <w:tcBorders>
              <w:top w:val="single" w:color="000000" w:sz="6" w:space="0"/>
              <w:left w:val="single" w:color="000000" w:sz="6" w:space="0"/>
              <w:bottom w:val="single" w:color="000000" w:sz="6" w:space="0"/>
              <w:right w:val="single" w:color="000000" w:sz="8" w:space="0"/>
            </w:tcBorders>
            <w:vAlign w:val="center"/>
          </w:tcPr>
          <w:p w14:paraId="0B106B15">
            <w:pPr>
              <w:autoSpaceDE w:val="0"/>
              <w:autoSpaceDN w:val="0"/>
              <w:spacing w:line="360" w:lineRule="auto"/>
              <w:ind w:firstLine="0" w:firstLineChars="0"/>
              <w:jc w:val="center"/>
              <w:rPr>
                <w:rFonts w:hint="eastAsia" w:ascii="宋体" w:hAnsi="宋体" w:eastAsia="宋体" w:cs="宋体"/>
                <w:color w:val="auto"/>
                <w:sz w:val="24"/>
                <w:szCs w:val="24"/>
                <w:lang w:val="zh-CN"/>
              </w:rPr>
            </w:pPr>
          </w:p>
        </w:tc>
      </w:tr>
      <w:tr w14:paraId="1F33B685">
        <w:tblPrEx>
          <w:tblCellMar>
            <w:top w:w="0" w:type="dxa"/>
            <w:left w:w="28" w:type="dxa"/>
            <w:bottom w:w="0" w:type="dxa"/>
            <w:right w:w="28" w:type="dxa"/>
          </w:tblCellMar>
        </w:tblPrEx>
        <w:trPr>
          <w:trHeight w:val="23" w:hRule="atLeast"/>
          <w:jc w:val="center"/>
        </w:trPr>
        <w:tc>
          <w:tcPr>
            <w:tcW w:w="743" w:type="dxa"/>
            <w:tcBorders>
              <w:top w:val="single" w:color="000000" w:sz="6" w:space="0"/>
              <w:left w:val="single" w:color="000000" w:sz="8" w:space="0"/>
              <w:bottom w:val="single" w:color="000000" w:sz="6" w:space="0"/>
              <w:right w:val="single" w:color="000000" w:sz="6" w:space="0"/>
            </w:tcBorders>
            <w:vAlign w:val="center"/>
          </w:tcPr>
          <w:p w14:paraId="5430ECA4">
            <w:pPr>
              <w:autoSpaceDE w:val="0"/>
              <w:autoSpaceDN w:val="0"/>
              <w:spacing w:line="36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p>
        </w:tc>
        <w:tc>
          <w:tcPr>
            <w:tcW w:w="1585" w:type="dxa"/>
            <w:tcBorders>
              <w:top w:val="single" w:color="000000" w:sz="6" w:space="0"/>
              <w:left w:val="single" w:color="000000" w:sz="6" w:space="0"/>
              <w:bottom w:val="single" w:color="000000" w:sz="6" w:space="0"/>
              <w:right w:val="single" w:color="000000" w:sz="6" w:space="0"/>
            </w:tcBorders>
            <w:vAlign w:val="center"/>
          </w:tcPr>
          <w:p w14:paraId="5323CA6E">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1275" w:type="dxa"/>
            <w:tcBorders>
              <w:top w:val="single" w:color="000000" w:sz="6" w:space="0"/>
              <w:left w:val="single" w:color="000000" w:sz="6" w:space="0"/>
              <w:bottom w:val="single" w:color="000000" w:sz="6" w:space="0"/>
              <w:right w:val="single" w:color="000000" w:sz="6" w:space="0"/>
            </w:tcBorders>
            <w:vAlign w:val="center"/>
          </w:tcPr>
          <w:p w14:paraId="71B8E955">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1152" w:type="dxa"/>
            <w:tcBorders>
              <w:top w:val="single" w:color="000000" w:sz="6" w:space="0"/>
              <w:left w:val="single" w:color="000000" w:sz="6" w:space="0"/>
              <w:bottom w:val="single" w:color="000000" w:sz="6" w:space="0"/>
              <w:right w:val="single" w:color="000000" w:sz="6" w:space="0"/>
            </w:tcBorders>
            <w:vAlign w:val="center"/>
          </w:tcPr>
          <w:p w14:paraId="4B56AACD">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1211" w:type="dxa"/>
            <w:tcBorders>
              <w:top w:val="single" w:color="000000" w:sz="6" w:space="0"/>
              <w:left w:val="single" w:color="000000" w:sz="6" w:space="0"/>
              <w:bottom w:val="single" w:color="000000" w:sz="6" w:space="0"/>
              <w:right w:val="single" w:color="000000" w:sz="6" w:space="0"/>
            </w:tcBorders>
            <w:vAlign w:val="center"/>
          </w:tcPr>
          <w:p w14:paraId="28BAF06F">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781" w:type="dxa"/>
            <w:tcBorders>
              <w:top w:val="single" w:color="000000" w:sz="6" w:space="0"/>
              <w:left w:val="single" w:color="000000" w:sz="6" w:space="0"/>
              <w:bottom w:val="single" w:color="000000" w:sz="6" w:space="0"/>
              <w:right w:val="single" w:color="000000" w:sz="6" w:space="0"/>
            </w:tcBorders>
            <w:vAlign w:val="center"/>
          </w:tcPr>
          <w:p w14:paraId="298B4C01">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737" w:type="dxa"/>
            <w:tcBorders>
              <w:top w:val="single" w:color="000000" w:sz="6" w:space="0"/>
              <w:left w:val="single" w:color="000000" w:sz="6" w:space="0"/>
              <w:bottom w:val="single" w:color="000000" w:sz="6" w:space="0"/>
              <w:right w:val="single" w:color="000000" w:sz="6" w:space="0"/>
            </w:tcBorders>
            <w:vAlign w:val="center"/>
          </w:tcPr>
          <w:p w14:paraId="411AA8F7">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755" w:type="dxa"/>
            <w:tcBorders>
              <w:top w:val="single" w:color="000000" w:sz="6" w:space="0"/>
              <w:left w:val="single" w:color="000000" w:sz="6" w:space="0"/>
              <w:bottom w:val="single" w:color="000000" w:sz="6" w:space="0"/>
              <w:right w:val="single" w:color="000000" w:sz="6" w:space="0"/>
            </w:tcBorders>
            <w:vAlign w:val="center"/>
          </w:tcPr>
          <w:p w14:paraId="6C762DC4">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985" w:type="dxa"/>
            <w:tcBorders>
              <w:top w:val="single" w:color="000000" w:sz="6" w:space="0"/>
              <w:left w:val="single" w:color="000000" w:sz="6" w:space="0"/>
              <w:bottom w:val="single" w:color="000000" w:sz="6" w:space="0"/>
              <w:right w:val="single" w:color="000000" w:sz="6" w:space="0"/>
            </w:tcBorders>
            <w:vAlign w:val="center"/>
          </w:tcPr>
          <w:p w14:paraId="2F33DD03">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981" w:type="dxa"/>
            <w:tcBorders>
              <w:top w:val="single" w:color="000000" w:sz="6" w:space="0"/>
              <w:left w:val="single" w:color="000000" w:sz="6" w:space="0"/>
              <w:bottom w:val="single" w:color="000000" w:sz="6" w:space="0"/>
              <w:right w:val="single" w:color="000000" w:sz="8" w:space="0"/>
            </w:tcBorders>
            <w:vAlign w:val="center"/>
          </w:tcPr>
          <w:p w14:paraId="404D9CCB">
            <w:pPr>
              <w:autoSpaceDE w:val="0"/>
              <w:autoSpaceDN w:val="0"/>
              <w:spacing w:line="360" w:lineRule="auto"/>
              <w:ind w:firstLine="0" w:firstLineChars="0"/>
              <w:jc w:val="center"/>
              <w:rPr>
                <w:rFonts w:hint="eastAsia" w:ascii="宋体" w:hAnsi="宋体" w:eastAsia="宋体" w:cs="宋体"/>
                <w:color w:val="auto"/>
                <w:sz w:val="24"/>
                <w:szCs w:val="24"/>
                <w:lang w:val="zh-CN"/>
              </w:rPr>
            </w:pPr>
          </w:p>
        </w:tc>
      </w:tr>
      <w:tr w14:paraId="117B1F3B">
        <w:tblPrEx>
          <w:tblCellMar>
            <w:top w:w="0" w:type="dxa"/>
            <w:left w:w="28" w:type="dxa"/>
            <w:bottom w:w="0" w:type="dxa"/>
            <w:right w:w="28" w:type="dxa"/>
          </w:tblCellMar>
        </w:tblPrEx>
        <w:trPr>
          <w:trHeight w:val="23" w:hRule="atLeast"/>
          <w:jc w:val="center"/>
        </w:trPr>
        <w:tc>
          <w:tcPr>
            <w:tcW w:w="743" w:type="dxa"/>
            <w:tcBorders>
              <w:top w:val="single" w:color="000000" w:sz="6" w:space="0"/>
              <w:left w:val="single" w:color="000000" w:sz="8" w:space="0"/>
              <w:bottom w:val="single" w:color="000000" w:sz="6" w:space="0"/>
              <w:right w:val="single" w:color="000000" w:sz="6" w:space="0"/>
            </w:tcBorders>
            <w:vAlign w:val="center"/>
          </w:tcPr>
          <w:p w14:paraId="293E942B">
            <w:pPr>
              <w:autoSpaceDE w:val="0"/>
              <w:autoSpaceDN w:val="0"/>
              <w:spacing w:line="36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w:t>
            </w:r>
          </w:p>
        </w:tc>
        <w:tc>
          <w:tcPr>
            <w:tcW w:w="1585" w:type="dxa"/>
            <w:tcBorders>
              <w:top w:val="single" w:color="000000" w:sz="6" w:space="0"/>
              <w:left w:val="single" w:color="000000" w:sz="6" w:space="0"/>
              <w:bottom w:val="single" w:color="000000" w:sz="6" w:space="0"/>
              <w:right w:val="single" w:color="000000" w:sz="6" w:space="0"/>
            </w:tcBorders>
            <w:vAlign w:val="center"/>
          </w:tcPr>
          <w:p w14:paraId="21CD981E">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1275" w:type="dxa"/>
            <w:tcBorders>
              <w:top w:val="single" w:color="000000" w:sz="6" w:space="0"/>
              <w:left w:val="single" w:color="000000" w:sz="6" w:space="0"/>
              <w:bottom w:val="single" w:color="000000" w:sz="6" w:space="0"/>
              <w:right w:val="single" w:color="000000" w:sz="6" w:space="0"/>
            </w:tcBorders>
            <w:vAlign w:val="center"/>
          </w:tcPr>
          <w:p w14:paraId="5B778FFC">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1152" w:type="dxa"/>
            <w:tcBorders>
              <w:top w:val="single" w:color="000000" w:sz="6" w:space="0"/>
              <w:left w:val="single" w:color="000000" w:sz="6" w:space="0"/>
              <w:bottom w:val="single" w:color="000000" w:sz="6" w:space="0"/>
              <w:right w:val="single" w:color="000000" w:sz="6" w:space="0"/>
            </w:tcBorders>
            <w:vAlign w:val="center"/>
          </w:tcPr>
          <w:p w14:paraId="2E26F0FA">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1211" w:type="dxa"/>
            <w:tcBorders>
              <w:top w:val="single" w:color="000000" w:sz="6" w:space="0"/>
              <w:left w:val="single" w:color="000000" w:sz="6" w:space="0"/>
              <w:bottom w:val="single" w:color="000000" w:sz="6" w:space="0"/>
              <w:right w:val="single" w:color="000000" w:sz="6" w:space="0"/>
            </w:tcBorders>
            <w:vAlign w:val="center"/>
          </w:tcPr>
          <w:p w14:paraId="5C3AA8AD">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781" w:type="dxa"/>
            <w:tcBorders>
              <w:top w:val="single" w:color="000000" w:sz="6" w:space="0"/>
              <w:left w:val="single" w:color="000000" w:sz="6" w:space="0"/>
              <w:bottom w:val="single" w:color="000000" w:sz="6" w:space="0"/>
              <w:right w:val="single" w:color="000000" w:sz="6" w:space="0"/>
            </w:tcBorders>
            <w:vAlign w:val="center"/>
          </w:tcPr>
          <w:p w14:paraId="5A854F6A">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737" w:type="dxa"/>
            <w:tcBorders>
              <w:top w:val="single" w:color="000000" w:sz="6" w:space="0"/>
              <w:left w:val="single" w:color="000000" w:sz="6" w:space="0"/>
              <w:bottom w:val="single" w:color="000000" w:sz="6" w:space="0"/>
              <w:right w:val="single" w:color="000000" w:sz="6" w:space="0"/>
            </w:tcBorders>
            <w:vAlign w:val="center"/>
          </w:tcPr>
          <w:p w14:paraId="0C82BEDC">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755" w:type="dxa"/>
            <w:tcBorders>
              <w:top w:val="single" w:color="000000" w:sz="6" w:space="0"/>
              <w:left w:val="single" w:color="000000" w:sz="6" w:space="0"/>
              <w:bottom w:val="single" w:color="000000" w:sz="6" w:space="0"/>
              <w:right w:val="single" w:color="000000" w:sz="6" w:space="0"/>
            </w:tcBorders>
            <w:vAlign w:val="center"/>
          </w:tcPr>
          <w:p w14:paraId="567952B4">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985" w:type="dxa"/>
            <w:tcBorders>
              <w:top w:val="single" w:color="000000" w:sz="6" w:space="0"/>
              <w:left w:val="single" w:color="000000" w:sz="6" w:space="0"/>
              <w:bottom w:val="single" w:color="000000" w:sz="6" w:space="0"/>
              <w:right w:val="single" w:color="000000" w:sz="6" w:space="0"/>
            </w:tcBorders>
            <w:vAlign w:val="center"/>
          </w:tcPr>
          <w:p w14:paraId="42C54B86">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981" w:type="dxa"/>
            <w:tcBorders>
              <w:top w:val="single" w:color="000000" w:sz="6" w:space="0"/>
              <w:left w:val="single" w:color="000000" w:sz="6" w:space="0"/>
              <w:bottom w:val="single" w:color="000000" w:sz="6" w:space="0"/>
              <w:right w:val="single" w:color="000000" w:sz="8" w:space="0"/>
            </w:tcBorders>
            <w:vAlign w:val="center"/>
          </w:tcPr>
          <w:p w14:paraId="68587172">
            <w:pPr>
              <w:autoSpaceDE w:val="0"/>
              <w:autoSpaceDN w:val="0"/>
              <w:spacing w:line="360" w:lineRule="auto"/>
              <w:ind w:firstLine="0" w:firstLineChars="0"/>
              <w:jc w:val="center"/>
              <w:rPr>
                <w:rFonts w:hint="eastAsia" w:ascii="宋体" w:hAnsi="宋体" w:eastAsia="宋体" w:cs="宋体"/>
                <w:color w:val="auto"/>
                <w:sz w:val="24"/>
                <w:szCs w:val="24"/>
                <w:lang w:val="zh-CN"/>
              </w:rPr>
            </w:pPr>
          </w:p>
        </w:tc>
      </w:tr>
      <w:tr w14:paraId="019ECBC3">
        <w:tblPrEx>
          <w:tblCellMar>
            <w:top w:w="0" w:type="dxa"/>
            <w:left w:w="28" w:type="dxa"/>
            <w:bottom w:w="0" w:type="dxa"/>
            <w:right w:w="28" w:type="dxa"/>
          </w:tblCellMar>
        </w:tblPrEx>
        <w:trPr>
          <w:trHeight w:val="23" w:hRule="atLeast"/>
          <w:jc w:val="center"/>
        </w:trPr>
        <w:tc>
          <w:tcPr>
            <w:tcW w:w="743" w:type="dxa"/>
            <w:tcBorders>
              <w:top w:val="single" w:color="000000" w:sz="6" w:space="0"/>
              <w:left w:val="single" w:color="000000" w:sz="8" w:space="0"/>
              <w:bottom w:val="single" w:color="000000" w:sz="6" w:space="0"/>
              <w:right w:val="single" w:color="000000" w:sz="6" w:space="0"/>
            </w:tcBorders>
            <w:vAlign w:val="center"/>
          </w:tcPr>
          <w:p w14:paraId="2349E2B1">
            <w:pPr>
              <w:autoSpaceDE w:val="0"/>
              <w:autoSpaceDN w:val="0"/>
              <w:spacing w:line="36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p>
        </w:tc>
        <w:tc>
          <w:tcPr>
            <w:tcW w:w="1585" w:type="dxa"/>
            <w:tcBorders>
              <w:top w:val="single" w:color="000000" w:sz="6" w:space="0"/>
              <w:left w:val="single" w:color="000000" w:sz="6" w:space="0"/>
              <w:bottom w:val="single" w:color="000000" w:sz="6" w:space="0"/>
              <w:right w:val="single" w:color="000000" w:sz="6" w:space="0"/>
            </w:tcBorders>
            <w:vAlign w:val="center"/>
          </w:tcPr>
          <w:p w14:paraId="11E24F77">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1275" w:type="dxa"/>
            <w:tcBorders>
              <w:top w:val="single" w:color="000000" w:sz="6" w:space="0"/>
              <w:left w:val="single" w:color="000000" w:sz="6" w:space="0"/>
              <w:bottom w:val="single" w:color="000000" w:sz="6" w:space="0"/>
              <w:right w:val="single" w:color="000000" w:sz="6" w:space="0"/>
            </w:tcBorders>
            <w:vAlign w:val="center"/>
          </w:tcPr>
          <w:p w14:paraId="77689872">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1152" w:type="dxa"/>
            <w:tcBorders>
              <w:top w:val="single" w:color="000000" w:sz="6" w:space="0"/>
              <w:left w:val="single" w:color="000000" w:sz="6" w:space="0"/>
              <w:bottom w:val="single" w:color="000000" w:sz="6" w:space="0"/>
              <w:right w:val="single" w:color="000000" w:sz="6" w:space="0"/>
            </w:tcBorders>
            <w:vAlign w:val="center"/>
          </w:tcPr>
          <w:p w14:paraId="38E9AB88">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1211" w:type="dxa"/>
            <w:tcBorders>
              <w:top w:val="single" w:color="000000" w:sz="6" w:space="0"/>
              <w:left w:val="single" w:color="000000" w:sz="6" w:space="0"/>
              <w:bottom w:val="single" w:color="000000" w:sz="6" w:space="0"/>
              <w:right w:val="single" w:color="000000" w:sz="6" w:space="0"/>
            </w:tcBorders>
            <w:vAlign w:val="center"/>
          </w:tcPr>
          <w:p w14:paraId="542C78D9">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781" w:type="dxa"/>
            <w:tcBorders>
              <w:top w:val="single" w:color="000000" w:sz="6" w:space="0"/>
              <w:left w:val="single" w:color="000000" w:sz="6" w:space="0"/>
              <w:bottom w:val="single" w:color="000000" w:sz="6" w:space="0"/>
              <w:right w:val="single" w:color="000000" w:sz="6" w:space="0"/>
            </w:tcBorders>
            <w:vAlign w:val="center"/>
          </w:tcPr>
          <w:p w14:paraId="50EB034D">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737" w:type="dxa"/>
            <w:tcBorders>
              <w:top w:val="single" w:color="000000" w:sz="6" w:space="0"/>
              <w:left w:val="single" w:color="000000" w:sz="6" w:space="0"/>
              <w:bottom w:val="single" w:color="000000" w:sz="6" w:space="0"/>
              <w:right w:val="single" w:color="000000" w:sz="6" w:space="0"/>
            </w:tcBorders>
            <w:vAlign w:val="center"/>
          </w:tcPr>
          <w:p w14:paraId="4AE74BE5">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755" w:type="dxa"/>
            <w:tcBorders>
              <w:top w:val="single" w:color="000000" w:sz="6" w:space="0"/>
              <w:left w:val="single" w:color="000000" w:sz="6" w:space="0"/>
              <w:bottom w:val="single" w:color="000000" w:sz="6" w:space="0"/>
              <w:right w:val="single" w:color="000000" w:sz="6" w:space="0"/>
            </w:tcBorders>
            <w:vAlign w:val="center"/>
          </w:tcPr>
          <w:p w14:paraId="295230CA">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985" w:type="dxa"/>
            <w:tcBorders>
              <w:top w:val="single" w:color="000000" w:sz="6" w:space="0"/>
              <w:left w:val="single" w:color="000000" w:sz="6" w:space="0"/>
              <w:bottom w:val="single" w:color="000000" w:sz="6" w:space="0"/>
              <w:right w:val="single" w:color="000000" w:sz="6" w:space="0"/>
            </w:tcBorders>
            <w:vAlign w:val="center"/>
          </w:tcPr>
          <w:p w14:paraId="381686B8">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981" w:type="dxa"/>
            <w:tcBorders>
              <w:top w:val="single" w:color="000000" w:sz="6" w:space="0"/>
              <w:left w:val="single" w:color="000000" w:sz="6" w:space="0"/>
              <w:bottom w:val="single" w:color="000000" w:sz="6" w:space="0"/>
              <w:right w:val="single" w:color="000000" w:sz="8" w:space="0"/>
            </w:tcBorders>
            <w:vAlign w:val="center"/>
          </w:tcPr>
          <w:p w14:paraId="23A76756">
            <w:pPr>
              <w:autoSpaceDE w:val="0"/>
              <w:autoSpaceDN w:val="0"/>
              <w:spacing w:line="360" w:lineRule="auto"/>
              <w:ind w:firstLine="0" w:firstLineChars="0"/>
              <w:jc w:val="center"/>
              <w:rPr>
                <w:rFonts w:hint="eastAsia" w:ascii="宋体" w:hAnsi="宋体" w:eastAsia="宋体" w:cs="宋体"/>
                <w:color w:val="auto"/>
                <w:sz w:val="24"/>
                <w:szCs w:val="24"/>
                <w:lang w:val="zh-CN"/>
              </w:rPr>
            </w:pPr>
          </w:p>
        </w:tc>
      </w:tr>
      <w:tr w14:paraId="2CFA8C4D">
        <w:tblPrEx>
          <w:tblCellMar>
            <w:top w:w="0" w:type="dxa"/>
            <w:left w:w="28" w:type="dxa"/>
            <w:bottom w:w="0" w:type="dxa"/>
            <w:right w:w="28" w:type="dxa"/>
          </w:tblCellMar>
        </w:tblPrEx>
        <w:trPr>
          <w:trHeight w:val="23" w:hRule="atLeast"/>
          <w:jc w:val="center"/>
        </w:trPr>
        <w:tc>
          <w:tcPr>
            <w:tcW w:w="2328" w:type="dxa"/>
            <w:gridSpan w:val="2"/>
            <w:tcBorders>
              <w:top w:val="single" w:color="000000" w:sz="6" w:space="0"/>
              <w:left w:val="single" w:color="000000" w:sz="8" w:space="0"/>
              <w:bottom w:val="single" w:color="000000" w:sz="8" w:space="0"/>
              <w:right w:val="single" w:color="000000" w:sz="6" w:space="0"/>
            </w:tcBorders>
            <w:vAlign w:val="center"/>
          </w:tcPr>
          <w:p w14:paraId="661B3BAA">
            <w:pPr>
              <w:autoSpaceDE w:val="0"/>
              <w:autoSpaceDN w:val="0"/>
              <w:spacing w:line="36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总价</w:t>
            </w:r>
          </w:p>
        </w:tc>
        <w:tc>
          <w:tcPr>
            <w:tcW w:w="7877" w:type="dxa"/>
            <w:gridSpan w:val="8"/>
            <w:tcBorders>
              <w:top w:val="single" w:color="000000" w:sz="6" w:space="0"/>
              <w:left w:val="single" w:color="000000" w:sz="6" w:space="0"/>
              <w:bottom w:val="single" w:color="000000" w:sz="8" w:space="0"/>
              <w:right w:val="single" w:color="000000" w:sz="8" w:space="0"/>
            </w:tcBorders>
            <w:vAlign w:val="center"/>
          </w:tcPr>
          <w:p w14:paraId="28CD08E5">
            <w:pPr>
              <w:autoSpaceDE w:val="0"/>
              <w:autoSpaceDN w:val="0"/>
              <w:spacing w:line="360" w:lineRule="auto"/>
              <w:ind w:firstLine="0" w:firstLineChars="0"/>
              <w:rPr>
                <w:rFonts w:hint="eastAsia" w:ascii="宋体" w:hAnsi="宋体" w:eastAsia="宋体" w:cs="宋体"/>
                <w:color w:val="auto"/>
                <w:sz w:val="24"/>
                <w:szCs w:val="24"/>
                <w:lang w:val="zh-CN"/>
              </w:rPr>
            </w:pPr>
          </w:p>
        </w:tc>
      </w:tr>
    </w:tbl>
    <w:p w14:paraId="78755ED3">
      <w:pPr>
        <w:spacing w:line="360" w:lineRule="auto"/>
        <w:ind w:left="0"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注：</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本表应按照“（二）项目概况及技术参数”</w:t>
      </w:r>
      <w:r>
        <w:rPr>
          <w:rFonts w:hint="eastAsia" w:ascii="宋体" w:hAnsi="宋体" w:eastAsia="宋体" w:cs="宋体"/>
          <w:b/>
          <w:bCs/>
          <w:color w:val="auto"/>
          <w:sz w:val="24"/>
          <w:szCs w:val="24"/>
          <w:lang w:val="zh-CN"/>
        </w:rPr>
        <w:t>每包中的产品序号按顺序逐项填写，不得遗漏，</w:t>
      </w:r>
      <w:r>
        <w:rPr>
          <w:rFonts w:hint="eastAsia" w:ascii="宋体" w:hAnsi="宋体" w:eastAsia="宋体" w:cs="宋体"/>
          <w:b/>
          <w:bCs/>
          <w:color w:val="auto"/>
          <w:sz w:val="24"/>
          <w:szCs w:val="24"/>
        </w:rPr>
        <w:t>否则</w:t>
      </w:r>
      <w:r>
        <w:rPr>
          <w:rFonts w:hint="eastAsia" w:ascii="宋体" w:hAnsi="宋体" w:eastAsia="宋体" w:cs="宋体"/>
          <w:b/>
          <w:bCs/>
          <w:color w:val="auto"/>
          <w:sz w:val="24"/>
          <w:szCs w:val="24"/>
          <w:lang w:eastAsia="zh-CN"/>
        </w:rPr>
        <w:t>响应无效</w:t>
      </w:r>
      <w:r>
        <w:rPr>
          <w:rFonts w:hint="eastAsia" w:ascii="宋体" w:hAnsi="宋体" w:eastAsia="宋体" w:cs="宋体"/>
          <w:b/>
          <w:bCs/>
          <w:color w:val="auto"/>
          <w:sz w:val="24"/>
          <w:szCs w:val="24"/>
          <w:lang w:val="zh-CN"/>
        </w:rPr>
        <w:t>。</w:t>
      </w:r>
    </w:p>
    <w:p w14:paraId="3706D9C4">
      <w:pPr>
        <w:spacing w:line="360" w:lineRule="auto"/>
        <w:ind w:left="0"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2.磋商报价不能有两个或两个以上的报价方案。</w:t>
      </w:r>
      <w:r>
        <w:rPr>
          <w:rFonts w:hint="eastAsia" w:ascii="宋体" w:hAnsi="宋体" w:eastAsia="宋体" w:cs="宋体"/>
          <w:b/>
          <w:bCs/>
          <w:color w:val="auto"/>
          <w:sz w:val="24"/>
          <w:szCs w:val="24"/>
          <w:lang w:val="zh-CN"/>
        </w:rPr>
        <w:t>否则，</w:t>
      </w:r>
      <w:r>
        <w:rPr>
          <w:rFonts w:hint="eastAsia" w:ascii="宋体" w:hAnsi="宋体" w:eastAsia="宋体" w:cs="宋体"/>
          <w:b/>
          <w:bCs/>
          <w:color w:val="auto"/>
          <w:sz w:val="24"/>
          <w:szCs w:val="24"/>
          <w:lang w:val="zh-CN" w:eastAsia="zh-CN"/>
        </w:rPr>
        <w:t>响应无效</w:t>
      </w:r>
      <w:r>
        <w:rPr>
          <w:rFonts w:hint="eastAsia" w:ascii="宋体" w:hAnsi="宋体" w:eastAsia="宋体" w:cs="宋体"/>
          <w:b/>
          <w:bCs/>
          <w:color w:val="auto"/>
          <w:sz w:val="24"/>
          <w:szCs w:val="24"/>
          <w:lang w:val="zh-CN"/>
        </w:rPr>
        <w:t>。</w:t>
      </w:r>
    </w:p>
    <w:p w14:paraId="10200ED6">
      <w:pPr>
        <w:spacing w:line="360" w:lineRule="auto"/>
        <w:ind w:left="0" w:leftChars="0" w:firstLine="0" w:firstLineChars="0"/>
        <w:jc w:val="left"/>
        <w:rPr>
          <w:rFonts w:hint="eastAsia" w:ascii="宋体" w:hAnsi="宋体" w:eastAsia="宋体" w:cs="宋体"/>
          <w:color w:val="auto"/>
          <w:sz w:val="24"/>
          <w:szCs w:val="24"/>
          <w:lang w:val="en-US" w:eastAsia="zh-CN"/>
        </w:rPr>
      </w:pPr>
    </w:p>
    <w:p w14:paraId="27210563">
      <w:pPr>
        <w:spacing w:line="360" w:lineRule="auto"/>
        <w:ind w:firstLine="0" w:firstLineChars="0"/>
        <w:textAlignment w:val="baseline"/>
        <w:rPr>
          <w:rFonts w:hint="eastAsia" w:ascii="宋体" w:hAnsi="宋体" w:eastAsia="宋体" w:cs="宋体"/>
          <w:color w:val="auto"/>
          <w:sz w:val="24"/>
          <w:szCs w:val="24"/>
        </w:rPr>
      </w:pPr>
    </w:p>
    <w:p w14:paraId="3DA49483">
      <w:pPr>
        <w:spacing w:line="360" w:lineRule="auto"/>
        <w:ind w:firstLine="0" w:firstLineChars="0"/>
        <w:textAlignment w:val="baseline"/>
        <w:rPr>
          <w:rFonts w:hint="eastAsia" w:ascii="宋体" w:hAnsi="宋体" w:eastAsia="宋体" w:cs="宋体"/>
          <w:color w:val="auto"/>
          <w:sz w:val="24"/>
          <w:szCs w:val="24"/>
        </w:rPr>
      </w:pPr>
    </w:p>
    <w:p w14:paraId="01C2A56D">
      <w:pPr>
        <w:spacing w:line="360" w:lineRule="auto"/>
        <w:ind w:firstLine="0" w:firstLineChars="0"/>
        <w:textAlignment w:val="baseline"/>
        <w:rPr>
          <w:rFonts w:hint="eastAsia" w:ascii="宋体" w:hAnsi="宋体" w:eastAsia="宋体" w:cs="宋体"/>
          <w:color w:val="auto"/>
          <w:sz w:val="24"/>
          <w:szCs w:val="24"/>
        </w:rPr>
      </w:pPr>
    </w:p>
    <w:p w14:paraId="474D8B2B">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供应商：</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（公章）</w:t>
      </w:r>
    </w:p>
    <w:p w14:paraId="6C5A4E25">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（签字或盖章）</w:t>
      </w:r>
    </w:p>
    <w:p w14:paraId="55BEDFBF">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年   月 </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 xml:space="preserve"> 日</w:t>
      </w:r>
    </w:p>
    <w:p w14:paraId="17FB76AB">
      <w:pPr>
        <w:wordWrap w:val="0"/>
        <w:spacing w:line="360" w:lineRule="auto"/>
        <w:ind w:firstLine="0" w:firstLineChars="0"/>
        <w:jc w:val="both"/>
        <w:rPr>
          <w:rFonts w:hint="eastAsia" w:ascii="宋体" w:hAnsi="宋体" w:eastAsia="宋体" w:cs="宋体"/>
          <w:b/>
          <w:color w:val="auto"/>
          <w:sz w:val="24"/>
          <w:szCs w:val="24"/>
        </w:rPr>
      </w:pPr>
      <w:bookmarkStart w:id="188" w:name="_Toc13693"/>
      <w:bookmarkStart w:id="189" w:name="_Toc14675"/>
      <w:r>
        <w:rPr>
          <w:rFonts w:hint="eastAsia" w:ascii="宋体" w:hAnsi="宋体" w:eastAsia="宋体" w:cs="宋体"/>
          <w:b/>
          <w:color w:val="auto"/>
          <w:sz w:val="24"/>
          <w:szCs w:val="24"/>
        </w:rPr>
        <w:br w:type="page"/>
      </w:r>
    </w:p>
    <w:p w14:paraId="3E3877D1">
      <w:pPr>
        <w:keepNext/>
        <w:pageBreakBefore/>
        <w:widowControl/>
        <w:spacing w:line="360" w:lineRule="auto"/>
        <w:ind w:firstLine="0" w:firstLineChars="0"/>
        <w:outlineLvl w:val="1"/>
        <w:rPr>
          <w:rFonts w:hint="eastAsia" w:ascii="宋体" w:hAnsi="宋体" w:eastAsia="宋体" w:cs="宋体"/>
          <w:color w:val="auto"/>
          <w:sz w:val="24"/>
          <w:szCs w:val="24"/>
          <w:lang w:eastAsia="zh-CN"/>
        </w:rPr>
      </w:pPr>
      <w:bookmarkStart w:id="190" w:name="_Toc17899"/>
      <w:r>
        <w:rPr>
          <w:rFonts w:hint="eastAsia" w:ascii="宋体" w:hAnsi="宋体" w:eastAsia="宋体" w:cs="宋体"/>
          <w:b/>
          <w:color w:val="auto"/>
          <w:sz w:val="24"/>
          <w:szCs w:val="24"/>
          <w:lang w:eastAsia="zh-CN"/>
        </w:rPr>
        <w:t>附件</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lang w:eastAsia="zh-CN"/>
        </w:rPr>
        <w:t>：技术规格响应表</w:t>
      </w:r>
      <w:bookmarkEnd w:id="190"/>
    </w:p>
    <w:p w14:paraId="0315A27F">
      <w:pPr>
        <w:autoSpaceDE w:val="0"/>
        <w:autoSpaceDN w:val="0"/>
        <w:spacing w:line="360" w:lineRule="auto"/>
        <w:ind w:firstLine="0" w:firstLineChars="0"/>
        <w:rPr>
          <w:rFonts w:hint="eastAsia" w:ascii="宋体" w:hAnsi="宋体" w:eastAsia="宋体" w:cs="宋体"/>
          <w:color w:val="auto"/>
          <w:sz w:val="24"/>
          <w:szCs w:val="24"/>
          <w:lang w:val="zh-CN"/>
        </w:rPr>
      </w:pPr>
    </w:p>
    <w:p w14:paraId="51408F8A">
      <w:pPr>
        <w:autoSpaceDE w:val="0"/>
        <w:autoSpaceDN w:val="0"/>
        <w:spacing w:line="360" w:lineRule="auto"/>
        <w:ind w:firstLine="0" w:firstLineChars="0"/>
        <w:jc w:val="center"/>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技术规格响应表</w:t>
      </w:r>
    </w:p>
    <w:p w14:paraId="6D9A2CD3">
      <w:pPr>
        <w:autoSpaceDE w:val="0"/>
        <w:autoSpaceDN w:val="0"/>
        <w:spacing w:line="360" w:lineRule="auto"/>
        <w:ind w:firstLine="0" w:firstLine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zh-CN"/>
        </w:rPr>
        <w:t>供应商名称</w:t>
      </w:r>
      <w:r>
        <w:rPr>
          <w:rFonts w:hint="eastAsia" w:ascii="宋体" w:hAnsi="宋体" w:eastAsia="宋体" w:cs="宋体"/>
          <w:b/>
          <w:bCs/>
          <w:color w:val="auto"/>
          <w:sz w:val="24"/>
          <w:szCs w:val="24"/>
        </w:rPr>
        <w:t>：</w:t>
      </w:r>
    </w:p>
    <w:p w14:paraId="324EAF7C">
      <w:pPr>
        <w:autoSpaceDE w:val="0"/>
        <w:autoSpaceDN w:val="0"/>
        <w:spacing w:line="360" w:lineRule="auto"/>
        <w:ind w:firstLine="0" w:firstLine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包号：</w:t>
      </w:r>
    </w:p>
    <w:tbl>
      <w:tblPr>
        <w:tblStyle w:val="25"/>
        <w:tblW w:w="8617" w:type="dxa"/>
        <w:jc w:val="center"/>
        <w:tblLayout w:type="fixed"/>
        <w:tblCellMar>
          <w:top w:w="0" w:type="dxa"/>
          <w:left w:w="28" w:type="dxa"/>
          <w:bottom w:w="0" w:type="dxa"/>
          <w:right w:w="28" w:type="dxa"/>
        </w:tblCellMar>
      </w:tblPr>
      <w:tblGrid>
        <w:gridCol w:w="616"/>
        <w:gridCol w:w="1233"/>
        <w:gridCol w:w="2378"/>
        <w:gridCol w:w="1247"/>
        <w:gridCol w:w="2467"/>
        <w:gridCol w:w="676"/>
      </w:tblGrid>
      <w:tr w14:paraId="6539F183">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608640B1">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3611" w:type="dxa"/>
            <w:gridSpan w:val="2"/>
            <w:tcBorders>
              <w:top w:val="single" w:color="000000" w:sz="6" w:space="0"/>
              <w:left w:val="single" w:color="000000" w:sz="6" w:space="0"/>
              <w:bottom w:val="single" w:color="000000" w:sz="6" w:space="0"/>
              <w:right w:val="single" w:color="000000" w:sz="6" w:space="0"/>
            </w:tcBorders>
            <w:vAlign w:val="center"/>
          </w:tcPr>
          <w:p w14:paraId="1B8FCBFF">
            <w:pPr>
              <w:autoSpaceDE w:val="0"/>
              <w:autoSpaceDN w:val="0"/>
              <w:spacing w:line="36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采购需求技术参数、指标</w:t>
            </w:r>
          </w:p>
        </w:tc>
        <w:tc>
          <w:tcPr>
            <w:tcW w:w="3714" w:type="dxa"/>
            <w:gridSpan w:val="2"/>
            <w:tcBorders>
              <w:top w:val="single" w:color="000000" w:sz="6" w:space="0"/>
              <w:left w:val="single" w:color="000000" w:sz="6" w:space="0"/>
              <w:bottom w:val="single" w:color="000000" w:sz="6" w:space="0"/>
              <w:right w:val="single" w:color="000000" w:sz="6" w:space="0"/>
            </w:tcBorders>
            <w:vAlign w:val="center"/>
          </w:tcPr>
          <w:p w14:paraId="3513A7F5">
            <w:pPr>
              <w:autoSpaceDE w:val="0"/>
              <w:autoSpaceDN w:val="0"/>
              <w:spacing w:line="36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投标产品技术参数、指标</w:t>
            </w:r>
          </w:p>
        </w:tc>
        <w:tc>
          <w:tcPr>
            <w:tcW w:w="676" w:type="dxa"/>
            <w:tcBorders>
              <w:top w:val="single" w:color="000000" w:sz="6" w:space="0"/>
              <w:left w:val="single" w:color="000000" w:sz="6" w:space="0"/>
              <w:bottom w:val="single" w:color="000000" w:sz="6" w:space="0"/>
              <w:right w:val="single" w:color="000000" w:sz="6" w:space="0"/>
            </w:tcBorders>
            <w:vAlign w:val="center"/>
          </w:tcPr>
          <w:p w14:paraId="279CBCB0">
            <w:pPr>
              <w:autoSpaceDE w:val="0"/>
              <w:autoSpaceDN w:val="0"/>
              <w:spacing w:line="36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偏离</w:t>
            </w:r>
          </w:p>
        </w:tc>
      </w:tr>
      <w:tr w14:paraId="465DDBF6">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3F6DAFAC">
            <w:pPr>
              <w:autoSpaceDE w:val="0"/>
              <w:autoSpaceDN w:val="0"/>
              <w:spacing w:line="36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序号</w:t>
            </w:r>
          </w:p>
        </w:tc>
        <w:tc>
          <w:tcPr>
            <w:tcW w:w="1233" w:type="dxa"/>
            <w:tcBorders>
              <w:top w:val="single" w:color="000000" w:sz="6" w:space="0"/>
              <w:left w:val="single" w:color="000000" w:sz="6" w:space="0"/>
              <w:bottom w:val="single" w:color="000000" w:sz="6" w:space="0"/>
              <w:right w:val="single" w:color="000000" w:sz="6" w:space="0"/>
            </w:tcBorders>
            <w:vAlign w:val="center"/>
          </w:tcPr>
          <w:p w14:paraId="4CCBCCF4">
            <w:pPr>
              <w:autoSpaceDE w:val="0"/>
              <w:autoSpaceDN w:val="0"/>
              <w:spacing w:line="36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名称</w:t>
            </w:r>
          </w:p>
        </w:tc>
        <w:tc>
          <w:tcPr>
            <w:tcW w:w="2378" w:type="dxa"/>
            <w:tcBorders>
              <w:top w:val="single" w:color="000000" w:sz="6" w:space="0"/>
              <w:left w:val="single" w:color="000000" w:sz="6" w:space="0"/>
              <w:bottom w:val="single" w:color="000000" w:sz="6" w:space="0"/>
              <w:right w:val="single" w:color="000000" w:sz="6" w:space="0"/>
            </w:tcBorders>
            <w:vAlign w:val="center"/>
          </w:tcPr>
          <w:p w14:paraId="5F7A5C24">
            <w:pPr>
              <w:autoSpaceDE w:val="0"/>
              <w:autoSpaceDN w:val="0"/>
              <w:spacing w:line="360" w:lineRule="auto"/>
              <w:ind w:firstLine="0" w:firstLineChars="0"/>
              <w:jc w:val="center"/>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采购需求</w:t>
            </w:r>
          </w:p>
        </w:tc>
        <w:tc>
          <w:tcPr>
            <w:tcW w:w="1247" w:type="dxa"/>
            <w:tcBorders>
              <w:top w:val="single" w:color="000000" w:sz="6" w:space="0"/>
              <w:left w:val="single" w:color="000000" w:sz="6" w:space="0"/>
              <w:bottom w:val="single" w:color="000000" w:sz="6" w:space="0"/>
              <w:right w:val="single" w:color="000000" w:sz="6" w:space="0"/>
            </w:tcBorders>
            <w:vAlign w:val="center"/>
          </w:tcPr>
          <w:p w14:paraId="41265392">
            <w:pPr>
              <w:autoSpaceDE w:val="0"/>
              <w:autoSpaceDN w:val="0"/>
              <w:spacing w:line="36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名称</w:t>
            </w:r>
          </w:p>
        </w:tc>
        <w:tc>
          <w:tcPr>
            <w:tcW w:w="2467" w:type="dxa"/>
            <w:tcBorders>
              <w:top w:val="single" w:color="000000" w:sz="6" w:space="0"/>
              <w:left w:val="single" w:color="000000" w:sz="6" w:space="0"/>
              <w:bottom w:val="single" w:color="000000" w:sz="6" w:space="0"/>
              <w:right w:val="single" w:color="000000" w:sz="6" w:space="0"/>
            </w:tcBorders>
            <w:vAlign w:val="center"/>
          </w:tcPr>
          <w:p w14:paraId="16F3AF73">
            <w:pPr>
              <w:autoSpaceDE w:val="0"/>
              <w:autoSpaceDN w:val="0"/>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投标响应</w:t>
            </w:r>
          </w:p>
        </w:tc>
        <w:tc>
          <w:tcPr>
            <w:tcW w:w="676" w:type="dxa"/>
            <w:tcBorders>
              <w:top w:val="single" w:color="000000" w:sz="6" w:space="0"/>
              <w:left w:val="single" w:color="000000" w:sz="6" w:space="0"/>
              <w:bottom w:val="single" w:color="000000" w:sz="6" w:space="0"/>
              <w:right w:val="single" w:color="000000" w:sz="6" w:space="0"/>
            </w:tcBorders>
            <w:vAlign w:val="center"/>
          </w:tcPr>
          <w:p w14:paraId="20BFE2BB">
            <w:pPr>
              <w:autoSpaceDE w:val="0"/>
              <w:autoSpaceDN w:val="0"/>
              <w:spacing w:line="360" w:lineRule="auto"/>
              <w:ind w:firstLine="0" w:firstLineChars="0"/>
              <w:jc w:val="center"/>
              <w:rPr>
                <w:rFonts w:hint="eastAsia" w:ascii="宋体" w:hAnsi="宋体" w:eastAsia="宋体" w:cs="宋体"/>
                <w:color w:val="auto"/>
                <w:sz w:val="24"/>
                <w:szCs w:val="24"/>
                <w:lang w:val="zh-CN"/>
              </w:rPr>
            </w:pPr>
          </w:p>
        </w:tc>
      </w:tr>
      <w:tr w14:paraId="3CF46A2C">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0FF403E7">
            <w:pPr>
              <w:autoSpaceDE w:val="0"/>
              <w:autoSpaceDN w:val="0"/>
              <w:spacing w:line="36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p>
        </w:tc>
        <w:tc>
          <w:tcPr>
            <w:tcW w:w="1233" w:type="dxa"/>
            <w:tcBorders>
              <w:top w:val="single" w:color="000000" w:sz="6" w:space="0"/>
              <w:left w:val="single" w:color="000000" w:sz="6" w:space="0"/>
              <w:bottom w:val="single" w:color="000000" w:sz="6" w:space="0"/>
              <w:right w:val="single" w:color="000000" w:sz="6" w:space="0"/>
            </w:tcBorders>
            <w:vAlign w:val="center"/>
          </w:tcPr>
          <w:p w14:paraId="799F7060">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119C87AD">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1247" w:type="dxa"/>
            <w:tcBorders>
              <w:top w:val="single" w:color="000000" w:sz="6" w:space="0"/>
              <w:left w:val="single" w:color="000000" w:sz="6" w:space="0"/>
              <w:bottom w:val="single" w:color="000000" w:sz="6" w:space="0"/>
              <w:right w:val="single" w:color="000000" w:sz="6" w:space="0"/>
            </w:tcBorders>
            <w:vAlign w:val="center"/>
          </w:tcPr>
          <w:p w14:paraId="56FC16C3">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2467" w:type="dxa"/>
            <w:tcBorders>
              <w:top w:val="single" w:color="000000" w:sz="6" w:space="0"/>
              <w:left w:val="single" w:color="000000" w:sz="6" w:space="0"/>
              <w:bottom w:val="single" w:color="000000" w:sz="6" w:space="0"/>
              <w:right w:val="single" w:color="000000" w:sz="6" w:space="0"/>
            </w:tcBorders>
            <w:vAlign w:val="center"/>
          </w:tcPr>
          <w:p w14:paraId="35C9854D">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676" w:type="dxa"/>
            <w:tcBorders>
              <w:top w:val="single" w:color="000000" w:sz="6" w:space="0"/>
              <w:left w:val="single" w:color="000000" w:sz="6" w:space="0"/>
              <w:bottom w:val="single" w:color="000000" w:sz="6" w:space="0"/>
              <w:right w:val="single" w:color="000000" w:sz="6" w:space="0"/>
            </w:tcBorders>
            <w:vAlign w:val="center"/>
          </w:tcPr>
          <w:p w14:paraId="029B3676">
            <w:pPr>
              <w:autoSpaceDE w:val="0"/>
              <w:autoSpaceDN w:val="0"/>
              <w:spacing w:line="360" w:lineRule="auto"/>
              <w:ind w:firstLine="0" w:firstLineChars="0"/>
              <w:jc w:val="center"/>
              <w:rPr>
                <w:rFonts w:hint="eastAsia" w:ascii="宋体" w:hAnsi="宋体" w:eastAsia="宋体" w:cs="宋体"/>
                <w:color w:val="auto"/>
                <w:sz w:val="24"/>
                <w:szCs w:val="24"/>
                <w:lang w:val="zh-CN"/>
              </w:rPr>
            </w:pPr>
          </w:p>
        </w:tc>
      </w:tr>
      <w:tr w14:paraId="3D8A904B">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414EF546">
            <w:pPr>
              <w:autoSpaceDE w:val="0"/>
              <w:autoSpaceDN w:val="0"/>
              <w:spacing w:line="36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p>
        </w:tc>
        <w:tc>
          <w:tcPr>
            <w:tcW w:w="1233" w:type="dxa"/>
            <w:tcBorders>
              <w:top w:val="single" w:color="000000" w:sz="6" w:space="0"/>
              <w:left w:val="single" w:color="000000" w:sz="6" w:space="0"/>
              <w:bottom w:val="single" w:color="000000" w:sz="6" w:space="0"/>
              <w:right w:val="single" w:color="000000" w:sz="6" w:space="0"/>
            </w:tcBorders>
            <w:vAlign w:val="center"/>
          </w:tcPr>
          <w:p w14:paraId="33171731">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224642CA">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1247" w:type="dxa"/>
            <w:tcBorders>
              <w:top w:val="single" w:color="000000" w:sz="6" w:space="0"/>
              <w:left w:val="single" w:color="000000" w:sz="6" w:space="0"/>
              <w:bottom w:val="single" w:color="000000" w:sz="6" w:space="0"/>
              <w:right w:val="single" w:color="000000" w:sz="6" w:space="0"/>
            </w:tcBorders>
            <w:vAlign w:val="center"/>
          </w:tcPr>
          <w:p w14:paraId="0B21B3D9">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2467" w:type="dxa"/>
            <w:tcBorders>
              <w:top w:val="single" w:color="000000" w:sz="6" w:space="0"/>
              <w:left w:val="single" w:color="000000" w:sz="6" w:space="0"/>
              <w:bottom w:val="single" w:color="000000" w:sz="6" w:space="0"/>
              <w:right w:val="single" w:color="000000" w:sz="6" w:space="0"/>
            </w:tcBorders>
            <w:vAlign w:val="center"/>
          </w:tcPr>
          <w:p w14:paraId="056B18CE">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676" w:type="dxa"/>
            <w:tcBorders>
              <w:top w:val="single" w:color="000000" w:sz="6" w:space="0"/>
              <w:left w:val="single" w:color="000000" w:sz="6" w:space="0"/>
              <w:bottom w:val="single" w:color="000000" w:sz="6" w:space="0"/>
              <w:right w:val="single" w:color="000000" w:sz="6" w:space="0"/>
            </w:tcBorders>
            <w:vAlign w:val="center"/>
          </w:tcPr>
          <w:p w14:paraId="095E8FE9">
            <w:pPr>
              <w:autoSpaceDE w:val="0"/>
              <w:autoSpaceDN w:val="0"/>
              <w:spacing w:line="360" w:lineRule="auto"/>
              <w:ind w:firstLine="0" w:firstLineChars="0"/>
              <w:jc w:val="center"/>
              <w:rPr>
                <w:rFonts w:hint="eastAsia" w:ascii="宋体" w:hAnsi="宋体" w:eastAsia="宋体" w:cs="宋体"/>
                <w:color w:val="auto"/>
                <w:sz w:val="24"/>
                <w:szCs w:val="24"/>
                <w:lang w:val="zh-CN"/>
              </w:rPr>
            </w:pPr>
          </w:p>
        </w:tc>
      </w:tr>
      <w:tr w14:paraId="1C54A5FF">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586ED076">
            <w:pPr>
              <w:autoSpaceDE w:val="0"/>
              <w:autoSpaceDN w:val="0"/>
              <w:spacing w:line="36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p>
        </w:tc>
        <w:tc>
          <w:tcPr>
            <w:tcW w:w="1233" w:type="dxa"/>
            <w:tcBorders>
              <w:top w:val="single" w:color="000000" w:sz="6" w:space="0"/>
              <w:left w:val="single" w:color="000000" w:sz="6" w:space="0"/>
              <w:bottom w:val="single" w:color="000000" w:sz="6" w:space="0"/>
              <w:right w:val="single" w:color="000000" w:sz="6" w:space="0"/>
            </w:tcBorders>
            <w:vAlign w:val="center"/>
          </w:tcPr>
          <w:p w14:paraId="36C490F9">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43F82D8F">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1247" w:type="dxa"/>
            <w:tcBorders>
              <w:top w:val="single" w:color="000000" w:sz="6" w:space="0"/>
              <w:left w:val="single" w:color="000000" w:sz="6" w:space="0"/>
              <w:bottom w:val="single" w:color="000000" w:sz="6" w:space="0"/>
              <w:right w:val="single" w:color="000000" w:sz="6" w:space="0"/>
            </w:tcBorders>
            <w:vAlign w:val="center"/>
          </w:tcPr>
          <w:p w14:paraId="48619EDC">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2467" w:type="dxa"/>
            <w:tcBorders>
              <w:top w:val="single" w:color="000000" w:sz="6" w:space="0"/>
              <w:left w:val="single" w:color="000000" w:sz="6" w:space="0"/>
              <w:bottom w:val="single" w:color="000000" w:sz="6" w:space="0"/>
              <w:right w:val="single" w:color="000000" w:sz="6" w:space="0"/>
            </w:tcBorders>
            <w:vAlign w:val="center"/>
          </w:tcPr>
          <w:p w14:paraId="59C477BB">
            <w:pPr>
              <w:autoSpaceDE w:val="0"/>
              <w:autoSpaceDN w:val="0"/>
              <w:spacing w:line="360" w:lineRule="auto"/>
              <w:ind w:firstLine="0" w:firstLineChars="0"/>
              <w:jc w:val="center"/>
              <w:rPr>
                <w:rFonts w:hint="eastAsia" w:ascii="宋体" w:hAnsi="宋体" w:eastAsia="宋体" w:cs="宋体"/>
                <w:color w:val="auto"/>
                <w:sz w:val="24"/>
                <w:szCs w:val="24"/>
                <w:lang w:val="zh-CN"/>
              </w:rPr>
            </w:pPr>
          </w:p>
        </w:tc>
        <w:tc>
          <w:tcPr>
            <w:tcW w:w="676" w:type="dxa"/>
            <w:tcBorders>
              <w:top w:val="single" w:color="000000" w:sz="6" w:space="0"/>
              <w:left w:val="single" w:color="000000" w:sz="6" w:space="0"/>
              <w:bottom w:val="single" w:color="000000" w:sz="6" w:space="0"/>
              <w:right w:val="single" w:color="000000" w:sz="6" w:space="0"/>
            </w:tcBorders>
            <w:vAlign w:val="center"/>
          </w:tcPr>
          <w:p w14:paraId="2229F5B5">
            <w:pPr>
              <w:autoSpaceDE w:val="0"/>
              <w:autoSpaceDN w:val="0"/>
              <w:spacing w:line="360" w:lineRule="auto"/>
              <w:ind w:firstLine="0" w:firstLineChars="0"/>
              <w:jc w:val="center"/>
              <w:rPr>
                <w:rFonts w:hint="eastAsia" w:ascii="宋体" w:hAnsi="宋体" w:eastAsia="宋体" w:cs="宋体"/>
                <w:color w:val="auto"/>
                <w:sz w:val="24"/>
                <w:szCs w:val="24"/>
                <w:lang w:val="zh-CN"/>
              </w:rPr>
            </w:pPr>
          </w:p>
        </w:tc>
      </w:tr>
    </w:tbl>
    <w:p w14:paraId="4010BBF8">
      <w:pPr>
        <w:autoSpaceDE w:val="0"/>
        <w:autoSpaceDN w:val="0"/>
        <w:spacing w:line="360" w:lineRule="auto"/>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注：1.本表应按照“（二）项目概况及技术参数”</w:t>
      </w:r>
      <w:r>
        <w:rPr>
          <w:rFonts w:hint="eastAsia" w:ascii="宋体" w:hAnsi="宋体" w:eastAsia="宋体" w:cs="宋体"/>
          <w:b/>
          <w:bCs/>
          <w:color w:val="auto"/>
          <w:sz w:val="24"/>
          <w:szCs w:val="24"/>
          <w:lang w:val="zh-CN"/>
        </w:rPr>
        <w:t>每包中产品序号的指标逐项填写，不得遗漏，否则响应无效</w:t>
      </w:r>
      <w:r>
        <w:rPr>
          <w:rFonts w:hint="eastAsia" w:ascii="宋体" w:hAnsi="宋体" w:eastAsia="宋体" w:cs="宋体"/>
          <w:color w:val="auto"/>
          <w:sz w:val="24"/>
          <w:szCs w:val="24"/>
          <w:lang w:val="zh-CN"/>
        </w:rPr>
        <w:t>。</w:t>
      </w:r>
    </w:p>
    <w:p w14:paraId="6DA24EE4">
      <w:pPr>
        <w:autoSpaceDE w:val="0"/>
        <w:autoSpaceDN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2.供应商须如实填写“技术规格响应表”，在“投标产品技术参数、指标”栏中列出所投产品的具体技术参数、指标，否则将视为该项指标不响应，按负偏离处理。</w:t>
      </w:r>
    </w:p>
    <w:p w14:paraId="71AAF6B7">
      <w:pPr>
        <w:autoSpaceDE w:val="0"/>
        <w:autoSpaceDN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“投标产品技术参数、指标”</w:t>
      </w:r>
      <w:r>
        <w:rPr>
          <w:rFonts w:hint="eastAsia" w:ascii="宋体" w:hAnsi="宋体" w:eastAsia="宋体" w:cs="宋体"/>
          <w:color w:val="auto"/>
          <w:sz w:val="24"/>
          <w:szCs w:val="24"/>
          <w:lang w:val="en-US" w:eastAsia="zh-CN"/>
        </w:rPr>
        <w:t>应</w:t>
      </w:r>
      <w:r>
        <w:rPr>
          <w:rFonts w:hint="eastAsia" w:ascii="宋体" w:hAnsi="宋体" w:eastAsia="宋体" w:cs="宋体"/>
          <w:color w:val="auto"/>
          <w:sz w:val="24"/>
          <w:szCs w:val="24"/>
          <w:lang w:val="zh-CN"/>
        </w:rPr>
        <w:t>与</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val="zh-CN"/>
        </w:rPr>
        <w:t>文件中提供的</w:t>
      </w:r>
      <w:r>
        <w:rPr>
          <w:rFonts w:hint="eastAsia" w:ascii="宋体" w:hAnsi="宋体" w:eastAsia="宋体" w:cs="宋体"/>
          <w:color w:val="auto"/>
          <w:sz w:val="24"/>
          <w:szCs w:val="24"/>
          <w:lang w:val="zh-CN" w:eastAsia="zh-CN"/>
        </w:rPr>
        <w:t>产品检验（检测）报告或</w:t>
      </w:r>
      <w:r>
        <w:rPr>
          <w:rFonts w:hint="eastAsia" w:ascii="宋体" w:hAnsi="宋体" w:eastAsia="宋体" w:cs="宋体"/>
          <w:color w:val="auto"/>
          <w:sz w:val="24"/>
          <w:szCs w:val="24"/>
          <w:lang w:val="en-US" w:eastAsia="zh-CN"/>
        </w:rPr>
        <w:t>生产</w:t>
      </w:r>
      <w:r>
        <w:rPr>
          <w:rFonts w:hint="eastAsia" w:ascii="宋体" w:hAnsi="宋体" w:eastAsia="宋体" w:cs="宋体"/>
          <w:color w:val="auto"/>
          <w:sz w:val="24"/>
          <w:szCs w:val="24"/>
          <w:lang w:val="zh-CN" w:eastAsia="zh-CN"/>
        </w:rPr>
        <w:t>厂家公开发布的</w:t>
      </w:r>
      <w:r>
        <w:rPr>
          <w:rFonts w:hint="eastAsia" w:ascii="宋体" w:hAnsi="宋体" w:eastAsia="宋体" w:cs="宋体"/>
          <w:color w:val="auto"/>
          <w:sz w:val="24"/>
          <w:szCs w:val="24"/>
          <w:lang w:val="en-US" w:eastAsia="zh-CN"/>
        </w:rPr>
        <w:t>产品彩页（技术白皮书）等技术</w:t>
      </w:r>
      <w:r>
        <w:rPr>
          <w:rFonts w:hint="eastAsia" w:ascii="宋体" w:hAnsi="宋体" w:eastAsia="宋体" w:cs="宋体"/>
          <w:color w:val="auto"/>
          <w:sz w:val="24"/>
          <w:szCs w:val="24"/>
          <w:lang w:val="zh-CN" w:eastAsia="zh-CN"/>
        </w:rPr>
        <w:t>参数证明材料</w:t>
      </w:r>
      <w:r>
        <w:rPr>
          <w:rFonts w:hint="eastAsia" w:ascii="宋体" w:hAnsi="宋体" w:eastAsia="宋体" w:cs="宋体"/>
          <w:color w:val="auto"/>
          <w:sz w:val="24"/>
          <w:szCs w:val="24"/>
          <w:lang w:val="zh-CN"/>
        </w:rPr>
        <w:t>的实质性响应情况相一致。若在</w:t>
      </w:r>
      <w:r>
        <w:rPr>
          <w:rFonts w:hint="eastAsia" w:ascii="宋体" w:hAnsi="宋体" w:eastAsia="宋体" w:cs="宋体"/>
          <w:color w:val="auto"/>
          <w:sz w:val="24"/>
          <w:szCs w:val="24"/>
          <w:lang w:val="en-US" w:eastAsia="zh-CN"/>
        </w:rPr>
        <w:t>评审</w:t>
      </w:r>
      <w:r>
        <w:rPr>
          <w:rFonts w:hint="eastAsia" w:ascii="宋体" w:hAnsi="宋体" w:eastAsia="宋体" w:cs="宋体"/>
          <w:color w:val="auto"/>
          <w:sz w:val="24"/>
          <w:szCs w:val="24"/>
          <w:lang w:val="zh-CN"/>
        </w:rPr>
        <w:t>环节发现该项与</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val="zh-CN"/>
        </w:rPr>
        <w:t>文件中提供的</w:t>
      </w:r>
      <w:r>
        <w:rPr>
          <w:rFonts w:hint="eastAsia" w:ascii="宋体" w:hAnsi="宋体" w:eastAsia="宋体" w:cs="宋体"/>
          <w:color w:val="auto"/>
          <w:sz w:val="24"/>
          <w:szCs w:val="24"/>
          <w:lang w:val="zh-CN" w:eastAsia="zh-CN"/>
        </w:rPr>
        <w:t>产品检验（检测）报告或</w:t>
      </w:r>
      <w:r>
        <w:rPr>
          <w:rFonts w:hint="eastAsia" w:ascii="宋体" w:hAnsi="宋体" w:eastAsia="宋体" w:cs="宋体"/>
          <w:color w:val="auto"/>
          <w:sz w:val="24"/>
          <w:szCs w:val="24"/>
          <w:lang w:val="en-US" w:eastAsia="zh-CN"/>
        </w:rPr>
        <w:t>生产</w:t>
      </w:r>
      <w:r>
        <w:rPr>
          <w:rFonts w:hint="eastAsia" w:ascii="宋体" w:hAnsi="宋体" w:eastAsia="宋体" w:cs="宋体"/>
          <w:color w:val="auto"/>
          <w:sz w:val="24"/>
          <w:szCs w:val="24"/>
          <w:lang w:val="zh-CN" w:eastAsia="zh-CN"/>
        </w:rPr>
        <w:t>厂家公开发布的</w:t>
      </w:r>
      <w:r>
        <w:rPr>
          <w:rFonts w:hint="eastAsia" w:ascii="宋体" w:hAnsi="宋体" w:eastAsia="宋体" w:cs="宋体"/>
          <w:color w:val="auto"/>
          <w:sz w:val="24"/>
          <w:szCs w:val="24"/>
          <w:lang w:val="en-US" w:eastAsia="zh-CN"/>
        </w:rPr>
        <w:t>产品彩页（技术白皮书）等技术</w:t>
      </w:r>
      <w:r>
        <w:rPr>
          <w:rFonts w:hint="eastAsia" w:ascii="宋体" w:hAnsi="宋体" w:eastAsia="宋体" w:cs="宋体"/>
          <w:color w:val="auto"/>
          <w:sz w:val="24"/>
          <w:szCs w:val="24"/>
          <w:lang w:val="zh-CN" w:eastAsia="zh-CN"/>
        </w:rPr>
        <w:t>参数证明材料</w:t>
      </w:r>
      <w:r>
        <w:rPr>
          <w:rFonts w:hint="eastAsia" w:ascii="宋体" w:hAnsi="宋体" w:eastAsia="宋体" w:cs="宋体"/>
          <w:color w:val="auto"/>
          <w:sz w:val="24"/>
          <w:szCs w:val="24"/>
          <w:lang w:val="zh-CN"/>
        </w:rPr>
        <w:t>的实质性响应情况不一致或直接复制</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val="zh-CN"/>
        </w:rPr>
        <w:t>文件“采购需求技术参数、指标”内容的，将视为该项指标不响应，</w:t>
      </w:r>
      <w:r>
        <w:rPr>
          <w:rFonts w:hint="eastAsia" w:ascii="宋体" w:hAnsi="宋体" w:eastAsia="宋体" w:cs="宋体"/>
          <w:color w:val="auto"/>
          <w:sz w:val="24"/>
          <w:szCs w:val="24"/>
          <w:lang w:val="zh-CN" w:eastAsia="zh-CN"/>
        </w:rPr>
        <w:t>按负偏离处理</w:t>
      </w:r>
      <w:r>
        <w:rPr>
          <w:rFonts w:hint="eastAsia" w:ascii="宋体" w:hAnsi="宋体" w:eastAsia="宋体" w:cs="宋体"/>
          <w:color w:val="auto"/>
          <w:sz w:val="24"/>
          <w:szCs w:val="24"/>
          <w:lang w:val="zh-CN"/>
        </w:rPr>
        <w:t>。</w:t>
      </w:r>
    </w:p>
    <w:p w14:paraId="1FC6FF27">
      <w:pPr>
        <w:autoSpaceDE w:val="0"/>
        <w:autoSpaceDN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填写此表时以</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val="zh-CN"/>
        </w:rPr>
        <w:t>项目参数要求为基本投标要求，满足</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val="zh-CN"/>
        </w:rPr>
        <w:t>项目参数要求的指标需列出“0”；超出、不满足</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val="zh-CN"/>
        </w:rPr>
        <w:t>项目参数要求的指标需列出“+”、“-”偏差，并做出详细说明；如果只注明“+”、“-”或未填写，将视为该项指标不响应，</w:t>
      </w:r>
      <w:r>
        <w:rPr>
          <w:rFonts w:hint="eastAsia" w:ascii="宋体" w:hAnsi="宋体" w:eastAsia="宋体" w:cs="宋体"/>
          <w:color w:val="auto"/>
          <w:sz w:val="24"/>
          <w:szCs w:val="24"/>
          <w:lang w:val="zh-CN" w:eastAsia="zh-CN"/>
        </w:rPr>
        <w:t>按负偏离处理</w:t>
      </w:r>
      <w:r>
        <w:rPr>
          <w:rFonts w:hint="eastAsia" w:ascii="宋体" w:hAnsi="宋体" w:eastAsia="宋体" w:cs="宋体"/>
          <w:color w:val="auto"/>
          <w:sz w:val="24"/>
          <w:szCs w:val="24"/>
          <w:lang w:val="zh-CN"/>
        </w:rPr>
        <w:t>。</w:t>
      </w:r>
    </w:p>
    <w:p w14:paraId="34DF953A">
      <w:pPr>
        <w:autoSpaceDE w:val="0"/>
        <w:autoSpaceDN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val="zh-CN"/>
        </w:rPr>
        <w:t>伪造、编造证明材料的，响应无效，</w:t>
      </w:r>
      <w:r>
        <w:rPr>
          <w:rFonts w:hint="eastAsia" w:ascii="宋体" w:hAnsi="宋体" w:eastAsia="宋体" w:cs="宋体"/>
          <w:color w:val="auto"/>
          <w:sz w:val="24"/>
          <w:szCs w:val="24"/>
          <w:lang w:val="zh-CN" w:eastAsia="zh-CN"/>
        </w:rPr>
        <w:t>同时向</w:t>
      </w:r>
      <w:r>
        <w:rPr>
          <w:rFonts w:hint="eastAsia" w:ascii="宋体" w:hAnsi="宋体" w:eastAsia="宋体" w:cs="宋体"/>
          <w:color w:val="auto"/>
          <w:sz w:val="24"/>
          <w:szCs w:val="24"/>
          <w:lang w:val="zh-CN"/>
        </w:rPr>
        <w:t>本级财政部门报告。</w:t>
      </w:r>
    </w:p>
    <w:p w14:paraId="0EE7EF93">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（公章）</w:t>
      </w:r>
    </w:p>
    <w:p w14:paraId="2D978122">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（签字或盖章）</w:t>
      </w:r>
    </w:p>
    <w:p w14:paraId="3A5F07DF">
      <w:pPr>
        <w:ind w:firstLine="0" w:firstLineChars="0"/>
        <w:jc w:val="center"/>
        <w:rPr>
          <w:rFonts w:hint="eastAsia" w:ascii="宋体" w:hAnsi="宋体" w:eastAsia="宋体" w:cs="宋体"/>
          <w:color w:val="auto"/>
        </w:rPr>
      </w:pPr>
      <w:r>
        <w:rPr>
          <w:rFonts w:hint="eastAsia" w:ascii="宋体" w:hAnsi="宋体" w:eastAsia="宋体" w:cs="宋体"/>
          <w:b/>
          <w:color w:val="auto"/>
          <w:sz w:val="24"/>
          <w:szCs w:val="24"/>
        </w:rPr>
        <w:t xml:space="preserve">年   月 </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 xml:space="preserve"> 日</w:t>
      </w:r>
    </w:p>
    <w:bookmarkEnd w:id="188"/>
    <w:bookmarkEnd w:id="189"/>
    <w:p w14:paraId="5B5FE3EE">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br w:type="page"/>
      </w:r>
    </w:p>
    <w:p w14:paraId="1EF1B637">
      <w:pPr>
        <w:keepNext/>
        <w:pageBreakBefore/>
        <w:widowControl/>
        <w:spacing w:line="360" w:lineRule="auto"/>
        <w:ind w:firstLine="0" w:firstLineChars="0"/>
        <w:jc w:val="left"/>
        <w:outlineLvl w:val="1"/>
        <w:rPr>
          <w:rFonts w:hint="eastAsia" w:ascii="宋体" w:hAnsi="宋体" w:eastAsia="宋体" w:cs="宋体"/>
          <w:b/>
          <w:color w:val="auto"/>
          <w:sz w:val="24"/>
          <w:szCs w:val="24"/>
        </w:rPr>
      </w:pPr>
      <w:bookmarkStart w:id="191" w:name="_Toc28356"/>
      <w:r>
        <w:rPr>
          <w:rFonts w:hint="eastAsia" w:ascii="宋体" w:hAnsi="宋体" w:eastAsia="宋体" w:cs="宋体"/>
          <w:b/>
          <w:color w:val="auto"/>
          <w:sz w:val="24"/>
          <w:szCs w:val="24"/>
        </w:rPr>
        <w:t>附件</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w:t>
      </w:r>
      <w:r>
        <w:rPr>
          <w:rFonts w:hint="eastAsia" w:ascii="宋体" w:hAnsi="宋体" w:eastAsia="宋体" w:cs="宋体"/>
          <w:b/>
          <w:color w:val="auto"/>
          <w:sz w:val="24"/>
          <w:szCs w:val="24"/>
          <w:lang w:val="zh-CN"/>
        </w:rPr>
        <w:t>投标产品相关资料</w:t>
      </w:r>
      <w:bookmarkEnd w:id="191"/>
    </w:p>
    <w:p w14:paraId="70A9217E">
      <w:pPr>
        <w:autoSpaceDE w:val="0"/>
        <w:autoSpaceDN w:val="0"/>
        <w:spacing w:line="360" w:lineRule="auto"/>
        <w:jc w:val="center"/>
        <w:rPr>
          <w:rFonts w:hint="eastAsia" w:ascii="宋体" w:hAnsi="宋体" w:eastAsia="宋体" w:cs="宋体"/>
          <w:b/>
          <w:bCs/>
          <w:color w:val="auto"/>
          <w:kern w:val="0"/>
          <w:sz w:val="24"/>
          <w:szCs w:val="24"/>
          <w:lang w:val="zh-CN"/>
        </w:rPr>
      </w:pPr>
    </w:p>
    <w:p w14:paraId="66104CE4">
      <w:pPr>
        <w:autoSpaceDE w:val="0"/>
        <w:autoSpaceDN w:val="0"/>
        <w:spacing w:line="360" w:lineRule="auto"/>
        <w:jc w:val="center"/>
        <w:rPr>
          <w:rFonts w:hint="eastAsia"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lang w:val="zh-CN"/>
        </w:rPr>
        <w:t>投标产品相关资料</w:t>
      </w:r>
    </w:p>
    <w:p w14:paraId="30F3D181">
      <w:pPr>
        <w:ind w:left="0" w:leftChars="0"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根据采购项目内容，投标时</w:t>
      </w:r>
      <w:r>
        <w:rPr>
          <w:rFonts w:hint="eastAsia" w:ascii="宋体" w:hAnsi="宋体" w:eastAsia="宋体" w:cs="宋体"/>
          <w:color w:val="auto"/>
          <w:kern w:val="0"/>
          <w:sz w:val="24"/>
          <w:szCs w:val="24"/>
          <w:lang w:val="en-US" w:eastAsia="zh-CN"/>
        </w:rPr>
        <w:t>须</w:t>
      </w:r>
      <w:r>
        <w:rPr>
          <w:rFonts w:hint="eastAsia" w:ascii="宋体" w:hAnsi="宋体" w:eastAsia="宋体" w:cs="宋体"/>
          <w:color w:val="auto"/>
          <w:kern w:val="0"/>
          <w:sz w:val="24"/>
          <w:szCs w:val="24"/>
          <w:lang w:val="zh-CN"/>
        </w:rPr>
        <w:t>提供国家认可的</w:t>
      </w:r>
      <w:r>
        <w:rPr>
          <w:rFonts w:hint="eastAsia" w:ascii="宋体" w:hAnsi="宋体" w:eastAsia="宋体" w:cs="宋体"/>
          <w:color w:val="auto"/>
          <w:kern w:val="0"/>
          <w:sz w:val="24"/>
          <w:szCs w:val="24"/>
          <w:lang w:val="en-US" w:eastAsia="zh-CN"/>
        </w:rPr>
        <w:t>质检</w:t>
      </w:r>
      <w:r>
        <w:rPr>
          <w:rFonts w:hint="eastAsia" w:ascii="宋体" w:hAnsi="宋体" w:eastAsia="宋体" w:cs="宋体"/>
          <w:color w:val="auto"/>
          <w:kern w:val="0"/>
          <w:sz w:val="24"/>
          <w:szCs w:val="24"/>
          <w:lang w:val="zh-CN"/>
        </w:rPr>
        <w:t>机构出具的投标产品的</w:t>
      </w:r>
      <w:r>
        <w:rPr>
          <w:rFonts w:hint="eastAsia" w:ascii="宋体" w:hAnsi="宋体" w:eastAsia="宋体" w:cs="宋体"/>
          <w:color w:val="auto"/>
          <w:sz w:val="24"/>
          <w:szCs w:val="24"/>
          <w:lang w:val="zh-CN" w:eastAsia="zh-CN"/>
        </w:rPr>
        <w:t>产品检验（检测）报告或</w:t>
      </w:r>
      <w:r>
        <w:rPr>
          <w:rFonts w:hint="eastAsia" w:ascii="宋体" w:hAnsi="宋体" w:eastAsia="宋体" w:cs="宋体"/>
          <w:color w:val="auto"/>
          <w:sz w:val="24"/>
          <w:szCs w:val="24"/>
          <w:lang w:val="en-US" w:eastAsia="zh-CN"/>
        </w:rPr>
        <w:t>生产</w:t>
      </w:r>
      <w:r>
        <w:rPr>
          <w:rFonts w:hint="eastAsia" w:ascii="宋体" w:hAnsi="宋体" w:eastAsia="宋体" w:cs="宋体"/>
          <w:color w:val="auto"/>
          <w:sz w:val="24"/>
          <w:szCs w:val="24"/>
          <w:lang w:val="zh-CN" w:eastAsia="zh-CN"/>
        </w:rPr>
        <w:t>厂家公开发布的</w:t>
      </w:r>
      <w:r>
        <w:rPr>
          <w:rFonts w:hint="eastAsia" w:ascii="宋体" w:hAnsi="宋体" w:eastAsia="宋体" w:cs="宋体"/>
          <w:color w:val="auto"/>
          <w:sz w:val="24"/>
          <w:szCs w:val="24"/>
          <w:lang w:val="en-US" w:eastAsia="zh-CN"/>
        </w:rPr>
        <w:t>产品彩页（技术白皮书）等技术</w:t>
      </w:r>
      <w:r>
        <w:rPr>
          <w:rFonts w:hint="eastAsia" w:ascii="宋体" w:hAnsi="宋体" w:eastAsia="宋体" w:cs="宋体"/>
          <w:color w:val="auto"/>
          <w:sz w:val="24"/>
          <w:szCs w:val="24"/>
          <w:lang w:val="zh-CN" w:eastAsia="zh-CN"/>
        </w:rPr>
        <w:t>参数证明材料</w:t>
      </w:r>
      <w:r>
        <w:rPr>
          <w:rFonts w:hint="eastAsia" w:ascii="宋体" w:hAnsi="宋体" w:eastAsia="宋体" w:cs="宋体"/>
          <w:color w:val="auto"/>
          <w:kern w:val="0"/>
          <w:sz w:val="24"/>
          <w:szCs w:val="24"/>
          <w:lang w:val="zh-CN"/>
        </w:rPr>
        <w:t>。</w:t>
      </w:r>
    </w:p>
    <w:p w14:paraId="257345BC">
      <w:pPr>
        <w:ind w:left="0" w:leftChars="0" w:firstLine="0" w:firstLineChars="0"/>
        <w:rPr>
          <w:rFonts w:hint="eastAsia" w:ascii="宋体" w:hAnsi="宋体" w:eastAsia="宋体" w:cs="宋体"/>
          <w:color w:val="auto"/>
          <w:kern w:val="0"/>
          <w:lang w:val="zh-CN" w:eastAsia="zh-CN"/>
        </w:rPr>
      </w:pPr>
    </w:p>
    <w:p w14:paraId="03C65BA3">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br w:type="page"/>
      </w:r>
    </w:p>
    <w:p w14:paraId="782008AB">
      <w:pPr>
        <w:keepNext/>
        <w:pageBreakBefore/>
        <w:widowControl/>
        <w:spacing w:line="360" w:lineRule="auto"/>
        <w:ind w:firstLine="0" w:firstLineChars="0"/>
        <w:outlineLvl w:val="1"/>
        <w:rPr>
          <w:rFonts w:hint="eastAsia" w:ascii="宋体" w:hAnsi="宋体" w:eastAsia="宋体" w:cs="宋体"/>
          <w:b/>
          <w:color w:val="auto"/>
          <w:sz w:val="24"/>
          <w:szCs w:val="24"/>
          <w:lang w:eastAsia="zh-CN"/>
        </w:rPr>
      </w:pPr>
      <w:bookmarkStart w:id="192" w:name="_Toc19090"/>
      <w:r>
        <w:rPr>
          <w:rFonts w:hint="eastAsia" w:ascii="宋体" w:hAnsi="宋体" w:eastAsia="宋体" w:cs="宋体"/>
          <w:b/>
          <w:color w:val="auto"/>
          <w:sz w:val="24"/>
          <w:szCs w:val="24"/>
          <w:lang w:eastAsia="zh-CN"/>
        </w:rPr>
        <w:t>附件6：法定代表人证明书</w:t>
      </w:r>
      <w:bookmarkEnd w:id="192"/>
    </w:p>
    <w:p w14:paraId="6EEEEABA">
      <w:pPr>
        <w:spacing w:line="360" w:lineRule="auto"/>
        <w:ind w:firstLine="0" w:firstLineChars="0"/>
        <w:jc w:val="center"/>
        <w:rPr>
          <w:rFonts w:hint="eastAsia" w:ascii="宋体" w:hAnsi="宋体" w:eastAsia="宋体" w:cs="宋体"/>
          <w:b/>
          <w:bCs/>
          <w:color w:val="auto"/>
          <w:sz w:val="24"/>
          <w:szCs w:val="24"/>
        </w:rPr>
      </w:pPr>
    </w:p>
    <w:p w14:paraId="6A39186F">
      <w:pPr>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法定代表人证明书</w:t>
      </w:r>
    </w:p>
    <w:p w14:paraId="624F5D04">
      <w:pPr>
        <w:spacing w:line="360" w:lineRule="auto"/>
        <w:ind w:firstLine="0" w:firstLineChars="0"/>
        <w:rPr>
          <w:rFonts w:hint="eastAsia" w:ascii="宋体" w:hAnsi="宋体" w:eastAsia="宋体" w:cs="宋体"/>
          <w:b/>
          <w:bCs/>
          <w:color w:val="auto"/>
          <w:sz w:val="24"/>
          <w:szCs w:val="24"/>
        </w:rPr>
      </w:pPr>
    </w:p>
    <w:p w14:paraId="33456AA5">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b/>
          <w:bCs/>
          <w:color w:val="auto"/>
          <w:sz w:val="24"/>
          <w:szCs w:val="24"/>
        </w:rPr>
        <w:t>致：</w:t>
      </w:r>
      <w:r>
        <w:rPr>
          <w:rFonts w:hint="eastAsia" w:ascii="宋体" w:hAnsi="宋体" w:eastAsia="宋体" w:cs="宋体"/>
          <w:b/>
          <w:bCs/>
          <w:color w:val="auto"/>
          <w:sz w:val="24"/>
          <w:szCs w:val="24"/>
          <w:lang w:eastAsia="zh-CN"/>
        </w:rPr>
        <w:t>青海鼎钊招标代理有限公司</w:t>
      </w:r>
    </w:p>
    <w:p w14:paraId="67368F9D">
      <w:pPr>
        <w:autoSpaceDE w:val="0"/>
        <w:autoSpaceDN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single"/>
        </w:rPr>
        <w:t xml:space="preserve">（法定代表人姓名）  </w:t>
      </w:r>
      <w:r>
        <w:rPr>
          <w:rFonts w:hint="eastAsia" w:ascii="宋体" w:hAnsi="宋体" w:eastAsia="宋体" w:cs="宋体"/>
          <w:color w:val="auto"/>
          <w:sz w:val="24"/>
          <w:szCs w:val="24"/>
        </w:rPr>
        <w:t>现任我单位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职务，为法定代表人，特此证明。</w:t>
      </w:r>
    </w:p>
    <w:p w14:paraId="35038C0B">
      <w:pPr>
        <w:autoSpaceDE w:val="0"/>
        <w:autoSpaceDN w:val="0"/>
        <w:spacing w:line="360" w:lineRule="auto"/>
        <w:ind w:firstLine="0" w:firstLineChars="0"/>
        <w:jc w:val="left"/>
        <w:rPr>
          <w:rFonts w:hint="eastAsia" w:ascii="宋体" w:hAnsi="宋体" w:eastAsia="宋体" w:cs="宋体"/>
          <w:color w:val="auto"/>
          <w:sz w:val="24"/>
          <w:szCs w:val="24"/>
        </w:rPr>
      </w:pPr>
    </w:p>
    <w:p w14:paraId="668F163F">
      <w:pPr>
        <w:autoSpaceDE w:val="0"/>
        <w:autoSpaceDN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法定代表人基本情况：</w:t>
      </w:r>
    </w:p>
    <w:p w14:paraId="6008A667">
      <w:pPr>
        <w:autoSpaceDE w:val="0"/>
        <w:autoSpaceDN w:val="0"/>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民族：</w:t>
      </w:r>
      <w:r>
        <w:rPr>
          <w:rFonts w:hint="eastAsia" w:ascii="宋体" w:hAnsi="宋体" w:eastAsia="宋体" w:cs="宋体"/>
          <w:color w:val="auto"/>
          <w:sz w:val="24"/>
          <w:szCs w:val="24"/>
          <w:u w:val="single"/>
          <w:lang w:val="en-US" w:eastAsia="zh-CN"/>
        </w:rPr>
        <w:t xml:space="preserve">    </w:t>
      </w:r>
    </w:p>
    <w:p w14:paraId="3B46FB6A">
      <w:pPr>
        <w:autoSpaceDE w:val="0"/>
        <w:autoSpaceDN w:val="0"/>
        <w:spacing w:line="360" w:lineRule="auto"/>
        <w:ind w:firstLine="0" w:firstLineChars="0"/>
        <w:jc w:val="left"/>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lang w:val="en-US" w:eastAsia="zh-CN"/>
        </w:rPr>
        <w:t xml:space="preserve">                          </w:t>
      </w:r>
    </w:p>
    <w:p w14:paraId="5E9414AA">
      <w:pPr>
        <w:autoSpaceDE w:val="0"/>
        <w:autoSpaceDN w:val="0"/>
        <w:spacing w:line="360" w:lineRule="auto"/>
        <w:ind w:firstLine="0" w:firstLineChars="0"/>
        <w:jc w:val="left"/>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lang w:val="en-US" w:eastAsia="zh-CN"/>
        </w:rPr>
        <w:t xml:space="preserve">                    </w:t>
      </w:r>
    </w:p>
    <w:p w14:paraId="4931675A">
      <w:pPr>
        <w:autoSpaceDE w:val="0"/>
        <w:autoSpaceDN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附法定代表人第二代身份证双面扫描件</w:t>
      </w:r>
    </w:p>
    <w:p w14:paraId="73820A97">
      <w:pPr>
        <w:autoSpaceDE w:val="0"/>
        <w:autoSpaceDN w:val="0"/>
        <w:spacing w:line="360" w:lineRule="auto"/>
        <w:ind w:firstLine="0" w:firstLineChars="0"/>
        <w:jc w:val="left"/>
        <w:rPr>
          <w:rFonts w:hint="eastAsia" w:ascii="宋体" w:hAnsi="宋体" w:eastAsia="宋体" w:cs="宋体"/>
          <w:color w:val="auto"/>
          <w:sz w:val="24"/>
          <w:szCs w:val="24"/>
        </w:rPr>
      </w:pPr>
    </w:p>
    <w:p w14:paraId="76698B7C">
      <w:pPr>
        <w:autoSpaceDE w:val="0"/>
        <w:autoSpaceDN w:val="0"/>
        <w:spacing w:line="360" w:lineRule="auto"/>
        <w:ind w:firstLine="0" w:firstLineChars="0"/>
        <w:jc w:val="left"/>
        <w:rPr>
          <w:rFonts w:hint="eastAsia" w:ascii="宋体" w:hAnsi="宋体" w:eastAsia="宋体" w:cs="宋体"/>
          <w:color w:val="auto"/>
          <w:sz w:val="24"/>
          <w:szCs w:val="24"/>
        </w:rPr>
      </w:pPr>
    </w:p>
    <w:p w14:paraId="3298AB2E">
      <w:pPr>
        <w:autoSpaceDE w:val="0"/>
        <w:autoSpaceDN w:val="0"/>
        <w:spacing w:line="360" w:lineRule="auto"/>
        <w:ind w:firstLine="0" w:firstLineChars="0"/>
        <w:jc w:val="left"/>
        <w:rPr>
          <w:rFonts w:hint="eastAsia" w:ascii="宋体" w:hAnsi="宋体" w:eastAsia="宋体" w:cs="宋体"/>
          <w:color w:val="auto"/>
          <w:sz w:val="24"/>
          <w:szCs w:val="24"/>
        </w:rPr>
      </w:pPr>
    </w:p>
    <w:p w14:paraId="7C181F3B">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（公章）</w:t>
      </w:r>
    </w:p>
    <w:p w14:paraId="06202DF8">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年   月   日</w:t>
      </w:r>
    </w:p>
    <w:p w14:paraId="59FFB89F">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6862A4DD">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193" w:name="_Toc201287639"/>
      <w:bookmarkStart w:id="194" w:name="_Toc324756736"/>
      <w:bookmarkStart w:id="195" w:name="_Toc14539"/>
      <w:bookmarkStart w:id="196" w:name="_Toc31614"/>
      <w:bookmarkStart w:id="197" w:name="_Toc29201"/>
      <w:r>
        <w:rPr>
          <w:rFonts w:hint="eastAsia" w:ascii="宋体" w:hAnsi="宋体" w:eastAsia="宋体" w:cs="宋体"/>
          <w:b/>
          <w:color w:val="auto"/>
          <w:sz w:val="24"/>
          <w:szCs w:val="24"/>
        </w:rPr>
        <w:t>附件</w:t>
      </w:r>
      <w:bookmarkEnd w:id="193"/>
      <w:bookmarkEnd w:id="194"/>
      <w:r>
        <w:rPr>
          <w:rFonts w:hint="eastAsia" w:ascii="宋体" w:hAnsi="宋体" w:eastAsia="宋体" w:cs="宋体"/>
          <w:b/>
          <w:color w:val="auto"/>
          <w:sz w:val="24"/>
          <w:szCs w:val="24"/>
          <w:lang w:val="en-US" w:eastAsia="zh-CN"/>
        </w:rPr>
        <w:t>7</w:t>
      </w:r>
      <w:r>
        <w:rPr>
          <w:rFonts w:hint="eastAsia" w:ascii="宋体" w:hAnsi="宋体" w:eastAsia="宋体" w:cs="宋体"/>
          <w:b/>
          <w:color w:val="auto"/>
          <w:sz w:val="24"/>
          <w:szCs w:val="24"/>
        </w:rPr>
        <w:t>：法定代表人授权书</w:t>
      </w:r>
      <w:bookmarkEnd w:id="195"/>
      <w:bookmarkEnd w:id="196"/>
      <w:bookmarkEnd w:id="197"/>
    </w:p>
    <w:p w14:paraId="1777F436">
      <w:pPr>
        <w:spacing w:line="360" w:lineRule="auto"/>
        <w:ind w:firstLine="0" w:firstLineChars="0"/>
        <w:rPr>
          <w:rFonts w:hint="eastAsia" w:ascii="宋体" w:hAnsi="宋体" w:eastAsia="宋体" w:cs="宋体"/>
          <w:b/>
          <w:color w:val="auto"/>
          <w:sz w:val="24"/>
          <w:szCs w:val="24"/>
        </w:rPr>
      </w:pPr>
    </w:p>
    <w:p w14:paraId="118416CC">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法定代表人授权书</w:t>
      </w:r>
    </w:p>
    <w:p w14:paraId="6529226D">
      <w:pPr>
        <w:spacing w:line="360" w:lineRule="auto"/>
        <w:ind w:firstLine="0" w:firstLineChars="0"/>
        <w:rPr>
          <w:rFonts w:hint="eastAsia" w:ascii="宋体" w:hAnsi="宋体" w:eastAsia="宋体" w:cs="宋体"/>
          <w:b/>
          <w:bCs/>
          <w:color w:val="auto"/>
          <w:sz w:val="24"/>
          <w:szCs w:val="24"/>
        </w:rPr>
      </w:pPr>
    </w:p>
    <w:p w14:paraId="76D37A52">
      <w:pPr>
        <w:spacing w:line="360" w:lineRule="auto"/>
        <w:ind w:firstLine="0" w:firstLineChars="0"/>
        <w:rPr>
          <w:rFonts w:hint="eastAsia" w:ascii="宋体" w:hAnsi="宋体" w:eastAsia="宋体" w:cs="宋体"/>
          <w:color w:val="auto"/>
          <w:sz w:val="24"/>
          <w:szCs w:val="24"/>
          <w:u w:val="single"/>
        </w:rPr>
      </w:pPr>
      <w:r>
        <w:rPr>
          <w:rFonts w:hint="eastAsia" w:ascii="宋体" w:hAnsi="宋体" w:eastAsia="宋体" w:cs="宋体"/>
          <w:b/>
          <w:bCs/>
          <w:color w:val="auto"/>
          <w:sz w:val="24"/>
          <w:szCs w:val="24"/>
        </w:rPr>
        <w:t>致：</w:t>
      </w:r>
      <w:r>
        <w:rPr>
          <w:rFonts w:hint="eastAsia" w:ascii="宋体" w:hAnsi="宋体" w:eastAsia="宋体" w:cs="宋体"/>
          <w:b/>
          <w:bCs/>
          <w:color w:val="auto"/>
          <w:sz w:val="24"/>
          <w:szCs w:val="24"/>
          <w:lang w:eastAsia="zh-CN"/>
        </w:rPr>
        <w:t>青海鼎钊招标代理有限公司</w:t>
      </w:r>
    </w:p>
    <w:p w14:paraId="39DF973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（供应商名称）  </w:t>
      </w:r>
      <w:r>
        <w:rPr>
          <w:rFonts w:hint="eastAsia" w:ascii="宋体" w:hAnsi="宋体" w:eastAsia="宋体" w:cs="宋体"/>
          <w:color w:val="auto"/>
          <w:sz w:val="24"/>
          <w:szCs w:val="24"/>
        </w:rPr>
        <w:t>系中华人民共和国合法企业，法定地址。</w:t>
      </w:r>
    </w:p>
    <w:p w14:paraId="0C1EFA6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（法定代表人姓名）   </w:t>
      </w:r>
      <w:r>
        <w:rPr>
          <w:rFonts w:hint="eastAsia" w:ascii="宋体" w:hAnsi="宋体" w:eastAsia="宋体" w:cs="宋体"/>
          <w:color w:val="auto"/>
          <w:sz w:val="24"/>
          <w:szCs w:val="24"/>
        </w:rPr>
        <w:t>特授权</w:t>
      </w:r>
      <w:r>
        <w:rPr>
          <w:rFonts w:hint="eastAsia" w:ascii="宋体" w:hAnsi="宋体" w:eastAsia="宋体" w:cs="宋体"/>
          <w:color w:val="auto"/>
          <w:sz w:val="24"/>
          <w:szCs w:val="24"/>
          <w:u w:val="single"/>
        </w:rPr>
        <w:t xml:space="preserve"> （委托代理人姓名）    </w:t>
      </w:r>
      <w:r>
        <w:rPr>
          <w:rFonts w:hint="eastAsia" w:ascii="宋体" w:hAnsi="宋体" w:eastAsia="宋体" w:cs="宋体"/>
          <w:color w:val="auto"/>
          <w:sz w:val="24"/>
          <w:szCs w:val="24"/>
        </w:rPr>
        <w:t>代表我单位全权办理针对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项目的磋商、答疑等具体工作，并签署全部有关的文件、资料。</w:t>
      </w:r>
    </w:p>
    <w:p w14:paraId="09C8DEC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我单位对被授权人的签名负全部责任。</w:t>
      </w:r>
    </w:p>
    <w:p w14:paraId="78CFD97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在撤销授权的书面通知以前，本授权书一直有效，被授权人签署的所有文件不因授权的撤销而失效。</w:t>
      </w:r>
    </w:p>
    <w:p w14:paraId="7579B92F">
      <w:pPr>
        <w:spacing w:line="360" w:lineRule="auto"/>
        <w:ind w:firstLine="0" w:firstLineChars="0"/>
        <w:rPr>
          <w:rFonts w:hint="eastAsia" w:ascii="宋体" w:hAnsi="宋体" w:eastAsia="宋体" w:cs="宋体"/>
          <w:color w:val="auto"/>
          <w:sz w:val="24"/>
          <w:szCs w:val="24"/>
        </w:rPr>
      </w:pPr>
    </w:p>
    <w:p w14:paraId="7C953A37">
      <w:pPr>
        <w:spacing w:line="360" w:lineRule="auto"/>
        <w:ind w:firstLine="0" w:firstLineChars="0"/>
        <w:rPr>
          <w:rFonts w:hint="eastAsia" w:ascii="宋体" w:hAnsi="宋体" w:eastAsia="宋体" w:cs="宋体"/>
          <w:color w:val="auto"/>
          <w:sz w:val="24"/>
          <w:szCs w:val="24"/>
        </w:rPr>
      </w:pPr>
    </w:p>
    <w:p w14:paraId="756AF507">
      <w:pPr>
        <w:spacing w:line="360" w:lineRule="auto"/>
        <w:ind w:firstLine="0" w:firstLineChars="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被授权人联系电话：</w:t>
      </w:r>
      <w:r>
        <w:rPr>
          <w:rFonts w:hint="eastAsia" w:ascii="宋体" w:hAnsi="宋体" w:eastAsia="宋体" w:cs="宋体"/>
          <w:color w:val="auto"/>
          <w:sz w:val="24"/>
          <w:szCs w:val="24"/>
          <w:u w:val="single"/>
          <w:lang w:val="en-US" w:eastAsia="zh-CN"/>
        </w:rPr>
        <w:t xml:space="preserve">                </w:t>
      </w:r>
    </w:p>
    <w:p w14:paraId="576CC6D4">
      <w:pPr>
        <w:spacing w:line="360" w:lineRule="auto"/>
        <w:ind w:firstLine="0" w:firstLineChars="0"/>
        <w:rPr>
          <w:rFonts w:hint="eastAsia" w:ascii="宋体" w:hAnsi="宋体" w:eastAsia="宋体" w:cs="宋体"/>
          <w:color w:val="auto"/>
          <w:sz w:val="24"/>
          <w:szCs w:val="24"/>
        </w:rPr>
      </w:pPr>
    </w:p>
    <w:p w14:paraId="4FB92300">
      <w:pPr>
        <w:spacing w:line="360" w:lineRule="auto"/>
        <w:ind w:firstLine="0" w:firstLineChars="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被授权人（委托代理人）签字：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授权人（法定代表人）签字：</w:t>
      </w:r>
      <w:r>
        <w:rPr>
          <w:rFonts w:hint="eastAsia" w:ascii="宋体" w:hAnsi="宋体" w:eastAsia="宋体" w:cs="宋体"/>
          <w:color w:val="auto"/>
          <w:sz w:val="24"/>
          <w:szCs w:val="24"/>
          <w:u w:val="single"/>
          <w:lang w:val="en-US" w:eastAsia="zh-CN"/>
        </w:rPr>
        <w:t xml:space="preserve">     </w:t>
      </w:r>
    </w:p>
    <w:p w14:paraId="056A1A70">
      <w:pPr>
        <w:spacing w:line="360" w:lineRule="auto"/>
        <w:ind w:firstLine="0" w:firstLineChars="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 xml:space="preserve">职务：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lang w:val="en-US" w:eastAsia="zh-CN"/>
        </w:rPr>
        <w:t xml:space="preserve">        </w:t>
      </w:r>
    </w:p>
    <w:p w14:paraId="3C2D24D0">
      <w:pPr>
        <w:autoSpaceDE w:val="0"/>
        <w:autoSpaceDN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附被授权人第二代身份证双面扫描件</w:t>
      </w:r>
    </w:p>
    <w:p w14:paraId="44070B2E">
      <w:pPr>
        <w:spacing w:line="360" w:lineRule="auto"/>
        <w:ind w:firstLine="0" w:firstLineChars="0"/>
        <w:rPr>
          <w:rFonts w:hint="eastAsia" w:ascii="宋体" w:hAnsi="宋体" w:eastAsia="宋体" w:cs="宋体"/>
          <w:color w:val="auto"/>
          <w:sz w:val="24"/>
          <w:szCs w:val="24"/>
        </w:rPr>
      </w:pPr>
    </w:p>
    <w:p w14:paraId="04D66030">
      <w:pPr>
        <w:spacing w:line="360" w:lineRule="auto"/>
        <w:ind w:firstLine="0" w:firstLineChars="0"/>
        <w:rPr>
          <w:rFonts w:hint="eastAsia" w:ascii="宋体" w:hAnsi="宋体" w:eastAsia="宋体" w:cs="宋体"/>
          <w:color w:val="auto"/>
          <w:sz w:val="24"/>
          <w:szCs w:val="24"/>
        </w:rPr>
      </w:pPr>
    </w:p>
    <w:p w14:paraId="091FC958">
      <w:pPr>
        <w:spacing w:line="360" w:lineRule="auto"/>
        <w:ind w:firstLine="0" w:firstLineChars="0"/>
        <w:rPr>
          <w:rFonts w:hint="eastAsia" w:ascii="宋体" w:hAnsi="宋体" w:eastAsia="宋体" w:cs="宋体"/>
          <w:color w:val="auto"/>
          <w:sz w:val="24"/>
          <w:szCs w:val="24"/>
        </w:rPr>
      </w:pPr>
    </w:p>
    <w:p w14:paraId="30B4025C">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（公章）</w:t>
      </w:r>
    </w:p>
    <w:p w14:paraId="2BB716B4">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年   月 </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 xml:space="preserve"> 日</w:t>
      </w:r>
    </w:p>
    <w:p w14:paraId="0F98B724">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750DD369">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198" w:name="_Toc6949"/>
      <w:bookmarkStart w:id="199" w:name="_Toc25884"/>
      <w:bookmarkStart w:id="200" w:name="_Toc30284"/>
      <w:r>
        <w:rPr>
          <w:rFonts w:hint="eastAsia" w:ascii="宋体" w:hAnsi="宋体" w:eastAsia="宋体" w:cs="宋体"/>
          <w:b/>
          <w:color w:val="auto"/>
          <w:sz w:val="24"/>
          <w:szCs w:val="24"/>
        </w:rPr>
        <w:t>附件</w:t>
      </w:r>
      <w:r>
        <w:rPr>
          <w:rFonts w:hint="eastAsia" w:ascii="宋体" w:hAnsi="宋体" w:eastAsia="宋体" w:cs="宋体"/>
          <w:b/>
          <w:color w:val="auto"/>
          <w:sz w:val="24"/>
          <w:szCs w:val="24"/>
          <w:lang w:val="en-US" w:eastAsia="zh-CN"/>
        </w:rPr>
        <w:t>8</w:t>
      </w:r>
      <w:r>
        <w:rPr>
          <w:rFonts w:hint="eastAsia" w:ascii="宋体" w:hAnsi="宋体" w:eastAsia="宋体" w:cs="宋体"/>
          <w:b/>
          <w:color w:val="auto"/>
          <w:sz w:val="24"/>
          <w:szCs w:val="24"/>
        </w:rPr>
        <w:t>：供应商承诺函</w:t>
      </w:r>
      <w:bookmarkEnd w:id="198"/>
      <w:bookmarkEnd w:id="199"/>
      <w:bookmarkEnd w:id="200"/>
    </w:p>
    <w:p w14:paraId="317565B8">
      <w:pPr>
        <w:spacing w:line="360" w:lineRule="auto"/>
        <w:ind w:firstLine="0" w:firstLineChars="0"/>
        <w:jc w:val="center"/>
        <w:rPr>
          <w:rFonts w:hint="eastAsia" w:ascii="宋体" w:hAnsi="宋体" w:eastAsia="宋体" w:cs="宋体"/>
          <w:b/>
          <w:bCs/>
          <w:color w:val="auto"/>
          <w:sz w:val="24"/>
          <w:szCs w:val="24"/>
        </w:rPr>
      </w:pPr>
    </w:p>
    <w:p w14:paraId="6BDE9BD7">
      <w:pPr>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供应商承诺函</w:t>
      </w:r>
    </w:p>
    <w:p w14:paraId="2786041C">
      <w:pPr>
        <w:spacing w:line="360" w:lineRule="auto"/>
        <w:ind w:firstLine="0" w:firstLineChars="0"/>
        <w:rPr>
          <w:rFonts w:hint="eastAsia" w:ascii="宋体" w:hAnsi="宋体" w:eastAsia="宋体" w:cs="宋体"/>
          <w:b/>
          <w:bCs/>
          <w:color w:val="auto"/>
          <w:sz w:val="24"/>
          <w:szCs w:val="24"/>
        </w:rPr>
      </w:pPr>
    </w:p>
    <w:p w14:paraId="106B7329">
      <w:pPr>
        <w:spacing w:line="360" w:lineRule="auto"/>
        <w:ind w:firstLine="0" w:firstLineChars="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致：</w:t>
      </w:r>
      <w:r>
        <w:rPr>
          <w:rFonts w:hint="eastAsia" w:ascii="宋体" w:hAnsi="宋体" w:eastAsia="宋体" w:cs="宋体"/>
          <w:b/>
          <w:bCs/>
          <w:color w:val="auto"/>
          <w:sz w:val="24"/>
          <w:szCs w:val="24"/>
          <w:lang w:eastAsia="zh-CN"/>
        </w:rPr>
        <w:t>青海鼎钊招标代理有限公司</w:t>
      </w:r>
    </w:p>
    <w:p w14:paraId="30818B08">
      <w:pPr>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关于贵方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eastAsia="zh-CN"/>
        </w:rPr>
        <w:t>青海鼎钊竞磋（货物）2026-023</w:t>
      </w:r>
      <w:r>
        <w:rPr>
          <w:rFonts w:hint="eastAsia" w:ascii="宋体" w:hAnsi="宋体" w:eastAsia="宋体" w:cs="宋体"/>
          <w:color w:val="auto"/>
          <w:sz w:val="24"/>
          <w:szCs w:val="24"/>
        </w:rPr>
        <w:t>采购项目，本签字人愿意参加磋商，提供采购项目要求及技术参数</w:t>
      </w:r>
      <w:r>
        <w:rPr>
          <w:rFonts w:hint="eastAsia" w:ascii="宋体" w:hAnsi="宋体" w:eastAsia="宋体" w:cs="宋体"/>
          <w:color w:val="auto"/>
          <w:sz w:val="24"/>
          <w:szCs w:val="24"/>
          <w:lang w:val="en-US" w:eastAsia="zh-CN"/>
        </w:rPr>
        <w:t>中</w:t>
      </w:r>
      <w:r>
        <w:rPr>
          <w:rFonts w:hint="eastAsia" w:ascii="宋体" w:hAnsi="宋体" w:eastAsia="宋体" w:cs="宋体"/>
          <w:color w:val="auto"/>
          <w:sz w:val="24"/>
          <w:szCs w:val="24"/>
        </w:rPr>
        <w:t>的所有</w:t>
      </w:r>
      <w:r>
        <w:rPr>
          <w:rFonts w:hint="eastAsia" w:ascii="宋体" w:hAnsi="宋体" w:eastAsia="宋体" w:cs="宋体"/>
          <w:color w:val="auto"/>
          <w:sz w:val="24"/>
          <w:szCs w:val="24"/>
          <w:lang w:val="en-US" w:eastAsia="zh-CN"/>
        </w:rPr>
        <w:t>产品（</w:t>
      </w:r>
      <w:r>
        <w:rPr>
          <w:rFonts w:hint="eastAsia" w:ascii="宋体" w:hAnsi="宋体" w:eastAsia="宋体" w:cs="宋体"/>
          <w:color w:val="auto"/>
          <w:sz w:val="24"/>
          <w:szCs w:val="24"/>
        </w:rPr>
        <w:t>服务</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并证实提交的所有资料是准确的和真实的。同时，我代表</w:t>
      </w:r>
      <w:r>
        <w:rPr>
          <w:rFonts w:hint="eastAsia" w:ascii="宋体" w:hAnsi="宋体" w:eastAsia="宋体" w:cs="宋体"/>
          <w:color w:val="auto"/>
          <w:sz w:val="24"/>
          <w:szCs w:val="24"/>
          <w:u w:val="single"/>
        </w:rPr>
        <w:t>（供应商名称）</w:t>
      </w:r>
      <w:r>
        <w:rPr>
          <w:rFonts w:hint="eastAsia" w:ascii="宋体" w:hAnsi="宋体" w:eastAsia="宋体" w:cs="宋体"/>
          <w:color w:val="auto"/>
          <w:sz w:val="24"/>
          <w:szCs w:val="24"/>
        </w:rPr>
        <w:t>，在此作如下承诺：</w:t>
      </w:r>
    </w:p>
    <w:p w14:paraId="62452EB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完全理解和接受磋商文件的一切规定和要求；</w:t>
      </w:r>
    </w:p>
    <w:p w14:paraId="5CA9ADC4">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若成交，我方将按照磋商文件的具体规定与采购人签订采购合同，并且严格履行合同义务，按时提供优质的服务。如果在合同执行过程中，发现服务质量、数量出现问题，我方一定尽快完善，并承担相应的经济责任；</w:t>
      </w:r>
    </w:p>
    <w:p w14:paraId="142501CE">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在整个磋商过程中我方若有违规行为，贵方可按磋商文件之规定给予处罚，我方完全接受。</w:t>
      </w:r>
    </w:p>
    <w:p w14:paraId="20B2DF0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若成交，本承诺中明确的具体内容将成为合同不可分割的一部分，与合同具有同等的法律效力。</w:t>
      </w:r>
    </w:p>
    <w:p w14:paraId="3E3524A4">
      <w:pPr>
        <w:spacing w:line="360" w:lineRule="auto"/>
        <w:ind w:firstLine="0" w:firstLineChars="0"/>
        <w:textAlignment w:val="baseline"/>
        <w:rPr>
          <w:rFonts w:hint="eastAsia" w:ascii="宋体" w:hAnsi="宋体" w:eastAsia="宋体" w:cs="宋体"/>
          <w:color w:val="auto"/>
          <w:sz w:val="24"/>
          <w:szCs w:val="24"/>
        </w:rPr>
      </w:pPr>
    </w:p>
    <w:p w14:paraId="4EE4BB80">
      <w:pPr>
        <w:spacing w:line="360" w:lineRule="auto"/>
        <w:ind w:firstLine="0" w:firstLineChars="0"/>
        <w:textAlignment w:val="baseline"/>
        <w:rPr>
          <w:rFonts w:hint="eastAsia" w:ascii="宋体" w:hAnsi="宋体" w:eastAsia="宋体" w:cs="宋体"/>
          <w:color w:val="auto"/>
          <w:sz w:val="24"/>
          <w:szCs w:val="24"/>
        </w:rPr>
      </w:pPr>
    </w:p>
    <w:p w14:paraId="788A4151">
      <w:pPr>
        <w:spacing w:line="360" w:lineRule="auto"/>
        <w:ind w:firstLine="0" w:firstLineChars="0"/>
        <w:textAlignment w:val="baseline"/>
        <w:rPr>
          <w:rFonts w:hint="eastAsia" w:ascii="宋体" w:hAnsi="宋体" w:eastAsia="宋体" w:cs="宋体"/>
          <w:color w:val="auto"/>
          <w:sz w:val="24"/>
          <w:szCs w:val="24"/>
        </w:rPr>
      </w:pPr>
    </w:p>
    <w:p w14:paraId="3CB76C63">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供应商：</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（公章）</w:t>
      </w:r>
    </w:p>
    <w:p w14:paraId="4DA0FBBF">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（签字或盖章）</w:t>
      </w:r>
    </w:p>
    <w:p w14:paraId="48FD4C5F">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年   月 </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 xml:space="preserve"> 日</w:t>
      </w:r>
    </w:p>
    <w:p w14:paraId="522E92AC">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297E269B">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201" w:name="_Toc11173"/>
      <w:bookmarkStart w:id="202" w:name="_Toc11349"/>
      <w:bookmarkStart w:id="203" w:name="_Toc5945"/>
      <w:r>
        <w:rPr>
          <w:rFonts w:hint="eastAsia" w:ascii="宋体" w:hAnsi="宋体" w:eastAsia="宋体" w:cs="宋体"/>
          <w:b/>
          <w:color w:val="auto"/>
          <w:sz w:val="24"/>
          <w:szCs w:val="24"/>
        </w:rPr>
        <w:t>附件</w:t>
      </w:r>
      <w:bookmarkStart w:id="204" w:name="_Toc365019584"/>
      <w:bookmarkStart w:id="205" w:name="_Toc376936779"/>
      <w:bookmarkStart w:id="206" w:name="_Toc351475542"/>
      <w:r>
        <w:rPr>
          <w:rFonts w:hint="eastAsia" w:ascii="宋体" w:hAnsi="宋体" w:eastAsia="宋体" w:cs="宋体"/>
          <w:b/>
          <w:color w:val="auto"/>
          <w:sz w:val="24"/>
          <w:szCs w:val="24"/>
          <w:lang w:val="en-US" w:eastAsia="zh-CN"/>
        </w:rPr>
        <w:t>9</w:t>
      </w:r>
      <w:r>
        <w:rPr>
          <w:rFonts w:hint="eastAsia" w:ascii="宋体" w:hAnsi="宋体" w:eastAsia="宋体" w:cs="宋体"/>
          <w:b/>
          <w:color w:val="auto"/>
          <w:sz w:val="24"/>
          <w:szCs w:val="24"/>
        </w:rPr>
        <w:t>：供应商诚信承诺书</w:t>
      </w:r>
      <w:bookmarkEnd w:id="201"/>
      <w:bookmarkEnd w:id="202"/>
      <w:bookmarkEnd w:id="203"/>
      <w:bookmarkEnd w:id="204"/>
      <w:bookmarkEnd w:id="205"/>
      <w:bookmarkEnd w:id="206"/>
    </w:p>
    <w:p w14:paraId="52489DF4">
      <w:pPr>
        <w:spacing w:line="360" w:lineRule="auto"/>
        <w:ind w:firstLine="0" w:firstLineChars="0"/>
        <w:rPr>
          <w:rFonts w:hint="eastAsia" w:ascii="宋体" w:hAnsi="宋体" w:eastAsia="宋体" w:cs="宋体"/>
          <w:color w:val="auto"/>
          <w:sz w:val="24"/>
          <w:szCs w:val="24"/>
        </w:rPr>
      </w:pPr>
    </w:p>
    <w:p w14:paraId="6844EF77">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供应商诚信承诺书</w:t>
      </w:r>
    </w:p>
    <w:p w14:paraId="2A92EAF9">
      <w:pPr>
        <w:spacing w:line="360" w:lineRule="auto"/>
        <w:ind w:firstLine="0" w:firstLineChars="0"/>
        <w:rPr>
          <w:rFonts w:hint="eastAsia" w:ascii="宋体" w:hAnsi="宋体" w:eastAsia="宋体" w:cs="宋体"/>
          <w:b/>
          <w:color w:val="auto"/>
          <w:sz w:val="24"/>
          <w:szCs w:val="24"/>
        </w:rPr>
      </w:pPr>
    </w:p>
    <w:p w14:paraId="3B0ACC33">
      <w:pPr>
        <w:spacing w:line="360" w:lineRule="auto"/>
        <w:ind w:firstLine="0" w:firstLineChars="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致：</w:t>
      </w:r>
      <w:r>
        <w:rPr>
          <w:rFonts w:hint="eastAsia" w:ascii="宋体" w:hAnsi="宋体" w:eastAsia="宋体" w:cs="宋体"/>
          <w:b/>
          <w:bCs/>
          <w:color w:val="auto"/>
          <w:sz w:val="24"/>
          <w:szCs w:val="24"/>
          <w:lang w:eastAsia="zh-CN"/>
        </w:rPr>
        <w:t>青海鼎钊招标代理有限公司</w:t>
      </w:r>
    </w:p>
    <w:p w14:paraId="537CBC3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为了诚实、客观、有序地参与青海省政府采购活动，愿就以下内容作出承诺：</w:t>
      </w:r>
    </w:p>
    <w:p w14:paraId="31C77DDB">
      <w:pPr>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自觉遵守各项法律、法规、规章、制度以及社会公德，维护廉洁环境，与同场竞争的供应商平等参加政府采购活动。</w:t>
      </w:r>
    </w:p>
    <w:p w14:paraId="2E75CD0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参加</w:t>
      </w:r>
      <w:r>
        <w:rPr>
          <w:rFonts w:hint="eastAsia" w:ascii="宋体" w:hAnsi="宋体" w:eastAsia="宋体" w:cs="宋体"/>
          <w:color w:val="auto"/>
          <w:sz w:val="24"/>
          <w:szCs w:val="24"/>
          <w:lang w:eastAsia="zh-CN"/>
        </w:rPr>
        <w:t>青海鼎钊招标代理有限公司</w:t>
      </w:r>
      <w:r>
        <w:rPr>
          <w:rFonts w:hint="eastAsia" w:ascii="宋体" w:hAnsi="宋体" w:eastAsia="宋体" w:cs="宋体"/>
          <w:color w:val="auto"/>
          <w:sz w:val="24"/>
          <w:szCs w:val="24"/>
        </w:rPr>
        <w:t>组织的政府采购活动时，严格按照磋商文件的规定和要求提供所需的相关材料，并对所提供的各类资料的真实性负责，不虚假应标，不虚列业绩。</w:t>
      </w:r>
    </w:p>
    <w:p w14:paraId="1C900C5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尊重参与政府采购活动各相关方的合法行为，接受政府采购活动依法形成的意见、结果。</w:t>
      </w:r>
    </w:p>
    <w:p w14:paraId="7B575FE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依法参加政府采购活动，不围标、串标，维护市场秩序，不提供“三无”产品、以次充好。</w:t>
      </w:r>
    </w:p>
    <w:p w14:paraId="495E32B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积极推动政府采购活动健康开展，对采购活动有疑问、异议时，按法律规定的程序实名（加盖单位章和法定代表人签名）反映情况，不恶意中伤、无事生非，以和谐、平等的心态参加政府采购活动。</w:t>
      </w:r>
    </w:p>
    <w:p w14:paraId="6B68D1A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认真履行成交供应商应承担的责任和义务，全面执行采购合同规定的各项内容，保质保量地按时提供采购物品。</w:t>
      </w:r>
    </w:p>
    <w:p w14:paraId="1A7D219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若本企业（单位）发生有悖于上述承诺的行为，愿意接受《中华人民共和国政府采购法》和《政府采购法实施条例》中对供应商的相关处理。</w:t>
      </w:r>
    </w:p>
    <w:p w14:paraId="23E5409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本承诺是采购项目响应文件的组成部分。</w:t>
      </w:r>
    </w:p>
    <w:p w14:paraId="1E29DD06">
      <w:pPr>
        <w:spacing w:line="360" w:lineRule="auto"/>
        <w:ind w:firstLine="0" w:firstLineChars="0"/>
        <w:rPr>
          <w:rFonts w:hint="eastAsia" w:ascii="宋体" w:hAnsi="宋体" w:eastAsia="宋体" w:cs="宋体"/>
          <w:color w:val="auto"/>
          <w:sz w:val="24"/>
          <w:szCs w:val="24"/>
        </w:rPr>
      </w:pPr>
    </w:p>
    <w:p w14:paraId="3F5F3C74">
      <w:pPr>
        <w:spacing w:line="360" w:lineRule="auto"/>
        <w:ind w:firstLine="0" w:firstLineChars="0"/>
        <w:textAlignment w:val="baseline"/>
        <w:rPr>
          <w:rFonts w:hint="eastAsia" w:ascii="宋体" w:hAnsi="宋体" w:eastAsia="宋体" w:cs="宋体"/>
          <w:color w:val="auto"/>
          <w:sz w:val="24"/>
          <w:szCs w:val="24"/>
        </w:rPr>
      </w:pPr>
    </w:p>
    <w:p w14:paraId="2A8E73EE">
      <w:pPr>
        <w:spacing w:line="360" w:lineRule="auto"/>
        <w:ind w:firstLine="0" w:firstLineChars="0"/>
        <w:textAlignment w:val="baseline"/>
        <w:rPr>
          <w:rFonts w:hint="eastAsia" w:ascii="宋体" w:hAnsi="宋体" w:eastAsia="宋体" w:cs="宋体"/>
          <w:color w:val="auto"/>
          <w:sz w:val="24"/>
          <w:szCs w:val="24"/>
        </w:rPr>
      </w:pPr>
    </w:p>
    <w:p w14:paraId="434A3860">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（公章）</w:t>
      </w:r>
    </w:p>
    <w:p w14:paraId="0AE5D7D5">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（签字或盖章）</w:t>
      </w:r>
    </w:p>
    <w:p w14:paraId="12EE05BA">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年   月 </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 xml:space="preserve"> 日</w:t>
      </w:r>
    </w:p>
    <w:p w14:paraId="346E1080">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4719D4A1">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207" w:name="_Toc7486"/>
      <w:bookmarkStart w:id="208" w:name="_Toc31495"/>
      <w:bookmarkStart w:id="209" w:name="_Toc25993"/>
      <w:r>
        <w:rPr>
          <w:rFonts w:hint="eastAsia" w:ascii="宋体" w:hAnsi="宋体" w:eastAsia="宋体" w:cs="宋体"/>
          <w:b/>
          <w:color w:val="auto"/>
          <w:sz w:val="24"/>
          <w:szCs w:val="24"/>
        </w:rPr>
        <w:t>附件</w:t>
      </w:r>
      <w:r>
        <w:rPr>
          <w:rFonts w:hint="eastAsia" w:ascii="宋体" w:hAnsi="宋体" w:eastAsia="宋体" w:cs="宋体"/>
          <w:b/>
          <w:color w:val="auto"/>
          <w:sz w:val="24"/>
          <w:szCs w:val="24"/>
          <w:lang w:val="en-US" w:eastAsia="zh-CN"/>
        </w:rPr>
        <w:t>10</w:t>
      </w:r>
      <w:r>
        <w:rPr>
          <w:rFonts w:hint="eastAsia" w:ascii="宋体" w:hAnsi="宋体" w:eastAsia="宋体" w:cs="宋体"/>
          <w:b/>
          <w:color w:val="auto"/>
          <w:sz w:val="24"/>
          <w:szCs w:val="24"/>
        </w:rPr>
        <w:t>：资格证明材料</w:t>
      </w:r>
      <w:bookmarkEnd w:id="207"/>
      <w:bookmarkEnd w:id="208"/>
      <w:bookmarkEnd w:id="209"/>
    </w:p>
    <w:p w14:paraId="5FDEFA3D">
      <w:pPr>
        <w:spacing w:line="360" w:lineRule="auto"/>
        <w:ind w:firstLine="0" w:firstLineChars="0"/>
        <w:rPr>
          <w:rFonts w:hint="eastAsia" w:ascii="宋体" w:hAnsi="宋体" w:eastAsia="宋体" w:cs="宋体"/>
          <w:color w:val="auto"/>
          <w:sz w:val="24"/>
          <w:szCs w:val="24"/>
        </w:rPr>
      </w:pPr>
    </w:p>
    <w:p w14:paraId="5B1AE009">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资格证明材料</w:t>
      </w:r>
    </w:p>
    <w:p w14:paraId="6EEFAA3E">
      <w:pPr>
        <w:autoSpaceDE w:val="0"/>
        <w:autoSpaceDN w:val="0"/>
        <w:spacing w:line="360" w:lineRule="auto"/>
        <w:ind w:firstLine="0" w:firstLineChars="0"/>
        <w:rPr>
          <w:rFonts w:hint="eastAsia" w:ascii="宋体" w:hAnsi="宋体" w:eastAsia="宋体" w:cs="宋体"/>
          <w:color w:val="auto"/>
          <w:sz w:val="24"/>
          <w:szCs w:val="24"/>
          <w:lang w:val="zh-CN"/>
        </w:rPr>
      </w:pPr>
    </w:p>
    <w:p w14:paraId="2A364428">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资格证明材料包括：</w:t>
      </w:r>
    </w:p>
    <w:p w14:paraId="3E2306CA">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bidi="ar-SA"/>
        </w:rPr>
        <w:t>1.</w:t>
      </w:r>
      <w:r>
        <w:rPr>
          <w:rFonts w:hint="eastAsia" w:ascii="宋体" w:hAnsi="宋体" w:eastAsia="宋体" w:cs="宋体"/>
          <w:color w:val="auto"/>
          <w:sz w:val="24"/>
          <w:szCs w:val="24"/>
        </w:rPr>
        <w:t>提供有效的营业执照、税务登记证、机构代码证或三证（五证）合一统一社会代码证及其他资格证明文件（扫描件）；</w:t>
      </w:r>
    </w:p>
    <w:p w14:paraId="1C5114B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企业法人需提交“统一社会信用代码的营业执照”，未换证的提交“营业执照、组织机构代码证、税务登记证”；事业法人需提交“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社会团体法人登记证书”或“民办非企业单位登记证书”或“基金会法人登记证书”和“组织机构代码证”；个体工商户需提交“统一社会信用代码的营业执照”或“营业执照、税务登记证”；自然人需提交身份证明。</w:t>
      </w:r>
    </w:p>
    <w:p w14:paraId="19A4736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2.磋商</w:t>
      </w:r>
      <w:r>
        <w:rPr>
          <w:rFonts w:hint="eastAsia" w:ascii="宋体" w:hAnsi="宋体" w:eastAsia="宋体" w:cs="宋体"/>
          <w:color w:val="auto"/>
          <w:sz w:val="24"/>
          <w:szCs w:val="24"/>
        </w:rPr>
        <w:t>文件规定的有关资格证书、许可证书、认证等；</w:t>
      </w:r>
    </w:p>
    <w:p w14:paraId="593C1CC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3.供应商</w:t>
      </w:r>
      <w:r>
        <w:rPr>
          <w:rFonts w:hint="eastAsia" w:ascii="宋体" w:hAnsi="宋体" w:eastAsia="宋体" w:cs="宋体"/>
          <w:color w:val="auto"/>
          <w:sz w:val="24"/>
          <w:szCs w:val="24"/>
        </w:rPr>
        <w:t>认为有必要提供的其他资格证明文件。</w:t>
      </w:r>
    </w:p>
    <w:p w14:paraId="44E05170">
      <w:pPr>
        <w:wordWrap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1EECD054">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210" w:name="_Toc17195"/>
      <w:bookmarkStart w:id="211" w:name="_Toc32130"/>
      <w:bookmarkStart w:id="212" w:name="_Toc19128"/>
      <w:r>
        <w:rPr>
          <w:rFonts w:hint="eastAsia" w:ascii="宋体" w:hAnsi="宋体" w:eastAsia="宋体" w:cs="宋体"/>
          <w:b/>
          <w:color w:val="auto"/>
          <w:sz w:val="24"/>
          <w:szCs w:val="24"/>
        </w:rPr>
        <w:t>附件1</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：财务状况证明</w:t>
      </w:r>
      <w:bookmarkEnd w:id="210"/>
      <w:bookmarkEnd w:id="211"/>
      <w:bookmarkEnd w:id="212"/>
    </w:p>
    <w:p w14:paraId="0F106133">
      <w:pPr>
        <w:autoSpaceDE w:val="0"/>
        <w:autoSpaceDN w:val="0"/>
        <w:spacing w:line="360" w:lineRule="auto"/>
        <w:ind w:firstLine="0" w:firstLineChars="0"/>
        <w:jc w:val="center"/>
        <w:rPr>
          <w:rFonts w:hint="eastAsia" w:ascii="宋体" w:hAnsi="宋体" w:eastAsia="宋体" w:cs="宋体"/>
          <w:b/>
          <w:color w:val="auto"/>
          <w:sz w:val="24"/>
          <w:szCs w:val="24"/>
        </w:rPr>
      </w:pPr>
    </w:p>
    <w:p w14:paraId="14D379D4">
      <w:pPr>
        <w:autoSpaceDE w:val="0"/>
        <w:autoSpaceDN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财务状况证明</w:t>
      </w:r>
    </w:p>
    <w:p w14:paraId="7847D276">
      <w:pPr>
        <w:autoSpaceDE w:val="0"/>
        <w:autoSpaceDN w:val="0"/>
        <w:spacing w:line="360" w:lineRule="auto"/>
        <w:ind w:firstLine="0" w:firstLineChars="0"/>
        <w:jc w:val="center"/>
        <w:rPr>
          <w:rFonts w:hint="eastAsia" w:ascii="宋体" w:hAnsi="宋体" w:eastAsia="宋体" w:cs="宋体"/>
          <w:b/>
          <w:color w:val="auto"/>
          <w:sz w:val="24"/>
          <w:szCs w:val="24"/>
        </w:rPr>
      </w:pPr>
    </w:p>
    <w:p w14:paraId="29C33A25">
      <w:pPr>
        <w:wordWrap w:val="0"/>
        <w:spacing w:line="360" w:lineRule="auto"/>
        <w:ind w:firstLine="480"/>
        <w:rPr>
          <w:rFonts w:hint="eastAsia" w:ascii="宋体" w:hAnsi="宋体" w:eastAsia="宋体" w:cs="宋体"/>
          <w:color w:val="auto"/>
          <w:sz w:val="24"/>
          <w:lang w:val="zh-CN" w:eastAsia="zh-CN"/>
        </w:rPr>
      </w:pPr>
      <w:r>
        <w:rPr>
          <w:rFonts w:hint="eastAsia" w:ascii="宋体" w:hAnsi="宋体" w:eastAsia="宋体" w:cs="宋体"/>
          <w:color w:val="auto"/>
          <w:sz w:val="24"/>
          <w:lang w:val="zh-CN"/>
        </w:rPr>
        <w:t>按照磋商文件“第一部分  投标邀请”各包供应商资格要求</w:t>
      </w:r>
      <w:r>
        <w:rPr>
          <w:rFonts w:hint="eastAsia" w:ascii="宋体" w:hAnsi="宋体" w:eastAsia="宋体" w:cs="宋体"/>
          <w:color w:val="auto"/>
          <w:sz w:val="24"/>
          <w:lang w:val="zh-CN" w:eastAsia="zh-CN"/>
        </w:rPr>
        <w:t>1</w:t>
      </w:r>
      <w:r>
        <w:rPr>
          <w:rFonts w:hint="eastAsia" w:ascii="宋体" w:hAnsi="宋体" w:eastAsia="宋体" w:cs="宋体"/>
          <w:color w:val="auto"/>
          <w:sz w:val="24"/>
          <w:lang w:val="en-US" w:eastAsia="zh-CN"/>
        </w:rPr>
        <w:t>.</w:t>
      </w:r>
      <w:r>
        <w:rPr>
          <w:rFonts w:hint="eastAsia" w:ascii="宋体" w:hAnsi="宋体" w:eastAsia="宋体" w:cs="宋体"/>
          <w:color w:val="auto"/>
          <w:sz w:val="24"/>
          <w:lang w:val="zh-CN"/>
        </w:rPr>
        <w:t>中第（</w:t>
      </w:r>
      <w:r>
        <w:rPr>
          <w:rFonts w:hint="eastAsia" w:ascii="宋体" w:hAnsi="宋体" w:eastAsia="宋体" w:cs="宋体"/>
          <w:color w:val="auto"/>
          <w:sz w:val="24"/>
          <w:lang w:val="zh-CN" w:eastAsia="zh-CN"/>
        </w:rPr>
        <w:t>2</w:t>
      </w:r>
      <w:r>
        <w:rPr>
          <w:rFonts w:hint="eastAsia" w:ascii="宋体" w:hAnsi="宋体" w:eastAsia="宋体" w:cs="宋体"/>
          <w:color w:val="auto"/>
          <w:sz w:val="24"/>
          <w:lang w:val="zh-CN"/>
        </w:rPr>
        <w:t>）条规定提供以下相关材料</w:t>
      </w:r>
      <w:r>
        <w:rPr>
          <w:rFonts w:hint="eastAsia" w:ascii="宋体" w:hAnsi="宋体" w:eastAsia="宋体" w:cs="宋体"/>
          <w:color w:val="auto"/>
          <w:sz w:val="24"/>
          <w:lang w:val="zh-CN" w:eastAsia="zh-CN"/>
        </w:rPr>
        <w:t>：</w:t>
      </w:r>
    </w:p>
    <w:p w14:paraId="73B57056">
      <w:pPr>
        <w:wordWrap w:val="0"/>
        <w:spacing w:line="360" w:lineRule="auto"/>
        <w:ind w:firstLine="480"/>
        <w:rPr>
          <w:rFonts w:hint="eastAsia" w:ascii="宋体" w:hAnsi="宋体" w:eastAsia="宋体" w:cs="宋体"/>
          <w:color w:val="auto"/>
          <w:sz w:val="24"/>
          <w:lang w:val="zh-CN"/>
        </w:rPr>
      </w:pPr>
      <w:r>
        <w:rPr>
          <w:rFonts w:hint="eastAsia" w:ascii="宋体" w:hAnsi="宋体" w:eastAsia="宋体" w:cs="宋体"/>
          <w:color w:val="auto"/>
          <w:sz w:val="24"/>
          <w:lang w:val="zh-CN"/>
        </w:rPr>
        <w:t>1</w:t>
      </w:r>
      <w:r>
        <w:rPr>
          <w:rFonts w:hint="eastAsia" w:ascii="宋体" w:hAnsi="宋体" w:eastAsia="宋体" w:cs="宋体"/>
          <w:color w:val="auto"/>
          <w:sz w:val="24"/>
          <w:lang w:val="en-US" w:eastAsia="zh-CN"/>
        </w:rPr>
        <w:t>.</w:t>
      </w:r>
      <w:r>
        <w:rPr>
          <w:rFonts w:hint="eastAsia" w:ascii="宋体" w:hAnsi="宋体" w:eastAsia="宋体" w:cs="宋体"/>
          <w:color w:val="auto"/>
          <w:sz w:val="24"/>
          <w:lang w:val="zh-CN" w:eastAsia="zh-CN"/>
        </w:rPr>
        <w:t>供应商</w:t>
      </w:r>
      <w:r>
        <w:rPr>
          <w:rFonts w:hint="eastAsia" w:ascii="宋体" w:hAnsi="宋体" w:eastAsia="宋体" w:cs="宋体"/>
          <w:color w:val="auto"/>
          <w:sz w:val="24"/>
          <w:lang w:val="zh-CN"/>
        </w:rPr>
        <w:t>是法人的，提供基本开户银行近三个月内出具的资信证明（同时提供基本存款账户</w:t>
      </w:r>
      <w:r>
        <w:rPr>
          <w:rFonts w:hint="eastAsia" w:ascii="宋体" w:hAnsi="宋体" w:eastAsia="宋体" w:cs="宋体"/>
          <w:color w:val="auto"/>
          <w:sz w:val="24"/>
          <w:lang w:val="zh-CN" w:eastAsia="zh-CN"/>
        </w:rPr>
        <w:t>信息</w:t>
      </w:r>
      <w:r>
        <w:rPr>
          <w:rFonts w:hint="eastAsia" w:ascii="宋体" w:hAnsi="宋体" w:eastAsia="宋体" w:cs="宋体"/>
          <w:color w:val="auto"/>
          <w:sz w:val="24"/>
          <w:lang w:val="zh-CN"/>
        </w:rPr>
        <w:t>）或</w:t>
      </w:r>
      <w:r>
        <w:rPr>
          <w:rFonts w:hint="eastAsia" w:ascii="宋体" w:hAnsi="宋体" w:eastAsia="宋体" w:cs="宋体"/>
          <w:b w:val="0"/>
          <w:bCs w:val="0"/>
          <w:color w:val="auto"/>
          <w:sz w:val="24"/>
          <w:lang w:val="en-US" w:eastAsia="zh-CN"/>
        </w:rPr>
        <w:t>2024</w:t>
      </w:r>
      <w:r>
        <w:rPr>
          <w:rFonts w:hint="eastAsia" w:ascii="宋体" w:hAnsi="宋体" w:eastAsia="宋体" w:cs="宋体"/>
          <w:color w:val="auto"/>
          <w:sz w:val="24"/>
          <w:lang w:val="zh-CN"/>
        </w:rPr>
        <w:t>年度</w:t>
      </w:r>
      <w:r>
        <w:rPr>
          <w:rFonts w:hint="eastAsia" w:ascii="宋体" w:hAnsi="宋体" w:eastAsia="宋体" w:cs="宋体"/>
          <w:color w:val="auto"/>
          <w:sz w:val="24"/>
          <w:lang w:val="en-US" w:eastAsia="zh-CN"/>
        </w:rPr>
        <w:t>或2025年度</w:t>
      </w:r>
      <w:r>
        <w:rPr>
          <w:rFonts w:hint="eastAsia" w:ascii="宋体" w:hAnsi="宋体" w:eastAsia="宋体" w:cs="宋体"/>
          <w:color w:val="auto"/>
          <w:sz w:val="24"/>
          <w:lang w:val="zh-CN"/>
        </w:rPr>
        <w:t>经第三方审计的</w:t>
      </w:r>
      <w:r>
        <w:rPr>
          <w:rFonts w:hint="eastAsia" w:ascii="宋体" w:hAnsi="宋体" w:eastAsia="宋体" w:cs="宋体"/>
          <w:color w:val="auto"/>
          <w:sz w:val="24"/>
          <w:lang w:val="en-US" w:eastAsia="zh-CN"/>
        </w:rPr>
        <w:t>完整的</w:t>
      </w:r>
      <w:r>
        <w:rPr>
          <w:rFonts w:hint="eastAsia" w:ascii="宋体" w:hAnsi="宋体" w:eastAsia="宋体" w:cs="宋体"/>
          <w:color w:val="auto"/>
          <w:sz w:val="24"/>
          <w:lang w:val="zh-CN"/>
        </w:rPr>
        <w:t>财务报告（扫描件应全面、完整、清晰），</w:t>
      </w:r>
      <w:r>
        <w:rPr>
          <w:rFonts w:hint="eastAsia" w:ascii="宋体" w:hAnsi="宋体" w:eastAsia="宋体" w:cs="宋体"/>
          <w:color w:val="auto"/>
          <w:sz w:val="24"/>
          <w:szCs w:val="24"/>
          <w:lang w:val="zh-CN" w:eastAsia="zh-CN"/>
        </w:rPr>
        <w:t>包括资产负债表、利润表、现金流量表、所有者权益（或股东权益）变动表和财务（会计）报表附注</w:t>
      </w:r>
      <w:r>
        <w:rPr>
          <w:rFonts w:hint="eastAsia" w:ascii="宋体" w:hAnsi="宋体" w:eastAsia="宋体" w:cs="宋体"/>
          <w:color w:val="auto"/>
          <w:sz w:val="24"/>
          <w:lang w:val="zh-CN"/>
        </w:rPr>
        <w:t>，并提供第三方机构的营业执照、执业证书</w:t>
      </w:r>
      <w:r>
        <w:rPr>
          <w:rFonts w:hint="eastAsia" w:ascii="宋体" w:hAnsi="宋体" w:eastAsia="宋体" w:cs="宋体"/>
          <w:color w:val="auto"/>
          <w:sz w:val="24"/>
          <w:lang w:val="en-US" w:eastAsia="zh-CN"/>
        </w:rPr>
        <w:t>等</w:t>
      </w:r>
      <w:r>
        <w:rPr>
          <w:rFonts w:hint="eastAsia" w:ascii="宋体" w:hAnsi="宋体" w:eastAsia="宋体" w:cs="宋体"/>
          <w:color w:val="auto"/>
          <w:sz w:val="24"/>
          <w:lang w:val="zh-CN"/>
        </w:rPr>
        <w:t>。</w:t>
      </w:r>
      <w:r>
        <w:rPr>
          <w:rFonts w:hint="eastAsia" w:ascii="宋体" w:hAnsi="宋体" w:eastAsia="宋体" w:cs="宋体"/>
          <w:color w:val="auto"/>
          <w:sz w:val="24"/>
          <w:lang w:val="zh-CN" w:eastAsia="zh-CN"/>
        </w:rPr>
        <w:t>供应商</w:t>
      </w:r>
      <w:r>
        <w:rPr>
          <w:rFonts w:hint="eastAsia" w:ascii="宋体" w:hAnsi="宋体" w:eastAsia="宋体" w:cs="宋体"/>
          <w:color w:val="auto"/>
          <w:sz w:val="24"/>
          <w:lang w:val="zh-CN"/>
        </w:rPr>
        <w:t>是其他组织和自然人，没有经审计的财务报告，可以提供基本开户银行出具的资信证明（同时提供基本存款账户</w:t>
      </w:r>
      <w:r>
        <w:rPr>
          <w:rFonts w:hint="eastAsia" w:ascii="宋体" w:hAnsi="宋体" w:eastAsia="宋体" w:cs="宋体"/>
          <w:color w:val="auto"/>
          <w:sz w:val="24"/>
          <w:lang w:val="zh-CN" w:eastAsia="zh-CN"/>
        </w:rPr>
        <w:t>信息</w:t>
      </w:r>
      <w:r>
        <w:rPr>
          <w:rFonts w:hint="eastAsia" w:ascii="宋体" w:hAnsi="宋体" w:eastAsia="宋体" w:cs="宋体"/>
          <w:color w:val="auto"/>
          <w:sz w:val="24"/>
          <w:lang w:val="zh-CN"/>
        </w:rPr>
        <w:t>）。</w:t>
      </w:r>
    </w:p>
    <w:p w14:paraId="5D28337C">
      <w:pPr>
        <w:wordWrap w:val="0"/>
        <w:spacing w:line="360" w:lineRule="auto"/>
        <w:ind w:firstLine="480"/>
        <w:rPr>
          <w:rFonts w:hint="eastAsia" w:ascii="宋体" w:hAnsi="宋体" w:eastAsia="宋体" w:cs="宋体"/>
          <w:color w:val="auto"/>
          <w:sz w:val="24"/>
          <w:lang w:val="zh-CN"/>
        </w:rPr>
      </w:pPr>
      <w:r>
        <w:rPr>
          <w:rFonts w:hint="eastAsia" w:ascii="宋体" w:hAnsi="宋体" w:eastAsia="宋体" w:cs="宋体"/>
          <w:color w:val="auto"/>
          <w:sz w:val="24"/>
          <w:lang w:val="zh-CN"/>
        </w:rPr>
        <w:t>2</w:t>
      </w:r>
      <w:r>
        <w:rPr>
          <w:rFonts w:hint="eastAsia" w:ascii="宋体" w:hAnsi="宋体" w:eastAsia="宋体" w:cs="宋体"/>
          <w:color w:val="auto"/>
          <w:sz w:val="24"/>
          <w:lang w:val="en-US" w:eastAsia="zh-CN"/>
        </w:rPr>
        <w:t>.</w:t>
      </w:r>
      <w:r>
        <w:rPr>
          <w:rFonts w:hint="eastAsia" w:ascii="宋体" w:hAnsi="宋体" w:eastAsia="宋体" w:cs="宋体"/>
          <w:color w:val="auto"/>
          <w:sz w:val="24"/>
          <w:lang w:val="zh-CN"/>
        </w:rPr>
        <w:t>近</w:t>
      </w:r>
      <w:r>
        <w:rPr>
          <w:rFonts w:hint="eastAsia" w:ascii="宋体" w:hAnsi="宋体" w:eastAsia="宋体" w:cs="宋体"/>
          <w:color w:val="auto"/>
          <w:sz w:val="24"/>
          <w:lang w:val="en-US" w:eastAsia="zh-CN"/>
        </w:rPr>
        <w:t>半年</w:t>
      </w:r>
      <w:r>
        <w:rPr>
          <w:rFonts w:hint="eastAsia" w:ascii="宋体" w:hAnsi="宋体" w:eastAsia="宋体" w:cs="宋体"/>
          <w:color w:val="auto"/>
          <w:sz w:val="24"/>
          <w:lang w:val="zh-CN"/>
        </w:rPr>
        <w:t>内</w:t>
      </w:r>
      <w:r>
        <w:rPr>
          <w:rFonts w:hint="eastAsia" w:ascii="宋体" w:hAnsi="宋体" w:eastAsia="宋体" w:cs="宋体"/>
          <w:color w:val="auto"/>
          <w:sz w:val="24"/>
          <w:lang w:val="en-US" w:eastAsia="zh-CN"/>
        </w:rPr>
        <w:t>至少1个月</w:t>
      </w:r>
      <w:r>
        <w:rPr>
          <w:rFonts w:hint="eastAsia" w:ascii="宋体" w:hAnsi="宋体" w:eastAsia="宋体" w:cs="宋体"/>
          <w:color w:val="auto"/>
          <w:sz w:val="24"/>
          <w:lang w:val="zh-CN"/>
        </w:rPr>
        <w:t>的依法缴纳税收和社会保障资金记录的证明材料；依法免税或不需要缴纳社会保障资金的</w:t>
      </w:r>
      <w:r>
        <w:rPr>
          <w:rFonts w:hint="eastAsia" w:ascii="宋体" w:hAnsi="宋体" w:eastAsia="宋体" w:cs="宋体"/>
          <w:color w:val="auto"/>
          <w:sz w:val="24"/>
          <w:lang w:val="zh-CN" w:eastAsia="zh-CN"/>
        </w:rPr>
        <w:t>供应商</w:t>
      </w:r>
      <w:r>
        <w:rPr>
          <w:rFonts w:hint="eastAsia" w:ascii="宋体" w:hAnsi="宋体" w:eastAsia="宋体" w:cs="宋体"/>
          <w:color w:val="auto"/>
          <w:sz w:val="24"/>
          <w:lang w:val="zh-CN"/>
        </w:rPr>
        <w:t>须提供相应文件证明其依法免税或不需要缴纳社会保障资金。</w:t>
      </w:r>
    </w:p>
    <w:p w14:paraId="783B67E6">
      <w:pPr>
        <w:wordWrap w:val="0"/>
        <w:spacing w:line="360" w:lineRule="auto"/>
        <w:ind w:firstLine="480"/>
        <w:rPr>
          <w:rFonts w:hint="eastAsia" w:ascii="宋体" w:hAnsi="宋体" w:eastAsia="宋体" w:cs="宋体"/>
          <w:color w:val="auto"/>
          <w:sz w:val="24"/>
          <w:lang w:val="zh-CN"/>
        </w:rPr>
      </w:pPr>
      <w:r>
        <w:rPr>
          <w:rFonts w:hint="eastAsia" w:ascii="宋体" w:hAnsi="宋体" w:eastAsia="宋体" w:cs="宋体"/>
          <w:color w:val="auto"/>
          <w:sz w:val="24"/>
          <w:lang w:val="zh-CN"/>
        </w:rPr>
        <w:br w:type="page"/>
      </w:r>
    </w:p>
    <w:p w14:paraId="65BFBD02">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213" w:name="_Toc23812"/>
      <w:bookmarkStart w:id="214" w:name="_Toc27149"/>
      <w:bookmarkStart w:id="215" w:name="_Toc23114"/>
      <w:r>
        <w:rPr>
          <w:rFonts w:hint="eastAsia" w:ascii="宋体" w:hAnsi="宋体" w:eastAsia="宋体" w:cs="宋体"/>
          <w:b/>
          <w:color w:val="auto"/>
          <w:sz w:val="24"/>
          <w:szCs w:val="24"/>
        </w:rPr>
        <w:t>附件1</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：具备履行合同所必须的设备和专业技术能力证明</w:t>
      </w:r>
      <w:bookmarkEnd w:id="213"/>
    </w:p>
    <w:p w14:paraId="37C8B417">
      <w:pPr>
        <w:autoSpaceDE w:val="0"/>
        <w:autoSpaceDN w:val="0"/>
        <w:spacing w:line="360" w:lineRule="auto"/>
        <w:ind w:firstLine="480"/>
        <w:rPr>
          <w:rFonts w:hint="eastAsia" w:ascii="宋体" w:hAnsi="宋体" w:eastAsia="宋体" w:cs="宋体"/>
          <w:color w:val="auto"/>
          <w:sz w:val="24"/>
          <w:szCs w:val="24"/>
          <w:lang w:val="zh-CN"/>
        </w:rPr>
      </w:pPr>
    </w:p>
    <w:p w14:paraId="552BDD6A">
      <w:pPr>
        <w:autoSpaceDE w:val="0"/>
        <w:autoSpaceDN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具备履行合同所必须的设备和专业技术能力证明</w:t>
      </w:r>
    </w:p>
    <w:p w14:paraId="3979BEE8">
      <w:pPr>
        <w:autoSpaceDE w:val="0"/>
        <w:autoSpaceDN w:val="0"/>
        <w:spacing w:line="360" w:lineRule="auto"/>
        <w:ind w:firstLine="482"/>
        <w:rPr>
          <w:rFonts w:hint="eastAsia" w:ascii="宋体" w:hAnsi="宋体" w:eastAsia="宋体" w:cs="宋体"/>
          <w:b/>
          <w:color w:val="auto"/>
          <w:sz w:val="24"/>
          <w:szCs w:val="24"/>
          <w:lang w:val="zh-CN"/>
        </w:rPr>
      </w:pPr>
    </w:p>
    <w:p w14:paraId="41B7B973">
      <w:pPr>
        <w:autoSpaceDE w:val="0"/>
        <w:autoSpaceDN w:val="0"/>
        <w:spacing w:line="360" w:lineRule="auto"/>
        <w:ind w:firstLine="480"/>
        <w:rPr>
          <w:rFonts w:hint="eastAsia" w:ascii="宋体" w:hAnsi="宋体" w:eastAsia="宋体" w:cs="宋体"/>
          <w:b/>
          <w:color w:val="auto"/>
          <w:sz w:val="24"/>
          <w:szCs w:val="24"/>
        </w:rPr>
      </w:pPr>
      <w:r>
        <w:rPr>
          <w:rFonts w:hint="eastAsia" w:ascii="宋体" w:hAnsi="宋体" w:eastAsia="宋体" w:cs="宋体"/>
          <w:color w:val="auto"/>
          <w:kern w:val="0"/>
          <w:sz w:val="24"/>
          <w:szCs w:val="24"/>
          <w:lang w:val="zh-CN"/>
        </w:rPr>
        <w:t>为保证本项目合同的顺利履行，</w:t>
      </w:r>
      <w:r>
        <w:rPr>
          <w:rFonts w:hint="eastAsia" w:ascii="宋体" w:hAnsi="宋体" w:eastAsia="宋体" w:cs="宋体"/>
          <w:color w:val="auto"/>
          <w:kern w:val="0"/>
          <w:sz w:val="24"/>
          <w:szCs w:val="24"/>
          <w:lang w:val="en-US" w:eastAsia="zh-CN"/>
        </w:rPr>
        <w:t>供应商</w:t>
      </w:r>
      <w:r>
        <w:rPr>
          <w:rFonts w:hint="eastAsia" w:ascii="宋体" w:hAnsi="宋体" w:eastAsia="宋体" w:cs="宋体"/>
          <w:color w:val="auto"/>
          <w:kern w:val="0"/>
          <w:sz w:val="24"/>
          <w:szCs w:val="24"/>
          <w:lang w:val="zh-CN"/>
        </w:rPr>
        <w:t>必须具备履行合同的设备和专业技术能力，须提供必须具备履行合同的设备和专业技术能力的承诺函（格式自拟），并提供相关设备的购置发票或相关人员的职称证书</w:t>
      </w:r>
      <w:r>
        <w:rPr>
          <w:rFonts w:hint="eastAsia" w:ascii="宋体" w:hAnsi="宋体" w:eastAsia="宋体" w:cs="宋体"/>
          <w:color w:val="auto"/>
          <w:kern w:val="0"/>
          <w:sz w:val="24"/>
          <w:szCs w:val="24"/>
          <w:lang w:val="en-US" w:eastAsia="zh-CN"/>
        </w:rPr>
        <w:t>或</w:t>
      </w:r>
      <w:r>
        <w:rPr>
          <w:rFonts w:hint="eastAsia" w:ascii="宋体" w:hAnsi="宋体" w:eastAsia="宋体" w:cs="宋体"/>
          <w:color w:val="auto"/>
          <w:kern w:val="0"/>
          <w:sz w:val="24"/>
          <w:szCs w:val="24"/>
          <w:lang w:val="zh-CN"/>
        </w:rPr>
        <w:t>用工合同等证明材料。</w:t>
      </w:r>
    </w:p>
    <w:p w14:paraId="4DD334A6">
      <w:pPr>
        <w:ind w:firstLine="0" w:firstLineChars="0"/>
        <w:rPr>
          <w:rFonts w:hint="eastAsia" w:ascii="宋体" w:hAnsi="宋体" w:eastAsia="宋体" w:cs="宋体"/>
          <w:b/>
          <w:color w:val="auto"/>
          <w:sz w:val="24"/>
          <w:szCs w:val="24"/>
        </w:rPr>
      </w:pPr>
    </w:p>
    <w:p w14:paraId="63B18107">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216" w:name="_Toc4571"/>
      <w:r>
        <w:rPr>
          <w:rFonts w:hint="eastAsia" w:ascii="宋体" w:hAnsi="宋体" w:eastAsia="宋体" w:cs="宋体"/>
          <w:b/>
          <w:color w:val="auto"/>
          <w:sz w:val="24"/>
          <w:szCs w:val="24"/>
        </w:rPr>
        <w:t>附件</w:t>
      </w:r>
      <w:bookmarkStart w:id="217" w:name="_Toc376936781"/>
      <w:bookmarkStart w:id="218" w:name="_Toc325726049"/>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w:t>
      </w:r>
      <w:bookmarkEnd w:id="217"/>
      <w:bookmarkEnd w:id="218"/>
      <w:r>
        <w:rPr>
          <w:rFonts w:hint="eastAsia" w:ascii="宋体" w:hAnsi="宋体" w:eastAsia="宋体" w:cs="宋体"/>
          <w:b/>
          <w:color w:val="auto"/>
          <w:sz w:val="24"/>
          <w:szCs w:val="24"/>
        </w:rPr>
        <w:t>无重大违法记录声明</w:t>
      </w:r>
      <w:bookmarkEnd w:id="214"/>
      <w:bookmarkEnd w:id="215"/>
      <w:bookmarkEnd w:id="216"/>
    </w:p>
    <w:p w14:paraId="35783910">
      <w:pPr>
        <w:spacing w:line="360" w:lineRule="auto"/>
        <w:ind w:firstLine="0" w:firstLineChars="0"/>
        <w:rPr>
          <w:rFonts w:hint="eastAsia" w:ascii="宋体" w:hAnsi="宋体" w:eastAsia="宋体" w:cs="宋体"/>
          <w:b/>
          <w:color w:val="auto"/>
          <w:sz w:val="24"/>
          <w:szCs w:val="24"/>
        </w:rPr>
      </w:pPr>
    </w:p>
    <w:p w14:paraId="176E7FBB">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无重大违法记录声明</w:t>
      </w:r>
    </w:p>
    <w:p w14:paraId="4B882BF5">
      <w:pPr>
        <w:spacing w:line="360" w:lineRule="auto"/>
        <w:ind w:left="0" w:leftChars="0" w:firstLine="0" w:firstLineChars="0"/>
        <w:rPr>
          <w:rFonts w:hint="eastAsia" w:ascii="宋体" w:hAnsi="宋体" w:eastAsia="宋体" w:cs="宋体"/>
          <w:b/>
          <w:bCs/>
          <w:color w:val="auto"/>
          <w:sz w:val="24"/>
          <w:lang w:eastAsia="zh-CN"/>
        </w:rPr>
      </w:pPr>
      <w:r>
        <w:rPr>
          <w:rFonts w:hint="eastAsia" w:ascii="宋体" w:hAnsi="宋体" w:eastAsia="宋体" w:cs="宋体"/>
          <w:b/>
          <w:bCs/>
          <w:color w:val="auto"/>
          <w:sz w:val="24"/>
        </w:rPr>
        <w:t>致：</w:t>
      </w:r>
      <w:r>
        <w:rPr>
          <w:rFonts w:hint="eastAsia" w:ascii="宋体" w:hAnsi="宋体" w:eastAsia="宋体" w:cs="宋体"/>
          <w:b/>
          <w:bCs/>
          <w:color w:val="auto"/>
          <w:sz w:val="24"/>
          <w:lang w:eastAsia="zh-CN"/>
        </w:rPr>
        <w:t>青海鼎钊招标代理有限公司</w:t>
      </w:r>
    </w:p>
    <w:p w14:paraId="514FD002">
      <w:pPr>
        <w:spacing w:line="360" w:lineRule="auto"/>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rPr>
        <w:t>我单位参加本次政府采购项目活动前三年内，在经营活动中无重大违法活动记录，符合《政府采购法》规定的供应商资格条</w:t>
      </w:r>
      <w:r>
        <w:rPr>
          <w:rFonts w:hint="eastAsia" w:ascii="宋体" w:hAnsi="宋体" w:eastAsia="宋体" w:cs="宋体"/>
          <w:color w:val="auto"/>
          <w:sz w:val="24"/>
          <w:szCs w:val="24"/>
          <w:shd w:val="clear" w:color="auto" w:fill="FFFFFF"/>
        </w:rPr>
        <w:t>件。我方对此声明负全部法律责任。</w:t>
      </w:r>
    </w:p>
    <w:p w14:paraId="24208B5E">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szCs w:val="24"/>
        </w:rPr>
        <w:t>特此声明。</w:t>
      </w:r>
    </w:p>
    <w:p w14:paraId="2FD7933C">
      <w:pPr>
        <w:spacing w:line="360" w:lineRule="auto"/>
        <w:ind w:firstLine="480"/>
        <w:rPr>
          <w:rFonts w:hint="eastAsia" w:ascii="宋体" w:hAnsi="宋体" w:eastAsia="宋体" w:cs="宋体"/>
          <w:color w:val="auto"/>
          <w:sz w:val="24"/>
        </w:rPr>
      </w:pPr>
    </w:p>
    <w:p w14:paraId="1A19BA87">
      <w:pPr>
        <w:spacing w:line="360" w:lineRule="auto"/>
        <w:ind w:firstLine="480"/>
        <w:rPr>
          <w:rFonts w:hint="eastAsia" w:ascii="宋体" w:hAnsi="宋体" w:eastAsia="宋体" w:cs="宋体"/>
          <w:color w:val="auto"/>
          <w:sz w:val="24"/>
        </w:rPr>
      </w:pPr>
    </w:p>
    <w:p w14:paraId="0058DAE6">
      <w:pPr>
        <w:spacing w:line="360" w:lineRule="auto"/>
        <w:ind w:firstLine="480"/>
        <w:rPr>
          <w:rFonts w:hint="eastAsia" w:ascii="宋体" w:hAnsi="宋体" w:eastAsia="宋体" w:cs="宋体"/>
          <w:color w:val="auto"/>
          <w:sz w:val="24"/>
        </w:rPr>
      </w:pPr>
    </w:p>
    <w:p w14:paraId="79C8E483">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（公章）</w:t>
      </w:r>
    </w:p>
    <w:p w14:paraId="3964F38D">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（签字或盖章）</w:t>
      </w:r>
    </w:p>
    <w:p w14:paraId="4B560563">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年   月 </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 xml:space="preserve"> 日</w:t>
      </w:r>
    </w:p>
    <w:p w14:paraId="6F6DDB5E">
      <w:pPr>
        <w:wordWrap w:val="0"/>
        <w:spacing w:line="360" w:lineRule="auto"/>
        <w:ind w:firstLine="0" w:firstLineChars="0"/>
        <w:rPr>
          <w:rFonts w:hint="eastAsia" w:ascii="宋体" w:hAnsi="宋体" w:eastAsia="宋体" w:cs="宋体"/>
          <w:bCs/>
          <w:color w:val="auto"/>
          <w:sz w:val="24"/>
          <w:szCs w:val="24"/>
        </w:rPr>
      </w:pPr>
      <w:r>
        <w:rPr>
          <w:rFonts w:hint="eastAsia" w:ascii="宋体" w:hAnsi="宋体" w:eastAsia="宋体" w:cs="宋体"/>
          <w:bCs/>
          <w:color w:val="auto"/>
          <w:sz w:val="24"/>
          <w:szCs w:val="24"/>
        </w:rPr>
        <w:br w:type="page"/>
      </w:r>
    </w:p>
    <w:p w14:paraId="0B92BDB1">
      <w:pPr>
        <w:keepNext/>
        <w:pageBreakBefore/>
        <w:widowControl/>
        <w:spacing w:line="360" w:lineRule="auto"/>
        <w:ind w:firstLine="0" w:firstLineChars="0"/>
        <w:outlineLvl w:val="1"/>
        <w:rPr>
          <w:rFonts w:hint="eastAsia" w:ascii="宋体" w:hAnsi="宋体" w:eastAsia="宋体" w:cs="宋体"/>
          <w:b/>
          <w:color w:val="auto"/>
          <w:sz w:val="24"/>
          <w:szCs w:val="24"/>
          <w:lang w:eastAsia="zh-CN"/>
        </w:rPr>
      </w:pPr>
      <w:bookmarkStart w:id="219" w:name="_Toc8351"/>
      <w:bookmarkStart w:id="220" w:name="_Toc22957"/>
      <w:bookmarkStart w:id="221" w:name="_Toc24531"/>
      <w:r>
        <w:rPr>
          <w:rFonts w:hint="eastAsia" w:ascii="宋体" w:hAnsi="宋体" w:eastAsia="宋体" w:cs="宋体"/>
          <w:b/>
          <w:color w:val="auto"/>
          <w:sz w:val="24"/>
          <w:szCs w:val="24"/>
        </w:rPr>
        <w:t>附件1</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：磋商保证金</w:t>
      </w:r>
      <w:bookmarkEnd w:id="219"/>
      <w:bookmarkEnd w:id="220"/>
      <w:bookmarkEnd w:id="221"/>
    </w:p>
    <w:p w14:paraId="62005C71">
      <w:pPr>
        <w:spacing w:line="360" w:lineRule="auto"/>
        <w:ind w:firstLine="0" w:firstLineChars="0"/>
        <w:rPr>
          <w:rFonts w:hint="eastAsia" w:ascii="宋体" w:hAnsi="宋体" w:eastAsia="宋体" w:cs="宋体"/>
          <w:color w:val="auto"/>
          <w:sz w:val="24"/>
          <w:szCs w:val="24"/>
        </w:rPr>
      </w:pPr>
    </w:p>
    <w:p w14:paraId="45292888">
      <w:pPr>
        <w:spacing w:line="360" w:lineRule="auto"/>
        <w:ind w:firstLine="0" w:firstLineChars="0"/>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磋商保证金</w:t>
      </w:r>
    </w:p>
    <w:p w14:paraId="7085C815">
      <w:pPr>
        <w:spacing w:line="360" w:lineRule="auto"/>
        <w:ind w:firstLine="0" w:firstLineChars="0"/>
        <w:rPr>
          <w:rFonts w:hint="eastAsia" w:ascii="宋体" w:hAnsi="宋体" w:eastAsia="宋体" w:cs="宋体"/>
          <w:b/>
          <w:color w:val="auto"/>
          <w:sz w:val="24"/>
          <w:szCs w:val="24"/>
        </w:rPr>
      </w:pPr>
    </w:p>
    <w:p w14:paraId="4CA076CF">
      <w:pPr>
        <w:wordWrap w:val="0"/>
        <w:spacing w:line="360" w:lineRule="auto"/>
        <w:ind w:firstLine="48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附</w:t>
      </w:r>
      <w:r>
        <w:rPr>
          <w:rFonts w:hint="eastAsia" w:ascii="宋体" w:hAnsi="宋体" w:eastAsia="宋体" w:cs="宋体"/>
          <w:bCs/>
          <w:color w:val="auto"/>
          <w:sz w:val="24"/>
          <w:szCs w:val="24"/>
        </w:rPr>
        <w:t>磋商保证金证明</w:t>
      </w:r>
      <w:r>
        <w:rPr>
          <w:rFonts w:hint="eastAsia" w:ascii="宋体" w:hAnsi="宋体" w:eastAsia="宋体" w:cs="宋体"/>
          <w:bCs/>
          <w:color w:val="auto"/>
          <w:sz w:val="24"/>
          <w:szCs w:val="24"/>
          <w:lang w:val="en-US" w:eastAsia="zh-CN"/>
        </w:rPr>
        <w:t>材料</w:t>
      </w:r>
      <w:r>
        <w:rPr>
          <w:rFonts w:hint="eastAsia" w:ascii="宋体" w:hAnsi="宋体" w:eastAsia="宋体" w:cs="宋体"/>
          <w:bCs/>
          <w:color w:val="auto"/>
          <w:sz w:val="24"/>
          <w:szCs w:val="24"/>
        </w:rPr>
        <w:t>扫描件。</w:t>
      </w:r>
    </w:p>
    <w:p w14:paraId="22A649BB">
      <w:pPr>
        <w:wordWrap w:val="0"/>
        <w:spacing w:line="360" w:lineRule="auto"/>
        <w:ind w:firstLine="0" w:firstLineChars="0"/>
        <w:rPr>
          <w:rFonts w:hint="eastAsia" w:ascii="宋体" w:hAnsi="宋体" w:eastAsia="宋体" w:cs="宋体"/>
          <w:b/>
          <w:color w:val="auto"/>
          <w:sz w:val="24"/>
          <w:szCs w:val="24"/>
        </w:rPr>
      </w:pPr>
      <w:bookmarkStart w:id="222" w:name="_Toc1224"/>
      <w:r>
        <w:rPr>
          <w:rFonts w:hint="eastAsia" w:ascii="宋体" w:hAnsi="宋体" w:eastAsia="宋体" w:cs="宋体"/>
          <w:b/>
          <w:color w:val="auto"/>
          <w:sz w:val="24"/>
          <w:szCs w:val="24"/>
        </w:rPr>
        <w:br w:type="page"/>
      </w:r>
    </w:p>
    <w:bookmarkEnd w:id="222"/>
    <w:p w14:paraId="5BC1A9EA">
      <w:pPr>
        <w:widowControl/>
        <w:snapToGrid w:val="0"/>
        <w:spacing w:line="360" w:lineRule="auto"/>
        <w:ind w:firstLine="0" w:firstLineChars="0"/>
        <w:outlineLvl w:val="1"/>
        <w:rPr>
          <w:rFonts w:hint="eastAsia" w:ascii="宋体" w:hAnsi="宋体" w:eastAsia="宋体" w:cs="宋体"/>
          <w:color w:val="auto"/>
          <w:sz w:val="24"/>
          <w:szCs w:val="24"/>
          <w:lang w:val="en-US" w:eastAsia="zh-CN"/>
        </w:rPr>
      </w:pPr>
      <w:bookmarkStart w:id="223" w:name="_Toc3881"/>
      <w:r>
        <w:rPr>
          <w:rFonts w:hint="eastAsia" w:ascii="宋体" w:hAnsi="宋体" w:eastAsia="宋体" w:cs="宋体"/>
          <w:b/>
          <w:color w:val="auto"/>
          <w:sz w:val="24"/>
          <w:szCs w:val="24"/>
          <w:lang w:eastAsia="zh-CN"/>
        </w:rPr>
        <w:t>附件1</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lang w:eastAsia="zh-CN"/>
        </w:rPr>
        <w:t>：中小企业声明函</w:t>
      </w:r>
      <w:bookmarkEnd w:id="223"/>
    </w:p>
    <w:p w14:paraId="37039F21">
      <w:pPr>
        <w:keepNext w:val="0"/>
        <w:keepLines w:val="0"/>
        <w:widowControl/>
        <w:suppressLineNumbers w:val="0"/>
        <w:spacing w:line="360" w:lineRule="auto"/>
        <w:ind w:left="0" w:leftChars="0" w:firstLine="0" w:firstLineChars="0"/>
        <w:jc w:val="center"/>
        <w:rPr>
          <w:rFonts w:hint="eastAsia" w:ascii="宋体" w:hAnsi="宋体" w:eastAsia="宋体" w:cs="宋体"/>
          <w:b/>
          <w:i w:val="0"/>
          <w:iCs w:val="0"/>
          <w:color w:val="auto"/>
          <w:kern w:val="0"/>
          <w:sz w:val="24"/>
          <w:szCs w:val="24"/>
          <w:lang w:val="en-US" w:eastAsia="zh-CN" w:bidi="ar"/>
        </w:rPr>
      </w:pPr>
    </w:p>
    <w:p w14:paraId="2875B867">
      <w:pPr>
        <w:autoSpaceDE w:val="0"/>
        <w:autoSpaceDN w:val="0"/>
        <w:spacing w:line="360" w:lineRule="auto"/>
        <w:jc w:val="center"/>
        <w:rPr>
          <w:rFonts w:hint="eastAsia" w:ascii="宋体" w:hAnsi="宋体" w:eastAsia="宋体" w:cs="宋体"/>
          <w:b/>
          <w:bCs/>
          <w:color w:val="auto"/>
          <w:kern w:val="0"/>
          <w:sz w:val="36"/>
          <w:szCs w:val="36"/>
          <w:lang w:val="zh-CN" w:eastAsia="zh-CN"/>
        </w:rPr>
      </w:pPr>
      <w:r>
        <w:rPr>
          <w:rFonts w:hint="eastAsia" w:ascii="宋体" w:hAnsi="宋体" w:eastAsia="宋体" w:cs="宋体"/>
          <w:b/>
          <w:bCs/>
          <w:color w:val="auto"/>
          <w:kern w:val="0"/>
          <w:sz w:val="28"/>
          <w:szCs w:val="28"/>
          <w:lang w:eastAsia="zh-CN"/>
        </w:rPr>
        <w:t>中小企业声明函</w:t>
      </w:r>
    </w:p>
    <w:p w14:paraId="39C33177">
      <w:pPr>
        <w:autoSpaceDE w:val="0"/>
        <w:autoSpaceDN w:val="0"/>
        <w:spacing w:line="360" w:lineRule="auto"/>
        <w:ind w:left="0" w:leftChars="0" w:firstLine="0" w:firstLineChars="0"/>
        <w:rPr>
          <w:rFonts w:hint="eastAsia" w:ascii="宋体" w:hAnsi="宋体" w:eastAsia="宋体" w:cs="宋体"/>
          <w:color w:val="auto"/>
          <w:kern w:val="0"/>
          <w:sz w:val="24"/>
          <w:szCs w:val="24"/>
          <w:lang w:val="zh-CN"/>
        </w:rPr>
      </w:pPr>
      <w:r>
        <w:rPr>
          <w:rFonts w:hint="eastAsia" w:ascii="宋体" w:hAnsi="宋体" w:eastAsia="宋体" w:cs="宋体"/>
          <w:b/>
          <w:bCs/>
          <w:color w:val="auto"/>
          <w:kern w:val="0"/>
          <w:sz w:val="24"/>
          <w:szCs w:val="24"/>
          <w:lang w:val="zh-CN"/>
        </w:rPr>
        <w:t>致：青海鼎钊招标代理有限公司</w:t>
      </w:r>
    </w:p>
    <w:p w14:paraId="2123392B">
      <w:pPr>
        <w:keepNext w:val="0"/>
        <w:keepLines w:val="0"/>
        <w:widowControl/>
        <w:suppressLineNumbers w:val="0"/>
        <w:spacing w:line="360" w:lineRule="auto"/>
        <w:ind w:firstLine="480" w:firstLineChars="200"/>
        <w:jc w:val="left"/>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本公司郑重声明，根据《政府采购促进中小企业发展管理办法》（财库﹝2020﹞46号）的规定，本公司参加</w:t>
      </w:r>
      <w:r>
        <w:rPr>
          <w:rFonts w:hint="eastAsia" w:ascii="宋体" w:hAnsi="宋体" w:eastAsia="宋体" w:cs="宋体"/>
          <w:i w:val="0"/>
          <w:iCs w:val="0"/>
          <w:color w:val="auto"/>
          <w:kern w:val="0"/>
          <w:sz w:val="24"/>
          <w:szCs w:val="24"/>
          <w:u w:val="single"/>
          <w:lang w:val="en-US" w:eastAsia="zh-CN" w:bidi="ar"/>
        </w:rPr>
        <w:t>（单位名称）的（项目名称）</w:t>
      </w:r>
      <w:r>
        <w:rPr>
          <w:rFonts w:hint="eastAsia" w:ascii="宋体" w:hAnsi="宋体" w:eastAsia="宋体" w:cs="宋体"/>
          <w:i w:val="0"/>
          <w:iCs w:val="0"/>
          <w:color w:val="auto"/>
          <w:kern w:val="0"/>
          <w:sz w:val="24"/>
          <w:szCs w:val="24"/>
          <w:lang w:val="en-US" w:eastAsia="zh-CN" w:bidi="ar"/>
        </w:rPr>
        <w:t>采购活动，提供的货物全部（配件、辅料等材料除外）由符合政策要求的中小企业制造。相关企业的具体情况如下：</w:t>
      </w:r>
    </w:p>
    <w:p w14:paraId="48FD7C59">
      <w:pPr>
        <w:keepNext w:val="0"/>
        <w:keepLines w:val="0"/>
        <w:widowControl/>
        <w:suppressLineNumbers w:val="0"/>
        <w:spacing w:line="360" w:lineRule="auto"/>
        <w:ind w:firstLine="480" w:firstLineChars="200"/>
        <w:jc w:val="left"/>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t>1.</w:t>
      </w:r>
      <w:r>
        <w:rPr>
          <w:rFonts w:hint="eastAsia" w:ascii="宋体" w:hAnsi="宋体" w:eastAsia="宋体" w:cs="宋体"/>
          <w:i w:val="0"/>
          <w:iCs w:val="0"/>
          <w:color w:val="auto"/>
          <w:kern w:val="0"/>
          <w:sz w:val="24"/>
          <w:szCs w:val="24"/>
          <w:u w:val="single"/>
          <w:lang w:val="en-US" w:eastAsia="zh-CN" w:bidi="ar"/>
        </w:rPr>
        <w:t>（标的名称）</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（采购文件中明确的所属行业）</w:t>
      </w:r>
      <w:r>
        <w:rPr>
          <w:rFonts w:hint="eastAsia" w:ascii="宋体" w:hAnsi="宋体" w:eastAsia="宋体" w:cs="宋体"/>
          <w:i w:val="0"/>
          <w:iCs w:val="0"/>
          <w:color w:val="auto"/>
          <w:kern w:val="0"/>
          <w:sz w:val="24"/>
          <w:szCs w:val="24"/>
          <w:lang w:val="en-US" w:eastAsia="zh-CN" w:bidi="ar"/>
        </w:rPr>
        <w:t>行业；制造商为</w:t>
      </w:r>
      <w:r>
        <w:rPr>
          <w:rFonts w:hint="eastAsia" w:ascii="宋体" w:hAnsi="宋体" w:eastAsia="宋体" w:cs="宋体"/>
          <w:i w:val="0"/>
          <w:iCs w:val="0"/>
          <w:color w:val="auto"/>
          <w:kern w:val="0"/>
          <w:sz w:val="24"/>
          <w:szCs w:val="24"/>
          <w:u w:val="single"/>
          <w:lang w:val="en-US" w:eastAsia="zh-CN" w:bidi="ar"/>
        </w:rPr>
        <w:t>（企业名称）</w:t>
      </w:r>
      <w:r>
        <w:rPr>
          <w:rFonts w:hint="eastAsia" w:ascii="宋体" w:hAnsi="宋体" w:eastAsia="宋体" w:cs="宋体"/>
          <w:i w:val="0"/>
          <w:iCs w:val="0"/>
          <w:color w:val="auto"/>
          <w:kern w:val="0"/>
          <w:sz w:val="24"/>
          <w:szCs w:val="24"/>
          <w:lang w:val="en-US" w:eastAsia="zh-CN" w:bidi="ar"/>
        </w:rPr>
        <w:t>，从业人员</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人，营业收入为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万元，资产总额为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w:t>
      </w:r>
      <w:r>
        <w:rPr>
          <w:rFonts w:hint="eastAsia" w:ascii="宋体" w:hAnsi="宋体" w:eastAsia="宋体" w:cs="宋体"/>
          <w:i w:val="0"/>
          <w:iCs w:val="0"/>
          <w:color w:val="auto"/>
          <w:kern w:val="0"/>
          <w:sz w:val="24"/>
          <w:szCs w:val="24"/>
          <w:vertAlign w:val="superscript"/>
          <w:lang w:val="en-US" w:eastAsia="zh-CN" w:bidi="ar"/>
        </w:rPr>
        <w:t>1</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（中型企业、小型企业、微型企业）</w:t>
      </w:r>
      <w:r>
        <w:rPr>
          <w:rFonts w:hint="eastAsia" w:ascii="宋体" w:hAnsi="宋体" w:eastAsia="宋体" w:cs="宋体"/>
          <w:i w:val="0"/>
          <w:iCs w:val="0"/>
          <w:color w:val="auto"/>
          <w:kern w:val="0"/>
          <w:sz w:val="24"/>
          <w:szCs w:val="24"/>
          <w:lang w:val="en-US" w:eastAsia="zh-CN" w:bidi="ar"/>
        </w:rPr>
        <w:t>；</w:t>
      </w:r>
    </w:p>
    <w:p w14:paraId="2BCAAAA8">
      <w:pPr>
        <w:keepNext w:val="0"/>
        <w:keepLines w:val="0"/>
        <w:widowControl/>
        <w:suppressLineNumbers w:val="0"/>
        <w:spacing w:line="360" w:lineRule="auto"/>
        <w:ind w:firstLine="480" w:firstLineChars="200"/>
        <w:jc w:val="left"/>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2.</w:t>
      </w:r>
      <w:r>
        <w:rPr>
          <w:rFonts w:hint="eastAsia" w:ascii="宋体" w:hAnsi="宋体" w:eastAsia="宋体" w:cs="宋体"/>
          <w:i w:val="0"/>
          <w:iCs w:val="0"/>
          <w:color w:val="auto"/>
          <w:kern w:val="0"/>
          <w:sz w:val="24"/>
          <w:szCs w:val="24"/>
          <w:u w:val="single"/>
          <w:lang w:val="en-US" w:eastAsia="zh-CN" w:bidi="ar"/>
        </w:rPr>
        <w:t>（标的名称）</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（采购文件中明确的所属行业）</w:t>
      </w:r>
      <w:r>
        <w:rPr>
          <w:rFonts w:hint="eastAsia" w:ascii="宋体" w:hAnsi="宋体" w:eastAsia="宋体" w:cs="宋体"/>
          <w:i w:val="0"/>
          <w:iCs w:val="0"/>
          <w:color w:val="auto"/>
          <w:kern w:val="0"/>
          <w:sz w:val="24"/>
          <w:szCs w:val="24"/>
          <w:lang w:val="en-US" w:eastAsia="zh-CN" w:bidi="ar"/>
        </w:rPr>
        <w:t>行业；制造商为</w:t>
      </w:r>
      <w:r>
        <w:rPr>
          <w:rFonts w:hint="eastAsia" w:ascii="宋体" w:hAnsi="宋体" w:eastAsia="宋体" w:cs="宋体"/>
          <w:i w:val="0"/>
          <w:iCs w:val="0"/>
          <w:color w:val="auto"/>
          <w:kern w:val="0"/>
          <w:sz w:val="24"/>
          <w:szCs w:val="24"/>
          <w:u w:val="single"/>
          <w:lang w:val="en-US" w:eastAsia="zh-CN" w:bidi="ar"/>
        </w:rPr>
        <w:t>（企业名称）</w:t>
      </w:r>
      <w:r>
        <w:rPr>
          <w:rFonts w:hint="eastAsia" w:ascii="宋体" w:hAnsi="宋体" w:eastAsia="宋体" w:cs="宋体"/>
          <w:i w:val="0"/>
          <w:iCs w:val="0"/>
          <w:color w:val="auto"/>
          <w:kern w:val="0"/>
          <w:sz w:val="24"/>
          <w:szCs w:val="24"/>
          <w:lang w:val="en-US" w:eastAsia="zh-CN" w:bidi="ar"/>
        </w:rPr>
        <w:t>，从业人员</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人，营业收入为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万元，资产总额为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w:t>
      </w:r>
      <w:r>
        <w:rPr>
          <w:rFonts w:hint="eastAsia" w:ascii="宋体" w:hAnsi="宋体" w:eastAsia="宋体" w:cs="宋体"/>
          <w:i w:val="0"/>
          <w:iCs w:val="0"/>
          <w:color w:val="auto"/>
          <w:kern w:val="0"/>
          <w:sz w:val="24"/>
          <w:szCs w:val="24"/>
          <w:vertAlign w:val="superscript"/>
          <w:lang w:val="en-US" w:eastAsia="zh-CN" w:bidi="ar"/>
        </w:rPr>
        <w:t>1</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（中型企业、小型企业、微型企业）</w:t>
      </w:r>
      <w:r>
        <w:rPr>
          <w:rFonts w:hint="eastAsia" w:ascii="宋体" w:hAnsi="宋体" w:eastAsia="宋体" w:cs="宋体"/>
          <w:i w:val="0"/>
          <w:iCs w:val="0"/>
          <w:color w:val="auto"/>
          <w:kern w:val="0"/>
          <w:sz w:val="24"/>
          <w:szCs w:val="24"/>
          <w:lang w:val="en-US" w:eastAsia="zh-CN" w:bidi="ar"/>
        </w:rPr>
        <w:t>；</w:t>
      </w:r>
    </w:p>
    <w:p w14:paraId="55508DBF">
      <w:pPr>
        <w:keepNext w:val="0"/>
        <w:keepLines w:val="0"/>
        <w:widowControl/>
        <w:suppressLineNumbers w:val="0"/>
        <w:spacing w:line="360" w:lineRule="auto"/>
        <w:ind w:firstLine="480" w:firstLineChars="200"/>
        <w:jc w:val="left"/>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w:t>
      </w:r>
    </w:p>
    <w:p w14:paraId="299EB77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以上企业，不属于大企业的分支机构，不存在控股股东为大企业的情形，也不存在与大企业的负责人为同一人的情形。</w:t>
      </w:r>
    </w:p>
    <w:p w14:paraId="0B0F411B">
      <w:pPr>
        <w:keepNext w:val="0"/>
        <w:keepLines w:val="0"/>
        <w:widowControl/>
        <w:suppressLineNumbers w:val="0"/>
        <w:spacing w:line="360" w:lineRule="auto"/>
        <w:ind w:firstLine="480" w:firstLineChars="200"/>
        <w:jc w:val="left"/>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本企业对上述声明内容的真实性负责。如有虚假，将依法承担相应责任。</w:t>
      </w:r>
    </w:p>
    <w:p w14:paraId="5B05CED6">
      <w:pPr>
        <w:keepNext w:val="0"/>
        <w:keepLines w:val="0"/>
        <w:widowControl/>
        <w:suppressLineNumbers w:val="0"/>
        <w:spacing w:line="360" w:lineRule="auto"/>
        <w:jc w:val="center"/>
        <w:rPr>
          <w:rFonts w:hint="eastAsia" w:ascii="宋体" w:hAnsi="宋体" w:eastAsia="宋体" w:cs="宋体"/>
          <w:i w:val="0"/>
          <w:iCs w:val="0"/>
          <w:color w:val="auto"/>
          <w:kern w:val="0"/>
          <w:sz w:val="24"/>
          <w:szCs w:val="24"/>
          <w:lang w:val="en-US" w:eastAsia="zh-CN" w:bidi="ar"/>
        </w:rPr>
      </w:pPr>
    </w:p>
    <w:p w14:paraId="2C64479C">
      <w:pPr>
        <w:keepNext w:val="0"/>
        <w:keepLines w:val="0"/>
        <w:widowControl/>
        <w:suppressLineNumbers w:val="0"/>
        <w:spacing w:line="360" w:lineRule="auto"/>
        <w:jc w:val="center"/>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kern w:val="0"/>
          <w:sz w:val="24"/>
          <w:szCs w:val="24"/>
          <w:lang w:val="en-US" w:eastAsia="zh-CN" w:bidi="ar"/>
        </w:rPr>
        <w:t>企业名称（盖章）：</w:t>
      </w:r>
    </w:p>
    <w:p w14:paraId="4F3654AB">
      <w:pPr>
        <w:keepNext w:val="0"/>
        <w:keepLines w:val="0"/>
        <w:widowControl/>
        <w:suppressLineNumbers w:val="0"/>
        <w:spacing w:line="360" w:lineRule="auto"/>
        <w:jc w:val="center"/>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kern w:val="0"/>
          <w:sz w:val="24"/>
          <w:szCs w:val="24"/>
          <w:lang w:val="en-US" w:eastAsia="zh-CN" w:bidi="ar"/>
        </w:rPr>
        <w:t>日 期：</w:t>
      </w:r>
    </w:p>
    <w:p w14:paraId="2B393D23">
      <w:pPr>
        <w:keepNext w:val="0"/>
        <w:keepLines w:val="0"/>
        <w:widowControl/>
        <w:suppressLineNumbers w:val="0"/>
        <w:spacing w:line="360" w:lineRule="auto"/>
        <w:ind w:left="0" w:leftChars="0" w:firstLine="0" w:firstLineChars="0"/>
        <w:jc w:val="left"/>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t>注：1.</w:t>
      </w:r>
      <w:r>
        <w:rPr>
          <w:rFonts w:hint="eastAsia" w:ascii="宋体" w:hAnsi="宋体" w:eastAsia="宋体" w:cs="宋体"/>
          <w:i w:val="0"/>
          <w:iCs w:val="0"/>
          <w:color w:val="auto"/>
          <w:kern w:val="0"/>
          <w:sz w:val="24"/>
          <w:szCs w:val="24"/>
          <w:vertAlign w:val="superscript"/>
          <w:lang w:val="en-US" w:eastAsia="zh-CN" w:bidi="ar"/>
        </w:rPr>
        <w:t>1</w:t>
      </w:r>
      <w:r>
        <w:rPr>
          <w:rFonts w:hint="eastAsia" w:ascii="宋体" w:hAnsi="宋体" w:eastAsia="宋体" w:cs="宋体"/>
          <w:i w:val="0"/>
          <w:iCs w:val="0"/>
          <w:color w:val="auto"/>
          <w:kern w:val="0"/>
          <w:sz w:val="24"/>
          <w:szCs w:val="24"/>
          <w:lang w:val="en-US" w:eastAsia="zh-CN" w:bidi="ar"/>
        </w:rPr>
        <w:t>从业人员、营业收入、资产总额填报上一年度数据，无上一年度数据的新成立企业可不填报。</w:t>
      </w:r>
    </w:p>
    <w:p w14:paraId="39398229">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t>2.成交供应商享受《政府采购促进中小企业发展管理办法》规定的中小企业扶持政策的，采购代理机构应当随成交结果公开成交供应商的《中小企业声明函》。</w:t>
      </w:r>
    </w:p>
    <w:p w14:paraId="51C3FE42">
      <w:pPr>
        <w:keepNext w:val="0"/>
        <w:keepLines w:val="0"/>
        <w:widowControl/>
        <w:numPr>
          <w:ilvl w:val="0"/>
          <w:numId w:val="0"/>
        </w:numPr>
        <w:suppressLineNumbers w:val="0"/>
        <w:spacing w:line="360" w:lineRule="auto"/>
        <w:ind w:firstLine="482" w:firstLineChars="200"/>
        <w:jc w:val="left"/>
        <w:rPr>
          <w:rFonts w:hint="eastAsia" w:ascii="宋体" w:hAnsi="宋体" w:eastAsia="宋体" w:cs="宋体"/>
          <w:b/>
          <w:bCs/>
          <w:i w:val="0"/>
          <w:iCs w:val="0"/>
          <w:color w:val="auto"/>
          <w:kern w:val="0"/>
          <w:sz w:val="24"/>
          <w:szCs w:val="24"/>
          <w:lang w:val="en-US" w:eastAsia="zh-CN" w:bidi="ar"/>
        </w:rPr>
      </w:pPr>
      <w:r>
        <w:rPr>
          <w:rFonts w:hint="eastAsia" w:ascii="宋体" w:hAnsi="宋体" w:eastAsia="宋体" w:cs="宋体"/>
          <w:b/>
          <w:bCs/>
          <w:i w:val="0"/>
          <w:iCs w:val="0"/>
          <w:color w:val="auto"/>
          <w:kern w:val="0"/>
          <w:sz w:val="24"/>
          <w:szCs w:val="24"/>
          <w:lang w:val="en-US" w:eastAsia="zh-CN" w:bidi="ar"/>
        </w:rPr>
        <w:t>3.对大中小微型企业划分不确定的，可通过中小企业规模类型自测小程序（https：//baosong.miit.gov.cn/ScaleTest）查询确定。</w:t>
      </w:r>
    </w:p>
    <w:p w14:paraId="79DB992D">
      <w:pPr>
        <w:pStyle w:val="10"/>
        <w:rPr>
          <w:rFonts w:hint="eastAsia" w:ascii="宋体" w:hAnsi="宋体" w:eastAsia="宋体" w:cs="宋体"/>
          <w:color w:val="auto"/>
          <w:lang w:val="en-US" w:eastAsia="zh-CN"/>
        </w:rPr>
      </w:pP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rPr>
        <w:t>若无此项内容，可不提供此函。</w:t>
      </w:r>
    </w:p>
    <w:p w14:paraId="7FB0CF20">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1D3A7F21">
      <w:pPr>
        <w:widowControl/>
        <w:spacing w:line="240" w:lineRule="auto"/>
        <w:ind w:left="0" w:leftChars="0" w:firstLine="0" w:firstLineChars="0"/>
        <w:jc w:val="left"/>
        <w:rPr>
          <w:rFonts w:hint="eastAsia" w:ascii="宋体" w:hAnsi="宋体" w:eastAsia="宋体" w:cs="宋体"/>
          <w:color w:val="auto"/>
          <w:kern w:val="0"/>
          <w:sz w:val="32"/>
          <w:szCs w:val="32"/>
        </w:rPr>
      </w:pPr>
      <w:r>
        <w:rPr>
          <w:rFonts w:hint="eastAsia" w:ascii="宋体" w:hAnsi="宋体" w:eastAsia="宋体" w:cs="宋体"/>
          <w:b/>
          <w:bCs/>
          <w:color w:val="auto"/>
          <w:kern w:val="0"/>
          <w:sz w:val="28"/>
          <w:szCs w:val="28"/>
        </w:rPr>
        <w:t>附表</w:t>
      </w:r>
    </w:p>
    <w:p w14:paraId="1E1058FB">
      <w:pPr>
        <w:widowControl/>
        <w:spacing w:line="360" w:lineRule="auto"/>
        <w:jc w:val="center"/>
        <w:rPr>
          <w:rFonts w:hint="eastAsia" w:ascii="宋体" w:hAnsi="宋体" w:eastAsia="宋体" w:cs="宋体"/>
          <w:color w:val="auto"/>
          <w:kern w:val="0"/>
          <w:sz w:val="36"/>
          <w:szCs w:val="32"/>
        </w:rPr>
      </w:pPr>
      <w:r>
        <w:rPr>
          <w:rFonts w:hint="eastAsia" w:ascii="宋体" w:hAnsi="宋体" w:eastAsia="宋体" w:cs="宋体"/>
          <w:b/>
          <w:bCs/>
          <w:color w:val="auto"/>
          <w:kern w:val="0"/>
          <w:sz w:val="28"/>
          <w:szCs w:val="28"/>
        </w:rPr>
        <w:t>大中小微型企业划分标准</w:t>
      </w:r>
    </w:p>
    <w:tbl>
      <w:tblPr>
        <w:tblStyle w:val="25"/>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058"/>
        <w:gridCol w:w="1410"/>
        <w:gridCol w:w="1065"/>
        <w:gridCol w:w="1217"/>
        <w:gridCol w:w="1708"/>
        <w:gridCol w:w="1674"/>
        <w:gridCol w:w="1073"/>
      </w:tblGrid>
      <w:tr w14:paraId="23B0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noWrap w:val="0"/>
            <w:vAlign w:val="center"/>
          </w:tcPr>
          <w:p w14:paraId="11B1670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行业名称</w:t>
            </w:r>
          </w:p>
        </w:tc>
        <w:tc>
          <w:tcPr>
            <w:tcW w:w="1410" w:type="dxa"/>
            <w:noWrap w:val="0"/>
            <w:vAlign w:val="center"/>
          </w:tcPr>
          <w:p w14:paraId="46B1E51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指标名称</w:t>
            </w:r>
          </w:p>
        </w:tc>
        <w:tc>
          <w:tcPr>
            <w:tcW w:w="1065" w:type="dxa"/>
            <w:noWrap w:val="0"/>
            <w:vAlign w:val="center"/>
          </w:tcPr>
          <w:p w14:paraId="20B4650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计量单位</w:t>
            </w:r>
          </w:p>
        </w:tc>
        <w:tc>
          <w:tcPr>
            <w:tcW w:w="1217" w:type="dxa"/>
            <w:noWrap w:val="0"/>
            <w:vAlign w:val="center"/>
          </w:tcPr>
          <w:p w14:paraId="5CDEC90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大型</w:t>
            </w:r>
          </w:p>
        </w:tc>
        <w:tc>
          <w:tcPr>
            <w:tcW w:w="1708" w:type="dxa"/>
            <w:noWrap w:val="0"/>
            <w:vAlign w:val="center"/>
          </w:tcPr>
          <w:p w14:paraId="0B5066B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中型</w:t>
            </w:r>
          </w:p>
        </w:tc>
        <w:tc>
          <w:tcPr>
            <w:tcW w:w="1674" w:type="dxa"/>
            <w:noWrap w:val="0"/>
            <w:vAlign w:val="center"/>
          </w:tcPr>
          <w:p w14:paraId="6C7AA4F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小型</w:t>
            </w:r>
          </w:p>
        </w:tc>
        <w:tc>
          <w:tcPr>
            <w:tcW w:w="1073" w:type="dxa"/>
            <w:noWrap w:val="0"/>
            <w:vAlign w:val="center"/>
          </w:tcPr>
          <w:p w14:paraId="046CC69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微型</w:t>
            </w:r>
          </w:p>
        </w:tc>
      </w:tr>
      <w:tr w14:paraId="5FF3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noWrap w:val="0"/>
            <w:vAlign w:val="center"/>
          </w:tcPr>
          <w:p w14:paraId="47F0EA7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农、林、牧、渔业</w:t>
            </w:r>
          </w:p>
        </w:tc>
        <w:tc>
          <w:tcPr>
            <w:tcW w:w="1410" w:type="dxa"/>
            <w:noWrap w:val="0"/>
            <w:vAlign w:val="center"/>
          </w:tcPr>
          <w:p w14:paraId="559C181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营业收入(Y)</w:t>
            </w:r>
          </w:p>
        </w:tc>
        <w:tc>
          <w:tcPr>
            <w:tcW w:w="1065" w:type="dxa"/>
            <w:noWrap w:val="0"/>
            <w:vAlign w:val="center"/>
          </w:tcPr>
          <w:p w14:paraId="697D2F6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万元</w:t>
            </w:r>
          </w:p>
        </w:tc>
        <w:tc>
          <w:tcPr>
            <w:tcW w:w="1217" w:type="dxa"/>
            <w:noWrap w:val="0"/>
            <w:vAlign w:val="center"/>
          </w:tcPr>
          <w:p w14:paraId="74E64F7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Y≥20000</w:t>
            </w:r>
          </w:p>
        </w:tc>
        <w:tc>
          <w:tcPr>
            <w:tcW w:w="1708" w:type="dxa"/>
            <w:noWrap w:val="0"/>
            <w:vAlign w:val="center"/>
          </w:tcPr>
          <w:p w14:paraId="4A9000B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500≤Y＜20000</w:t>
            </w:r>
          </w:p>
        </w:tc>
        <w:tc>
          <w:tcPr>
            <w:tcW w:w="1674" w:type="dxa"/>
            <w:noWrap w:val="0"/>
            <w:vAlign w:val="center"/>
          </w:tcPr>
          <w:p w14:paraId="04FA410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50≤Y＜500</w:t>
            </w:r>
          </w:p>
        </w:tc>
        <w:tc>
          <w:tcPr>
            <w:tcW w:w="1073" w:type="dxa"/>
            <w:noWrap w:val="0"/>
            <w:vAlign w:val="center"/>
          </w:tcPr>
          <w:p w14:paraId="6BAA6B7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Y＜50</w:t>
            </w:r>
          </w:p>
        </w:tc>
      </w:tr>
      <w:tr w14:paraId="5016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6E0120D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工业*</w:t>
            </w:r>
          </w:p>
        </w:tc>
        <w:tc>
          <w:tcPr>
            <w:tcW w:w="1410" w:type="dxa"/>
            <w:noWrap w:val="0"/>
            <w:vAlign w:val="center"/>
          </w:tcPr>
          <w:p w14:paraId="32829DB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从业人员(X)</w:t>
            </w:r>
          </w:p>
        </w:tc>
        <w:tc>
          <w:tcPr>
            <w:tcW w:w="1065" w:type="dxa"/>
            <w:noWrap w:val="0"/>
            <w:vAlign w:val="center"/>
          </w:tcPr>
          <w:p w14:paraId="32D515A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人</w:t>
            </w:r>
          </w:p>
        </w:tc>
        <w:tc>
          <w:tcPr>
            <w:tcW w:w="1217" w:type="dxa"/>
            <w:noWrap w:val="0"/>
            <w:vAlign w:val="center"/>
          </w:tcPr>
          <w:p w14:paraId="0065B49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X≥1000</w:t>
            </w:r>
          </w:p>
        </w:tc>
        <w:tc>
          <w:tcPr>
            <w:tcW w:w="1708" w:type="dxa"/>
            <w:noWrap w:val="0"/>
            <w:vAlign w:val="center"/>
          </w:tcPr>
          <w:p w14:paraId="023F1E9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300≤X＜1000</w:t>
            </w:r>
          </w:p>
        </w:tc>
        <w:tc>
          <w:tcPr>
            <w:tcW w:w="1674" w:type="dxa"/>
            <w:noWrap w:val="0"/>
            <w:vAlign w:val="center"/>
          </w:tcPr>
          <w:p w14:paraId="3FB5E11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20≤X＜300</w:t>
            </w:r>
          </w:p>
        </w:tc>
        <w:tc>
          <w:tcPr>
            <w:tcW w:w="1073" w:type="dxa"/>
            <w:noWrap w:val="0"/>
            <w:vAlign w:val="center"/>
          </w:tcPr>
          <w:p w14:paraId="4FB3C63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X＜20</w:t>
            </w:r>
          </w:p>
        </w:tc>
      </w:tr>
      <w:tr w14:paraId="0667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40108F4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bCs/>
                <w:color w:val="auto"/>
                <w:kern w:val="0"/>
                <w:sz w:val="21"/>
                <w:szCs w:val="21"/>
              </w:rPr>
            </w:pPr>
          </w:p>
        </w:tc>
        <w:tc>
          <w:tcPr>
            <w:tcW w:w="1410" w:type="dxa"/>
            <w:noWrap w:val="0"/>
            <w:vAlign w:val="center"/>
          </w:tcPr>
          <w:p w14:paraId="331C25E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营业收入(Y)</w:t>
            </w:r>
          </w:p>
        </w:tc>
        <w:tc>
          <w:tcPr>
            <w:tcW w:w="1065" w:type="dxa"/>
            <w:noWrap w:val="0"/>
            <w:vAlign w:val="center"/>
          </w:tcPr>
          <w:p w14:paraId="45E9D93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万元</w:t>
            </w:r>
          </w:p>
        </w:tc>
        <w:tc>
          <w:tcPr>
            <w:tcW w:w="1217" w:type="dxa"/>
            <w:noWrap w:val="0"/>
            <w:vAlign w:val="center"/>
          </w:tcPr>
          <w:p w14:paraId="451C6FA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Y≥40000</w:t>
            </w:r>
          </w:p>
        </w:tc>
        <w:tc>
          <w:tcPr>
            <w:tcW w:w="1708" w:type="dxa"/>
            <w:noWrap w:val="0"/>
            <w:vAlign w:val="center"/>
          </w:tcPr>
          <w:p w14:paraId="647861C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2000≤Y＜40000</w:t>
            </w:r>
          </w:p>
        </w:tc>
        <w:tc>
          <w:tcPr>
            <w:tcW w:w="1674" w:type="dxa"/>
            <w:noWrap w:val="0"/>
            <w:vAlign w:val="center"/>
          </w:tcPr>
          <w:p w14:paraId="1CF6F02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300≤Y＜2000</w:t>
            </w:r>
          </w:p>
        </w:tc>
        <w:tc>
          <w:tcPr>
            <w:tcW w:w="1073" w:type="dxa"/>
            <w:noWrap w:val="0"/>
            <w:vAlign w:val="center"/>
          </w:tcPr>
          <w:p w14:paraId="58A2156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Y＜300</w:t>
            </w:r>
          </w:p>
        </w:tc>
      </w:tr>
      <w:tr w14:paraId="32EA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3EA90B1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建筑业</w:t>
            </w:r>
          </w:p>
        </w:tc>
        <w:tc>
          <w:tcPr>
            <w:tcW w:w="1410" w:type="dxa"/>
            <w:noWrap w:val="0"/>
            <w:vAlign w:val="center"/>
          </w:tcPr>
          <w:p w14:paraId="5F9579F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营业收入(Y)</w:t>
            </w:r>
          </w:p>
        </w:tc>
        <w:tc>
          <w:tcPr>
            <w:tcW w:w="1065" w:type="dxa"/>
            <w:noWrap w:val="0"/>
            <w:vAlign w:val="center"/>
          </w:tcPr>
          <w:p w14:paraId="1C29605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万元</w:t>
            </w:r>
          </w:p>
        </w:tc>
        <w:tc>
          <w:tcPr>
            <w:tcW w:w="1217" w:type="dxa"/>
            <w:noWrap w:val="0"/>
            <w:vAlign w:val="center"/>
          </w:tcPr>
          <w:p w14:paraId="6A434E3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Y≥80000</w:t>
            </w:r>
          </w:p>
        </w:tc>
        <w:tc>
          <w:tcPr>
            <w:tcW w:w="1708" w:type="dxa"/>
            <w:noWrap w:val="0"/>
            <w:vAlign w:val="center"/>
          </w:tcPr>
          <w:p w14:paraId="53141E0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6000≤Y＜80000</w:t>
            </w:r>
          </w:p>
        </w:tc>
        <w:tc>
          <w:tcPr>
            <w:tcW w:w="1674" w:type="dxa"/>
            <w:noWrap w:val="0"/>
            <w:vAlign w:val="center"/>
          </w:tcPr>
          <w:p w14:paraId="7C86EA8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300≤Y＜6000</w:t>
            </w:r>
          </w:p>
        </w:tc>
        <w:tc>
          <w:tcPr>
            <w:tcW w:w="1073" w:type="dxa"/>
            <w:noWrap w:val="0"/>
            <w:vAlign w:val="center"/>
          </w:tcPr>
          <w:p w14:paraId="6D1E632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Y＜300</w:t>
            </w:r>
          </w:p>
        </w:tc>
      </w:tr>
      <w:tr w14:paraId="09DF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344CB3F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kern w:val="0"/>
                <w:sz w:val="21"/>
                <w:szCs w:val="21"/>
              </w:rPr>
            </w:pPr>
          </w:p>
        </w:tc>
        <w:tc>
          <w:tcPr>
            <w:tcW w:w="1410" w:type="dxa"/>
            <w:noWrap w:val="0"/>
            <w:vAlign w:val="center"/>
          </w:tcPr>
          <w:p w14:paraId="64C14EE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资产总额(Z)</w:t>
            </w:r>
          </w:p>
        </w:tc>
        <w:tc>
          <w:tcPr>
            <w:tcW w:w="1065" w:type="dxa"/>
            <w:noWrap w:val="0"/>
            <w:vAlign w:val="center"/>
          </w:tcPr>
          <w:p w14:paraId="4B1C86A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万元</w:t>
            </w:r>
          </w:p>
        </w:tc>
        <w:tc>
          <w:tcPr>
            <w:tcW w:w="1217" w:type="dxa"/>
            <w:noWrap w:val="0"/>
            <w:vAlign w:val="center"/>
          </w:tcPr>
          <w:p w14:paraId="530C791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Z≥80000</w:t>
            </w:r>
          </w:p>
        </w:tc>
        <w:tc>
          <w:tcPr>
            <w:tcW w:w="1708" w:type="dxa"/>
            <w:noWrap w:val="0"/>
            <w:vAlign w:val="center"/>
          </w:tcPr>
          <w:p w14:paraId="06C32BA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5000≤Z＜80000</w:t>
            </w:r>
          </w:p>
        </w:tc>
        <w:tc>
          <w:tcPr>
            <w:tcW w:w="1674" w:type="dxa"/>
            <w:noWrap w:val="0"/>
            <w:vAlign w:val="center"/>
          </w:tcPr>
          <w:p w14:paraId="7EC4340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300≤Z＜5000</w:t>
            </w:r>
          </w:p>
        </w:tc>
        <w:tc>
          <w:tcPr>
            <w:tcW w:w="1073" w:type="dxa"/>
            <w:noWrap w:val="0"/>
            <w:vAlign w:val="center"/>
          </w:tcPr>
          <w:p w14:paraId="687E979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Z＜300</w:t>
            </w:r>
          </w:p>
        </w:tc>
      </w:tr>
      <w:tr w14:paraId="74F4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04DA812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批发业</w:t>
            </w:r>
          </w:p>
        </w:tc>
        <w:tc>
          <w:tcPr>
            <w:tcW w:w="1410" w:type="dxa"/>
            <w:noWrap w:val="0"/>
            <w:vAlign w:val="center"/>
          </w:tcPr>
          <w:p w14:paraId="6F6B3DC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从业人员(X)</w:t>
            </w:r>
          </w:p>
        </w:tc>
        <w:tc>
          <w:tcPr>
            <w:tcW w:w="1065" w:type="dxa"/>
            <w:noWrap w:val="0"/>
            <w:vAlign w:val="center"/>
          </w:tcPr>
          <w:p w14:paraId="61D2EF8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人</w:t>
            </w:r>
          </w:p>
        </w:tc>
        <w:tc>
          <w:tcPr>
            <w:tcW w:w="1217" w:type="dxa"/>
            <w:noWrap w:val="0"/>
            <w:vAlign w:val="center"/>
          </w:tcPr>
          <w:p w14:paraId="4186D9A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X≥200</w:t>
            </w:r>
          </w:p>
        </w:tc>
        <w:tc>
          <w:tcPr>
            <w:tcW w:w="1708" w:type="dxa"/>
            <w:noWrap w:val="0"/>
            <w:vAlign w:val="center"/>
          </w:tcPr>
          <w:p w14:paraId="0FF816C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20≤X＜200</w:t>
            </w:r>
          </w:p>
        </w:tc>
        <w:tc>
          <w:tcPr>
            <w:tcW w:w="1674" w:type="dxa"/>
            <w:noWrap w:val="0"/>
            <w:vAlign w:val="center"/>
          </w:tcPr>
          <w:p w14:paraId="03B27A7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5≤X＜20</w:t>
            </w:r>
          </w:p>
        </w:tc>
        <w:tc>
          <w:tcPr>
            <w:tcW w:w="1073" w:type="dxa"/>
            <w:noWrap w:val="0"/>
            <w:vAlign w:val="center"/>
          </w:tcPr>
          <w:p w14:paraId="62C9BF4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X＜5</w:t>
            </w:r>
          </w:p>
        </w:tc>
      </w:tr>
      <w:tr w14:paraId="689A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489437D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kern w:val="0"/>
                <w:sz w:val="21"/>
                <w:szCs w:val="21"/>
              </w:rPr>
            </w:pPr>
          </w:p>
        </w:tc>
        <w:tc>
          <w:tcPr>
            <w:tcW w:w="1410" w:type="dxa"/>
            <w:noWrap w:val="0"/>
            <w:vAlign w:val="center"/>
          </w:tcPr>
          <w:p w14:paraId="416BC87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营业收入(Y)</w:t>
            </w:r>
          </w:p>
        </w:tc>
        <w:tc>
          <w:tcPr>
            <w:tcW w:w="1065" w:type="dxa"/>
            <w:noWrap w:val="0"/>
            <w:vAlign w:val="center"/>
          </w:tcPr>
          <w:p w14:paraId="1643255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万元</w:t>
            </w:r>
          </w:p>
        </w:tc>
        <w:tc>
          <w:tcPr>
            <w:tcW w:w="1217" w:type="dxa"/>
            <w:noWrap w:val="0"/>
            <w:vAlign w:val="center"/>
          </w:tcPr>
          <w:p w14:paraId="5967029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Y≥40000</w:t>
            </w:r>
          </w:p>
        </w:tc>
        <w:tc>
          <w:tcPr>
            <w:tcW w:w="1708" w:type="dxa"/>
            <w:noWrap w:val="0"/>
            <w:vAlign w:val="center"/>
          </w:tcPr>
          <w:p w14:paraId="670B514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5000≤Y＜40000</w:t>
            </w:r>
          </w:p>
        </w:tc>
        <w:tc>
          <w:tcPr>
            <w:tcW w:w="1674" w:type="dxa"/>
            <w:noWrap w:val="0"/>
            <w:vAlign w:val="center"/>
          </w:tcPr>
          <w:p w14:paraId="6B984B1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1000≤Y＜5000</w:t>
            </w:r>
          </w:p>
        </w:tc>
        <w:tc>
          <w:tcPr>
            <w:tcW w:w="1073" w:type="dxa"/>
            <w:noWrap w:val="0"/>
            <w:vAlign w:val="center"/>
          </w:tcPr>
          <w:p w14:paraId="4A64C75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Y＜1000</w:t>
            </w:r>
          </w:p>
        </w:tc>
      </w:tr>
      <w:tr w14:paraId="5B75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5F8DA7B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零售业</w:t>
            </w:r>
          </w:p>
        </w:tc>
        <w:tc>
          <w:tcPr>
            <w:tcW w:w="1410" w:type="dxa"/>
            <w:noWrap w:val="0"/>
            <w:vAlign w:val="center"/>
          </w:tcPr>
          <w:p w14:paraId="5663681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1065" w:type="dxa"/>
            <w:noWrap w:val="0"/>
            <w:vAlign w:val="center"/>
          </w:tcPr>
          <w:p w14:paraId="586D0F9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217" w:type="dxa"/>
            <w:noWrap w:val="0"/>
            <w:vAlign w:val="center"/>
          </w:tcPr>
          <w:p w14:paraId="744996A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X≥300</w:t>
            </w:r>
          </w:p>
        </w:tc>
        <w:tc>
          <w:tcPr>
            <w:tcW w:w="1708" w:type="dxa"/>
            <w:noWrap w:val="0"/>
            <w:vAlign w:val="center"/>
          </w:tcPr>
          <w:p w14:paraId="757BCD5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50≤X＜300</w:t>
            </w:r>
          </w:p>
        </w:tc>
        <w:tc>
          <w:tcPr>
            <w:tcW w:w="1674" w:type="dxa"/>
            <w:noWrap w:val="0"/>
            <w:vAlign w:val="center"/>
          </w:tcPr>
          <w:p w14:paraId="7DAE575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10≤X＜50</w:t>
            </w:r>
          </w:p>
        </w:tc>
        <w:tc>
          <w:tcPr>
            <w:tcW w:w="1073" w:type="dxa"/>
            <w:noWrap w:val="0"/>
            <w:vAlign w:val="center"/>
          </w:tcPr>
          <w:p w14:paraId="02AB88A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r w14:paraId="156A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4AAB782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p>
        </w:tc>
        <w:tc>
          <w:tcPr>
            <w:tcW w:w="1410" w:type="dxa"/>
            <w:noWrap w:val="0"/>
            <w:vAlign w:val="center"/>
          </w:tcPr>
          <w:p w14:paraId="71DC89B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1065" w:type="dxa"/>
            <w:noWrap w:val="0"/>
            <w:vAlign w:val="center"/>
          </w:tcPr>
          <w:p w14:paraId="0DE6D54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2BFD61D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Y≥20000</w:t>
            </w:r>
          </w:p>
        </w:tc>
        <w:tc>
          <w:tcPr>
            <w:tcW w:w="1708" w:type="dxa"/>
            <w:noWrap w:val="0"/>
            <w:vAlign w:val="center"/>
          </w:tcPr>
          <w:p w14:paraId="6637E61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500≤Y＜20000</w:t>
            </w:r>
          </w:p>
        </w:tc>
        <w:tc>
          <w:tcPr>
            <w:tcW w:w="1674" w:type="dxa"/>
            <w:noWrap w:val="0"/>
            <w:vAlign w:val="center"/>
          </w:tcPr>
          <w:p w14:paraId="767F614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100≤Y＜500</w:t>
            </w:r>
          </w:p>
        </w:tc>
        <w:tc>
          <w:tcPr>
            <w:tcW w:w="1073" w:type="dxa"/>
            <w:noWrap w:val="0"/>
            <w:vAlign w:val="center"/>
          </w:tcPr>
          <w:p w14:paraId="3E06463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1024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66B9B4E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交通运输业*</w:t>
            </w:r>
          </w:p>
        </w:tc>
        <w:tc>
          <w:tcPr>
            <w:tcW w:w="1410" w:type="dxa"/>
            <w:noWrap w:val="0"/>
            <w:vAlign w:val="center"/>
          </w:tcPr>
          <w:p w14:paraId="094E6E7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1065" w:type="dxa"/>
            <w:noWrap w:val="0"/>
            <w:vAlign w:val="center"/>
          </w:tcPr>
          <w:p w14:paraId="7601ED8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217" w:type="dxa"/>
            <w:noWrap w:val="0"/>
            <w:vAlign w:val="center"/>
          </w:tcPr>
          <w:p w14:paraId="431EFCD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X≥1000</w:t>
            </w:r>
          </w:p>
        </w:tc>
        <w:tc>
          <w:tcPr>
            <w:tcW w:w="1708" w:type="dxa"/>
            <w:noWrap w:val="0"/>
            <w:vAlign w:val="center"/>
          </w:tcPr>
          <w:p w14:paraId="2A0DAFF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300≤X＜1000</w:t>
            </w:r>
          </w:p>
        </w:tc>
        <w:tc>
          <w:tcPr>
            <w:tcW w:w="1674" w:type="dxa"/>
            <w:noWrap w:val="0"/>
            <w:vAlign w:val="center"/>
          </w:tcPr>
          <w:p w14:paraId="026A026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20≤X＜300</w:t>
            </w:r>
          </w:p>
        </w:tc>
        <w:tc>
          <w:tcPr>
            <w:tcW w:w="1073" w:type="dxa"/>
            <w:noWrap w:val="0"/>
            <w:vAlign w:val="center"/>
          </w:tcPr>
          <w:p w14:paraId="046F03E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X＜20</w:t>
            </w:r>
          </w:p>
        </w:tc>
      </w:tr>
      <w:tr w14:paraId="4F32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24FBED8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p>
        </w:tc>
        <w:tc>
          <w:tcPr>
            <w:tcW w:w="1410" w:type="dxa"/>
            <w:noWrap w:val="0"/>
            <w:vAlign w:val="center"/>
          </w:tcPr>
          <w:p w14:paraId="3B54E79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1065" w:type="dxa"/>
            <w:noWrap w:val="0"/>
            <w:vAlign w:val="center"/>
          </w:tcPr>
          <w:p w14:paraId="58004D1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2EF85F6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Y≥30000</w:t>
            </w:r>
          </w:p>
        </w:tc>
        <w:tc>
          <w:tcPr>
            <w:tcW w:w="1708" w:type="dxa"/>
            <w:noWrap w:val="0"/>
            <w:vAlign w:val="center"/>
          </w:tcPr>
          <w:p w14:paraId="392175F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3000≤Y＜30000</w:t>
            </w:r>
          </w:p>
        </w:tc>
        <w:tc>
          <w:tcPr>
            <w:tcW w:w="1674" w:type="dxa"/>
            <w:noWrap w:val="0"/>
            <w:vAlign w:val="center"/>
          </w:tcPr>
          <w:p w14:paraId="59ECEA1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200≤Y＜3000</w:t>
            </w:r>
          </w:p>
        </w:tc>
        <w:tc>
          <w:tcPr>
            <w:tcW w:w="1073" w:type="dxa"/>
            <w:noWrap w:val="0"/>
            <w:vAlign w:val="center"/>
          </w:tcPr>
          <w:p w14:paraId="23DA90C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Y＜200</w:t>
            </w:r>
          </w:p>
        </w:tc>
      </w:tr>
      <w:tr w14:paraId="0CC7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7AEBF12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仓储业*</w:t>
            </w:r>
          </w:p>
        </w:tc>
        <w:tc>
          <w:tcPr>
            <w:tcW w:w="1410" w:type="dxa"/>
            <w:noWrap w:val="0"/>
            <w:vAlign w:val="center"/>
          </w:tcPr>
          <w:p w14:paraId="3FDB724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1065" w:type="dxa"/>
            <w:noWrap w:val="0"/>
            <w:vAlign w:val="center"/>
          </w:tcPr>
          <w:p w14:paraId="5C5D7B6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217" w:type="dxa"/>
            <w:noWrap w:val="0"/>
            <w:vAlign w:val="center"/>
          </w:tcPr>
          <w:p w14:paraId="118609B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X≥200</w:t>
            </w:r>
          </w:p>
        </w:tc>
        <w:tc>
          <w:tcPr>
            <w:tcW w:w="1708" w:type="dxa"/>
            <w:noWrap w:val="0"/>
            <w:vAlign w:val="center"/>
          </w:tcPr>
          <w:p w14:paraId="1FDDE0D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100≤X＜200</w:t>
            </w:r>
          </w:p>
        </w:tc>
        <w:tc>
          <w:tcPr>
            <w:tcW w:w="1674" w:type="dxa"/>
            <w:noWrap w:val="0"/>
            <w:vAlign w:val="center"/>
          </w:tcPr>
          <w:p w14:paraId="10B2943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20≤X＜100</w:t>
            </w:r>
          </w:p>
        </w:tc>
        <w:tc>
          <w:tcPr>
            <w:tcW w:w="1073" w:type="dxa"/>
            <w:noWrap w:val="0"/>
            <w:vAlign w:val="center"/>
          </w:tcPr>
          <w:p w14:paraId="2ECD6AA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X＜20</w:t>
            </w:r>
          </w:p>
        </w:tc>
      </w:tr>
      <w:tr w14:paraId="14EE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0C052F2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p>
        </w:tc>
        <w:tc>
          <w:tcPr>
            <w:tcW w:w="1410" w:type="dxa"/>
            <w:noWrap w:val="0"/>
            <w:vAlign w:val="center"/>
          </w:tcPr>
          <w:p w14:paraId="19C82E3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1065" w:type="dxa"/>
            <w:noWrap w:val="0"/>
            <w:vAlign w:val="center"/>
          </w:tcPr>
          <w:p w14:paraId="3ECB42D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0F80D31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Y≥30000</w:t>
            </w:r>
          </w:p>
        </w:tc>
        <w:tc>
          <w:tcPr>
            <w:tcW w:w="1708" w:type="dxa"/>
            <w:noWrap w:val="0"/>
            <w:vAlign w:val="center"/>
          </w:tcPr>
          <w:p w14:paraId="2B3BC82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1000≤Y＜30000</w:t>
            </w:r>
          </w:p>
        </w:tc>
        <w:tc>
          <w:tcPr>
            <w:tcW w:w="1674" w:type="dxa"/>
            <w:noWrap w:val="0"/>
            <w:vAlign w:val="center"/>
          </w:tcPr>
          <w:p w14:paraId="5215C2D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100≤Y＜1000</w:t>
            </w:r>
          </w:p>
        </w:tc>
        <w:tc>
          <w:tcPr>
            <w:tcW w:w="1073" w:type="dxa"/>
            <w:noWrap w:val="0"/>
            <w:vAlign w:val="center"/>
          </w:tcPr>
          <w:p w14:paraId="2CDC8D2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3842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22BF648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邮政业</w:t>
            </w:r>
          </w:p>
        </w:tc>
        <w:tc>
          <w:tcPr>
            <w:tcW w:w="1410" w:type="dxa"/>
            <w:noWrap w:val="0"/>
            <w:vAlign w:val="center"/>
          </w:tcPr>
          <w:p w14:paraId="3C83B84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1065" w:type="dxa"/>
            <w:noWrap w:val="0"/>
            <w:vAlign w:val="center"/>
          </w:tcPr>
          <w:p w14:paraId="20E44E2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217" w:type="dxa"/>
            <w:noWrap w:val="0"/>
            <w:vAlign w:val="center"/>
          </w:tcPr>
          <w:p w14:paraId="1068536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X≥1000</w:t>
            </w:r>
          </w:p>
        </w:tc>
        <w:tc>
          <w:tcPr>
            <w:tcW w:w="1708" w:type="dxa"/>
            <w:noWrap w:val="0"/>
            <w:vAlign w:val="center"/>
          </w:tcPr>
          <w:p w14:paraId="213DB58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300≤X＜1000</w:t>
            </w:r>
          </w:p>
        </w:tc>
        <w:tc>
          <w:tcPr>
            <w:tcW w:w="1674" w:type="dxa"/>
            <w:noWrap w:val="0"/>
            <w:vAlign w:val="center"/>
          </w:tcPr>
          <w:p w14:paraId="2FFDC9E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20≤X＜300</w:t>
            </w:r>
          </w:p>
        </w:tc>
        <w:tc>
          <w:tcPr>
            <w:tcW w:w="1073" w:type="dxa"/>
            <w:noWrap w:val="0"/>
            <w:vAlign w:val="center"/>
          </w:tcPr>
          <w:p w14:paraId="605A0D0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X＜20</w:t>
            </w:r>
          </w:p>
        </w:tc>
      </w:tr>
      <w:tr w14:paraId="6212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2396A28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p>
        </w:tc>
        <w:tc>
          <w:tcPr>
            <w:tcW w:w="1410" w:type="dxa"/>
            <w:noWrap w:val="0"/>
            <w:vAlign w:val="center"/>
          </w:tcPr>
          <w:p w14:paraId="3BF556B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1065" w:type="dxa"/>
            <w:noWrap w:val="0"/>
            <w:vAlign w:val="center"/>
          </w:tcPr>
          <w:p w14:paraId="60342B6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4AF1E72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Y≥30000</w:t>
            </w:r>
          </w:p>
        </w:tc>
        <w:tc>
          <w:tcPr>
            <w:tcW w:w="1708" w:type="dxa"/>
            <w:noWrap w:val="0"/>
            <w:vAlign w:val="center"/>
          </w:tcPr>
          <w:p w14:paraId="615A4AA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2000≤Y＜30000</w:t>
            </w:r>
          </w:p>
        </w:tc>
        <w:tc>
          <w:tcPr>
            <w:tcW w:w="1674" w:type="dxa"/>
            <w:noWrap w:val="0"/>
            <w:vAlign w:val="center"/>
          </w:tcPr>
          <w:p w14:paraId="0444BC3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100≤Y＜2000</w:t>
            </w:r>
          </w:p>
        </w:tc>
        <w:tc>
          <w:tcPr>
            <w:tcW w:w="1073" w:type="dxa"/>
            <w:noWrap w:val="0"/>
            <w:vAlign w:val="center"/>
          </w:tcPr>
          <w:p w14:paraId="4D7E8C2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152F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551D043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住宿业</w:t>
            </w:r>
          </w:p>
        </w:tc>
        <w:tc>
          <w:tcPr>
            <w:tcW w:w="1410" w:type="dxa"/>
            <w:noWrap w:val="0"/>
            <w:vAlign w:val="center"/>
          </w:tcPr>
          <w:p w14:paraId="2F1C25B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1065" w:type="dxa"/>
            <w:noWrap w:val="0"/>
            <w:vAlign w:val="center"/>
          </w:tcPr>
          <w:p w14:paraId="79F049F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217" w:type="dxa"/>
            <w:noWrap w:val="0"/>
            <w:vAlign w:val="center"/>
          </w:tcPr>
          <w:p w14:paraId="2C3F685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X≥300</w:t>
            </w:r>
          </w:p>
        </w:tc>
        <w:tc>
          <w:tcPr>
            <w:tcW w:w="1708" w:type="dxa"/>
            <w:noWrap w:val="0"/>
            <w:vAlign w:val="center"/>
          </w:tcPr>
          <w:p w14:paraId="6E84636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100≤X＜300</w:t>
            </w:r>
          </w:p>
        </w:tc>
        <w:tc>
          <w:tcPr>
            <w:tcW w:w="1674" w:type="dxa"/>
            <w:noWrap w:val="0"/>
            <w:vAlign w:val="center"/>
          </w:tcPr>
          <w:p w14:paraId="34994A1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10≤X＜100</w:t>
            </w:r>
          </w:p>
        </w:tc>
        <w:tc>
          <w:tcPr>
            <w:tcW w:w="1073" w:type="dxa"/>
            <w:noWrap w:val="0"/>
            <w:vAlign w:val="center"/>
          </w:tcPr>
          <w:p w14:paraId="16DFEA8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r w14:paraId="6475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51371BD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p>
        </w:tc>
        <w:tc>
          <w:tcPr>
            <w:tcW w:w="1410" w:type="dxa"/>
            <w:noWrap w:val="0"/>
            <w:vAlign w:val="center"/>
          </w:tcPr>
          <w:p w14:paraId="5A8DF0E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1065" w:type="dxa"/>
            <w:noWrap w:val="0"/>
            <w:vAlign w:val="center"/>
          </w:tcPr>
          <w:p w14:paraId="2EF2D6E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07F2595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Y≥10000</w:t>
            </w:r>
          </w:p>
        </w:tc>
        <w:tc>
          <w:tcPr>
            <w:tcW w:w="1708" w:type="dxa"/>
            <w:noWrap w:val="0"/>
            <w:vAlign w:val="center"/>
          </w:tcPr>
          <w:p w14:paraId="220BBEF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2000≤Y＜10000</w:t>
            </w:r>
          </w:p>
        </w:tc>
        <w:tc>
          <w:tcPr>
            <w:tcW w:w="1674" w:type="dxa"/>
            <w:noWrap w:val="0"/>
            <w:vAlign w:val="center"/>
          </w:tcPr>
          <w:p w14:paraId="338EF91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100≤Y＜2000</w:t>
            </w:r>
          </w:p>
        </w:tc>
        <w:tc>
          <w:tcPr>
            <w:tcW w:w="1073" w:type="dxa"/>
            <w:noWrap w:val="0"/>
            <w:vAlign w:val="center"/>
          </w:tcPr>
          <w:p w14:paraId="2F2DA1C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085A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5614547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餐饮业</w:t>
            </w:r>
          </w:p>
        </w:tc>
        <w:tc>
          <w:tcPr>
            <w:tcW w:w="1410" w:type="dxa"/>
            <w:noWrap w:val="0"/>
            <w:vAlign w:val="center"/>
          </w:tcPr>
          <w:p w14:paraId="1CB2656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1065" w:type="dxa"/>
            <w:noWrap w:val="0"/>
            <w:vAlign w:val="center"/>
          </w:tcPr>
          <w:p w14:paraId="1BE1979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217" w:type="dxa"/>
            <w:noWrap w:val="0"/>
            <w:vAlign w:val="center"/>
          </w:tcPr>
          <w:p w14:paraId="455A989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X≥300</w:t>
            </w:r>
          </w:p>
        </w:tc>
        <w:tc>
          <w:tcPr>
            <w:tcW w:w="1708" w:type="dxa"/>
            <w:noWrap w:val="0"/>
            <w:vAlign w:val="center"/>
          </w:tcPr>
          <w:p w14:paraId="3372D5A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100≤X＜300</w:t>
            </w:r>
          </w:p>
        </w:tc>
        <w:tc>
          <w:tcPr>
            <w:tcW w:w="1674" w:type="dxa"/>
            <w:noWrap w:val="0"/>
            <w:vAlign w:val="center"/>
          </w:tcPr>
          <w:p w14:paraId="38CFC42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10≤X＜100</w:t>
            </w:r>
          </w:p>
        </w:tc>
        <w:tc>
          <w:tcPr>
            <w:tcW w:w="1073" w:type="dxa"/>
            <w:noWrap w:val="0"/>
            <w:vAlign w:val="center"/>
          </w:tcPr>
          <w:p w14:paraId="4B942EB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r w14:paraId="12A3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053C377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p>
        </w:tc>
        <w:tc>
          <w:tcPr>
            <w:tcW w:w="1410" w:type="dxa"/>
            <w:noWrap w:val="0"/>
            <w:vAlign w:val="center"/>
          </w:tcPr>
          <w:p w14:paraId="4D7EAFE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1065" w:type="dxa"/>
            <w:noWrap w:val="0"/>
            <w:vAlign w:val="center"/>
          </w:tcPr>
          <w:p w14:paraId="45B841C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2A23927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Y≥10000</w:t>
            </w:r>
          </w:p>
        </w:tc>
        <w:tc>
          <w:tcPr>
            <w:tcW w:w="1708" w:type="dxa"/>
            <w:noWrap w:val="0"/>
            <w:vAlign w:val="center"/>
          </w:tcPr>
          <w:p w14:paraId="486A692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2000≤Y＜10000</w:t>
            </w:r>
          </w:p>
        </w:tc>
        <w:tc>
          <w:tcPr>
            <w:tcW w:w="1674" w:type="dxa"/>
            <w:noWrap w:val="0"/>
            <w:vAlign w:val="center"/>
          </w:tcPr>
          <w:p w14:paraId="7C318BD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100≤Y＜2000</w:t>
            </w:r>
          </w:p>
        </w:tc>
        <w:tc>
          <w:tcPr>
            <w:tcW w:w="1073" w:type="dxa"/>
            <w:noWrap w:val="0"/>
            <w:vAlign w:val="center"/>
          </w:tcPr>
          <w:p w14:paraId="34318C3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1240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4CF935B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信息传输业*</w:t>
            </w:r>
          </w:p>
        </w:tc>
        <w:tc>
          <w:tcPr>
            <w:tcW w:w="1410" w:type="dxa"/>
            <w:noWrap w:val="0"/>
            <w:vAlign w:val="center"/>
          </w:tcPr>
          <w:p w14:paraId="794EBE3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1065" w:type="dxa"/>
            <w:noWrap w:val="0"/>
            <w:vAlign w:val="center"/>
          </w:tcPr>
          <w:p w14:paraId="5B941E2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217" w:type="dxa"/>
            <w:noWrap w:val="0"/>
            <w:vAlign w:val="center"/>
          </w:tcPr>
          <w:p w14:paraId="33D2F01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X≥2000</w:t>
            </w:r>
          </w:p>
        </w:tc>
        <w:tc>
          <w:tcPr>
            <w:tcW w:w="1708" w:type="dxa"/>
            <w:noWrap w:val="0"/>
            <w:vAlign w:val="center"/>
          </w:tcPr>
          <w:p w14:paraId="5A1980B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100≤X＜2000</w:t>
            </w:r>
          </w:p>
        </w:tc>
        <w:tc>
          <w:tcPr>
            <w:tcW w:w="1674" w:type="dxa"/>
            <w:noWrap w:val="0"/>
            <w:vAlign w:val="center"/>
          </w:tcPr>
          <w:p w14:paraId="1FD686E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10≤X＜100</w:t>
            </w:r>
          </w:p>
        </w:tc>
        <w:tc>
          <w:tcPr>
            <w:tcW w:w="1073" w:type="dxa"/>
            <w:noWrap w:val="0"/>
            <w:vAlign w:val="center"/>
          </w:tcPr>
          <w:p w14:paraId="0BE512B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r w14:paraId="70E4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64DC68D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p>
        </w:tc>
        <w:tc>
          <w:tcPr>
            <w:tcW w:w="1410" w:type="dxa"/>
            <w:noWrap w:val="0"/>
            <w:vAlign w:val="center"/>
          </w:tcPr>
          <w:p w14:paraId="522B16D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1065" w:type="dxa"/>
            <w:noWrap w:val="0"/>
            <w:vAlign w:val="center"/>
          </w:tcPr>
          <w:p w14:paraId="0A81409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3E140EB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Y≥100000</w:t>
            </w:r>
          </w:p>
        </w:tc>
        <w:tc>
          <w:tcPr>
            <w:tcW w:w="1708" w:type="dxa"/>
            <w:noWrap w:val="0"/>
            <w:vAlign w:val="center"/>
          </w:tcPr>
          <w:p w14:paraId="249DDA0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1000≤Y＜100000</w:t>
            </w:r>
          </w:p>
        </w:tc>
        <w:tc>
          <w:tcPr>
            <w:tcW w:w="1674" w:type="dxa"/>
            <w:noWrap w:val="0"/>
            <w:vAlign w:val="center"/>
          </w:tcPr>
          <w:p w14:paraId="35D5B74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100≤Y＜1000</w:t>
            </w:r>
          </w:p>
        </w:tc>
        <w:tc>
          <w:tcPr>
            <w:tcW w:w="1073" w:type="dxa"/>
            <w:noWrap w:val="0"/>
            <w:vAlign w:val="center"/>
          </w:tcPr>
          <w:p w14:paraId="5F37E39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737B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04EB255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spacing w:val="-12"/>
                <w:kern w:val="0"/>
                <w:sz w:val="21"/>
                <w:szCs w:val="21"/>
              </w:rPr>
            </w:pPr>
            <w:r>
              <w:rPr>
                <w:rFonts w:hint="eastAsia" w:ascii="宋体" w:hAnsi="宋体" w:eastAsia="宋体" w:cs="宋体"/>
                <w:b w:val="0"/>
                <w:bCs w:val="0"/>
                <w:color w:val="auto"/>
                <w:spacing w:val="-12"/>
                <w:kern w:val="0"/>
                <w:sz w:val="21"/>
                <w:szCs w:val="21"/>
              </w:rPr>
              <w:t>软件和信息技术服</w:t>
            </w:r>
            <w:r>
              <w:rPr>
                <w:rFonts w:hint="eastAsia" w:ascii="宋体" w:hAnsi="宋体" w:eastAsia="宋体" w:cs="宋体"/>
                <w:b w:val="0"/>
                <w:bCs w:val="0"/>
                <w:color w:val="auto"/>
                <w:kern w:val="0"/>
                <w:sz w:val="21"/>
                <w:szCs w:val="21"/>
              </w:rPr>
              <w:t>务业</w:t>
            </w:r>
          </w:p>
        </w:tc>
        <w:tc>
          <w:tcPr>
            <w:tcW w:w="1410" w:type="dxa"/>
            <w:noWrap w:val="0"/>
            <w:vAlign w:val="center"/>
          </w:tcPr>
          <w:p w14:paraId="6296748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从业人员(X)</w:t>
            </w:r>
          </w:p>
        </w:tc>
        <w:tc>
          <w:tcPr>
            <w:tcW w:w="1065" w:type="dxa"/>
            <w:noWrap w:val="0"/>
            <w:vAlign w:val="center"/>
          </w:tcPr>
          <w:p w14:paraId="1BA91AA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人</w:t>
            </w:r>
          </w:p>
        </w:tc>
        <w:tc>
          <w:tcPr>
            <w:tcW w:w="1217" w:type="dxa"/>
            <w:noWrap w:val="0"/>
            <w:vAlign w:val="center"/>
          </w:tcPr>
          <w:p w14:paraId="72CB152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X≥300</w:t>
            </w:r>
          </w:p>
        </w:tc>
        <w:tc>
          <w:tcPr>
            <w:tcW w:w="1708" w:type="dxa"/>
            <w:noWrap w:val="0"/>
            <w:vAlign w:val="center"/>
          </w:tcPr>
          <w:p w14:paraId="348392F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100≤X＜300</w:t>
            </w:r>
          </w:p>
        </w:tc>
        <w:tc>
          <w:tcPr>
            <w:tcW w:w="1674" w:type="dxa"/>
            <w:noWrap w:val="0"/>
            <w:vAlign w:val="center"/>
          </w:tcPr>
          <w:p w14:paraId="09D2A01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10≤X＜100</w:t>
            </w:r>
          </w:p>
        </w:tc>
        <w:tc>
          <w:tcPr>
            <w:tcW w:w="1073" w:type="dxa"/>
            <w:noWrap w:val="0"/>
            <w:vAlign w:val="center"/>
          </w:tcPr>
          <w:p w14:paraId="2E1033B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X＜10</w:t>
            </w:r>
          </w:p>
        </w:tc>
      </w:tr>
      <w:tr w14:paraId="33EF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5FAB47D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spacing w:val="-12"/>
                <w:kern w:val="0"/>
                <w:sz w:val="21"/>
                <w:szCs w:val="21"/>
              </w:rPr>
            </w:pPr>
          </w:p>
        </w:tc>
        <w:tc>
          <w:tcPr>
            <w:tcW w:w="1410" w:type="dxa"/>
            <w:noWrap w:val="0"/>
            <w:vAlign w:val="center"/>
          </w:tcPr>
          <w:p w14:paraId="1738996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营业收入(Y)</w:t>
            </w:r>
          </w:p>
        </w:tc>
        <w:tc>
          <w:tcPr>
            <w:tcW w:w="1065" w:type="dxa"/>
            <w:noWrap w:val="0"/>
            <w:vAlign w:val="center"/>
          </w:tcPr>
          <w:p w14:paraId="5203711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万元</w:t>
            </w:r>
          </w:p>
        </w:tc>
        <w:tc>
          <w:tcPr>
            <w:tcW w:w="1217" w:type="dxa"/>
            <w:noWrap w:val="0"/>
            <w:vAlign w:val="center"/>
          </w:tcPr>
          <w:p w14:paraId="18C484D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Y≥10000</w:t>
            </w:r>
          </w:p>
        </w:tc>
        <w:tc>
          <w:tcPr>
            <w:tcW w:w="1708" w:type="dxa"/>
            <w:noWrap w:val="0"/>
            <w:vAlign w:val="center"/>
          </w:tcPr>
          <w:p w14:paraId="55F135F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1000≤Y＜10000</w:t>
            </w:r>
          </w:p>
        </w:tc>
        <w:tc>
          <w:tcPr>
            <w:tcW w:w="1674" w:type="dxa"/>
            <w:noWrap w:val="0"/>
            <w:vAlign w:val="center"/>
          </w:tcPr>
          <w:p w14:paraId="16055BB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50≤Y＜1000</w:t>
            </w:r>
          </w:p>
        </w:tc>
        <w:tc>
          <w:tcPr>
            <w:tcW w:w="1073" w:type="dxa"/>
            <w:noWrap w:val="0"/>
            <w:vAlign w:val="center"/>
          </w:tcPr>
          <w:p w14:paraId="559E873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Y＜50</w:t>
            </w:r>
          </w:p>
        </w:tc>
      </w:tr>
      <w:tr w14:paraId="5183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20A3012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房地产开发经营</w:t>
            </w:r>
          </w:p>
        </w:tc>
        <w:tc>
          <w:tcPr>
            <w:tcW w:w="1410" w:type="dxa"/>
            <w:noWrap w:val="0"/>
            <w:vAlign w:val="center"/>
          </w:tcPr>
          <w:p w14:paraId="57AF8E9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1065" w:type="dxa"/>
            <w:noWrap w:val="0"/>
            <w:vAlign w:val="center"/>
          </w:tcPr>
          <w:p w14:paraId="7797C65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745B19D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Y≥200000</w:t>
            </w:r>
          </w:p>
        </w:tc>
        <w:tc>
          <w:tcPr>
            <w:tcW w:w="1708" w:type="dxa"/>
            <w:noWrap w:val="0"/>
            <w:vAlign w:val="center"/>
          </w:tcPr>
          <w:p w14:paraId="337F0DC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1000≤Y＜200000</w:t>
            </w:r>
          </w:p>
        </w:tc>
        <w:tc>
          <w:tcPr>
            <w:tcW w:w="1674" w:type="dxa"/>
            <w:noWrap w:val="0"/>
            <w:vAlign w:val="center"/>
          </w:tcPr>
          <w:p w14:paraId="672817B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100≤Y＜1000</w:t>
            </w:r>
          </w:p>
        </w:tc>
        <w:tc>
          <w:tcPr>
            <w:tcW w:w="1073" w:type="dxa"/>
            <w:noWrap w:val="0"/>
            <w:vAlign w:val="center"/>
          </w:tcPr>
          <w:p w14:paraId="55EDA64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79B5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31BB1A0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p>
        </w:tc>
        <w:tc>
          <w:tcPr>
            <w:tcW w:w="1410" w:type="dxa"/>
            <w:noWrap w:val="0"/>
            <w:vAlign w:val="center"/>
          </w:tcPr>
          <w:p w14:paraId="3E4DD81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资产总额(Z)</w:t>
            </w:r>
          </w:p>
        </w:tc>
        <w:tc>
          <w:tcPr>
            <w:tcW w:w="1065" w:type="dxa"/>
            <w:noWrap w:val="0"/>
            <w:vAlign w:val="center"/>
          </w:tcPr>
          <w:p w14:paraId="5298846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451EF72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Z≥10000</w:t>
            </w:r>
          </w:p>
        </w:tc>
        <w:tc>
          <w:tcPr>
            <w:tcW w:w="1708" w:type="dxa"/>
            <w:noWrap w:val="0"/>
            <w:vAlign w:val="center"/>
          </w:tcPr>
          <w:p w14:paraId="79C0A44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5000≤Z＜10000</w:t>
            </w:r>
          </w:p>
        </w:tc>
        <w:tc>
          <w:tcPr>
            <w:tcW w:w="1674" w:type="dxa"/>
            <w:noWrap w:val="0"/>
            <w:vAlign w:val="center"/>
          </w:tcPr>
          <w:p w14:paraId="42B676F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2000≤Z＜5000</w:t>
            </w:r>
          </w:p>
        </w:tc>
        <w:tc>
          <w:tcPr>
            <w:tcW w:w="1073" w:type="dxa"/>
            <w:noWrap w:val="0"/>
            <w:vAlign w:val="center"/>
          </w:tcPr>
          <w:p w14:paraId="1CE6249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Z＜2000</w:t>
            </w:r>
          </w:p>
        </w:tc>
      </w:tr>
      <w:tr w14:paraId="4CF3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7435D74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物业管理</w:t>
            </w:r>
          </w:p>
        </w:tc>
        <w:tc>
          <w:tcPr>
            <w:tcW w:w="1410" w:type="dxa"/>
            <w:noWrap w:val="0"/>
            <w:vAlign w:val="center"/>
          </w:tcPr>
          <w:p w14:paraId="21C6B1A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1065" w:type="dxa"/>
            <w:noWrap w:val="0"/>
            <w:vAlign w:val="center"/>
          </w:tcPr>
          <w:p w14:paraId="6FD400C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217" w:type="dxa"/>
            <w:noWrap w:val="0"/>
            <w:vAlign w:val="center"/>
          </w:tcPr>
          <w:p w14:paraId="3F7AAE8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X≥1000</w:t>
            </w:r>
          </w:p>
        </w:tc>
        <w:tc>
          <w:tcPr>
            <w:tcW w:w="1708" w:type="dxa"/>
            <w:noWrap w:val="0"/>
            <w:vAlign w:val="center"/>
          </w:tcPr>
          <w:p w14:paraId="7C29DB6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300≤X＜1000</w:t>
            </w:r>
          </w:p>
        </w:tc>
        <w:tc>
          <w:tcPr>
            <w:tcW w:w="1674" w:type="dxa"/>
            <w:noWrap w:val="0"/>
            <w:vAlign w:val="center"/>
          </w:tcPr>
          <w:p w14:paraId="1DF37CA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100≤X＜300</w:t>
            </w:r>
          </w:p>
        </w:tc>
        <w:tc>
          <w:tcPr>
            <w:tcW w:w="1073" w:type="dxa"/>
            <w:noWrap w:val="0"/>
            <w:vAlign w:val="center"/>
          </w:tcPr>
          <w:p w14:paraId="06F7153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X＜100</w:t>
            </w:r>
          </w:p>
        </w:tc>
      </w:tr>
      <w:tr w14:paraId="6553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2803F6F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p>
        </w:tc>
        <w:tc>
          <w:tcPr>
            <w:tcW w:w="1410" w:type="dxa"/>
            <w:noWrap w:val="0"/>
            <w:vAlign w:val="center"/>
          </w:tcPr>
          <w:p w14:paraId="17E773B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1065" w:type="dxa"/>
            <w:noWrap w:val="0"/>
            <w:vAlign w:val="center"/>
          </w:tcPr>
          <w:p w14:paraId="0403B0B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041814A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Y≥5000</w:t>
            </w:r>
          </w:p>
        </w:tc>
        <w:tc>
          <w:tcPr>
            <w:tcW w:w="1708" w:type="dxa"/>
            <w:noWrap w:val="0"/>
            <w:vAlign w:val="center"/>
          </w:tcPr>
          <w:p w14:paraId="1219E72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1000≤Y＜5000</w:t>
            </w:r>
          </w:p>
        </w:tc>
        <w:tc>
          <w:tcPr>
            <w:tcW w:w="1674" w:type="dxa"/>
            <w:noWrap w:val="0"/>
            <w:vAlign w:val="center"/>
          </w:tcPr>
          <w:p w14:paraId="244E1EE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500≤Y＜1000</w:t>
            </w:r>
          </w:p>
        </w:tc>
        <w:tc>
          <w:tcPr>
            <w:tcW w:w="1073" w:type="dxa"/>
            <w:noWrap w:val="0"/>
            <w:vAlign w:val="center"/>
          </w:tcPr>
          <w:p w14:paraId="78DE55D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Y＜500</w:t>
            </w:r>
          </w:p>
        </w:tc>
      </w:tr>
      <w:tr w14:paraId="4390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0A04208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租赁和商务服务业</w:t>
            </w:r>
          </w:p>
        </w:tc>
        <w:tc>
          <w:tcPr>
            <w:tcW w:w="1410" w:type="dxa"/>
            <w:noWrap w:val="0"/>
            <w:vAlign w:val="center"/>
          </w:tcPr>
          <w:p w14:paraId="0B8CA18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1065" w:type="dxa"/>
            <w:noWrap w:val="0"/>
            <w:vAlign w:val="center"/>
          </w:tcPr>
          <w:p w14:paraId="573BEE7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217" w:type="dxa"/>
            <w:noWrap w:val="0"/>
            <w:vAlign w:val="center"/>
          </w:tcPr>
          <w:p w14:paraId="7A576D1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X≥300</w:t>
            </w:r>
          </w:p>
        </w:tc>
        <w:tc>
          <w:tcPr>
            <w:tcW w:w="1708" w:type="dxa"/>
            <w:noWrap w:val="0"/>
            <w:vAlign w:val="center"/>
          </w:tcPr>
          <w:p w14:paraId="232827C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100≤X＜300</w:t>
            </w:r>
          </w:p>
        </w:tc>
        <w:tc>
          <w:tcPr>
            <w:tcW w:w="1674" w:type="dxa"/>
            <w:noWrap w:val="0"/>
            <w:vAlign w:val="center"/>
          </w:tcPr>
          <w:p w14:paraId="51653BA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10≤X＜100</w:t>
            </w:r>
          </w:p>
        </w:tc>
        <w:tc>
          <w:tcPr>
            <w:tcW w:w="1073" w:type="dxa"/>
            <w:noWrap w:val="0"/>
            <w:vAlign w:val="center"/>
          </w:tcPr>
          <w:p w14:paraId="2096870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r w14:paraId="4ED8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40B4D15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p>
        </w:tc>
        <w:tc>
          <w:tcPr>
            <w:tcW w:w="1410" w:type="dxa"/>
            <w:noWrap w:val="0"/>
            <w:vAlign w:val="center"/>
          </w:tcPr>
          <w:p w14:paraId="465D1BC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资产总额(Z)</w:t>
            </w:r>
          </w:p>
        </w:tc>
        <w:tc>
          <w:tcPr>
            <w:tcW w:w="1065" w:type="dxa"/>
            <w:noWrap w:val="0"/>
            <w:vAlign w:val="center"/>
          </w:tcPr>
          <w:p w14:paraId="46599AC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1404135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Z≥120000</w:t>
            </w:r>
          </w:p>
        </w:tc>
        <w:tc>
          <w:tcPr>
            <w:tcW w:w="1708" w:type="dxa"/>
            <w:noWrap w:val="0"/>
            <w:vAlign w:val="center"/>
          </w:tcPr>
          <w:p w14:paraId="13CE5C3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8000≤Z＜120000</w:t>
            </w:r>
          </w:p>
        </w:tc>
        <w:tc>
          <w:tcPr>
            <w:tcW w:w="1674" w:type="dxa"/>
            <w:noWrap w:val="0"/>
            <w:vAlign w:val="center"/>
          </w:tcPr>
          <w:p w14:paraId="4A449E3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100≤Z＜8000</w:t>
            </w:r>
          </w:p>
        </w:tc>
        <w:tc>
          <w:tcPr>
            <w:tcW w:w="1073" w:type="dxa"/>
            <w:noWrap w:val="0"/>
            <w:vAlign w:val="center"/>
          </w:tcPr>
          <w:p w14:paraId="226ABAC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Z＜100</w:t>
            </w:r>
          </w:p>
        </w:tc>
      </w:tr>
      <w:tr w14:paraId="13B5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noWrap w:val="0"/>
            <w:vAlign w:val="center"/>
          </w:tcPr>
          <w:p w14:paraId="3721875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其他未列明行业*</w:t>
            </w:r>
          </w:p>
        </w:tc>
        <w:tc>
          <w:tcPr>
            <w:tcW w:w="1410" w:type="dxa"/>
            <w:noWrap w:val="0"/>
            <w:vAlign w:val="center"/>
          </w:tcPr>
          <w:p w14:paraId="7C756E9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1065" w:type="dxa"/>
            <w:noWrap w:val="0"/>
            <w:vAlign w:val="center"/>
          </w:tcPr>
          <w:p w14:paraId="0FDBFE1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217" w:type="dxa"/>
            <w:noWrap w:val="0"/>
            <w:vAlign w:val="center"/>
          </w:tcPr>
          <w:p w14:paraId="195A06C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X≥300</w:t>
            </w:r>
          </w:p>
        </w:tc>
        <w:tc>
          <w:tcPr>
            <w:tcW w:w="1708" w:type="dxa"/>
            <w:noWrap w:val="0"/>
            <w:vAlign w:val="center"/>
          </w:tcPr>
          <w:p w14:paraId="001500F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100≤X＜300</w:t>
            </w:r>
          </w:p>
        </w:tc>
        <w:tc>
          <w:tcPr>
            <w:tcW w:w="1674" w:type="dxa"/>
            <w:noWrap w:val="0"/>
            <w:vAlign w:val="center"/>
          </w:tcPr>
          <w:p w14:paraId="1B280CC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10≤X＜100</w:t>
            </w:r>
          </w:p>
        </w:tc>
        <w:tc>
          <w:tcPr>
            <w:tcW w:w="1073" w:type="dxa"/>
            <w:noWrap w:val="0"/>
            <w:vAlign w:val="center"/>
          </w:tcPr>
          <w:p w14:paraId="7F547D3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bl>
    <w:p w14:paraId="7D4440DA">
      <w:pPr>
        <w:rPr>
          <w:rFonts w:hint="eastAsia" w:ascii="宋体" w:hAnsi="宋体" w:eastAsia="宋体" w:cs="宋体"/>
          <w:b/>
          <w:bCs/>
          <w:color w:val="auto"/>
          <w:spacing w:val="8"/>
          <w:kern w:val="0"/>
          <w:sz w:val="24"/>
          <w:szCs w:val="24"/>
        </w:rPr>
      </w:pPr>
      <w:r>
        <w:rPr>
          <w:rFonts w:hint="eastAsia" w:ascii="宋体" w:hAnsi="宋体" w:eastAsia="宋体" w:cs="宋体"/>
          <w:b/>
          <w:bCs/>
          <w:color w:val="auto"/>
          <w:spacing w:val="8"/>
          <w:kern w:val="0"/>
          <w:sz w:val="24"/>
          <w:szCs w:val="24"/>
        </w:rPr>
        <w:br w:type="page"/>
      </w:r>
    </w:p>
    <w:p w14:paraId="7D3A72B4">
      <w:pPr>
        <w:widowControl/>
        <w:spacing w:line="360" w:lineRule="auto"/>
        <w:ind w:left="0" w:leftChars="0" w:firstLine="0" w:firstLineChars="0"/>
        <w:rPr>
          <w:rFonts w:hint="eastAsia" w:ascii="宋体" w:hAnsi="宋体" w:eastAsia="宋体" w:cs="宋体"/>
          <w:color w:val="auto"/>
          <w:spacing w:val="8"/>
          <w:kern w:val="0"/>
          <w:sz w:val="24"/>
          <w:szCs w:val="24"/>
        </w:rPr>
      </w:pPr>
      <w:r>
        <w:rPr>
          <w:rFonts w:hint="eastAsia" w:ascii="宋体" w:hAnsi="宋体" w:eastAsia="宋体" w:cs="宋体"/>
          <w:b/>
          <w:bCs/>
          <w:color w:val="auto"/>
          <w:spacing w:val="8"/>
          <w:kern w:val="0"/>
          <w:sz w:val="24"/>
          <w:szCs w:val="24"/>
        </w:rPr>
        <w:t>说明：</w:t>
      </w:r>
    </w:p>
    <w:p w14:paraId="26CC2826">
      <w:pPr>
        <w:spacing w:line="360" w:lineRule="auto"/>
        <w:ind w:left="0" w:leftChars="0" w:firstLine="0" w:firstLineChars="0"/>
        <w:rPr>
          <w:rFonts w:hint="eastAsia"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　　1.大型、中型和小型企业须同时满足所列指标的</w:t>
      </w:r>
      <w:r>
        <w:rPr>
          <w:rFonts w:hint="eastAsia" w:ascii="宋体" w:hAnsi="宋体" w:eastAsia="宋体" w:cs="宋体"/>
          <w:b/>
          <w:bCs/>
          <w:color w:val="auto"/>
          <w:spacing w:val="8"/>
          <w:kern w:val="0"/>
          <w:sz w:val="24"/>
          <w:szCs w:val="24"/>
        </w:rPr>
        <w:t>下限</w:t>
      </w:r>
      <w:r>
        <w:rPr>
          <w:rFonts w:hint="eastAsia" w:ascii="宋体" w:hAnsi="宋体" w:eastAsia="宋体" w:cs="宋体"/>
          <w:color w:val="auto"/>
          <w:spacing w:val="8"/>
          <w:kern w:val="0"/>
          <w:sz w:val="24"/>
          <w:szCs w:val="24"/>
        </w:rPr>
        <w:t>，</w:t>
      </w:r>
      <w:r>
        <w:rPr>
          <w:rFonts w:hint="eastAsia" w:ascii="宋体" w:hAnsi="宋体" w:eastAsia="宋体" w:cs="宋体"/>
          <w:b/>
          <w:bCs/>
          <w:color w:val="auto"/>
          <w:spacing w:val="8"/>
          <w:kern w:val="0"/>
          <w:sz w:val="24"/>
          <w:szCs w:val="24"/>
        </w:rPr>
        <w:t>否则下划一档</w:t>
      </w:r>
      <w:r>
        <w:rPr>
          <w:rFonts w:hint="eastAsia" w:ascii="宋体" w:hAnsi="宋体" w:eastAsia="宋体" w:cs="宋体"/>
          <w:color w:val="auto"/>
          <w:spacing w:val="8"/>
          <w:kern w:val="0"/>
          <w:sz w:val="24"/>
          <w:szCs w:val="24"/>
        </w:rPr>
        <w:t>；微型企业只须满足所列指标中的</w:t>
      </w:r>
      <w:r>
        <w:rPr>
          <w:rFonts w:hint="eastAsia" w:ascii="宋体" w:hAnsi="宋体" w:eastAsia="宋体" w:cs="宋体"/>
          <w:b/>
          <w:bCs/>
          <w:color w:val="auto"/>
          <w:spacing w:val="8"/>
          <w:kern w:val="0"/>
          <w:sz w:val="24"/>
          <w:szCs w:val="24"/>
        </w:rPr>
        <w:t>一项</w:t>
      </w:r>
      <w:r>
        <w:rPr>
          <w:rFonts w:hint="eastAsia" w:ascii="宋体" w:hAnsi="宋体" w:eastAsia="宋体" w:cs="宋体"/>
          <w:color w:val="auto"/>
          <w:spacing w:val="8"/>
          <w:kern w:val="0"/>
          <w:sz w:val="24"/>
          <w:szCs w:val="24"/>
        </w:rPr>
        <w:t>即可。</w:t>
      </w:r>
    </w:p>
    <w:p w14:paraId="1EA27F0F">
      <w:pPr>
        <w:spacing w:line="360" w:lineRule="auto"/>
        <w:ind w:left="0" w:leftChars="0" w:firstLine="0" w:firstLineChars="0"/>
        <w:rPr>
          <w:rFonts w:hint="eastAsia"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　　2.附表中各行业的范围以《国民经济行业分类》（GB/T4754-2017）为准。带*的项为行业组合类别，其中，</w:t>
      </w:r>
      <w:r>
        <w:rPr>
          <w:rFonts w:hint="eastAsia" w:ascii="宋体" w:hAnsi="宋体" w:eastAsia="宋体" w:cs="宋体"/>
          <w:b/>
          <w:bCs/>
          <w:color w:val="auto"/>
          <w:spacing w:val="8"/>
          <w:kern w:val="0"/>
          <w:sz w:val="24"/>
          <w:szCs w:val="24"/>
        </w:rPr>
        <w:t>工业</w:t>
      </w:r>
      <w:r>
        <w:rPr>
          <w:rFonts w:hint="eastAsia" w:ascii="宋体" w:hAnsi="宋体" w:eastAsia="宋体" w:cs="宋体"/>
          <w:color w:val="auto"/>
          <w:spacing w:val="8"/>
          <w:kern w:val="0"/>
          <w:sz w:val="24"/>
          <w:szCs w:val="24"/>
        </w:rPr>
        <w:t>包括采矿业，制造业，电力、热力、燃气及水生产和供应业；</w:t>
      </w:r>
      <w:r>
        <w:rPr>
          <w:rFonts w:hint="eastAsia" w:ascii="宋体" w:hAnsi="宋体" w:eastAsia="宋体" w:cs="宋体"/>
          <w:b/>
          <w:bCs/>
          <w:color w:val="auto"/>
          <w:spacing w:val="8"/>
          <w:kern w:val="0"/>
          <w:sz w:val="24"/>
          <w:szCs w:val="24"/>
        </w:rPr>
        <w:t>交通运输业</w:t>
      </w:r>
      <w:r>
        <w:rPr>
          <w:rFonts w:hint="eastAsia" w:ascii="宋体" w:hAnsi="宋体" w:eastAsia="宋体" w:cs="宋体"/>
          <w:color w:val="auto"/>
          <w:spacing w:val="8"/>
          <w:kern w:val="0"/>
          <w:sz w:val="24"/>
          <w:szCs w:val="24"/>
        </w:rPr>
        <w:t>包括道路运输业，水上运输业，航空运输业，管道运输业，多式联运和运输代理业、装卸搬运，不包括铁路运输业；</w:t>
      </w:r>
      <w:r>
        <w:rPr>
          <w:rFonts w:hint="eastAsia" w:ascii="宋体" w:hAnsi="宋体" w:eastAsia="宋体" w:cs="宋体"/>
          <w:b/>
          <w:bCs/>
          <w:color w:val="auto"/>
          <w:spacing w:val="8"/>
          <w:kern w:val="0"/>
          <w:sz w:val="24"/>
          <w:szCs w:val="24"/>
        </w:rPr>
        <w:t>仓储业</w:t>
      </w:r>
      <w:r>
        <w:rPr>
          <w:rFonts w:hint="eastAsia" w:ascii="宋体" w:hAnsi="宋体" w:eastAsia="宋体" w:cs="宋体"/>
          <w:color w:val="auto"/>
          <w:spacing w:val="8"/>
          <w:kern w:val="0"/>
          <w:sz w:val="24"/>
          <w:szCs w:val="24"/>
        </w:rPr>
        <w:t>包括通用仓储，低温仓储，危险品仓储，谷物、棉花等农产品仓储，中药材仓储和其他仓储业</w:t>
      </w:r>
      <w:r>
        <w:rPr>
          <w:rFonts w:hint="eastAsia" w:ascii="宋体" w:hAnsi="宋体" w:eastAsia="宋体" w:cs="宋体"/>
          <w:color w:val="auto"/>
          <w:spacing w:val="8"/>
          <w:kern w:val="0"/>
          <w:sz w:val="24"/>
          <w:szCs w:val="24"/>
          <w:lang w:eastAsia="zh-CN"/>
        </w:rPr>
        <w:t>；</w:t>
      </w:r>
      <w:r>
        <w:rPr>
          <w:rFonts w:hint="eastAsia" w:ascii="宋体" w:hAnsi="宋体" w:eastAsia="宋体" w:cs="宋体"/>
          <w:b/>
          <w:bCs/>
          <w:color w:val="auto"/>
          <w:spacing w:val="8"/>
          <w:kern w:val="0"/>
          <w:sz w:val="24"/>
          <w:szCs w:val="24"/>
        </w:rPr>
        <w:t>信息传输业</w:t>
      </w:r>
      <w:r>
        <w:rPr>
          <w:rFonts w:hint="eastAsia" w:ascii="宋体" w:hAnsi="宋体" w:eastAsia="宋体" w:cs="宋体"/>
          <w:color w:val="auto"/>
          <w:spacing w:val="8"/>
          <w:kern w:val="0"/>
          <w:sz w:val="24"/>
          <w:szCs w:val="24"/>
        </w:rPr>
        <w:t>包括电信、广播电视和卫星传输服务，互联网和相关服务；</w:t>
      </w:r>
      <w:r>
        <w:rPr>
          <w:rFonts w:hint="eastAsia" w:ascii="宋体" w:hAnsi="宋体" w:eastAsia="宋体" w:cs="宋体"/>
          <w:b/>
          <w:bCs/>
          <w:color w:val="auto"/>
          <w:spacing w:val="8"/>
          <w:kern w:val="0"/>
          <w:sz w:val="24"/>
          <w:szCs w:val="24"/>
        </w:rPr>
        <w:t>其他未列明行业</w:t>
      </w:r>
      <w:r>
        <w:rPr>
          <w:rFonts w:hint="eastAsia" w:ascii="宋体" w:hAnsi="宋体" w:eastAsia="宋体" w:cs="宋体"/>
          <w:color w:val="auto"/>
          <w:spacing w:val="8"/>
          <w:kern w:val="0"/>
          <w:sz w:val="24"/>
          <w:szCs w:val="24"/>
        </w:rPr>
        <w:t>包括科学研究和技术服务业，水利、环境和公共设施管理业，居民服务、修理和其他服务业，社会工作，文化、体育和娱乐业，以及房地产中介服务，其他房地产业等，不包括自有房地产经营活动。</w:t>
      </w:r>
    </w:p>
    <w:p w14:paraId="0AC9E51B">
      <w:pPr>
        <w:ind w:left="0" w:leftChars="0" w:firstLine="512" w:firstLineChars="0"/>
        <w:rPr>
          <w:rFonts w:hint="eastAsia"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3.企业划分指标以现行统计制度为准。（1）</w:t>
      </w:r>
      <w:r>
        <w:rPr>
          <w:rFonts w:hint="eastAsia" w:ascii="宋体" w:hAnsi="宋体" w:eastAsia="宋体" w:cs="宋体"/>
          <w:b/>
          <w:bCs/>
          <w:color w:val="auto"/>
          <w:spacing w:val="8"/>
          <w:kern w:val="0"/>
          <w:sz w:val="24"/>
          <w:szCs w:val="24"/>
        </w:rPr>
        <w:t>从业人员</w:t>
      </w:r>
      <w:r>
        <w:rPr>
          <w:rFonts w:hint="eastAsia" w:ascii="宋体" w:hAnsi="宋体" w:eastAsia="宋体" w:cs="宋体"/>
          <w:color w:val="auto"/>
          <w:spacing w:val="8"/>
          <w:kern w:val="0"/>
          <w:sz w:val="24"/>
          <w:szCs w:val="24"/>
        </w:rPr>
        <w:t>，是指期末从业人员数，没有期末从业人员数的，采用全年平均人员数代替。（2）</w:t>
      </w:r>
      <w:r>
        <w:rPr>
          <w:rFonts w:hint="eastAsia" w:ascii="宋体" w:hAnsi="宋体" w:eastAsia="宋体" w:cs="宋体"/>
          <w:b/>
          <w:bCs/>
          <w:color w:val="auto"/>
          <w:spacing w:val="8"/>
          <w:kern w:val="0"/>
          <w:sz w:val="24"/>
          <w:szCs w:val="24"/>
        </w:rPr>
        <w:t>营业收入</w:t>
      </w:r>
      <w:r>
        <w:rPr>
          <w:rFonts w:hint="eastAsia" w:ascii="宋体" w:hAnsi="宋体" w:eastAsia="宋体" w:cs="宋体"/>
          <w:color w:val="auto"/>
          <w:spacing w:val="8"/>
          <w:kern w:val="0"/>
          <w:sz w:val="24"/>
          <w:szCs w:val="24"/>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rFonts w:hint="eastAsia" w:ascii="宋体" w:hAnsi="宋体" w:eastAsia="宋体" w:cs="宋体"/>
          <w:b/>
          <w:bCs/>
          <w:color w:val="auto"/>
          <w:spacing w:val="8"/>
          <w:kern w:val="0"/>
          <w:sz w:val="24"/>
          <w:szCs w:val="24"/>
        </w:rPr>
        <w:t>资产总额</w:t>
      </w:r>
      <w:r>
        <w:rPr>
          <w:rFonts w:hint="eastAsia" w:ascii="宋体" w:hAnsi="宋体" w:eastAsia="宋体" w:cs="宋体"/>
          <w:color w:val="auto"/>
          <w:spacing w:val="8"/>
          <w:kern w:val="0"/>
          <w:sz w:val="24"/>
          <w:szCs w:val="24"/>
        </w:rPr>
        <w:t>，采用资产总计代替。</w:t>
      </w:r>
    </w:p>
    <w:p w14:paraId="51D97516">
      <w:pPr>
        <w:ind w:left="0" w:leftChars="0" w:firstLine="0" w:firstLineChars="0"/>
        <w:rPr>
          <w:rFonts w:hint="eastAsia" w:ascii="宋体" w:hAnsi="宋体" w:eastAsia="宋体" w:cs="宋体"/>
          <w:color w:val="auto"/>
          <w:spacing w:val="8"/>
          <w:kern w:val="0"/>
          <w:sz w:val="24"/>
          <w:szCs w:val="24"/>
        </w:rPr>
      </w:pPr>
    </w:p>
    <w:p w14:paraId="32E5E1DB">
      <w:pPr>
        <w:ind w:left="0" w:leftChars="0"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36381A4F">
      <w:pPr>
        <w:ind w:left="0" w:leftChars="0" w:firstLine="0" w:firstLineChars="0"/>
        <w:outlineLvl w:val="1"/>
        <w:rPr>
          <w:rFonts w:hint="eastAsia" w:ascii="宋体" w:hAnsi="宋体" w:eastAsia="宋体" w:cs="宋体"/>
          <w:b/>
          <w:bCs w:val="0"/>
          <w:color w:val="auto"/>
          <w:lang w:val="en-US" w:eastAsia="zh-CN"/>
        </w:rPr>
      </w:pPr>
      <w:bookmarkStart w:id="224" w:name="_Toc19196"/>
      <w:r>
        <w:rPr>
          <w:rFonts w:hint="eastAsia" w:ascii="宋体" w:hAnsi="宋体" w:eastAsia="宋体" w:cs="宋体"/>
          <w:b/>
          <w:bCs w:val="0"/>
          <w:color w:val="auto"/>
          <w:sz w:val="24"/>
          <w:szCs w:val="24"/>
          <w:lang w:val="en-US" w:eastAsia="zh-CN"/>
        </w:rPr>
        <w:t>附件16：残疾人福利性单位声明函</w:t>
      </w:r>
      <w:bookmarkEnd w:id="224"/>
    </w:p>
    <w:p w14:paraId="2623602D">
      <w:pPr>
        <w:pStyle w:val="41"/>
        <w:rPr>
          <w:rFonts w:hint="eastAsia" w:ascii="宋体" w:hAnsi="宋体" w:eastAsia="宋体" w:cs="宋体"/>
          <w:b/>
          <w:color w:val="auto"/>
          <w:sz w:val="24"/>
          <w:szCs w:val="24"/>
          <w:lang w:val="en-US" w:eastAsia="zh-CN" w:bidi="ar-SA"/>
        </w:rPr>
      </w:pPr>
    </w:p>
    <w:p w14:paraId="08498953">
      <w:pPr>
        <w:autoSpaceDE w:val="0"/>
        <w:autoSpaceDN w:val="0"/>
        <w:spacing w:line="360" w:lineRule="auto"/>
        <w:jc w:val="center"/>
        <w:rPr>
          <w:rFonts w:hint="eastAsia" w:ascii="宋体" w:hAnsi="宋体" w:eastAsia="宋体" w:cs="宋体"/>
          <w:b/>
          <w:bCs/>
          <w:color w:val="auto"/>
          <w:kern w:val="0"/>
          <w:sz w:val="28"/>
          <w:szCs w:val="28"/>
          <w:lang w:eastAsia="zh-CN"/>
        </w:rPr>
      </w:pPr>
      <w:r>
        <w:rPr>
          <w:rFonts w:hint="eastAsia" w:ascii="宋体" w:hAnsi="宋体" w:eastAsia="宋体" w:cs="宋体"/>
          <w:b/>
          <w:bCs/>
          <w:color w:val="auto"/>
          <w:kern w:val="0"/>
          <w:sz w:val="28"/>
          <w:szCs w:val="28"/>
          <w:lang w:eastAsia="zh-CN"/>
        </w:rPr>
        <w:t>残疾人福利性单位声明函</w:t>
      </w:r>
    </w:p>
    <w:p w14:paraId="45FE9501">
      <w:pPr>
        <w:spacing w:after="120" w:afterLines="50" w:line="360" w:lineRule="auto"/>
        <w:rPr>
          <w:rFonts w:hint="eastAsia" w:ascii="宋体" w:hAnsi="宋体" w:eastAsia="宋体" w:cs="宋体"/>
          <w:b/>
          <w:bCs/>
          <w:color w:val="auto"/>
          <w:sz w:val="24"/>
          <w:szCs w:val="24"/>
        </w:rPr>
      </w:pPr>
    </w:p>
    <w:p w14:paraId="52E56ACC">
      <w:pPr>
        <w:spacing w:after="120" w:afterLines="50" w:line="360" w:lineRule="auto"/>
        <w:ind w:left="0" w:leftChars="0" w:firstLine="0"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致：</w:t>
      </w:r>
      <w:r>
        <w:rPr>
          <w:rFonts w:hint="eastAsia" w:ascii="宋体" w:hAnsi="宋体" w:eastAsia="宋体" w:cs="宋体"/>
          <w:b/>
          <w:bCs/>
          <w:color w:val="auto"/>
          <w:kern w:val="0"/>
          <w:sz w:val="24"/>
          <w:szCs w:val="24"/>
          <w:lang w:val="zh-CN"/>
        </w:rPr>
        <w:t>青海鼎钊招标代理有限公司</w:t>
      </w:r>
    </w:p>
    <w:p w14:paraId="4AF53F08">
      <w:pPr>
        <w:spacing w:line="360" w:lineRule="auto"/>
        <w:ind w:firstLine="480" w:firstLineChars="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人，安置的残疾人人数</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人。且本单位参加</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rPr>
        <w:t>单位的</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rPr>
        <w:t>项目采购活动提供本单位制造的货物（由本单位承担工程/提供服务），或者提供其他残疾人福利性单位制造的货物（不包括使用非残疾人福利性单位注册商标的货物）。</w:t>
      </w:r>
    </w:p>
    <w:p w14:paraId="49110558">
      <w:pPr>
        <w:spacing w:line="360" w:lineRule="auto"/>
        <w:ind w:firstLine="480" w:firstLineChars="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本单位对上述声明的真实性负责。如有虚假，将依法承担相应责任。</w:t>
      </w:r>
    </w:p>
    <w:p w14:paraId="664107F9">
      <w:pPr>
        <w:spacing w:line="360" w:lineRule="auto"/>
        <w:ind w:firstLine="0" w:firstLineChars="0"/>
        <w:rPr>
          <w:rFonts w:hint="eastAsia" w:ascii="宋体" w:hAnsi="宋体" w:eastAsia="宋体" w:cs="宋体"/>
          <w:color w:val="auto"/>
          <w:kern w:val="2"/>
          <w:sz w:val="24"/>
          <w:szCs w:val="24"/>
        </w:rPr>
      </w:pPr>
    </w:p>
    <w:p w14:paraId="2EC0E215">
      <w:pPr>
        <w:spacing w:line="360" w:lineRule="auto"/>
        <w:ind w:firstLine="0" w:firstLineChars="0"/>
        <w:rPr>
          <w:rFonts w:hint="eastAsia" w:ascii="宋体" w:hAnsi="宋体" w:eastAsia="宋体" w:cs="宋体"/>
          <w:color w:val="auto"/>
          <w:kern w:val="2"/>
          <w:sz w:val="24"/>
          <w:szCs w:val="24"/>
        </w:rPr>
      </w:pPr>
    </w:p>
    <w:p w14:paraId="43907A20">
      <w:pPr>
        <w:spacing w:line="360" w:lineRule="auto"/>
        <w:ind w:firstLine="0" w:firstLineChars="0"/>
        <w:rPr>
          <w:rFonts w:hint="eastAsia" w:ascii="宋体" w:hAnsi="宋体" w:eastAsia="宋体" w:cs="宋体"/>
          <w:color w:val="auto"/>
          <w:kern w:val="2"/>
          <w:sz w:val="24"/>
          <w:szCs w:val="24"/>
        </w:rPr>
      </w:pPr>
    </w:p>
    <w:p w14:paraId="1A9D1123">
      <w:pPr>
        <w:spacing w:line="360" w:lineRule="auto"/>
        <w:ind w:firstLine="0" w:firstLineChars="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 xml:space="preserve">                              企业名称：</w:t>
      </w:r>
      <w:r>
        <w:rPr>
          <w:rFonts w:hint="eastAsia" w:ascii="宋体" w:hAnsi="宋体" w:eastAsia="宋体" w:cs="宋体"/>
          <w:color w:val="auto"/>
          <w:kern w:val="0"/>
          <w:sz w:val="28"/>
          <w:szCs w:val="28"/>
          <w:u w:val="single"/>
        </w:rPr>
        <w:t xml:space="preserve">       </w:t>
      </w:r>
      <w:r>
        <w:rPr>
          <w:rFonts w:hint="eastAsia" w:ascii="宋体" w:hAnsi="宋体" w:eastAsia="宋体" w:cs="宋体"/>
          <w:b/>
          <w:color w:val="auto"/>
          <w:kern w:val="2"/>
          <w:sz w:val="24"/>
          <w:szCs w:val="24"/>
        </w:rPr>
        <w:t>（公章）</w:t>
      </w:r>
    </w:p>
    <w:p w14:paraId="42DE5824">
      <w:pPr>
        <w:spacing w:line="360" w:lineRule="auto"/>
        <w:ind w:firstLine="482" w:firstLineChars="0"/>
        <w:jc w:val="right"/>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 xml:space="preserve">       企业法定代表人：</w:t>
      </w:r>
      <w:r>
        <w:rPr>
          <w:rFonts w:hint="eastAsia" w:ascii="宋体" w:hAnsi="宋体" w:eastAsia="宋体" w:cs="宋体"/>
          <w:color w:val="auto"/>
          <w:kern w:val="0"/>
          <w:sz w:val="28"/>
          <w:szCs w:val="28"/>
          <w:u w:val="single"/>
        </w:rPr>
        <w:t xml:space="preserve">       </w:t>
      </w:r>
      <w:r>
        <w:rPr>
          <w:rFonts w:hint="eastAsia" w:ascii="宋体" w:hAnsi="宋体" w:eastAsia="宋体" w:cs="宋体"/>
          <w:b/>
          <w:color w:val="auto"/>
          <w:kern w:val="2"/>
          <w:sz w:val="24"/>
          <w:szCs w:val="24"/>
        </w:rPr>
        <w:t>（签字或盖章）</w:t>
      </w:r>
    </w:p>
    <w:p w14:paraId="68FAA05C">
      <w:pPr>
        <w:spacing w:line="240" w:lineRule="auto"/>
        <w:ind w:firstLine="482" w:firstLineChars="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 xml:space="preserve">              年   月   日</w:t>
      </w:r>
    </w:p>
    <w:p w14:paraId="562B7E5D">
      <w:pPr>
        <w:widowControl w:val="0"/>
        <w:autoSpaceDE w:val="0"/>
        <w:autoSpaceDN w:val="0"/>
        <w:adjustRightInd w:val="0"/>
        <w:spacing w:line="360" w:lineRule="auto"/>
        <w:rPr>
          <w:rFonts w:hint="eastAsia" w:ascii="宋体" w:hAnsi="宋体" w:eastAsia="宋体" w:cs="宋体"/>
          <w:color w:val="auto"/>
          <w:sz w:val="24"/>
          <w:szCs w:val="24"/>
          <w:lang w:val="en-US" w:eastAsia="zh-CN" w:bidi="ar-SA"/>
        </w:rPr>
      </w:pPr>
    </w:p>
    <w:p w14:paraId="769B956D">
      <w:pPr>
        <w:spacing w:line="360" w:lineRule="auto"/>
        <w:ind w:firstLine="0" w:firstLineChars="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注：</w:t>
      </w:r>
      <w:r>
        <w:rPr>
          <w:rFonts w:hint="eastAsia" w:ascii="宋体" w:hAnsi="宋体" w:eastAsia="宋体" w:cs="宋体"/>
          <w:color w:val="auto"/>
          <w:kern w:val="2"/>
          <w:sz w:val="24"/>
          <w:szCs w:val="24"/>
          <w:lang w:val="en-US" w:eastAsia="zh-CN"/>
        </w:rPr>
        <w:t>1.成交供应商为残疾人福利性单位的，采购代理机构应当随成交结果同时公告其《残疾人福利性单位声明函》。</w:t>
      </w:r>
    </w:p>
    <w:p w14:paraId="1902AA36">
      <w:pPr>
        <w:ind w:firstLine="482"/>
        <w:jc w:val="both"/>
        <w:rPr>
          <w:rFonts w:hint="eastAsia" w:ascii="宋体" w:hAnsi="宋体" w:eastAsia="宋体" w:cs="宋体"/>
          <w:b/>
          <w:color w:val="auto"/>
        </w:rPr>
      </w:pP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rPr>
        <w:t>若无此项内容，可不提供此函。</w:t>
      </w:r>
    </w:p>
    <w:p w14:paraId="59488A12">
      <w:pPr>
        <w:ind w:left="0" w:leftChars="0" w:firstLine="0" w:firstLineChars="0"/>
        <w:outlineLvl w:val="1"/>
        <w:rPr>
          <w:rFonts w:hint="eastAsia" w:ascii="宋体" w:hAnsi="宋体" w:eastAsia="宋体" w:cs="宋体"/>
          <w:b/>
          <w:color w:val="auto"/>
          <w:sz w:val="24"/>
          <w:szCs w:val="24"/>
          <w:lang w:val="en-US" w:eastAsia="zh-CN" w:bidi="ar-SA"/>
        </w:rPr>
      </w:pPr>
      <w:r>
        <w:rPr>
          <w:rFonts w:hint="eastAsia" w:ascii="宋体" w:hAnsi="宋体" w:eastAsia="宋体" w:cs="宋体"/>
          <w:color w:val="auto"/>
          <w:lang w:val="zh-CN"/>
        </w:rPr>
        <w:br w:type="page"/>
      </w:r>
      <w:bookmarkStart w:id="225" w:name="_Toc14689"/>
      <w:r>
        <w:rPr>
          <w:rFonts w:hint="eastAsia" w:ascii="宋体" w:hAnsi="宋体" w:eastAsia="宋体" w:cs="宋体"/>
          <w:b/>
          <w:color w:val="auto"/>
          <w:sz w:val="24"/>
          <w:szCs w:val="24"/>
          <w:lang w:val="en-US" w:eastAsia="zh-CN" w:bidi="ar-SA"/>
        </w:rPr>
        <w:t>附件17：监狱企业证明材料</w:t>
      </w:r>
      <w:bookmarkEnd w:id="225"/>
    </w:p>
    <w:p w14:paraId="7AD3D674">
      <w:pPr>
        <w:spacing w:line="240" w:lineRule="auto"/>
        <w:ind w:firstLine="0" w:firstLineChars="0"/>
        <w:rPr>
          <w:rFonts w:hint="eastAsia" w:ascii="宋体" w:hAnsi="宋体" w:eastAsia="宋体" w:cs="宋体"/>
          <w:color w:val="auto"/>
          <w:kern w:val="2"/>
          <w:sz w:val="24"/>
          <w:szCs w:val="24"/>
        </w:rPr>
      </w:pPr>
    </w:p>
    <w:p w14:paraId="3301E470">
      <w:pPr>
        <w:spacing w:line="360" w:lineRule="auto"/>
        <w:ind w:firstLine="480" w:firstLineChars="20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2EFDD06">
      <w:pPr>
        <w:spacing w:line="360" w:lineRule="auto"/>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监狱企业参加政府采购活动时，应当提供由省级以上监狱管理局、戒毒管理局（含新疆生产建设兵团）出具的属于监狱企业的证明文件。</w:t>
      </w:r>
    </w:p>
    <w:p w14:paraId="5A788408">
      <w:pPr>
        <w:spacing w:line="360" w:lineRule="auto"/>
        <w:ind w:firstLine="0" w:firstLineChars="0"/>
        <w:rPr>
          <w:rFonts w:hint="eastAsia" w:ascii="宋体" w:hAnsi="宋体" w:eastAsia="宋体" w:cs="宋体"/>
          <w:color w:val="auto"/>
          <w:kern w:val="2"/>
          <w:sz w:val="24"/>
          <w:szCs w:val="24"/>
        </w:rPr>
      </w:pPr>
    </w:p>
    <w:p w14:paraId="7823697F">
      <w:pPr>
        <w:spacing w:line="360" w:lineRule="auto"/>
        <w:ind w:firstLine="0" w:firstLineChars="0"/>
        <w:rPr>
          <w:rFonts w:hint="eastAsia" w:ascii="宋体" w:hAnsi="宋体" w:eastAsia="宋体" w:cs="宋体"/>
          <w:color w:val="auto"/>
          <w:kern w:val="2"/>
          <w:sz w:val="24"/>
          <w:szCs w:val="24"/>
        </w:rPr>
      </w:pPr>
    </w:p>
    <w:p w14:paraId="543F477F">
      <w:pPr>
        <w:widowControl w:val="0"/>
        <w:snapToGrid w:val="0"/>
        <w:jc w:val="left"/>
        <w:rPr>
          <w:rFonts w:hint="eastAsia" w:ascii="宋体" w:hAnsi="宋体" w:eastAsia="宋体" w:cs="宋体"/>
          <w:color w:val="auto"/>
          <w:kern w:val="2"/>
          <w:sz w:val="18"/>
          <w:szCs w:val="18"/>
          <w:lang w:val="en-US" w:eastAsia="zh-CN" w:bidi="ar-SA"/>
        </w:rPr>
      </w:pPr>
    </w:p>
    <w:p w14:paraId="0A4F31C0">
      <w:pPr>
        <w:spacing w:line="360" w:lineRule="auto"/>
        <w:rPr>
          <w:rFonts w:hint="eastAsia" w:ascii="宋体" w:hAnsi="宋体" w:eastAsia="宋体" w:cs="宋体"/>
          <w:color w:val="auto"/>
        </w:rPr>
      </w:pPr>
      <w:r>
        <w:rPr>
          <w:rFonts w:hint="eastAsia" w:ascii="宋体" w:hAnsi="宋体" w:eastAsia="宋体" w:cs="宋体"/>
          <w:color w:val="auto"/>
          <w:kern w:val="2"/>
          <w:sz w:val="24"/>
          <w:szCs w:val="24"/>
        </w:rPr>
        <w:t>注：若无此项内容，可不提供。</w:t>
      </w:r>
    </w:p>
    <w:p w14:paraId="46865425">
      <w:pPr>
        <w:pStyle w:val="22"/>
        <w:spacing w:before="0" w:after="0" w:line="360" w:lineRule="auto"/>
        <w:ind w:left="0" w:leftChars="0" w:firstLine="0" w:firstLineChars="0"/>
        <w:jc w:val="left"/>
        <w:outlineLvl w:val="1"/>
        <w:rPr>
          <w:rFonts w:hint="eastAsia" w:ascii="宋体" w:hAnsi="宋体" w:eastAsia="宋体" w:cs="宋体"/>
          <w:b/>
          <w:bCs/>
          <w:color w:val="auto"/>
          <w:sz w:val="28"/>
          <w:szCs w:val="28"/>
          <w:lang w:eastAsia="zh-CN"/>
        </w:rPr>
      </w:pPr>
      <w:r>
        <w:rPr>
          <w:rFonts w:hint="eastAsia" w:ascii="宋体" w:hAnsi="宋体" w:eastAsia="宋体" w:cs="宋体"/>
          <w:b/>
          <w:color w:val="auto"/>
          <w:kern w:val="28"/>
          <w:sz w:val="36"/>
          <w:szCs w:val="20"/>
        </w:rPr>
        <w:br w:type="page"/>
      </w:r>
      <w:bookmarkStart w:id="226" w:name="_Toc8196"/>
      <w:r>
        <w:rPr>
          <w:rFonts w:hint="eastAsia" w:ascii="宋体" w:hAnsi="宋体" w:eastAsia="宋体" w:cs="宋体"/>
          <w:b/>
          <w:color w:val="auto"/>
          <w:sz w:val="24"/>
          <w:szCs w:val="24"/>
          <w:lang w:val="en-US" w:eastAsia="zh-CN" w:bidi="ar-SA"/>
        </w:rPr>
        <w:t>附件18：关于符合本国产品标准的声明函或有关证明文件</w:t>
      </w:r>
      <w:bookmarkEnd w:id="226"/>
    </w:p>
    <w:p w14:paraId="362DA4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8"/>
          <w:szCs w:val="28"/>
        </w:rPr>
        <w:t>关于符合本国产品标准的声明函</w:t>
      </w:r>
    </w:p>
    <w:p w14:paraId="7F6D569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致：</w:t>
      </w:r>
      <w:r>
        <w:rPr>
          <w:rFonts w:hint="eastAsia" w:ascii="宋体" w:hAnsi="宋体" w:eastAsia="宋体" w:cs="宋体"/>
          <w:b/>
          <w:bCs/>
          <w:color w:val="auto"/>
          <w:kern w:val="0"/>
          <w:sz w:val="24"/>
          <w:szCs w:val="24"/>
          <w:lang w:val="zh-CN"/>
        </w:rPr>
        <w:t>青海鼎钊招标代理有限公司</w:t>
      </w:r>
    </w:p>
    <w:p w14:paraId="75FF9B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本公司（单位）郑重声明，根据《国务院办公厅关于在政府采购中实施本国产品标准及相关政策的通知》（国办发〔2025〕34号）的规定，本公司（单位）提供的以下产品属于本国产品。具体情况如下：</w:t>
      </w:r>
    </w:p>
    <w:p w14:paraId="3E4301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（产品名称1）</w:t>
      </w:r>
      <w:r>
        <w:rPr>
          <w:rFonts w:hint="eastAsia" w:ascii="宋体" w:hAnsi="宋体" w:eastAsia="宋体" w:cs="宋体"/>
          <w:color w:val="auto"/>
          <w:sz w:val="24"/>
          <w:szCs w:val="24"/>
          <w:vertAlign w:val="superscript"/>
        </w:rPr>
        <w:t>1</w:t>
      </w:r>
      <w:r>
        <w:rPr>
          <w:rFonts w:hint="eastAsia" w:ascii="宋体" w:hAnsi="宋体" w:eastAsia="宋体" w:cs="宋体"/>
          <w:color w:val="auto"/>
          <w:sz w:val="24"/>
          <w:szCs w:val="24"/>
        </w:rPr>
        <w:t>，生产厂为</w:t>
      </w:r>
      <w:r>
        <w:rPr>
          <w:rFonts w:hint="eastAsia" w:ascii="宋体" w:hAnsi="宋体" w:eastAsia="宋体" w:cs="宋体"/>
          <w:color w:val="auto"/>
          <w:sz w:val="24"/>
          <w:szCs w:val="24"/>
          <w:u w:val="single"/>
        </w:rPr>
        <w:t>（厂名）</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，厂址为</w:t>
      </w:r>
      <w:r>
        <w:rPr>
          <w:rFonts w:hint="eastAsia" w:ascii="宋体" w:hAnsi="宋体" w:eastAsia="宋体" w:cs="宋体"/>
          <w:color w:val="auto"/>
          <w:sz w:val="24"/>
          <w:szCs w:val="24"/>
          <w:u w:val="single"/>
        </w:rPr>
        <w:t>（生产厂址）</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（产品名称1）</w:t>
      </w:r>
      <w:r>
        <w:rPr>
          <w:rFonts w:hint="eastAsia" w:ascii="宋体" w:hAnsi="宋体" w:eastAsia="宋体" w:cs="宋体"/>
          <w:color w:val="auto"/>
          <w:sz w:val="24"/>
          <w:szCs w:val="24"/>
        </w:rPr>
        <w:t>的中国境内生产的组件成本占比≥</w:t>
      </w:r>
      <w:r>
        <w:rPr>
          <w:rFonts w:hint="eastAsia" w:ascii="宋体" w:hAnsi="宋体" w:eastAsia="宋体" w:cs="宋体"/>
          <w:color w:val="auto"/>
          <w:sz w:val="24"/>
          <w:szCs w:val="24"/>
          <w:u w:val="single"/>
        </w:rPr>
        <w:t>（规定比例）</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（产品名称1）</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（关键组件）</w:t>
      </w:r>
      <w:r>
        <w:rPr>
          <w:rFonts w:hint="eastAsia" w:ascii="宋体" w:hAnsi="宋体" w:eastAsia="宋体" w:cs="宋体"/>
          <w:color w:val="auto"/>
          <w:sz w:val="24"/>
          <w:szCs w:val="24"/>
          <w:vertAlign w:val="superscript"/>
        </w:rPr>
        <w:t>4</w:t>
      </w:r>
      <w:r>
        <w:rPr>
          <w:rFonts w:hint="eastAsia" w:ascii="宋体" w:hAnsi="宋体" w:eastAsia="宋体" w:cs="宋体"/>
          <w:color w:val="auto"/>
          <w:sz w:val="24"/>
          <w:szCs w:val="24"/>
        </w:rPr>
        <w:t>在中国境内生产。</w:t>
      </w:r>
      <w:r>
        <w:rPr>
          <w:rFonts w:hint="eastAsia" w:ascii="宋体" w:hAnsi="宋体" w:eastAsia="宋体" w:cs="宋体"/>
          <w:color w:val="auto"/>
          <w:sz w:val="24"/>
          <w:szCs w:val="24"/>
          <w:u w:val="single"/>
        </w:rPr>
        <w:t>（产品名称1）</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（关键工序）</w:t>
      </w:r>
      <w:r>
        <w:rPr>
          <w:rFonts w:hint="eastAsia" w:ascii="宋体" w:hAnsi="宋体" w:eastAsia="宋体" w:cs="宋体"/>
          <w:color w:val="auto"/>
          <w:sz w:val="24"/>
          <w:szCs w:val="24"/>
          <w:vertAlign w:val="superscript"/>
        </w:rPr>
        <w:t>5</w:t>
      </w:r>
      <w:r>
        <w:rPr>
          <w:rFonts w:hint="eastAsia" w:ascii="宋体" w:hAnsi="宋体" w:eastAsia="宋体" w:cs="宋体"/>
          <w:color w:val="auto"/>
          <w:sz w:val="24"/>
          <w:szCs w:val="24"/>
        </w:rPr>
        <w:t>在中国境内完成。</w:t>
      </w:r>
    </w:p>
    <w:p w14:paraId="6F17F0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（产品名称2）</w:t>
      </w:r>
      <w:r>
        <w:rPr>
          <w:rFonts w:hint="eastAsia" w:ascii="宋体" w:hAnsi="宋体" w:eastAsia="宋体" w:cs="宋体"/>
          <w:color w:val="auto"/>
          <w:sz w:val="24"/>
          <w:szCs w:val="24"/>
        </w:rPr>
        <w:t>，生产厂为</w:t>
      </w:r>
      <w:r>
        <w:rPr>
          <w:rFonts w:hint="eastAsia" w:ascii="宋体" w:hAnsi="宋体" w:eastAsia="宋体" w:cs="宋体"/>
          <w:color w:val="auto"/>
          <w:sz w:val="24"/>
          <w:szCs w:val="24"/>
          <w:u w:val="single"/>
        </w:rPr>
        <w:t>（厂名）</w:t>
      </w:r>
      <w:r>
        <w:rPr>
          <w:rFonts w:hint="eastAsia" w:ascii="宋体" w:hAnsi="宋体" w:eastAsia="宋体" w:cs="宋体"/>
          <w:color w:val="auto"/>
          <w:sz w:val="24"/>
          <w:szCs w:val="24"/>
        </w:rPr>
        <w:t>，厂址为</w:t>
      </w:r>
      <w:r>
        <w:rPr>
          <w:rFonts w:hint="eastAsia" w:ascii="宋体" w:hAnsi="宋体" w:eastAsia="宋体" w:cs="宋体"/>
          <w:color w:val="auto"/>
          <w:sz w:val="24"/>
          <w:szCs w:val="24"/>
          <w:u w:val="single"/>
        </w:rPr>
        <w:t>（生产厂址）</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（产品名称2）</w:t>
      </w:r>
      <w:r>
        <w:rPr>
          <w:rFonts w:hint="eastAsia" w:ascii="宋体" w:hAnsi="宋体" w:eastAsia="宋体" w:cs="宋体"/>
          <w:color w:val="auto"/>
          <w:sz w:val="24"/>
          <w:szCs w:val="24"/>
        </w:rPr>
        <w:t>的中国境内生产的组件成本占比≥</w:t>
      </w:r>
      <w:r>
        <w:rPr>
          <w:rFonts w:hint="eastAsia" w:ascii="宋体" w:hAnsi="宋体" w:eastAsia="宋体" w:cs="宋体"/>
          <w:color w:val="auto"/>
          <w:sz w:val="24"/>
          <w:szCs w:val="24"/>
          <w:u w:val="single"/>
        </w:rPr>
        <w:t>（规定比例）</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（产品名称2）</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（关键组件）</w:t>
      </w:r>
      <w:r>
        <w:rPr>
          <w:rFonts w:hint="eastAsia" w:ascii="宋体" w:hAnsi="宋体" w:eastAsia="宋体" w:cs="宋体"/>
          <w:color w:val="auto"/>
          <w:sz w:val="24"/>
          <w:szCs w:val="24"/>
        </w:rPr>
        <w:t>在中国境内生产。</w:t>
      </w:r>
      <w:r>
        <w:rPr>
          <w:rFonts w:hint="eastAsia" w:ascii="宋体" w:hAnsi="宋体" w:eastAsia="宋体" w:cs="宋体"/>
          <w:color w:val="auto"/>
          <w:sz w:val="24"/>
          <w:szCs w:val="24"/>
          <w:u w:val="single"/>
        </w:rPr>
        <w:t>（产品名称2）</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（关键工序）</w:t>
      </w:r>
      <w:r>
        <w:rPr>
          <w:rFonts w:hint="eastAsia" w:ascii="宋体" w:hAnsi="宋体" w:eastAsia="宋体" w:cs="宋体"/>
          <w:color w:val="auto"/>
          <w:sz w:val="24"/>
          <w:szCs w:val="24"/>
        </w:rPr>
        <w:t>在中国境内完成。</w:t>
      </w:r>
    </w:p>
    <w:p w14:paraId="4770C3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04BD42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本公司（单位）对上述声明内容的真实性负责。如有虚假，愿承担相应法律责任。</w:t>
      </w:r>
    </w:p>
    <w:p w14:paraId="7EF9CE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3D1E01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公司（单位）名称（盖章）：</w:t>
      </w:r>
    </w:p>
    <w:p w14:paraId="6957BA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日期：</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月</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日</w:t>
      </w:r>
    </w:p>
    <w:p w14:paraId="308AA1A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val="en-US" w:eastAsia="zh-CN"/>
        </w:rPr>
        <w:t>注：</w:t>
      </w:r>
      <w:r>
        <w:rPr>
          <w:rFonts w:hint="eastAsia" w:ascii="宋体" w:hAnsi="宋体" w:eastAsia="宋体" w:cs="宋体"/>
          <w:color w:val="auto"/>
          <w:sz w:val="24"/>
          <w:szCs w:val="24"/>
        </w:rPr>
        <w:t>1.产品如有型号，请在“产品名称”栏一并填写。</w:t>
      </w:r>
    </w:p>
    <w:p w14:paraId="4A8ACD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2.生产厂名与厂址应与生产厂营业执照载明的相关信息保持一致。</w:t>
      </w:r>
    </w:p>
    <w:p w14:paraId="0DD3B6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3.该产品的中国境内生产的组件成本占比相关要求实施前，“规定比例”栏可不填，下同。</w:t>
      </w:r>
    </w:p>
    <w:p w14:paraId="68A245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4.该产品的关键组件要求实施前，“关键组件”栏可不填，下同。</w:t>
      </w:r>
    </w:p>
    <w:p w14:paraId="6F10D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5.该产品的关键工序要求实施前，“关键工序”栏可不填，下同。</w:t>
      </w:r>
    </w:p>
    <w:p w14:paraId="6F5526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6.成交供应商享受《</w:t>
      </w:r>
      <w:r>
        <w:rPr>
          <w:rFonts w:hint="eastAsia" w:ascii="宋体" w:hAnsi="宋体" w:eastAsia="宋体" w:cs="宋体"/>
          <w:color w:val="auto"/>
          <w:sz w:val="24"/>
          <w:szCs w:val="24"/>
        </w:rPr>
        <w:t>国务院办公厅关于在政府采购中实施本国产品标准及相关政策的通知</w:t>
      </w:r>
      <w:r>
        <w:rPr>
          <w:rFonts w:hint="eastAsia" w:ascii="宋体" w:hAnsi="宋体" w:eastAsia="宋体" w:cs="宋体"/>
          <w:color w:val="auto"/>
          <w:sz w:val="24"/>
          <w:szCs w:val="24"/>
          <w:lang w:val="en-US" w:eastAsia="zh-CN"/>
        </w:rPr>
        <w:t>》规定本国产品政策的，采购代理机构应当随成交结果同时公告成交供应商提供的《关于符合本国产品标准的声明函》或有关证明文件。</w:t>
      </w:r>
    </w:p>
    <w:p w14:paraId="5BF8CC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lang w:val="en-US" w:eastAsia="zh-CN"/>
        </w:rPr>
        <w:t>7.若无此项内容，可不提供此函。</w:t>
      </w:r>
    </w:p>
    <w:p w14:paraId="554FD9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1241A8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8"/>
          <w:szCs w:val="28"/>
        </w:rPr>
        <w:t>中国境内生产的组件成本核算基本规则</w:t>
      </w:r>
    </w:p>
    <w:p w14:paraId="0C212B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F1FC9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一、产品的一级组件是指直接组成产品的组件。产品的二级组件是指直接组成产品一级组件的组件。一级组件不可分解的，视同二级组件。</w:t>
      </w:r>
    </w:p>
    <w:p w14:paraId="06D92C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二、二级组件在中国境内生产的，其全部成本计入中国境内生产的组件成本；二级组件不在中国境内生产的，其成本不计入中国境内生产的组件成本。</w:t>
      </w:r>
    </w:p>
    <w:p w14:paraId="567B9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三、产品总成本和组件成本以相关会计核算数据、采购合同、进货记录等为基础进行计算。</w:t>
      </w:r>
    </w:p>
    <w:p w14:paraId="3E3ED6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lang w:val="zh-CN"/>
        </w:rPr>
      </w:pPr>
      <w:r>
        <w:rPr>
          <w:rFonts w:hint="eastAsia" w:ascii="宋体" w:hAnsi="宋体" w:eastAsia="宋体" w:cs="宋体"/>
          <w:color w:val="auto"/>
          <w:sz w:val="24"/>
          <w:szCs w:val="24"/>
        </w:rPr>
        <w:t>四、需要对成本核算规则予以进一步明确的其他有关事项，由财政部会同有关部门另行规定。</w:t>
      </w:r>
    </w:p>
    <w:p w14:paraId="2D679F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lang w:val="zh-CN"/>
        </w:rPr>
      </w:pPr>
    </w:p>
    <w:p w14:paraId="7C5B18FD">
      <w:pPr>
        <w:rPr>
          <w:rFonts w:hint="eastAsia" w:ascii="宋体" w:hAnsi="宋体" w:eastAsia="宋体" w:cs="宋体"/>
          <w:color w:val="auto"/>
        </w:rPr>
      </w:pPr>
      <w:r>
        <w:rPr>
          <w:rFonts w:hint="eastAsia" w:ascii="宋体" w:hAnsi="宋体" w:eastAsia="宋体" w:cs="宋体"/>
          <w:color w:val="auto"/>
          <w:lang w:val="zh-CN"/>
        </w:rPr>
        <w:br w:type="page"/>
      </w:r>
    </w:p>
    <w:p w14:paraId="6BF87877">
      <w:pPr>
        <w:keepNext/>
        <w:pageBreakBefore/>
        <w:widowControl/>
        <w:spacing w:line="360" w:lineRule="auto"/>
        <w:ind w:firstLine="0" w:firstLineChars="0"/>
        <w:outlineLvl w:val="1"/>
        <w:rPr>
          <w:rFonts w:hint="eastAsia" w:ascii="宋体" w:hAnsi="宋体" w:eastAsia="宋体" w:cs="宋体"/>
          <w:b/>
          <w:bCs/>
          <w:color w:val="auto"/>
          <w:sz w:val="24"/>
          <w:szCs w:val="24"/>
          <w:lang w:eastAsia="zh-CN"/>
        </w:rPr>
      </w:pPr>
      <w:bookmarkStart w:id="227" w:name="_Toc20562"/>
      <w:r>
        <w:rPr>
          <w:rFonts w:hint="eastAsia" w:ascii="宋体" w:hAnsi="宋体" w:eastAsia="宋体" w:cs="宋体"/>
          <w:b/>
          <w:color w:val="auto"/>
          <w:sz w:val="24"/>
          <w:szCs w:val="24"/>
          <w:lang w:eastAsia="zh-CN"/>
        </w:rPr>
        <w:t>附件</w:t>
      </w:r>
      <w:r>
        <w:rPr>
          <w:rFonts w:hint="eastAsia" w:ascii="宋体" w:hAnsi="宋体" w:eastAsia="宋体" w:cs="宋体"/>
          <w:b/>
          <w:color w:val="auto"/>
          <w:sz w:val="24"/>
          <w:szCs w:val="24"/>
          <w:lang w:val="en-US" w:eastAsia="zh-CN"/>
        </w:rPr>
        <w:t>19</w:t>
      </w:r>
      <w:r>
        <w:rPr>
          <w:rFonts w:hint="eastAsia" w:ascii="宋体" w:hAnsi="宋体" w:eastAsia="宋体" w:cs="宋体"/>
          <w:b/>
          <w:color w:val="auto"/>
          <w:sz w:val="24"/>
          <w:szCs w:val="24"/>
          <w:lang w:eastAsia="zh-CN"/>
        </w:rPr>
        <w:t>：供应商最后报价表</w:t>
      </w:r>
      <w:bookmarkEnd w:id="227"/>
    </w:p>
    <w:p w14:paraId="19A4A8C0">
      <w:pPr>
        <w:spacing w:line="360" w:lineRule="auto"/>
        <w:ind w:firstLine="0" w:firstLineChars="0"/>
        <w:rPr>
          <w:rFonts w:hint="eastAsia" w:ascii="宋体" w:hAnsi="宋体" w:eastAsia="宋体" w:cs="宋体"/>
          <w:b/>
          <w:color w:val="auto"/>
          <w:sz w:val="24"/>
          <w:szCs w:val="24"/>
        </w:rPr>
      </w:pPr>
    </w:p>
    <w:p w14:paraId="72B4B4A6">
      <w:pPr>
        <w:spacing w:line="360" w:lineRule="auto"/>
        <w:ind w:firstLine="0" w:firstLineChars="0"/>
        <w:jc w:val="center"/>
        <w:rPr>
          <w:rFonts w:hint="eastAsia" w:ascii="宋体" w:hAnsi="宋体" w:eastAsia="宋体" w:cs="宋体"/>
          <w:b/>
          <w:color w:val="auto"/>
          <w:sz w:val="24"/>
          <w:szCs w:val="24"/>
        </w:rPr>
      </w:pPr>
      <w:bookmarkStart w:id="228" w:name="_Toc408326292"/>
      <w:r>
        <w:rPr>
          <w:rFonts w:hint="eastAsia" w:ascii="宋体" w:hAnsi="宋体" w:eastAsia="宋体" w:cs="宋体"/>
          <w:b/>
          <w:color w:val="auto"/>
          <w:sz w:val="24"/>
          <w:szCs w:val="24"/>
        </w:rPr>
        <w:t>供应商最后报价表</w:t>
      </w:r>
      <w:bookmarkEnd w:id="228"/>
    </w:p>
    <w:p w14:paraId="56EAEACC">
      <w:pPr>
        <w:spacing w:line="360" w:lineRule="auto"/>
        <w:ind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p>
    <w:p w14:paraId="6FA3A38F">
      <w:pPr>
        <w:pStyle w:val="16"/>
        <w:ind w:left="0" w:leftChars="0" w:firstLine="0" w:firstLineChars="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项目编号：</w:t>
      </w:r>
    </w:p>
    <w:p w14:paraId="5FC81558">
      <w:pPr>
        <w:pStyle w:val="16"/>
        <w:ind w:left="0" w:leftChars="0" w:firstLine="0" w:firstLineChars="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所投包号：</w:t>
      </w:r>
    </w:p>
    <w:tbl>
      <w:tblPr>
        <w:tblStyle w:val="25"/>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7"/>
        <w:gridCol w:w="2213"/>
        <w:gridCol w:w="2399"/>
        <w:gridCol w:w="2558"/>
      </w:tblGrid>
      <w:tr w14:paraId="3D1C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2107" w:type="dxa"/>
            <w:vAlign w:val="center"/>
          </w:tcPr>
          <w:p w14:paraId="6D53772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最初</w:t>
            </w:r>
            <w:r>
              <w:rPr>
                <w:rFonts w:hint="eastAsia" w:ascii="宋体" w:hAnsi="宋体" w:eastAsia="宋体" w:cs="宋体"/>
                <w:color w:val="auto"/>
                <w:sz w:val="24"/>
                <w:szCs w:val="24"/>
              </w:rPr>
              <w:t>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lang w:eastAsia="zh-CN"/>
              </w:rPr>
              <w:t>）</w:t>
            </w:r>
          </w:p>
        </w:tc>
        <w:tc>
          <w:tcPr>
            <w:tcW w:w="2213" w:type="dxa"/>
            <w:vAlign w:val="center"/>
          </w:tcPr>
          <w:p w14:paraId="568D722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调整因素</w:t>
            </w:r>
          </w:p>
        </w:tc>
        <w:tc>
          <w:tcPr>
            <w:tcW w:w="2399" w:type="dxa"/>
            <w:vAlign w:val="center"/>
          </w:tcPr>
          <w:p w14:paraId="14BF7DF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最</w:t>
            </w:r>
            <w:r>
              <w:rPr>
                <w:rFonts w:hint="eastAsia" w:ascii="宋体" w:hAnsi="宋体" w:eastAsia="宋体" w:cs="宋体"/>
                <w:bCs/>
                <w:color w:val="auto"/>
                <w:sz w:val="24"/>
                <w:szCs w:val="24"/>
                <w:lang w:val="en-US" w:eastAsia="zh-CN"/>
              </w:rPr>
              <w:t>后</w:t>
            </w:r>
            <w:r>
              <w:rPr>
                <w:rFonts w:hint="eastAsia" w:ascii="宋体" w:hAnsi="宋体" w:eastAsia="宋体" w:cs="宋体"/>
                <w:color w:val="auto"/>
                <w:sz w:val="24"/>
                <w:szCs w:val="24"/>
              </w:rPr>
              <w:t>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lang w:eastAsia="zh-CN"/>
              </w:rPr>
              <w:t>）</w:t>
            </w:r>
          </w:p>
        </w:tc>
        <w:tc>
          <w:tcPr>
            <w:tcW w:w="2558" w:type="dxa"/>
            <w:vAlign w:val="center"/>
          </w:tcPr>
          <w:p w14:paraId="4C113D7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交货时间</w:t>
            </w:r>
          </w:p>
        </w:tc>
      </w:tr>
      <w:tr w14:paraId="7551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2107" w:type="dxa"/>
          </w:tcPr>
          <w:p w14:paraId="46B26A2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lang w:val="en-US" w:eastAsia="zh-CN"/>
              </w:rPr>
            </w:pPr>
          </w:p>
        </w:tc>
        <w:tc>
          <w:tcPr>
            <w:tcW w:w="2213" w:type="dxa"/>
          </w:tcPr>
          <w:p w14:paraId="4E17007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rPr>
            </w:pPr>
          </w:p>
        </w:tc>
        <w:tc>
          <w:tcPr>
            <w:tcW w:w="2399" w:type="dxa"/>
          </w:tcPr>
          <w:p w14:paraId="0FF5380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lang w:eastAsia="zh-CN"/>
              </w:rPr>
            </w:pPr>
          </w:p>
        </w:tc>
        <w:tc>
          <w:tcPr>
            <w:tcW w:w="2558" w:type="dxa"/>
          </w:tcPr>
          <w:p w14:paraId="3D57528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rPr>
            </w:pPr>
          </w:p>
        </w:tc>
      </w:tr>
      <w:tr w14:paraId="3667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0" w:hRule="atLeast"/>
          <w:jc w:val="center"/>
        </w:trPr>
        <w:tc>
          <w:tcPr>
            <w:tcW w:w="9277" w:type="dxa"/>
            <w:gridSpan w:val="4"/>
          </w:tcPr>
          <w:p w14:paraId="2E04D45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最终确定的质量保证及服务承诺（优惠条件）</w:t>
            </w:r>
          </w:p>
          <w:p w14:paraId="7AC30F6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rPr>
            </w:pPr>
          </w:p>
          <w:p w14:paraId="5A80C8A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rPr>
            </w:pPr>
          </w:p>
        </w:tc>
      </w:tr>
    </w:tbl>
    <w:p w14:paraId="6EDB61E8">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此表不需</w:t>
      </w:r>
      <w:r>
        <w:rPr>
          <w:rFonts w:hint="eastAsia" w:ascii="宋体" w:hAnsi="宋体" w:eastAsia="宋体" w:cs="宋体"/>
          <w:color w:val="auto"/>
          <w:sz w:val="24"/>
          <w:szCs w:val="24"/>
          <w:lang w:val="en-US" w:eastAsia="zh-CN"/>
        </w:rPr>
        <w:t>扫描</w:t>
      </w:r>
      <w:r>
        <w:rPr>
          <w:rFonts w:hint="eastAsia" w:ascii="宋体" w:hAnsi="宋体" w:eastAsia="宋体" w:cs="宋体"/>
          <w:color w:val="auto"/>
          <w:sz w:val="24"/>
          <w:szCs w:val="24"/>
        </w:rPr>
        <w:t>在响应文件中，供应商须事先盖章、签字。在磋商期间，由磋商小组确定合格的供应商</w:t>
      </w:r>
      <w:r>
        <w:rPr>
          <w:rFonts w:hint="eastAsia" w:ascii="宋体" w:hAnsi="宋体" w:eastAsia="宋体" w:cs="宋体"/>
          <w:color w:val="auto"/>
          <w:sz w:val="24"/>
          <w:szCs w:val="24"/>
          <w:lang w:val="en-US" w:eastAsia="zh-CN"/>
        </w:rPr>
        <w:t>后填写并扫描上传</w:t>
      </w:r>
      <w:r>
        <w:rPr>
          <w:rFonts w:hint="eastAsia" w:ascii="宋体" w:hAnsi="宋体" w:eastAsia="宋体" w:cs="宋体"/>
          <w:color w:val="auto"/>
          <w:sz w:val="24"/>
          <w:szCs w:val="24"/>
        </w:rPr>
        <w:t>。</w:t>
      </w:r>
    </w:p>
    <w:p w14:paraId="3FBE9343">
      <w:pPr>
        <w:spacing w:line="360" w:lineRule="auto"/>
        <w:ind w:firstLine="482" w:firstLineChars="200"/>
        <w:jc w:val="left"/>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2.未在最终轮次规定时间（60分钟）内进行响应报价的，按首轮报价进行评审，退出磋商的除外。</w:t>
      </w:r>
    </w:p>
    <w:p w14:paraId="111721C1">
      <w:pPr>
        <w:tabs>
          <w:tab w:val="left" w:pos="168"/>
        </w:tabs>
        <w:spacing w:line="360" w:lineRule="auto"/>
        <w:ind w:firstLine="0" w:firstLineChars="0"/>
        <w:textAlignment w:val="baseline"/>
        <w:rPr>
          <w:rFonts w:hint="eastAsia" w:ascii="宋体" w:hAnsi="宋体" w:eastAsia="宋体" w:cs="宋体"/>
          <w:b/>
          <w:bCs/>
          <w:color w:val="auto"/>
          <w:sz w:val="24"/>
          <w:szCs w:val="24"/>
        </w:rPr>
      </w:pPr>
    </w:p>
    <w:p w14:paraId="66194832">
      <w:pPr>
        <w:tabs>
          <w:tab w:val="left" w:pos="168"/>
        </w:tabs>
        <w:spacing w:line="360" w:lineRule="auto"/>
        <w:ind w:firstLine="0" w:firstLineChars="0"/>
        <w:textAlignment w:val="baseline"/>
        <w:rPr>
          <w:rFonts w:hint="eastAsia" w:ascii="宋体" w:hAnsi="宋体" w:eastAsia="宋体" w:cs="宋体"/>
          <w:b/>
          <w:bCs/>
          <w:color w:val="auto"/>
          <w:sz w:val="24"/>
          <w:szCs w:val="24"/>
        </w:rPr>
      </w:pPr>
    </w:p>
    <w:p w14:paraId="41FAA9E2">
      <w:pPr>
        <w:tabs>
          <w:tab w:val="left" w:pos="168"/>
        </w:tabs>
        <w:spacing w:line="360" w:lineRule="auto"/>
        <w:ind w:firstLine="0" w:firstLineChars="0"/>
        <w:textAlignment w:val="baseline"/>
        <w:rPr>
          <w:rFonts w:hint="eastAsia" w:ascii="宋体" w:hAnsi="宋体" w:eastAsia="宋体" w:cs="宋体"/>
          <w:b/>
          <w:bCs/>
          <w:color w:val="auto"/>
          <w:sz w:val="24"/>
          <w:szCs w:val="24"/>
        </w:rPr>
      </w:pPr>
    </w:p>
    <w:p w14:paraId="69293495">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供应商：</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（公章）</w:t>
      </w:r>
    </w:p>
    <w:p w14:paraId="215A498B">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（签字或盖章）</w:t>
      </w:r>
    </w:p>
    <w:p w14:paraId="3C3B45EF">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年   月</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日</w:t>
      </w:r>
    </w:p>
    <w:p w14:paraId="182099D9">
      <w:pPr>
        <w:keepNext/>
        <w:keepLines/>
        <w:widowControl/>
        <w:snapToGrid w:val="0"/>
        <w:spacing w:line="360" w:lineRule="auto"/>
        <w:ind w:firstLine="0" w:firstLineChars="0"/>
        <w:jc w:val="center"/>
        <w:outlineLvl w:val="0"/>
        <w:rPr>
          <w:rFonts w:hint="eastAsia" w:ascii="宋体" w:hAnsi="宋体" w:eastAsia="宋体" w:cs="宋体"/>
          <w:b/>
          <w:color w:val="auto"/>
          <w:kern w:val="28"/>
          <w:sz w:val="36"/>
          <w:szCs w:val="20"/>
        </w:rPr>
      </w:pPr>
      <w:r>
        <w:rPr>
          <w:rFonts w:hint="eastAsia" w:ascii="宋体" w:hAnsi="宋体" w:eastAsia="宋体" w:cs="宋体"/>
          <w:b/>
          <w:color w:val="auto"/>
          <w:sz w:val="24"/>
          <w:szCs w:val="24"/>
        </w:rPr>
        <w:br w:type="page"/>
      </w:r>
      <w:bookmarkStart w:id="229" w:name="_Toc26033"/>
      <w:r>
        <w:rPr>
          <w:rFonts w:hint="eastAsia" w:ascii="宋体" w:hAnsi="宋体" w:eastAsia="宋体" w:cs="宋体"/>
          <w:b/>
          <w:color w:val="auto"/>
          <w:kern w:val="28"/>
          <w:sz w:val="36"/>
          <w:szCs w:val="20"/>
        </w:rPr>
        <w:t>第六部分  采购项目要求及技术参数</w:t>
      </w:r>
      <w:bookmarkEnd w:id="229"/>
    </w:p>
    <w:p w14:paraId="17DF2481">
      <w:pPr>
        <w:pStyle w:val="22"/>
        <w:spacing w:before="0" w:after="0" w:line="360" w:lineRule="auto"/>
        <w:ind w:firstLine="0" w:firstLineChars="0"/>
        <w:rPr>
          <w:rFonts w:hint="eastAsia" w:ascii="宋体" w:hAnsi="宋体" w:eastAsia="宋体" w:cs="宋体"/>
          <w:color w:val="auto"/>
          <w:sz w:val="24"/>
          <w:szCs w:val="24"/>
        </w:rPr>
      </w:pPr>
      <w:bookmarkStart w:id="230" w:name="_Toc31214"/>
      <w:bookmarkStart w:id="231" w:name="_Toc25873"/>
      <w:bookmarkStart w:id="232" w:name="_Toc23433"/>
      <w:r>
        <w:rPr>
          <w:rFonts w:hint="eastAsia" w:ascii="宋体" w:hAnsi="宋体" w:eastAsia="宋体" w:cs="宋体"/>
          <w:color w:val="auto"/>
          <w:sz w:val="28"/>
          <w:szCs w:val="28"/>
          <w:lang w:val="zh-CN"/>
        </w:rPr>
        <w:t>（一）投标要求</w:t>
      </w:r>
      <w:bookmarkEnd w:id="230"/>
      <w:bookmarkEnd w:id="231"/>
      <w:bookmarkEnd w:id="232"/>
    </w:p>
    <w:p w14:paraId="57BDEA11">
      <w:pPr>
        <w:pStyle w:val="22"/>
        <w:spacing w:before="0" w:after="0" w:line="360" w:lineRule="auto"/>
        <w:ind w:firstLine="0" w:firstLineChars="0"/>
        <w:jc w:val="left"/>
        <w:rPr>
          <w:rFonts w:hint="eastAsia" w:ascii="宋体" w:hAnsi="宋体" w:eastAsia="宋体" w:cs="宋体"/>
          <w:color w:val="auto"/>
          <w:sz w:val="24"/>
          <w:szCs w:val="24"/>
          <w:lang w:val="zh-CN"/>
        </w:rPr>
      </w:pPr>
      <w:bookmarkStart w:id="233" w:name="_Toc10910"/>
      <w:bookmarkStart w:id="234" w:name="_Toc4145"/>
      <w:bookmarkStart w:id="235" w:name="_Toc21602"/>
      <w:r>
        <w:rPr>
          <w:rFonts w:hint="eastAsia" w:ascii="宋体" w:hAnsi="宋体" w:eastAsia="宋体" w:cs="宋体"/>
          <w:color w:val="auto"/>
          <w:sz w:val="24"/>
          <w:szCs w:val="24"/>
          <w:lang w:val="zh-CN"/>
        </w:rPr>
        <w:t>1.投标说明</w:t>
      </w:r>
      <w:bookmarkEnd w:id="233"/>
      <w:bookmarkEnd w:id="234"/>
      <w:bookmarkEnd w:id="235"/>
    </w:p>
    <w:p w14:paraId="3DDCBE54">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1.1</w:t>
      </w:r>
      <w:r>
        <w:rPr>
          <w:rFonts w:hint="eastAsia" w:ascii="宋体" w:hAnsi="宋体" w:eastAsia="宋体" w:cs="宋体"/>
          <w:color w:val="auto"/>
          <w:sz w:val="24"/>
          <w:szCs w:val="24"/>
          <w:lang w:val="en-US" w:eastAsia="zh-CN"/>
        </w:rPr>
        <w:t xml:space="preserve"> 供应商</w:t>
      </w:r>
      <w:r>
        <w:rPr>
          <w:rFonts w:hint="eastAsia" w:ascii="宋体" w:hAnsi="宋体" w:eastAsia="宋体" w:cs="宋体"/>
          <w:color w:val="auto"/>
          <w:sz w:val="24"/>
          <w:szCs w:val="24"/>
          <w:lang w:val="zh-CN"/>
        </w:rPr>
        <w:t>可以按照</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val="zh-CN"/>
        </w:rPr>
        <w:t>文件规定的包号选择投标，但必须对所投包号中的所有内容作为一个整体进行投标，不能拆分或少报。</w:t>
      </w:r>
      <w:r>
        <w:rPr>
          <w:rFonts w:hint="eastAsia" w:ascii="宋体" w:hAnsi="宋体" w:eastAsia="宋体" w:cs="宋体"/>
          <w:b/>
          <w:bCs/>
          <w:color w:val="auto"/>
          <w:sz w:val="24"/>
          <w:szCs w:val="24"/>
          <w:lang w:val="en-US" w:eastAsia="zh-CN"/>
        </w:rPr>
        <w:t>否则，响应无效。</w:t>
      </w:r>
    </w:p>
    <w:p w14:paraId="16174726">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磋商报价为总报价。包括：产品费、验收费、手续费、包装费、运输费、配送费、保险费、培训费、售前、售中、售后服务费、代理服务费、税金及不可预见费等完成合同义务的全部费用。</w:t>
      </w:r>
    </w:p>
    <w:p w14:paraId="36D0CCDB">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磋商内容中未特别标注为“</w:t>
      </w:r>
      <w:r>
        <w:rPr>
          <w:rFonts w:hint="eastAsia" w:ascii="宋体" w:hAnsi="宋体" w:eastAsia="宋体" w:cs="宋体"/>
          <w:color w:val="auto"/>
          <w:sz w:val="24"/>
          <w:szCs w:val="24"/>
          <w:lang w:val="en-US" w:eastAsia="zh-CN"/>
        </w:rPr>
        <w:t>原装</w:t>
      </w:r>
      <w:r>
        <w:rPr>
          <w:rFonts w:hint="eastAsia" w:ascii="宋体" w:hAnsi="宋体" w:eastAsia="宋体" w:cs="宋体"/>
          <w:color w:val="auto"/>
          <w:sz w:val="24"/>
          <w:szCs w:val="24"/>
          <w:lang w:val="zh-CN"/>
        </w:rPr>
        <w:t>进口”字样的产品，</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val="zh-CN"/>
        </w:rPr>
        <w:t>必须投国产产品；标注为“</w:t>
      </w:r>
      <w:r>
        <w:rPr>
          <w:rFonts w:hint="eastAsia" w:ascii="宋体" w:hAnsi="宋体" w:eastAsia="宋体" w:cs="宋体"/>
          <w:color w:val="auto"/>
          <w:sz w:val="24"/>
          <w:szCs w:val="24"/>
          <w:lang w:val="en-US" w:eastAsia="zh-CN"/>
        </w:rPr>
        <w:t>原装</w:t>
      </w:r>
      <w:r>
        <w:rPr>
          <w:rFonts w:hint="eastAsia" w:ascii="宋体" w:hAnsi="宋体" w:eastAsia="宋体" w:cs="宋体"/>
          <w:color w:val="auto"/>
          <w:sz w:val="24"/>
          <w:szCs w:val="24"/>
          <w:lang w:val="zh-CN"/>
        </w:rPr>
        <w:t>进口”字样的产品，</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val="zh-CN"/>
        </w:rPr>
        <w:t>可以投进口产品，但如果因信息不对称等原因，仍有满足采购需求的国内产品要求参与采购竞争的，可以投国产产品，并且按照公平竞争原则实施采购。</w:t>
      </w:r>
    </w:p>
    <w:p w14:paraId="19CA25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color w:val="auto"/>
          <w:sz w:val="24"/>
          <w:szCs w:val="24"/>
          <w:lang w:val="en-US" w:eastAsia="zh-CN"/>
        </w:rPr>
        <w:t xml:space="preserve">1.4 </w:t>
      </w:r>
      <w:r>
        <w:rPr>
          <w:rFonts w:hint="eastAsia" w:ascii="宋体" w:hAnsi="宋体" w:eastAsia="宋体" w:cs="宋体"/>
          <w:b/>
          <w:bCs/>
          <w:i w:val="0"/>
          <w:iCs w:val="0"/>
          <w:caps w:val="0"/>
          <w:color w:val="auto"/>
          <w:spacing w:val="0"/>
          <w:sz w:val="24"/>
          <w:szCs w:val="24"/>
          <w:shd w:val="clear" w:fill="FFFFFF"/>
          <w:lang w:val="en-US" w:eastAsia="zh-CN"/>
        </w:rPr>
        <w:t>供应商所投产品属于《</w:t>
      </w:r>
      <w:r>
        <w:rPr>
          <w:rFonts w:hint="eastAsia" w:ascii="宋体" w:hAnsi="宋体" w:eastAsia="宋体" w:cs="宋体"/>
          <w:b/>
          <w:bCs/>
          <w:i w:val="0"/>
          <w:iCs w:val="0"/>
          <w:caps w:val="0"/>
          <w:color w:val="auto"/>
          <w:spacing w:val="0"/>
          <w:sz w:val="24"/>
          <w:szCs w:val="24"/>
          <w:shd w:val="clear" w:fill="FFFFFF"/>
        </w:rPr>
        <w:t>强制性产品认证目录</w:t>
      </w:r>
      <w:r>
        <w:rPr>
          <w:rFonts w:hint="eastAsia" w:ascii="宋体" w:hAnsi="宋体" w:eastAsia="宋体" w:cs="宋体"/>
          <w:b/>
          <w:bCs/>
          <w:i w:val="0"/>
          <w:iCs w:val="0"/>
          <w:caps w:val="0"/>
          <w:color w:val="auto"/>
          <w:spacing w:val="0"/>
          <w:sz w:val="24"/>
          <w:szCs w:val="24"/>
          <w:shd w:val="clear" w:fill="FFFFFF"/>
          <w:lang w:val="en-US" w:eastAsia="zh-CN"/>
        </w:rPr>
        <w:t>》内的产品，须提供该产品有效的3C认证证书且规格型号须与分项报价表一致</w:t>
      </w:r>
      <w:r>
        <w:rPr>
          <w:rFonts w:hint="eastAsia" w:ascii="宋体" w:hAnsi="宋体" w:eastAsia="宋体" w:cs="宋体"/>
          <w:b/>
          <w:bCs/>
          <w:i w:val="0"/>
          <w:iCs w:val="0"/>
          <w:caps w:val="0"/>
          <w:color w:val="auto"/>
          <w:spacing w:val="0"/>
          <w:sz w:val="24"/>
          <w:szCs w:val="24"/>
          <w:highlight w:val="none"/>
          <w:shd w:val="clear" w:fill="FFFFFF"/>
          <w:lang w:val="en-US" w:eastAsia="zh-CN"/>
        </w:rPr>
        <w:t>，</w:t>
      </w:r>
      <w:r>
        <w:rPr>
          <w:rFonts w:hint="eastAsia" w:ascii="宋体" w:hAnsi="宋体" w:eastAsia="宋体" w:cs="宋体"/>
          <w:b/>
          <w:bCs/>
          <w:i w:val="0"/>
          <w:iCs w:val="0"/>
          <w:caps w:val="0"/>
          <w:color w:val="auto"/>
          <w:spacing w:val="0"/>
          <w:sz w:val="24"/>
          <w:szCs w:val="24"/>
          <w:shd w:val="clear" w:fill="FFFFFF"/>
          <w:lang w:val="en-US" w:eastAsia="zh-CN"/>
        </w:rPr>
        <w:t>属于《</w:t>
      </w:r>
      <w:r>
        <w:rPr>
          <w:rFonts w:hint="eastAsia" w:ascii="宋体" w:hAnsi="宋体" w:eastAsia="宋体" w:cs="宋体"/>
          <w:b/>
          <w:bCs/>
          <w:i w:val="0"/>
          <w:iCs w:val="0"/>
          <w:caps w:val="0"/>
          <w:color w:val="auto"/>
          <w:spacing w:val="0"/>
          <w:sz w:val="24"/>
          <w:szCs w:val="24"/>
          <w:shd w:val="clear" w:fill="FFFFFF"/>
        </w:rPr>
        <w:t>强制性产品认证目录</w:t>
      </w:r>
      <w:r>
        <w:rPr>
          <w:rFonts w:hint="eastAsia" w:ascii="宋体" w:hAnsi="宋体" w:eastAsia="宋体" w:cs="宋体"/>
          <w:b/>
          <w:bCs/>
          <w:i w:val="0"/>
          <w:iCs w:val="0"/>
          <w:caps w:val="0"/>
          <w:color w:val="auto"/>
          <w:spacing w:val="0"/>
          <w:sz w:val="24"/>
          <w:szCs w:val="24"/>
          <w:shd w:val="clear" w:fill="FFFFFF"/>
          <w:lang w:val="en-US" w:eastAsia="zh-CN"/>
        </w:rPr>
        <w:t>》内免予办理强制性产品认证的，须提供《免予办理强制性产品认证证明》</w:t>
      </w:r>
      <w:r>
        <w:rPr>
          <w:rFonts w:hint="eastAsia" w:ascii="宋体" w:hAnsi="宋体" w:eastAsia="宋体" w:cs="宋体"/>
          <w:b/>
          <w:bCs/>
          <w:i w:val="0"/>
          <w:iCs w:val="0"/>
          <w:caps w:val="0"/>
          <w:color w:val="auto"/>
          <w:spacing w:val="0"/>
          <w:sz w:val="24"/>
          <w:szCs w:val="24"/>
          <w:highlight w:val="none"/>
          <w:shd w:val="clear" w:fill="FFFFFF"/>
          <w:lang w:val="en-US" w:eastAsia="zh-CN"/>
        </w:rPr>
        <w:t>，</w:t>
      </w:r>
      <w:r>
        <w:rPr>
          <w:rFonts w:hint="eastAsia" w:ascii="宋体" w:hAnsi="宋体" w:eastAsia="宋体" w:cs="宋体"/>
          <w:b/>
          <w:bCs/>
          <w:i w:val="0"/>
          <w:iCs w:val="0"/>
          <w:caps w:val="0"/>
          <w:color w:val="auto"/>
          <w:spacing w:val="0"/>
          <w:sz w:val="24"/>
          <w:szCs w:val="24"/>
          <w:shd w:val="clear" w:fill="FFFFFF"/>
          <w:lang w:val="en-US" w:eastAsia="zh-CN"/>
        </w:rPr>
        <w:t>否则响应无效。</w:t>
      </w:r>
    </w:p>
    <w:p w14:paraId="1AA132B7">
      <w:pPr>
        <w:pStyle w:val="10"/>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lang w:val="en-US" w:eastAsia="zh-CN"/>
        </w:rPr>
      </w:pPr>
      <w:r>
        <w:rPr>
          <w:rFonts w:hint="eastAsia" w:ascii="宋体" w:hAnsi="宋体" w:eastAsia="宋体" w:cs="宋体"/>
          <w:b/>
          <w:bCs/>
          <w:i w:val="0"/>
          <w:iCs w:val="0"/>
          <w:caps w:val="0"/>
          <w:strike w:val="0"/>
          <w:dstrike w:val="0"/>
          <w:color w:val="auto"/>
          <w:spacing w:val="0"/>
          <w:sz w:val="24"/>
          <w:szCs w:val="24"/>
          <w:shd w:val="clear" w:fill="FFFFFF"/>
          <w:lang w:eastAsia="zh-CN"/>
        </w:rPr>
        <w:t>注：《强制性产品认证目录》</w:t>
      </w:r>
      <w:r>
        <w:rPr>
          <w:rFonts w:hint="eastAsia" w:ascii="宋体" w:hAnsi="宋体" w:eastAsia="宋体" w:cs="宋体"/>
          <w:b/>
          <w:bCs/>
          <w:i w:val="0"/>
          <w:iCs w:val="0"/>
          <w:caps w:val="0"/>
          <w:strike w:val="0"/>
          <w:dstrike w:val="0"/>
          <w:color w:val="auto"/>
          <w:spacing w:val="0"/>
          <w:sz w:val="24"/>
          <w:szCs w:val="24"/>
          <w:shd w:val="clear" w:fill="FFFFFF"/>
          <w:lang w:val="en-US" w:eastAsia="zh-CN"/>
        </w:rPr>
        <w:t>及其</w:t>
      </w:r>
      <w:r>
        <w:rPr>
          <w:rFonts w:hint="eastAsia" w:ascii="宋体" w:hAnsi="宋体" w:eastAsia="宋体" w:cs="宋体"/>
          <w:b/>
          <w:bCs/>
          <w:i w:val="0"/>
          <w:iCs w:val="0"/>
          <w:caps w:val="0"/>
          <w:strike w:val="0"/>
          <w:dstrike w:val="0"/>
          <w:color w:val="auto"/>
          <w:spacing w:val="0"/>
          <w:sz w:val="24"/>
          <w:szCs w:val="24"/>
          <w:shd w:val="clear" w:fill="FFFFFF"/>
          <w:lang w:eastAsia="zh-CN"/>
        </w:rPr>
        <w:t>具体范围，</w:t>
      </w:r>
      <w:r>
        <w:rPr>
          <w:rFonts w:hint="eastAsia" w:ascii="宋体" w:hAnsi="宋体" w:eastAsia="宋体" w:cs="宋体"/>
          <w:b/>
          <w:bCs/>
          <w:i w:val="0"/>
          <w:iCs w:val="0"/>
          <w:caps w:val="0"/>
          <w:strike w:val="0"/>
          <w:dstrike w:val="0"/>
          <w:color w:val="auto"/>
          <w:spacing w:val="0"/>
          <w:sz w:val="24"/>
          <w:szCs w:val="24"/>
          <w:shd w:val="clear" w:fill="FFFFFF"/>
          <w:lang w:val="en-US" w:eastAsia="zh-CN"/>
        </w:rPr>
        <w:t>请各供应商通过国家市场监督管理总局官网（网址：https：//www.samr.gov.cn）查询最新《强制性产品认证目录描述与界定表》及相关公告</w:t>
      </w:r>
    </w:p>
    <w:p w14:paraId="44507CD4">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lang w:val="zh-CN"/>
        </w:rPr>
        <w:t>所投产品或其任何一部分不得侵犯专利权、著作权、商标权和工业设计权等知识产权。</w:t>
      </w:r>
    </w:p>
    <w:p w14:paraId="169E02F9">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 xml:space="preserve">6 </w:t>
      </w:r>
      <w:r>
        <w:rPr>
          <w:rFonts w:hint="eastAsia" w:ascii="宋体" w:hAnsi="宋体" w:eastAsia="宋体" w:cs="宋体"/>
          <w:color w:val="auto"/>
          <w:sz w:val="24"/>
          <w:szCs w:val="24"/>
          <w:lang w:val="zh-CN"/>
        </w:rPr>
        <w:t>项目</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lang w:val="zh-CN"/>
        </w:rPr>
        <w:t>后分包情况：</w:t>
      </w:r>
      <w:r>
        <w:rPr>
          <w:rFonts w:hint="eastAsia" w:ascii="宋体" w:hAnsi="宋体" w:eastAsia="宋体" w:cs="宋体"/>
          <w:b/>
          <w:bCs/>
          <w:color w:val="auto"/>
          <w:sz w:val="24"/>
          <w:szCs w:val="24"/>
          <w:lang w:val="zh-CN"/>
        </w:rPr>
        <w:t>不允许</w:t>
      </w:r>
      <w:r>
        <w:rPr>
          <w:rFonts w:hint="eastAsia" w:ascii="宋体" w:hAnsi="宋体" w:eastAsia="宋体" w:cs="宋体"/>
          <w:color w:val="auto"/>
          <w:sz w:val="24"/>
          <w:szCs w:val="24"/>
          <w:lang w:val="zh-CN"/>
        </w:rPr>
        <w:t>。</w:t>
      </w:r>
    </w:p>
    <w:p w14:paraId="5A1DD21A">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7 交货时间</w:t>
      </w:r>
      <w:r>
        <w:rPr>
          <w:rFonts w:hint="eastAsia" w:ascii="宋体" w:hAnsi="宋体" w:eastAsia="宋体" w:cs="宋体"/>
          <w:color w:val="auto"/>
          <w:sz w:val="24"/>
          <w:szCs w:val="24"/>
          <w:lang w:val="zh-CN"/>
        </w:rPr>
        <w:t>、地点：按采购人指定的时间、地点交货并交付使用。</w:t>
      </w:r>
    </w:p>
    <w:p w14:paraId="64F8C163">
      <w:pPr>
        <w:pStyle w:val="22"/>
        <w:spacing w:before="0" w:after="0" w:line="360" w:lineRule="auto"/>
        <w:ind w:firstLine="0" w:firstLineChars="0"/>
        <w:jc w:val="left"/>
        <w:rPr>
          <w:rFonts w:hint="eastAsia" w:ascii="宋体" w:hAnsi="宋体" w:eastAsia="宋体" w:cs="宋体"/>
          <w:color w:val="auto"/>
          <w:sz w:val="24"/>
          <w:szCs w:val="24"/>
        </w:rPr>
      </w:pPr>
      <w:bookmarkStart w:id="236" w:name="_Toc22378"/>
      <w:bookmarkStart w:id="237" w:name="_Toc20741"/>
      <w:bookmarkStart w:id="238" w:name="_Toc13015"/>
      <w:r>
        <w:rPr>
          <w:rFonts w:hint="eastAsia" w:ascii="宋体" w:hAnsi="宋体" w:eastAsia="宋体" w:cs="宋体"/>
          <w:color w:val="auto"/>
          <w:sz w:val="24"/>
          <w:szCs w:val="24"/>
        </w:rPr>
        <w:t>2.报价说明</w:t>
      </w:r>
      <w:bookmarkEnd w:id="236"/>
      <w:bookmarkEnd w:id="237"/>
      <w:bookmarkEnd w:id="238"/>
    </w:p>
    <w:p w14:paraId="770AAC94">
      <w:pPr>
        <w:autoSpaceDE w:val="0"/>
        <w:autoSpaceDN w:val="0"/>
        <w:spacing w:line="360" w:lineRule="auto"/>
        <w:ind w:firstLine="480"/>
        <w:rPr>
          <w:rFonts w:hint="eastAsia" w:ascii="宋体" w:hAnsi="宋体" w:eastAsia="宋体" w:cs="宋体"/>
          <w:color w:val="auto"/>
          <w:lang w:val="zh-CN"/>
        </w:rPr>
      </w:pPr>
      <w:r>
        <w:rPr>
          <w:rFonts w:hint="eastAsia" w:ascii="宋体" w:hAnsi="宋体" w:eastAsia="宋体" w:cs="宋体"/>
          <w:color w:val="auto"/>
          <w:sz w:val="24"/>
          <w:szCs w:val="24"/>
          <w:lang w:val="zh-CN"/>
        </w:rPr>
        <w:t>本次磋商文件中规定的采购预算额度为最高限价，供应商的磋商报价不得超出此额度。</w:t>
      </w:r>
      <w:r>
        <w:rPr>
          <w:rFonts w:hint="eastAsia" w:ascii="宋体" w:hAnsi="宋体" w:eastAsia="宋体" w:cs="宋体"/>
          <w:b/>
          <w:bCs/>
          <w:color w:val="auto"/>
          <w:sz w:val="24"/>
          <w:szCs w:val="24"/>
          <w:lang w:val="zh-CN"/>
        </w:rPr>
        <w:t>否则，响应无效。</w:t>
      </w:r>
    </w:p>
    <w:p w14:paraId="33F1FD86">
      <w:pPr>
        <w:pStyle w:val="22"/>
        <w:spacing w:before="0" w:after="0" w:line="360" w:lineRule="auto"/>
        <w:ind w:firstLine="0" w:firstLineChars="0"/>
        <w:jc w:val="left"/>
        <w:rPr>
          <w:rFonts w:hint="eastAsia" w:ascii="宋体" w:hAnsi="宋体" w:eastAsia="宋体" w:cs="宋体"/>
          <w:color w:val="auto"/>
          <w:sz w:val="24"/>
          <w:szCs w:val="24"/>
          <w:lang w:val="zh-CN"/>
        </w:rPr>
      </w:pPr>
      <w:bookmarkStart w:id="239" w:name="_Toc17867"/>
      <w:bookmarkStart w:id="240" w:name="_Toc29275"/>
      <w:bookmarkStart w:id="241" w:name="_Toc32448"/>
      <w:r>
        <w:rPr>
          <w:rFonts w:hint="eastAsia" w:ascii="宋体" w:hAnsi="宋体" w:eastAsia="宋体" w:cs="宋体"/>
          <w:color w:val="auto"/>
          <w:sz w:val="24"/>
          <w:szCs w:val="24"/>
          <w:lang w:val="zh-CN"/>
        </w:rPr>
        <w:t>3.重要指标</w:t>
      </w:r>
      <w:bookmarkEnd w:id="239"/>
      <w:bookmarkEnd w:id="240"/>
      <w:bookmarkEnd w:id="241"/>
    </w:p>
    <w:p w14:paraId="718F58BC">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3.1</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zh-CN"/>
        </w:rPr>
        <w:t>“技术参数”中用“</w:t>
      </w:r>
      <w:r>
        <w:rPr>
          <w:rFonts w:hint="eastAsia" w:ascii="宋体" w:hAnsi="宋体" w:eastAsia="宋体" w:cs="宋体"/>
          <w:b/>
          <w:bCs/>
          <w:color w:val="auto"/>
          <w:kern w:val="0"/>
          <w:lang w:val="zh-CN"/>
        </w:rPr>
        <w:t>★</w:t>
      </w:r>
      <w:r>
        <w:rPr>
          <w:rFonts w:hint="eastAsia" w:ascii="宋体" w:hAnsi="宋体" w:eastAsia="宋体" w:cs="宋体"/>
          <w:b/>
          <w:bCs/>
          <w:color w:val="auto"/>
          <w:sz w:val="24"/>
          <w:szCs w:val="24"/>
          <w:lang w:val="zh-CN"/>
        </w:rPr>
        <w:t>”符号标注的属于实质性要求，必须完全响应（须提供相关证明材料）。否则，</w:t>
      </w:r>
      <w:r>
        <w:rPr>
          <w:rFonts w:hint="eastAsia" w:ascii="宋体" w:hAnsi="宋体" w:eastAsia="宋体" w:cs="宋体"/>
          <w:b/>
          <w:bCs/>
          <w:color w:val="auto"/>
          <w:sz w:val="24"/>
          <w:szCs w:val="24"/>
          <w:lang w:val="en-US" w:eastAsia="zh-CN"/>
        </w:rPr>
        <w:t>响应无效</w:t>
      </w:r>
      <w:r>
        <w:rPr>
          <w:rFonts w:hint="eastAsia" w:ascii="宋体" w:hAnsi="宋体" w:eastAsia="宋体" w:cs="宋体"/>
          <w:b/>
          <w:bCs/>
          <w:color w:val="auto"/>
          <w:sz w:val="24"/>
          <w:szCs w:val="24"/>
          <w:lang w:val="zh-CN"/>
        </w:rPr>
        <w:t>。</w:t>
      </w:r>
    </w:p>
    <w:p w14:paraId="04469E6D">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磋商文件中凡需与原有设备、系统并机、兼容、匹配等要求的，请主动和采购人联系，取得原有设备、系统相关资料。若有磋商文件未提及或变更内容的，请及时与采购代理机构联系。</w:t>
      </w:r>
    </w:p>
    <w:p w14:paraId="7704BD37">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zh-CN"/>
        </w:rPr>
        <w:t>3.3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技术参数中除注明签订合同时提供</w:t>
      </w:r>
      <w:r>
        <w:rPr>
          <w:rFonts w:hint="eastAsia" w:ascii="宋体" w:hAnsi="宋体" w:eastAsia="宋体" w:cs="宋体"/>
          <w:color w:val="auto"/>
          <w:sz w:val="24"/>
          <w:szCs w:val="24"/>
        </w:rPr>
        <w:t>的相关授权、服务承诺等资料以外，其余相关资料在投标时必须附在响应文件中。</w:t>
      </w:r>
    </w:p>
    <w:p w14:paraId="12E0090C">
      <w:pPr>
        <w:pStyle w:val="22"/>
        <w:spacing w:before="0" w:after="0" w:line="360" w:lineRule="auto"/>
        <w:ind w:firstLine="0" w:firstLineChars="0"/>
        <w:jc w:val="left"/>
        <w:rPr>
          <w:rFonts w:hint="eastAsia" w:ascii="宋体" w:hAnsi="宋体" w:eastAsia="宋体" w:cs="宋体"/>
          <w:color w:val="auto"/>
          <w:sz w:val="24"/>
          <w:szCs w:val="24"/>
          <w:lang w:val="zh-CN"/>
        </w:rPr>
      </w:pPr>
      <w:bookmarkStart w:id="242" w:name="_Toc5036"/>
      <w:bookmarkStart w:id="243" w:name="_Toc22245"/>
      <w:bookmarkStart w:id="244" w:name="_Toc24486"/>
      <w:bookmarkStart w:id="245" w:name="_Toc3713"/>
      <w:bookmarkStart w:id="246" w:name="_Toc8363"/>
      <w:r>
        <w:rPr>
          <w:rFonts w:hint="eastAsia" w:ascii="宋体" w:hAnsi="宋体" w:eastAsia="宋体" w:cs="宋体"/>
          <w:color w:val="auto"/>
          <w:sz w:val="24"/>
          <w:szCs w:val="24"/>
          <w:lang w:val="zh-CN"/>
        </w:rPr>
        <w:t>4.商务要求</w:t>
      </w:r>
      <w:bookmarkEnd w:id="242"/>
      <w:bookmarkEnd w:id="243"/>
      <w:bookmarkEnd w:id="244"/>
    </w:p>
    <w:p w14:paraId="382B99F1">
      <w:pPr>
        <w:autoSpaceDE w:val="0"/>
        <w:autoSpaceDN w:val="0"/>
        <w:spacing w:line="360" w:lineRule="auto"/>
        <w:ind w:firstLine="48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zh-CN"/>
        </w:rPr>
        <w:t>4.1</w:t>
      </w:r>
      <w:r>
        <w:rPr>
          <w:rFonts w:hint="eastAsia" w:ascii="宋体" w:hAnsi="宋体" w:eastAsia="宋体" w:cs="宋体"/>
          <w:b/>
          <w:bCs/>
          <w:color w:val="auto"/>
          <w:sz w:val="24"/>
          <w:szCs w:val="24"/>
          <w:lang w:val="en-US" w:eastAsia="zh-CN"/>
        </w:rPr>
        <w:t xml:space="preserve"> 交货时间：合同签订后20天内</w:t>
      </w:r>
    </w:p>
    <w:p w14:paraId="3FC75D92">
      <w:pPr>
        <w:autoSpaceDE w:val="0"/>
        <w:autoSpaceDN w:val="0"/>
        <w:spacing w:line="360" w:lineRule="auto"/>
        <w:ind w:firstLine="48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zh-CN"/>
        </w:rPr>
        <w:t>4.2</w:t>
      </w:r>
      <w:r>
        <w:rPr>
          <w:rFonts w:hint="eastAsia" w:ascii="宋体" w:hAnsi="宋体" w:eastAsia="宋体" w:cs="宋体"/>
          <w:b/>
          <w:bCs/>
          <w:color w:val="auto"/>
          <w:sz w:val="24"/>
          <w:szCs w:val="24"/>
          <w:lang w:val="en-US" w:eastAsia="zh-CN"/>
        </w:rPr>
        <w:t xml:space="preserve"> 交货地点</w:t>
      </w:r>
      <w:r>
        <w:rPr>
          <w:rFonts w:hint="eastAsia" w:ascii="宋体" w:hAnsi="宋体" w:eastAsia="宋体" w:cs="宋体"/>
          <w:b/>
          <w:bCs/>
          <w:color w:val="auto"/>
          <w:sz w:val="24"/>
          <w:szCs w:val="24"/>
          <w:lang w:val="zh-CN"/>
        </w:rPr>
        <w:t>：</w:t>
      </w:r>
      <w:r>
        <w:rPr>
          <w:rFonts w:hint="eastAsia" w:ascii="宋体" w:hAnsi="宋体" w:eastAsia="宋体" w:cs="宋体"/>
          <w:b/>
          <w:bCs/>
          <w:color w:val="auto"/>
          <w:sz w:val="24"/>
          <w:szCs w:val="24"/>
          <w:lang w:val="en-US" w:eastAsia="zh-CN"/>
        </w:rPr>
        <w:t>采购人指定地点</w:t>
      </w:r>
    </w:p>
    <w:p w14:paraId="35F13A95">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4.3</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lang w:val="zh-CN"/>
        </w:rPr>
        <w:t>付款方式：</w:t>
      </w:r>
      <w:r>
        <w:rPr>
          <w:rFonts w:hint="eastAsia" w:ascii="宋体" w:hAnsi="宋体" w:eastAsia="宋体" w:cs="宋体"/>
          <w:b/>
          <w:bCs/>
          <w:color w:val="auto"/>
          <w:sz w:val="24"/>
          <w:szCs w:val="24"/>
        </w:rPr>
        <w:t>详见“第四部分  采购项目合同书”中“四、付款方式”的规定</w:t>
      </w:r>
    </w:p>
    <w:p w14:paraId="407227B3">
      <w:pPr>
        <w:autoSpaceDE w:val="0"/>
        <w:autoSpaceDN w:val="0"/>
        <w:spacing w:line="360" w:lineRule="auto"/>
        <w:ind w:firstLine="480"/>
        <w:rPr>
          <w:rFonts w:hint="eastAsia" w:ascii="宋体" w:hAnsi="宋体" w:eastAsia="宋体" w:cs="宋体"/>
          <w:b/>
          <w:bCs/>
          <w:color w:val="auto"/>
          <w:sz w:val="24"/>
          <w:szCs w:val="24"/>
          <w:lang w:val="en-US"/>
        </w:rPr>
      </w:pPr>
      <w:r>
        <w:rPr>
          <w:rFonts w:hint="eastAsia" w:ascii="宋体" w:hAnsi="宋体" w:eastAsia="宋体" w:cs="宋体"/>
          <w:b/>
          <w:bCs/>
          <w:color w:val="auto"/>
          <w:sz w:val="24"/>
          <w:szCs w:val="24"/>
          <w:lang w:val="zh-CN"/>
        </w:rPr>
        <w:t>4.4</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lang w:val="zh-CN"/>
        </w:rPr>
        <w:t>免费质量保证期：</w:t>
      </w:r>
      <w:r>
        <w:rPr>
          <w:rFonts w:hint="eastAsia" w:ascii="宋体" w:hAnsi="宋体" w:eastAsia="宋体" w:cs="宋体"/>
          <w:b/>
          <w:bCs/>
          <w:color w:val="auto"/>
          <w:sz w:val="24"/>
          <w:szCs w:val="24"/>
          <w:lang w:val="en-US" w:eastAsia="zh-CN"/>
        </w:rPr>
        <w:t>1年</w:t>
      </w:r>
    </w:p>
    <w:p w14:paraId="6F723E1A">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br w:type="page"/>
      </w:r>
    </w:p>
    <w:p w14:paraId="7081D1D7">
      <w:pPr>
        <w:pStyle w:val="22"/>
        <w:numPr>
          <w:ilvl w:val="0"/>
          <w:numId w:val="0"/>
        </w:numPr>
        <w:spacing w:before="0" w:after="0" w:line="360" w:lineRule="auto"/>
        <w:jc w:val="center"/>
        <w:rPr>
          <w:rFonts w:hint="eastAsia" w:ascii="宋体" w:hAnsi="宋体" w:eastAsia="宋体" w:cs="宋体"/>
          <w:b/>
          <w:bCs/>
          <w:color w:val="auto"/>
          <w:sz w:val="28"/>
          <w:szCs w:val="28"/>
          <w:lang w:val="en-US" w:eastAsia="zh-CN"/>
        </w:rPr>
      </w:pPr>
      <w:bookmarkStart w:id="247" w:name="_Toc32017"/>
      <w:r>
        <w:rPr>
          <w:rFonts w:hint="eastAsia" w:ascii="宋体" w:hAnsi="宋体" w:eastAsia="宋体" w:cs="宋体"/>
          <w:b/>
          <w:bCs/>
          <w:color w:val="auto"/>
          <w:sz w:val="28"/>
          <w:szCs w:val="28"/>
          <w:lang w:val="zh-CN"/>
        </w:rPr>
        <w:t>（</w:t>
      </w:r>
      <w:r>
        <w:rPr>
          <w:rFonts w:hint="eastAsia" w:ascii="宋体" w:hAnsi="宋体" w:eastAsia="宋体" w:cs="宋体"/>
          <w:b/>
          <w:bCs/>
          <w:color w:val="auto"/>
          <w:sz w:val="28"/>
          <w:szCs w:val="28"/>
          <w:lang w:val="en-US" w:eastAsia="zh-CN"/>
        </w:rPr>
        <w:t>二</w:t>
      </w:r>
      <w:r>
        <w:rPr>
          <w:rFonts w:hint="eastAsia" w:ascii="宋体" w:hAnsi="宋体" w:eastAsia="宋体" w:cs="宋体"/>
          <w:b/>
          <w:bCs/>
          <w:color w:val="auto"/>
          <w:sz w:val="28"/>
          <w:szCs w:val="28"/>
          <w:lang w:val="zh-CN"/>
        </w:rPr>
        <w:t>）项目概况及技术参数</w:t>
      </w:r>
      <w:bookmarkEnd w:id="245"/>
      <w:bookmarkEnd w:id="246"/>
      <w:bookmarkEnd w:id="247"/>
    </w:p>
    <w:tbl>
      <w:tblPr>
        <w:tblStyle w:val="26"/>
        <w:tblpPr w:leftFromText="180" w:rightFromText="180" w:vertAnchor="text" w:tblpX="15506" w:tblpY="24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2"/>
      </w:tblGrid>
      <w:tr w14:paraId="1D29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072" w:type="dxa"/>
            <w:noWrap w:val="0"/>
            <w:vAlign w:val="top"/>
          </w:tcPr>
          <w:p w14:paraId="1F0E9632">
            <w:pPr>
              <w:rPr>
                <w:rFonts w:hint="eastAsia" w:ascii="宋体" w:hAnsi="宋体" w:eastAsia="宋体" w:cs="宋体"/>
                <w:b/>
                <w:bCs/>
                <w:color w:val="auto"/>
                <w:kern w:val="2"/>
                <w:sz w:val="24"/>
                <w:szCs w:val="24"/>
                <w:vertAlign w:val="baseline"/>
                <w:lang w:val="en-US" w:eastAsia="zh-CN"/>
              </w:rPr>
            </w:pPr>
            <w:r>
              <w:rPr>
                <w:rFonts w:hint="eastAsia" w:ascii="宋体" w:hAnsi="宋体" w:eastAsia="宋体" w:cs="宋体"/>
                <w:b/>
                <w:bCs/>
                <w:color w:val="auto"/>
                <w:kern w:val="2"/>
                <w:sz w:val="24"/>
                <w:szCs w:val="24"/>
                <w:lang w:val="en-US" w:eastAsia="zh-CN"/>
              </w:rPr>
              <w:br w:type="page"/>
            </w:r>
            <w:r>
              <w:rPr>
                <w:rFonts w:hint="eastAsia" w:ascii="宋体" w:hAnsi="宋体" w:eastAsia="宋体" w:cs="宋体"/>
                <w:b/>
                <w:bCs/>
                <w:color w:val="auto"/>
                <w:kern w:val="2"/>
                <w:sz w:val="24"/>
                <w:szCs w:val="24"/>
              </w:rPr>
              <w:br w:type="page"/>
            </w:r>
          </w:p>
        </w:tc>
      </w:tr>
    </w:tbl>
    <w:tbl>
      <w:tblPr>
        <w:tblStyle w:val="26"/>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18"/>
        <w:gridCol w:w="1176"/>
        <w:gridCol w:w="6914"/>
        <w:gridCol w:w="685"/>
        <w:gridCol w:w="712"/>
      </w:tblGrid>
      <w:tr w14:paraId="2819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shd w:val="clear" w:color="auto" w:fill="auto"/>
            <w:vAlign w:val="center"/>
          </w:tcPr>
          <w:p w14:paraId="74B0A7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序号</w:t>
            </w:r>
          </w:p>
        </w:tc>
        <w:tc>
          <w:tcPr>
            <w:tcW w:w="1176" w:type="dxa"/>
            <w:shd w:val="clear" w:color="auto" w:fill="auto"/>
            <w:vAlign w:val="center"/>
          </w:tcPr>
          <w:p w14:paraId="2C76B3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产品名称</w:t>
            </w:r>
          </w:p>
        </w:tc>
        <w:tc>
          <w:tcPr>
            <w:tcW w:w="6914" w:type="dxa"/>
            <w:shd w:val="clear" w:color="auto" w:fill="auto"/>
            <w:vAlign w:val="center"/>
          </w:tcPr>
          <w:p w14:paraId="33BC45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技术参数</w:t>
            </w:r>
          </w:p>
        </w:tc>
        <w:tc>
          <w:tcPr>
            <w:tcW w:w="685" w:type="dxa"/>
            <w:shd w:val="clear" w:color="auto" w:fill="auto"/>
            <w:vAlign w:val="center"/>
          </w:tcPr>
          <w:p w14:paraId="096D21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数量</w:t>
            </w:r>
          </w:p>
        </w:tc>
        <w:tc>
          <w:tcPr>
            <w:tcW w:w="712" w:type="dxa"/>
            <w:shd w:val="clear" w:color="auto" w:fill="auto"/>
            <w:vAlign w:val="center"/>
          </w:tcPr>
          <w:p w14:paraId="4AF3AA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单位</w:t>
            </w:r>
          </w:p>
        </w:tc>
      </w:tr>
      <w:tr w14:paraId="2046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0205" w:type="dxa"/>
            <w:gridSpan w:val="5"/>
          </w:tcPr>
          <w:p w14:paraId="373260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4"/>
                <w:szCs w:val="24"/>
                <w:vertAlign w:val="baseline"/>
              </w:rPr>
            </w:pPr>
            <w:r>
              <w:rPr>
                <w:rFonts w:hint="eastAsia" w:ascii="宋体" w:hAnsi="宋体" w:eastAsia="宋体" w:cs="宋体"/>
                <w:b/>
                <w:bCs/>
                <w:i w:val="0"/>
                <w:iCs w:val="0"/>
                <w:color w:val="auto"/>
                <w:kern w:val="0"/>
                <w:sz w:val="24"/>
                <w:szCs w:val="24"/>
                <w:u w:val="none"/>
                <w:lang w:val="en-US" w:eastAsia="zh-CN" w:bidi="ar"/>
              </w:rPr>
              <w:t>天峻县幼儿园</w:t>
            </w:r>
          </w:p>
        </w:tc>
      </w:tr>
      <w:tr w14:paraId="7909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49CCAD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176" w:type="dxa"/>
            <w:vAlign w:val="center"/>
          </w:tcPr>
          <w:p w14:paraId="6FAF8B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操作桌</w:t>
            </w:r>
          </w:p>
        </w:tc>
        <w:tc>
          <w:tcPr>
            <w:tcW w:w="6914" w:type="dxa"/>
          </w:tcPr>
          <w:p w14:paraId="05EE186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1.</w:t>
            </w:r>
            <w:r>
              <w:rPr>
                <w:rFonts w:hint="eastAsia" w:ascii="宋体" w:hAnsi="宋体" w:eastAsia="宋体" w:cs="宋体"/>
                <w:color w:val="auto"/>
                <w:sz w:val="24"/>
                <w:szCs w:val="24"/>
                <w:vertAlign w:val="baseline"/>
              </w:rPr>
              <w:t>材质：橡胶木​</w:t>
            </w:r>
          </w:p>
          <w:p w14:paraId="13A933E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2.</w:t>
            </w:r>
            <w:r>
              <w:rPr>
                <w:rFonts w:hint="eastAsia" w:ascii="宋体" w:hAnsi="宋体" w:eastAsia="宋体" w:cs="宋体"/>
                <w:color w:val="auto"/>
                <w:sz w:val="24"/>
                <w:szCs w:val="24"/>
                <w:vertAlign w:val="baseline"/>
              </w:rPr>
              <w:t>整体尺寸：≥1570mm×830mm×900mm​</w:t>
            </w:r>
          </w:p>
          <w:p w14:paraId="519BAE2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3.</w:t>
            </w:r>
            <w:r>
              <w:rPr>
                <w:rFonts w:hint="eastAsia" w:ascii="宋体" w:hAnsi="宋体" w:eastAsia="宋体" w:cs="宋体"/>
                <w:color w:val="auto"/>
                <w:sz w:val="24"/>
                <w:szCs w:val="24"/>
                <w:vertAlign w:val="baseline"/>
              </w:rPr>
              <w:t>柜子尺寸：≥830mm×350mm×900mm​</w:t>
            </w:r>
          </w:p>
          <w:p w14:paraId="14C5FDF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4</w:t>
            </w:r>
            <w:r>
              <w:rPr>
                <w:rFonts w:hint="eastAsia" w:ascii="宋体" w:hAnsi="宋体" w:eastAsia="宋体" w:cs="宋体"/>
                <w:color w:val="auto"/>
                <w:sz w:val="24"/>
                <w:szCs w:val="24"/>
                <w:vertAlign w:val="baseline"/>
              </w:rPr>
              <w:t>.主框架采用≥18mm 厚度，ENF级环保芯板橡胶木板。采用环保桦木纹三聚氰胺双贴面，整体甲醛含量符合国家标准。​</w:t>
            </w:r>
          </w:p>
          <w:p w14:paraId="490DD0B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5</w:t>
            </w:r>
            <w:r>
              <w:rPr>
                <w:rFonts w:hint="eastAsia" w:ascii="宋体" w:hAnsi="宋体" w:eastAsia="宋体" w:cs="宋体"/>
                <w:color w:val="auto"/>
                <w:sz w:val="24"/>
                <w:szCs w:val="24"/>
                <w:vertAlign w:val="baseline"/>
              </w:rPr>
              <w:t>.操作桌与柜子一体结合设计，柜子两面设有擀面杖收纳架、隐藏式盛面箱、工具收纳柜、工具挂钩、操作台、硅油纸切割盒等，方便幼儿拿取，满足各种操作需求，减少以往上课的繁琐操作。</w:t>
            </w:r>
          </w:p>
          <w:p w14:paraId="4A4C928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6</w:t>
            </w:r>
            <w:r>
              <w:rPr>
                <w:rFonts w:hint="eastAsia" w:ascii="宋体" w:hAnsi="宋体" w:eastAsia="宋体" w:cs="宋体"/>
                <w:color w:val="auto"/>
                <w:sz w:val="24"/>
                <w:szCs w:val="24"/>
                <w:vertAlign w:val="baseline"/>
              </w:rPr>
              <w:t>.桌面 UV 打印工艺处理，颜色鲜明不易脱落，且使用的 UV 打印均为环保材料。​</w:t>
            </w:r>
          </w:p>
          <w:p w14:paraId="18B94ED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7</w:t>
            </w:r>
            <w:r>
              <w:rPr>
                <w:rFonts w:hint="eastAsia" w:ascii="宋体" w:hAnsi="宋体" w:eastAsia="宋体" w:cs="宋体"/>
                <w:color w:val="auto"/>
                <w:sz w:val="24"/>
                <w:szCs w:val="24"/>
                <w:vertAlign w:val="baseline"/>
              </w:rPr>
              <w:t>.操作桌设有隐藏式滑轨设计，桌面面板可进行抽拉，内部设有隐藏式盛面箱。​</w:t>
            </w:r>
          </w:p>
          <w:p w14:paraId="7EF874B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8</w:t>
            </w:r>
            <w:r>
              <w:rPr>
                <w:rFonts w:hint="eastAsia" w:ascii="宋体" w:hAnsi="宋体" w:eastAsia="宋体" w:cs="宋体"/>
                <w:color w:val="auto"/>
                <w:sz w:val="24"/>
                <w:szCs w:val="24"/>
                <w:vertAlign w:val="baseline"/>
              </w:rPr>
              <w:t>.边角安全防撞设计，各个柜角及板边均充分参考相关标准的要求，对所有的外露面、外漏角进行弧状倒角设计，避免锐角的产生，最大程度的避免儿童磕碰伤害。​</w:t>
            </w:r>
          </w:p>
          <w:p w14:paraId="11504006">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9</w:t>
            </w:r>
            <w:r>
              <w:rPr>
                <w:rFonts w:hint="eastAsia" w:ascii="宋体" w:hAnsi="宋体" w:eastAsia="宋体" w:cs="宋体"/>
                <w:color w:val="auto"/>
                <w:sz w:val="24"/>
                <w:szCs w:val="24"/>
                <w:vertAlign w:val="baseline"/>
              </w:rPr>
              <w:t>.五金件选用环保材质，安全无毒。</w:t>
            </w:r>
          </w:p>
        </w:tc>
        <w:tc>
          <w:tcPr>
            <w:tcW w:w="685" w:type="dxa"/>
            <w:vAlign w:val="center"/>
          </w:tcPr>
          <w:p w14:paraId="405632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12" w:type="dxa"/>
            <w:vAlign w:val="center"/>
          </w:tcPr>
          <w:p w14:paraId="586D83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张</w:t>
            </w:r>
          </w:p>
        </w:tc>
      </w:tr>
      <w:tr w14:paraId="4D4F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1D82A1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1176" w:type="dxa"/>
            <w:vAlign w:val="center"/>
          </w:tcPr>
          <w:p w14:paraId="79CDAE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弧形操作台</w:t>
            </w:r>
          </w:p>
        </w:tc>
        <w:tc>
          <w:tcPr>
            <w:tcW w:w="6914" w:type="dxa"/>
          </w:tcPr>
          <w:p w14:paraId="01D573E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1.</w:t>
            </w:r>
            <w:r>
              <w:rPr>
                <w:rFonts w:hint="eastAsia" w:ascii="宋体" w:hAnsi="宋体" w:eastAsia="宋体" w:cs="宋体"/>
                <w:color w:val="auto"/>
                <w:sz w:val="24"/>
                <w:szCs w:val="24"/>
                <w:vertAlign w:val="baseline"/>
              </w:rPr>
              <w:t>材质：橡胶木​</w:t>
            </w:r>
          </w:p>
          <w:p w14:paraId="13E9868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2.</w:t>
            </w:r>
            <w:r>
              <w:rPr>
                <w:rFonts w:hint="eastAsia" w:ascii="宋体" w:hAnsi="宋体" w:eastAsia="宋体" w:cs="宋体"/>
                <w:color w:val="auto"/>
                <w:sz w:val="24"/>
                <w:szCs w:val="24"/>
                <w:vertAlign w:val="baseline"/>
              </w:rPr>
              <w:t>尺寸：≥1200mm×440mm×600mm​</w:t>
            </w:r>
          </w:p>
          <w:p w14:paraId="0F9D424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3</w:t>
            </w:r>
            <w:r>
              <w:rPr>
                <w:rFonts w:hint="eastAsia" w:ascii="宋体" w:hAnsi="宋体" w:eastAsia="宋体" w:cs="宋体"/>
                <w:color w:val="auto"/>
                <w:sz w:val="24"/>
                <w:szCs w:val="24"/>
                <w:vertAlign w:val="baseline"/>
              </w:rPr>
              <w:t>.主框架采用≥18mm 厚度，ENF级环保芯板橡胶木板。采用环保桦木纹三聚氰胺双贴面，整体甲醛含量符合国家标准。​</w:t>
            </w:r>
          </w:p>
          <w:p w14:paraId="650390E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4</w:t>
            </w:r>
            <w:r>
              <w:rPr>
                <w:rFonts w:hint="eastAsia" w:ascii="宋体" w:hAnsi="宋体" w:eastAsia="宋体" w:cs="宋体"/>
                <w:color w:val="auto"/>
                <w:sz w:val="24"/>
                <w:szCs w:val="24"/>
                <w:vertAlign w:val="baseline"/>
              </w:rPr>
              <w:t>.弧形操作台由两部分桌体组成，设有适宜的弧度，两张桌子可以拼接成 S 形或单独使用，桌面添加下沉式不锈钢残渣盆和下沉式 304 不锈钢盛面箱，与设施设备巧妙结合，在保留美观大气的同时还增加了收纳功能，扩大了桌面空间，增加了活动的便利性，桌面下方设有储物空间，桌腿由整张板材构成，美观稳固。​</w:t>
            </w:r>
          </w:p>
          <w:p w14:paraId="06F6175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5</w:t>
            </w:r>
            <w:r>
              <w:rPr>
                <w:rFonts w:hint="eastAsia" w:ascii="宋体" w:hAnsi="宋体" w:eastAsia="宋体" w:cs="宋体"/>
                <w:color w:val="auto"/>
                <w:sz w:val="24"/>
                <w:szCs w:val="24"/>
                <w:vertAlign w:val="baseline"/>
              </w:rPr>
              <w:t>.桌腿 UV 打印工艺处理，颜色鲜明不易脱落，且使用的 UV 打印均为环保材料。​</w:t>
            </w:r>
          </w:p>
          <w:p w14:paraId="3DB25D0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6</w:t>
            </w:r>
            <w:r>
              <w:rPr>
                <w:rFonts w:hint="eastAsia" w:ascii="宋体" w:hAnsi="宋体" w:eastAsia="宋体" w:cs="宋体"/>
                <w:color w:val="auto"/>
                <w:sz w:val="24"/>
                <w:szCs w:val="24"/>
                <w:vertAlign w:val="baseline"/>
              </w:rPr>
              <w:t>.边角安全防撞设计，各个柜角及板边均充分参考相关标准的要求，对所有的外露面、外露角进行弧状倒角设计，避免锐角的产生，最大程度的避免儿童磕碰伤害。​</w:t>
            </w:r>
          </w:p>
          <w:p w14:paraId="63374CD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7</w:t>
            </w:r>
            <w:r>
              <w:rPr>
                <w:rFonts w:hint="eastAsia" w:ascii="宋体" w:hAnsi="宋体" w:eastAsia="宋体" w:cs="宋体"/>
                <w:color w:val="auto"/>
                <w:sz w:val="24"/>
                <w:szCs w:val="24"/>
                <w:vertAlign w:val="baseline"/>
              </w:rPr>
              <w:t>.五金件选用环保材质，安全无毒。​</w:t>
            </w:r>
          </w:p>
        </w:tc>
        <w:tc>
          <w:tcPr>
            <w:tcW w:w="685" w:type="dxa"/>
            <w:vAlign w:val="center"/>
          </w:tcPr>
          <w:p w14:paraId="2639CB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12" w:type="dxa"/>
            <w:vAlign w:val="center"/>
          </w:tcPr>
          <w:p w14:paraId="629178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张</w:t>
            </w:r>
          </w:p>
        </w:tc>
      </w:tr>
      <w:tr w14:paraId="1258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534165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1176" w:type="dxa"/>
            <w:vAlign w:val="center"/>
          </w:tcPr>
          <w:p w14:paraId="73B653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饼干凳</w:t>
            </w:r>
          </w:p>
        </w:tc>
        <w:tc>
          <w:tcPr>
            <w:tcW w:w="6914" w:type="dxa"/>
          </w:tcPr>
          <w:p w14:paraId="2CF2443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1.</w:t>
            </w:r>
            <w:r>
              <w:rPr>
                <w:rFonts w:hint="eastAsia" w:ascii="宋体" w:hAnsi="宋体" w:eastAsia="宋体" w:cs="宋体"/>
                <w:color w:val="auto"/>
                <w:sz w:val="24"/>
                <w:szCs w:val="24"/>
                <w:vertAlign w:val="baseline"/>
              </w:rPr>
              <w:t>材质：橡胶木</w:t>
            </w:r>
          </w:p>
          <w:p w14:paraId="6F039A1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2.</w:t>
            </w:r>
            <w:r>
              <w:rPr>
                <w:rFonts w:hint="eastAsia" w:ascii="宋体" w:hAnsi="宋体" w:eastAsia="宋体" w:cs="宋体"/>
                <w:color w:val="auto"/>
                <w:sz w:val="24"/>
                <w:szCs w:val="24"/>
                <w:vertAlign w:val="baseline"/>
              </w:rPr>
              <w:t>尺寸：直径≥270mm，高≥350mm</w:t>
            </w:r>
          </w:p>
          <w:p w14:paraId="345E317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3.</w:t>
            </w:r>
            <w:r>
              <w:rPr>
                <w:rFonts w:hint="eastAsia" w:ascii="宋体" w:hAnsi="宋体" w:eastAsia="宋体" w:cs="宋体"/>
                <w:color w:val="auto"/>
                <w:sz w:val="24"/>
                <w:szCs w:val="24"/>
                <w:vertAlign w:val="baseline"/>
              </w:rPr>
              <w:t>凳面采用≥30mm 厚度，ENF 级环保，圆腿直径≥35mm。采用环保桦木纹三聚氰胺双贴面，整体甲醛含量符合国家标准。</w:t>
            </w:r>
          </w:p>
          <w:p w14:paraId="1CB4B92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4.</w:t>
            </w:r>
            <w:r>
              <w:rPr>
                <w:rFonts w:hint="eastAsia" w:ascii="宋体" w:hAnsi="宋体" w:eastAsia="宋体" w:cs="宋体"/>
                <w:color w:val="auto"/>
                <w:sz w:val="24"/>
                <w:szCs w:val="24"/>
                <w:vertAlign w:val="baseline"/>
              </w:rPr>
              <w:t>饼干式造型，为教室增加氛围感，优质材质，摆放灵活，凳腿增加防滑设备，保证安全。</w:t>
            </w:r>
          </w:p>
          <w:p w14:paraId="4051A93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5.</w:t>
            </w:r>
            <w:r>
              <w:rPr>
                <w:rFonts w:hint="eastAsia" w:ascii="宋体" w:hAnsi="宋体" w:eastAsia="宋体" w:cs="宋体"/>
                <w:color w:val="auto"/>
                <w:sz w:val="24"/>
                <w:szCs w:val="24"/>
                <w:vertAlign w:val="baseline"/>
              </w:rPr>
              <w:t>五金件选用环保材质，安全无毒。</w:t>
            </w:r>
          </w:p>
        </w:tc>
        <w:tc>
          <w:tcPr>
            <w:tcW w:w="685" w:type="dxa"/>
            <w:vAlign w:val="center"/>
          </w:tcPr>
          <w:p w14:paraId="64BCD7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w:t>
            </w:r>
          </w:p>
        </w:tc>
        <w:tc>
          <w:tcPr>
            <w:tcW w:w="712" w:type="dxa"/>
            <w:vAlign w:val="center"/>
          </w:tcPr>
          <w:p w14:paraId="6B86A6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6D7E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47CD82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1176" w:type="dxa"/>
            <w:vAlign w:val="center"/>
          </w:tcPr>
          <w:p w14:paraId="1DB44E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六格柜</w:t>
            </w:r>
          </w:p>
        </w:tc>
        <w:tc>
          <w:tcPr>
            <w:tcW w:w="6914" w:type="dxa"/>
          </w:tcPr>
          <w:p w14:paraId="17FAD8B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1.材质：橡胶木</w:t>
            </w:r>
          </w:p>
          <w:p w14:paraId="18811BA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2.尺寸：≥1200mm×300mm×580mm</w:t>
            </w:r>
          </w:p>
          <w:p w14:paraId="5F6CF4E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3.主框架采用≥18mm 厚度，ENF 级环保；采用环保桦木纹三聚氰胺双贴面，整体甲醛含量符合国家标准。</w:t>
            </w:r>
          </w:p>
          <w:p w14:paraId="4204CA0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4.柜体增加 UV 打印工艺处理，颜色鲜明不易脱落，且使用的 UV 打印均为环保材料。矩形结构，强大容量，六格储物，分类收纳，全封闭后背板，防止掉落。</w:t>
            </w:r>
          </w:p>
          <w:p w14:paraId="0A8EAE5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5.边角安全防撞设计，各个柜角及板边均充分参考相关标准的要求，对所有的外露面、外露角进行弧状倒角设计，避免锐角的产生，最大程度的避免儿童磕碰伤害。</w:t>
            </w:r>
          </w:p>
          <w:p w14:paraId="2D33DDB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6.五金件选用环保材质，安全无毒。</w:t>
            </w:r>
          </w:p>
        </w:tc>
        <w:tc>
          <w:tcPr>
            <w:tcW w:w="685" w:type="dxa"/>
            <w:vAlign w:val="center"/>
          </w:tcPr>
          <w:p w14:paraId="2EE197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625BFC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278F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115123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1176" w:type="dxa"/>
            <w:vAlign w:val="center"/>
          </w:tcPr>
          <w:p w14:paraId="245C24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电器柜</w:t>
            </w:r>
          </w:p>
        </w:tc>
        <w:tc>
          <w:tcPr>
            <w:tcW w:w="6914" w:type="dxa"/>
          </w:tcPr>
          <w:p w14:paraId="4228075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1.材质：橡胶木</w:t>
            </w:r>
          </w:p>
          <w:p w14:paraId="193DB3F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2.尺寸：≥1040mm×420mm×1200mm</w:t>
            </w:r>
          </w:p>
          <w:p w14:paraId="1A32647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3.主框架采用≥18mm 厚度，ENF 级环保；采用环保桦木纹三聚氰胺双贴面，采用环保桦木纹三聚氰胺双贴面，整体甲醛含量符合国家标准。</w:t>
            </w:r>
          </w:p>
          <w:p w14:paraId="06F62F5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电器收纳柜设有不锈钢晾凉架，用于放置烘焙食物，提供专门的晾凉处也可以提高活动中的安全性。在收纳的同时还可进行操作和展示。边角安全防撞设计，各个柜角及板边均充分参考相关标准的要求，对所有的外露面、外露角进行弧状倒角设计，避免锐角的产生，最大程度的避免儿童磕碰伤害。</w:t>
            </w:r>
          </w:p>
          <w:p w14:paraId="553CF0B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5.五金件选用环保材质，安全无毒。</w:t>
            </w:r>
          </w:p>
        </w:tc>
        <w:tc>
          <w:tcPr>
            <w:tcW w:w="685" w:type="dxa"/>
            <w:vAlign w:val="center"/>
          </w:tcPr>
          <w:p w14:paraId="5DA0ED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523EB6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4F0C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42F53C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1176" w:type="dxa"/>
            <w:vAlign w:val="center"/>
          </w:tcPr>
          <w:p w14:paraId="69F53A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炒菜台</w:t>
            </w:r>
          </w:p>
        </w:tc>
        <w:tc>
          <w:tcPr>
            <w:tcW w:w="6914" w:type="dxa"/>
          </w:tcPr>
          <w:p w14:paraId="669D510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1.材质：橡胶木、尼龙</w:t>
            </w:r>
          </w:p>
          <w:p w14:paraId="35F43AD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2.尺寸：≥1200mm×400mm×1400mm</w:t>
            </w:r>
          </w:p>
          <w:p w14:paraId="5D6B639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3.主框架采用≥18mm 厚度，ENF 级环保；采用环保桦木纹三聚氰胺双贴面，整体甲醛含量符合国家标准。</w:t>
            </w:r>
          </w:p>
          <w:p w14:paraId="042B3F9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4.炒菜台左右两侧设有调料置物板和木铲架，安全卫生方便操作，底部储物柜方便工具的拿取与收纳。</w:t>
            </w:r>
          </w:p>
          <w:p w14:paraId="5E42CD5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5.UV 打印工艺处理，颜色鲜明不易脱落，且使用的 UV 打印均为环保材料。</w:t>
            </w:r>
          </w:p>
          <w:p w14:paraId="5A0FAB9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6.炒菜台顶部精选进口 PE 原料，精密编织，防晒耐磨，增强家具的设计感。</w:t>
            </w:r>
          </w:p>
          <w:p w14:paraId="71AFB08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7.边角安全防撞设计，各个柜角及板边均充分参考相关标准的要求，对所有的外露面、外露角进行弧状倒角设计，避免锐角的产生，最大程度的避免儿童磕碰伤害。</w:t>
            </w:r>
          </w:p>
          <w:p w14:paraId="578B73C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8.五金件选用环保材质，安全无毒。</w:t>
            </w:r>
          </w:p>
        </w:tc>
        <w:tc>
          <w:tcPr>
            <w:tcW w:w="685" w:type="dxa"/>
            <w:vAlign w:val="center"/>
          </w:tcPr>
          <w:p w14:paraId="1BC038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222B45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33EA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1A71A4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p>
        </w:tc>
        <w:tc>
          <w:tcPr>
            <w:tcW w:w="1176" w:type="dxa"/>
            <w:vAlign w:val="center"/>
          </w:tcPr>
          <w:p w14:paraId="5FE363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五谷大作战</w:t>
            </w:r>
          </w:p>
        </w:tc>
        <w:tc>
          <w:tcPr>
            <w:tcW w:w="6914" w:type="dxa"/>
          </w:tcPr>
          <w:p w14:paraId="325066D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1.材质：辐射松木</w:t>
            </w:r>
          </w:p>
          <w:p w14:paraId="79A8DF3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2.尺寸：≥2000mm×400mm</w:t>
            </w:r>
          </w:p>
          <w:p w14:paraId="717C0C7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3.规格：配有12个玻璃瓶，12个松木盒，12种农作物及12种农作物的生长过程卡片</w:t>
            </w:r>
          </w:p>
          <w:p w14:paraId="396E5B7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4.工艺：精选松木，打磨光滑无毛刺，造型美观大气</w:t>
            </w:r>
          </w:p>
          <w:p w14:paraId="129CE55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用途：用于环境装饰</w:t>
            </w:r>
          </w:p>
        </w:tc>
        <w:tc>
          <w:tcPr>
            <w:tcW w:w="685" w:type="dxa"/>
            <w:vAlign w:val="center"/>
          </w:tcPr>
          <w:p w14:paraId="2D8865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549CA2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1C73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1D7A7D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c>
          <w:tcPr>
            <w:tcW w:w="1176" w:type="dxa"/>
            <w:vAlign w:val="center"/>
          </w:tcPr>
          <w:p w14:paraId="550FA7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食谱</w:t>
            </w:r>
          </w:p>
        </w:tc>
        <w:tc>
          <w:tcPr>
            <w:tcW w:w="6914" w:type="dxa"/>
          </w:tcPr>
          <w:p w14:paraId="3305BA9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1.材质：磁吸贴</w:t>
            </w:r>
          </w:p>
          <w:p w14:paraId="6C3500B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2.尺寸：≥600*400mm</w:t>
            </w:r>
          </w:p>
          <w:p w14:paraId="7A90107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3.用途：用于装饰食育教室，让孩子展示设计的创意美食</w:t>
            </w:r>
          </w:p>
        </w:tc>
        <w:tc>
          <w:tcPr>
            <w:tcW w:w="685" w:type="dxa"/>
            <w:vAlign w:val="center"/>
          </w:tcPr>
          <w:p w14:paraId="1B66B2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07D5B9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26A1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6934DA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w:t>
            </w:r>
          </w:p>
        </w:tc>
        <w:tc>
          <w:tcPr>
            <w:tcW w:w="1176" w:type="dxa"/>
            <w:vAlign w:val="center"/>
          </w:tcPr>
          <w:p w14:paraId="516F0D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粮食画</w:t>
            </w:r>
          </w:p>
        </w:tc>
        <w:tc>
          <w:tcPr>
            <w:tcW w:w="6914" w:type="dxa"/>
          </w:tcPr>
          <w:p w14:paraId="31C58D9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1.材质：水稻穗、鹅卵石、麻布、木板</w:t>
            </w:r>
          </w:p>
          <w:p w14:paraId="0842C9E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2.尺寸：≥450mm*300mm</w:t>
            </w:r>
          </w:p>
          <w:p w14:paraId="4383A19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3.一套5副原生态农作物，让幼儿认识了解水稻的形态</w:t>
            </w:r>
          </w:p>
          <w:p w14:paraId="3753A3F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用途：用于环境装饰</w:t>
            </w:r>
          </w:p>
        </w:tc>
        <w:tc>
          <w:tcPr>
            <w:tcW w:w="685" w:type="dxa"/>
            <w:vAlign w:val="center"/>
          </w:tcPr>
          <w:p w14:paraId="5BCC2C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63BF6B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3336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76C97E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w:t>
            </w:r>
          </w:p>
        </w:tc>
        <w:tc>
          <w:tcPr>
            <w:tcW w:w="1176" w:type="dxa"/>
            <w:vAlign w:val="center"/>
          </w:tcPr>
          <w:p w14:paraId="0C6883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世界的美食</w:t>
            </w:r>
          </w:p>
        </w:tc>
        <w:tc>
          <w:tcPr>
            <w:tcW w:w="6914" w:type="dxa"/>
          </w:tcPr>
          <w:p w14:paraId="3BEC075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1.规格：≥1200*600mm</w:t>
            </w:r>
          </w:p>
          <w:p w14:paraId="4B6C776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2.规格：世界地图毛毡+8张美食贴图</w:t>
            </w:r>
          </w:p>
          <w:p w14:paraId="73313D7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贴图由工字钉固定</w:t>
            </w:r>
          </w:p>
        </w:tc>
        <w:tc>
          <w:tcPr>
            <w:tcW w:w="685" w:type="dxa"/>
            <w:shd w:val="clear" w:color="auto" w:fill="auto"/>
            <w:vAlign w:val="center"/>
          </w:tcPr>
          <w:p w14:paraId="739F9B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w:t>
            </w:r>
          </w:p>
        </w:tc>
        <w:tc>
          <w:tcPr>
            <w:tcW w:w="712" w:type="dxa"/>
            <w:shd w:val="clear" w:color="auto" w:fill="auto"/>
            <w:vAlign w:val="center"/>
          </w:tcPr>
          <w:p w14:paraId="2D5000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套</w:t>
            </w:r>
          </w:p>
        </w:tc>
      </w:tr>
      <w:tr w14:paraId="7A2B1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64B1AD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w:t>
            </w:r>
          </w:p>
        </w:tc>
        <w:tc>
          <w:tcPr>
            <w:tcW w:w="1176" w:type="dxa"/>
            <w:vAlign w:val="center"/>
          </w:tcPr>
          <w:p w14:paraId="72A87F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健康饮食金字塔</w:t>
            </w:r>
          </w:p>
        </w:tc>
        <w:tc>
          <w:tcPr>
            <w:tcW w:w="6914" w:type="dxa"/>
          </w:tcPr>
          <w:p w14:paraId="6FC6198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1.规格：≥800*700mm</w:t>
            </w:r>
          </w:p>
          <w:p w14:paraId="3962C79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2.材质：雪弗板</w:t>
            </w:r>
          </w:p>
        </w:tc>
        <w:tc>
          <w:tcPr>
            <w:tcW w:w="685" w:type="dxa"/>
            <w:vAlign w:val="center"/>
          </w:tcPr>
          <w:p w14:paraId="3A1EA3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263C09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5572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2B97DE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w:t>
            </w:r>
          </w:p>
        </w:tc>
        <w:tc>
          <w:tcPr>
            <w:tcW w:w="1176" w:type="dxa"/>
            <w:vAlign w:val="center"/>
          </w:tcPr>
          <w:p w14:paraId="2540F9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水稻套装</w:t>
            </w:r>
          </w:p>
        </w:tc>
        <w:tc>
          <w:tcPr>
            <w:tcW w:w="6914" w:type="dxa"/>
          </w:tcPr>
          <w:p w14:paraId="0B68BB6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1.材质：花篮由天然海草+铁丝骨架，尺寸：≥花篮高140mm和200mm</w:t>
            </w:r>
          </w:p>
          <w:p w14:paraId="1EC2482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2.介绍：包含高低两个摆件，均由花篮和水稻组成，纯手工编织</w:t>
            </w:r>
          </w:p>
        </w:tc>
        <w:tc>
          <w:tcPr>
            <w:tcW w:w="685" w:type="dxa"/>
            <w:shd w:val="clear" w:color="auto" w:fill="auto"/>
            <w:vAlign w:val="center"/>
          </w:tcPr>
          <w:p w14:paraId="5BCD53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w:t>
            </w:r>
          </w:p>
        </w:tc>
        <w:tc>
          <w:tcPr>
            <w:tcW w:w="712" w:type="dxa"/>
            <w:shd w:val="clear" w:color="auto" w:fill="auto"/>
            <w:vAlign w:val="center"/>
          </w:tcPr>
          <w:p w14:paraId="5853F6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套</w:t>
            </w:r>
          </w:p>
        </w:tc>
      </w:tr>
      <w:tr w14:paraId="18DA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404857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w:t>
            </w:r>
          </w:p>
        </w:tc>
        <w:tc>
          <w:tcPr>
            <w:tcW w:w="1176" w:type="dxa"/>
            <w:vAlign w:val="center"/>
          </w:tcPr>
          <w:p w14:paraId="0DB2AD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麦穗套装</w:t>
            </w:r>
          </w:p>
        </w:tc>
        <w:tc>
          <w:tcPr>
            <w:tcW w:w="6914" w:type="dxa"/>
          </w:tcPr>
          <w:p w14:paraId="0EE90C7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1.材质：花篮由天然海草+铁丝骨架，尺寸：≥花篮高140mm和200mm</w:t>
            </w:r>
          </w:p>
          <w:p w14:paraId="7D4FD81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2.介绍：包含高低两个摆件，均由花篮和麦穗组成，纯手工编织</w:t>
            </w:r>
          </w:p>
        </w:tc>
        <w:tc>
          <w:tcPr>
            <w:tcW w:w="685" w:type="dxa"/>
            <w:shd w:val="clear" w:color="auto" w:fill="auto"/>
            <w:vAlign w:val="center"/>
          </w:tcPr>
          <w:p w14:paraId="71106C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w:t>
            </w:r>
          </w:p>
        </w:tc>
        <w:tc>
          <w:tcPr>
            <w:tcW w:w="712" w:type="dxa"/>
            <w:shd w:val="clear" w:color="auto" w:fill="auto"/>
            <w:vAlign w:val="center"/>
          </w:tcPr>
          <w:p w14:paraId="2520CD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套</w:t>
            </w:r>
          </w:p>
        </w:tc>
      </w:tr>
      <w:tr w14:paraId="27E9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5643E3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w:t>
            </w:r>
          </w:p>
        </w:tc>
        <w:tc>
          <w:tcPr>
            <w:tcW w:w="1176" w:type="dxa"/>
            <w:vAlign w:val="center"/>
          </w:tcPr>
          <w:p w14:paraId="3FFE30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面包认知模型1</w:t>
            </w:r>
          </w:p>
        </w:tc>
        <w:tc>
          <w:tcPr>
            <w:tcW w:w="6914" w:type="dxa"/>
          </w:tcPr>
          <w:p w14:paraId="2F3261C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1.材质：PU软海绵</w:t>
            </w:r>
          </w:p>
          <w:p w14:paraId="1FA942A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2.重量：单个≥20g</w:t>
            </w:r>
          </w:p>
          <w:p w14:paraId="089BD7A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3.规格：1套由6个不规则面包模型组成</w:t>
            </w:r>
          </w:p>
        </w:tc>
        <w:tc>
          <w:tcPr>
            <w:tcW w:w="685" w:type="dxa"/>
            <w:shd w:val="clear" w:color="auto" w:fill="auto"/>
            <w:vAlign w:val="center"/>
          </w:tcPr>
          <w:p w14:paraId="2C8DB6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w:t>
            </w:r>
          </w:p>
        </w:tc>
        <w:tc>
          <w:tcPr>
            <w:tcW w:w="712" w:type="dxa"/>
            <w:shd w:val="clear" w:color="auto" w:fill="auto"/>
            <w:vAlign w:val="center"/>
          </w:tcPr>
          <w:p w14:paraId="0DDB11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套</w:t>
            </w:r>
          </w:p>
        </w:tc>
      </w:tr>
      <w:tr w14:paraId="2CE6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2405E4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w:t>
            </w:r>
          </w:p>
        </w:tc>
        <w:tc>
          <w:tcPr>
            <w:tcW w:w="1176" w:type="dxa"/>
            <w:vAlign w:val="center"/>
          </w:tcPr>
          <w:p w14:paraId="7042DB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纸杯蛋糕认知模型</w:t>
            </w:r>
          </w:p>
        </w:tc>
        <w:tc>
          <w:tcPr>
            <w:tcW w:w="6914" w:type="dxa"/>
          </w:tcPr>
          <w:p w14:paraId="6DAD70E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1.材质：高分子聚胺酯</w:t>
            </w:r>
          </w:p>
          <w:p w14:paraId="4CA4D03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2.尺寸：≥70mm*90mm</w:t>
            </w:r>
          </w:p>
          <w:p w14:paraId="332A099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3.规格：6个/套</w:t>
            </w:r>
          </w:p>
          <w:p w14:paraId="2F25CEB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仿真细致，展现潮流，环保耐用，无异味</w:t>
            </w:r>
          </w:p>
        </w:tc>
        <w:tc>
          <w:tcPr>
            <w:tcW w:w="685" w:type="dxa"/>
            <w:vAlign w:val="center"/>
          </w:tcPr>
          <w:p w14:paraId="10FD80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5D57D6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7D1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1F718C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w:t>
            </w:r>
          </w:p>
        </w:tc>
        <w:tc>
          <w:tcPr>
            <w:tcW w:w="1176" w:type="dxa"/>
            <w:vAlign w:val="center"/>
          </w:tcPr>
          <w:p w14:paraId="187B80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安装工具套装</w:t>
            </w:r>
          </w:p>
        </w:tc>
        <w:tc>
          <w:tcPr>
            <w:tcW w:w="6914" w:type="dxa"/>
          </w:tcPr>
          <w:p w14:paraId="0DF5324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1.规格：内含1副手套、2管免钉胶、2卷纸胶带、30个无痕钉、1把锤子、1把壁纸刀</w:t>
            </w:r>
          </w:p>
        </w:tc>
        <w:tc>
          <w:tcPr>
            <w:tcW w:w="685" w:type="dxa"/>
            <w:shd w:val="clear" w:color="auto" w:fill="auto"/>
            <w:vAlign w:val="center"/>
          </w:tcPr>
          <w:p w14:paraId="23886D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w:t>
            </w:r>
          </w:p>
        </w:tc>
        <w:tc>
          <w:tcPr>
            <w:tcW w:w="712" w:type="dxa"/>
            <w:shd w:val="clear" w:color="auto" w:fill="auto"/>
            <w:vAlign w:val="center"/>
          </w:tcPr>
          <w:p w14:paraId="1F6A86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套</w:t>
            </w:r>
          </w:p>
        </w:tc>
      </w:tr>
      <w:tr w14:paraId="66EB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3C9425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17</w:t>
            </w:r>
          </w:p>
        </w:tc>
        <w:tc>
          <w:tcPr>
            <w:tcW w:w="1176" w:type="dxa"/>
            <w:vAlign w:val="center"/>
          </w:tcPr>
          <w:p w14:paraId="066C22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电饼铛</w:t>
            </w:r>
          </w:p>
        </w:tc>
        <w:tc>
          <w:tcPr>
            <w:tcW w:w="6914" w:type="dxa"/>
          </w:tcPr>
          <w:p w14:paraId="1F56C84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一、基本参数</w:t>
            </w:r>
          </w:p>
          <w:p w14:paraId="4C35894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1.额定电压：220V</w:t>
            </w:r>
          </w:p>
          <w:p w14:paraId="6471B02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2.额定频率：50Hz</w:t>
            </w:r>
          </w:p>
          <w:p w14:paraId="1ADBE59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3.额定功率：≥1.6kW</w:t>
            </w:r>
          </w:p>
          <w:p w14:paraId="53DF44C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4.温控范围： 50℃～300℃ 连续可调</w:t>
            </w:r>
          </w:p>
          <w:p w14:paraId="56F7C79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5.限温保护： 350℃±20℃ 自动断电</w:t>
            </w:r>
          </w:p>
          <w:p w14:paraId="2AFEFC0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6.防水等级： ≥IPX4</w:t>
            </w:r>
          </w:p>
          <w:p w14:paraId="1AAEE46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7.加热方式： 双面独立加热 </w:t>
            </w:r>
          </w:p>
          <w:p w14:paraId="57D3577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8.控温方式：数显智能控温，上下盘独立控温</w:t>
            </w:r>
          </w:p>
          <w:p w14:paraId="649C9CA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二、结构与材质</w:t>
            </w:r>
          </w:p>
          <w:p w14:paraId="746791A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1.机身外壳： 304 不锈钢，面板≥1.2mm，侧板≥1.0mm</w:t>
            </w:r>
          </w:p>
          <w:p w14:paraId="416CC4C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2.框架：40×40mm </w:t>
            </w:r>
          </w:p>
          <w:p w14:paraId="2BD0053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3.烤盘尺寸：</w:t>
            </w:r>
          </w:p>
          <w:p w14:paraId="1E19F77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内径： ≥φ300mm</w:t>
            </w:r>
          </w:p>
          <w:p w14:paraId="4D271D8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深度： ≥25mm</w:t>
            </w:r>
          </w:p>
          <w:p w14:paraId="1608BE6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4.上盖：悬浮式设计，自动适配食材厚度</w:t>
            </w:r>
          </w:p>
          <w:p w14:paraId="5EEFBFE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5.把手：防烫隔热材质，牢固安全</w:t>
            </w:r>
          </w:p>
          <w:p w14:paraId="729C89E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6.接油盘：可拆卸、易清洗，304 不锈钢</w:t>
            </w:r>
          </w:p>
          <w:p w14:paraId="026F680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三、安全与功能</w:t>
            </w:r>
          </w:p>
          <w:p w14:paraId="2558832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1.双重超温保护（温控 + 限温）</w:t>
            </w:r>
          </w:p>
          <w:p w14:paraId="4EA9F7E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2.防干烧自动断电</w:t>
            </w:r>
          </w:p>
          <w:p w14:paraId="3A2BE9A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3.过热 / 过载 / 漏电保护</w:t>
            </w:r>
          </w:p>
          <w:p w14:paraId="037CF57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4.加热管：优质不锈钢</w:t>
            </w:r>
          </w:p>
        </w:tc>
        <w:tc>
          <w:tcPr>
            <w:tcW w:w="685" w:type="dxa"/>
            <w:vAlign w:val="center"/>
          </w:tcPr>
          <w:p w14:paraId="330916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12" w:type="dxa"/>
            <w:vAlign w:val="center"/>
          </w:tcPr>
          <w:p w14:paraId="035CE4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326E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3C9D4C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w:t>
            </w:r>
          </w:p>
        </w:tc>
        <w:tc>
          <w:tcPr>
            <w:tcW w:w="1176" w:type="dxa"/>
            <w:vAlign w:val="center"/>
          </w:tcPr>
          <w:p w14:paraId="32805C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专用烤箱</w:t>
            </w:r>
          </w:p>
        </w:tc>
        <w:tc>
          <w:tcPr>
            <w:tcW w:w="6914" w:type="dxa"/>
          </w:tcPr>
          <w:p w14:paraId="68F1892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一、基本电气参数</w:t>
            </w:r>
          </w:p>
          <w:p w14:paraId="7BA63EB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1.电源：220V</w:t>
            </w:r>
          </w:p>
          <w:p w14:paraId="1071DE2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2.额定功率：≥1.8kW</w:t>
            </w:r>
          </w:p>
          <w:p w14:paraId="6254E34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3.温控范围：50℃～300℃ 连续可调   控温精度：±5℃</w:t>
            </w:r>
          </w:p>
          <w:p w14:paraId="7146B28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4.超温保护：最高 350℃自动断电保护</w:t>
            </w:r>
          </w:p>
          <w:p w14:paraId="17C242D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5.加热方式：上下管独立加热</w:t>
            </w:r>
          </w:p>
          <w:p w14:paraId="1570A1A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二、结构与材质</w:t>
            </w:r>
          </w:p>
          <w:p w14:paraId="72ED3BF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1.整机外壳：SUS304不锈钢，厚度≥1.0mm</w:t>
            </w:r>
          </w:p>
          <w:p w14:paraId="5F298C6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2.内胆：304 食品级不锈钢，无镀锌、无喷漆</w:t>
            </w:r>
          </w:p>
          <w:p w14:paraId="1020ED8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3.烤盘 / 烤网：食品级 304 不锈钢，耐腐蚀、易清洗</w:t>
            </w:r>
          </w:p>
          <w:p w14:paraId="64DADF1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4.门框：加厚不锈钢，双层钢化玻璃门</w:t>
            </w:r>
          </w:p>
          <w:p w14:paraId="6DF35B0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5.玻璃：耐高温、防爆、防烫</w:t>
            </w:r>
          </w:p>
          <w:p w14:paraId="4FD8654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6.门把手：全包隔热防烫设计，不烫手</w:t>
            </w:r>
          </w:p>
          <w:p w14:paraId="227F085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7.内部无尖锐边角，圆弧过渡，避免划伤</w:t>
            </w:r>
          </w:p>
          <w:p w14:paraId="065EE21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8.层架：可调节高度，稳固不变形</w:t>
            </w:r>
          </w:p>
          <w:p w14:paraId="14731A8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三、容量与结构</w:t>
            </w:r>
          </w:p>
          <w:p w14:paraId="277402E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1.层数：≥4 层</w:t>
            </w:r>
          </w:p>
          <w:p w14:paraId="0639449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2.烤盘尺寸：≥300×300mm </w:t>
            </w:r>
          </w:p>
          <w:p w14:paraId="1F1F107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3.容积：≥40L</w:t>
            </w:r>
          </w:p>
          <w:p w14:paraId="39B86F8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4.门体：单门 </w:t>
            </w:r>
          </w:p>
          <w:p w14:paraId="2F00375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5.底部：防滑可调脚垫，整机稳固</w:t>
            </w:r>
          </w:p>
          <w:p w14:paraId="55ABF00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四、安全功能</w:t>
            </w:r>
          </w:p>
          <w:p w14:paraId="09F29FE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1.防干烧自动断电保护</w:t>
            </w:r>
          </w:p>
          <w:p w14:paraId="0379184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2.过热保护、过载保护、漏电保护</w:t>
            </w:r>
          </w:p>
        </w:tc>
        <w:tc>
          <w:tcPr>
            <w:tcW w:w="685" w:type="dxa"/>
            <w:vAlign w:val="center"/>
          </w:tcPr>
          <w:p w14:paraId="050067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12" w:type="dxa"/>
            <w:vAlign w:val="center"/>
          </w:tcPr>
          <w:p w14:paraId="54C50A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r>
      <w:tr w14:paraId="3AB9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62A71F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19</w:t>
            </w:r>
          </w:p>
        </w:tc>
        <w:tc>
          <w:tcPr>
            <w:tcW w:w="1176" w:type="dxa"/>
            <w:vAlign w:val="center"/>
          </w:tcPr>
          <w:p w14:paraId="03C24C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果干机</w:t>
            </w:r>
          </w:p>
        </w:tc>
        <w:tc>
          <w:tcPr>
            <w:tcW w:w="6914" w:type="dxa"/>
          </w:tcPr>
          <w:p w14:paraId="1546A45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1.额定功率：≤160W</w:t>
            </w:r>
          </w:p>
          <w:p w14:paraId="02FFFC2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2.额定电压：220V</w:t>
            </w:r>
          </w:p>
          <w:p w14:paraId="0EF171B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3.高度：低层≥185mm高层≥230mm</w:t>
            </w:r>
          </w:p>
          <w:p w14:paraId="60B19D1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4.层架材质：ABS+PP</w:t>
            </w:r>
          </w:p>
          <w:p w14:paraId="0414C87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5.显示面板：LED屏</w:t>
            </w:r>
          </w:p>
          <w:p w14:paraId="4F2370D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6.可定时范围：1-72小时</w:t>
            </w:r>
          </w:p>
        </w:tc>
        <w:tc>
          <w:tcPr>
            <w:tcW w:w="685" w:type="dxa"/>
            <w:vAlign w:val="center"/>
          </w:tcPr>
          <w:p w14:paraId="49DD9D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640A27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r>
      <w:tr w14:paraId="7E30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790AC6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w:t>
            </w:r>
          </w:p>
        </w:tc>
        <w:tc>
          <w:tcPr>
            <w:tcW w:w="1176" w:type="dxa"/>
            <w:vAlign w:val="center"/>
          </w:tcPr>
          <w:p w14:paraId="2FA2E4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厨师机</w:t>
            </w:r>
          </w:p>
        </w:tc>
        <w:tc>
          <w:tcPr>
            <w:tcW w:w="6914" w:type="dxa"/>
          </w:tcPr>
          <w:p w14:paraId="7BE8DB9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1.额定电压：220V</w:t>
            </w:r>
          </w:p>
          <w:p w14:paraId="0836F1B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2.额定功率：≤1000W</w:t>
            </w:r>
          </w:p>
          <w:p w14:paraId="2811991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3.容量：≥5L</w:t>
            </w:r>
          </w:p>
          <w:p w14:paraId="2CA44B7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4.面盆材质：304 不锈钢</w:t>
            </w:r>
          </w:p>
          <w:p w14:paraId="7313363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5.尺寸：≥360mm×195mm×330mm</w:t>
            </w:r>
          </w:p>
          <w:p w14:paraId="7E0B886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6.304 不锈钢和面桶，材质耐用抗造，使用过程中稳固不易晃动，符合食品接触安全标准；</w:t>
            </w:r>
          </w:p>
          <w:p w14:paraId="5CDBB1A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7.IC 芯片控制，保证揉面运行速度均匀稳定，提升和面效果，适配幼儿烘焙教学场景；</w:t>
            </w:r>
          </w:p>
          <w:p w14:paraId="1D777D8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8.防溅加料盖设计，有效防止揉面时食物外溅，保持操作环境整洁；</w:t>
            </w:r>
          </w:p>
          <w:p w14:paraId="3646690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9.底部设置大吸力底盘</w:t>
            </w:r>
          </w:p>
        </w:tc>
        <w:tc>
          <w:tcPr>
            <w:tcW w:w="685" w:type="dxa"/>
            <w:vAlign w:val="center"/>
          </w:tcPr>
          <w:p w14:paraId="7F9A83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4C45B6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r>
      <w:tr w14:paraId="32CF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487025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21</w:t>
            </w:r>
          </w:p>
        </w:tc>
        <w:tc>
          <w:tcPr>
            <w:tcW w:w="1176" w:type="dxa"/>
            <w:vAlign w:val="center"/>
          </w:tcPr>
          <w:p w14:paraId="555111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早餐机</w:t>
            </w:r>
          </w:p>
        </w:tc>
        <w:tc>
          <w:tcPr>
            <w:tcW w:w="6914" w:type="dxa"/>
          </w:tcPr>
          <w:p w14:paraId="40CBB0E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1.规格：≥135*225*80mm</w:t>
            </w:r>
          </w:p>
          <w:p w14:paraId="7B33931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2.描述：额定电压：220V、额定功率≤650W，双盘加热，可拆易清洗</w:t>
            </w:r>
          </w:p>
        </w:tc>
        <w:tc>
          <w:tcPr>
            <w:tcW w:w="685" w:type="dxa"/>
            <w:vAlign w:val="center"/>
          </w:tcPr>
          <w:p w14:paraId="4D182D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712" w:type="dxa"/>
            <w:vAlign w:val="center"/>
          </w:tcPr>
          <w:p w14:paraId="5FD90D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r>
      <w:tr w14:paraId="1BDF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0E0956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22</w:t>
            </w:r>
          </w:p>
        </w:tc>
        <w:tc>
          <w:tcPr>
            <w:tcW w:w="1176" w:type="dxa"/>
            <w:vAlign w:val="center"/>
          </w:tcPr>
          <w:p w14:paraId="40BC3E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棉花糖机</w:t>
            </w:r>
          </w:p>
        </w:tc>
        <w:tc>
          <w:tcPr>
            <w:tcW w:w="6914" w:type="dxa"/>
          </w:tcPr>
          <w:p w14:paraId="1CE252A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1.材质：食品级pp</w:t>
            </w:r>
          </w:p>
          <w:p w14:paraId="06D9900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2.功率：≤500W   额定电压：220V</w:t>
            </w:r>
          </w:p>
          <w:p w14:paraId="34F70A7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3.尺寸：≥275mm*225mm</w:t>
            </w:r>
          </w:p>
          <w:p w14:paraId="48F11AE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4.食品级pp材质</w:t>
            </w:r>
          </w:p>
        </w:tc>
        <w:tc>
          <w:tcPr>
            <w:tcW w:w="685" w:type="dxa"/>
            <w:vAlign w:val="center"/>
          </w:tcPr>
          <w:p w14:paraId="0F3AD5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12" w:type="dxa"/>
            <w:vAlign w:val="center"/>
          </w:tcPr>
          <w:p w14:paraId="1DCB71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r>
      <w:tr w14:paraId="1FA0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00F466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23</w:t>
            </w:r>
          </w:p>
        </w:tc>
        <w:tc>
          <w:tcPr>
            <w:tcW w:w="1176" w:type="dxa"/>
            <w:vAlign w:val="center"/>
          </w:tcPr>
          <w:p w14:paraId="5D89A4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榨汁机</w:t>
            </w:r>
          </w:p>
        </w:tc>
        <w:tc>
          <w:tcPr>
            <w:tcW w:w="6914" w:type="dxa"/>
          </w:tcPr>
          <w:p w14:paraId="4295D8C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1.材质：食品级PP、不锈钢刀头</w:t>
            </w:r>
          </w:p>
          <w:p w14:paraId="2E71325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2.额定电压：220V</w:t>
            </w:r>
          </w:p>
          <w:p w14:paraId="1F791A4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3.容杯容积：≥1.75L</w:t>
            </w:r>
          </w:p>
          <w:p w14:paraId="551FB21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4.功率：≤1600W</w:t>
            </w:r>
          </w:p>
          <w:p w14:paraId="215F8D7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5.尺寸：≥220*210*480mm</w:t>
            </w:r>
          </w:p>
          <w:p w14:paraId="21DF317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6.食品级杯体不含双酚A，抗冲击抗摔裂，梅花型金属转动结构，安全卡位牢固防止打滑，多层次凹凸结构层面高强度同芯度，降噪抗震加厚垫</w:t>
            </w:r>
          </w:p>
        </w:tc>
        <w:tc>
          <w:tcPr>
            <w:tcW w:w="685" w:type="dxa"/>
            <w:vAlign w:val="center"/>
          </w:tcPr>
          <w:p w14:paraId="551393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12" w:type="dxa"/>
            <w:vAlign w:val="center"/>
          </w:tcPr>
          <w:p w14:paraId="3D484C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r>
      <w:tr w14:paraId="7F34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59A0FD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24</w:t>
            </w:r>
          </w:p>
        </w:tc>
        <w:tc>
          <w:tcPr>
            <w:tcW w:w="1176" w:type="dxa"/>
            <w:vAlign w:val="center"/>
          </w:tcPr>
          <w:p w14:paraId="6EE3EE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电磁炉</w:t>
            </w:r>
          </w:p>
        </w:tc>
        <w:tc>
          <w:tcPr>
            <w:tcW w:w="6914" w:type="dxa"/>
          </w:tcPr>
          <w:p w14:paraId="487F63D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1.材质：琉晶面板</w:t>
            </w:r>
          </w:p>
          <w:p w14:paraId="556601E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2.功率：≤2200W、额定电压：220V</w:t>
            </w:r>
          </w:p>
          <w:p w14:paraId="5EDBFFA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3.尺寸：≥350mm*280mm*58mm</w:t>
            </w:r>
          </w:p>
          <w:p w14:paraId="29E1FC0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4.简欧设计，晶透浅色，聚能式线圈盘，迅速加热，火力强，受热匀，触控面板，防水式安全防护装置，面板易清洁，耐高温，耐冲击，耐剐蹭，蒸煮方便实用</w:t>
            </w:r>
          </w:p>
        </w:tc>
        <w:tc>
          <w:tcPr>
            <w:tcW w:w="685" w:type="dxa"/>
            <w:vAlign w:val="center"/>
          </w:tcPr>
          <w:p w14:paraId="687106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712" w:type="dxa"/>
            <w:vAlign w:val="center"/>
          </w:tcPr>
          <w:p w14:paraId="1E1335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r>
      <w:tr w14:paraId="396E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18C9C2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25</w:t>
            </w:r>
          </w:p>
        </w:tc>
        <w:tc>
          <w:tcPr>
            <w:tcW w:w="1176" w:type="dxa"/>
            <w:vAlign w:val="center"/>
          </w:tcPr>
          <w:p w14:paraId="7AEEA3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平底不粘锅</w:t>
            </w:r>
          </w:p>
        </w:tc>
        <w:tc>
          <w:tcPr>
            <w:tcW w:w="6914" w:type="dxa"/>
          </w:tcPr>
          <w:p w14:paraId="7772C2E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1.材质：麦饭石</w:t>
            </w:r>
          </w:p>
          <w:p w14:paraId="29A6E42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2.尺寸：≥直径250mm，带柄总长≥440mm*50mm</w:t>
            </w:r>
          </w:p>
          <w:p w14:paraId="45A380C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3.加长防烫手柄，钢化玻璃盖，可视化烹饪，轻量化设计，幼儿可简单掌控，盛菜倒汤不易滴漏，一抹即净，不粘易清洗</w:t>
            </w:r>
          </w:p>
        </w:tc>
        <w:tc>
          <w:tcPr>
            <w:tcW w:w="685" w:type="dxa"/>
            <w:shd w:val="clear" w:color="auto" w:fill="auto"/>
            <w:vAlign w:val="center"/>
          </w:tcPr>
          <w:p w14:paraId="4E5984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4</w:t>
            </w:r>
          </w:p>
        </w:tc>
        <w:tc>
          <w:tcPr>
            <w:tcW w:w="712" w:type="dxa"/>
            <w:shd w:val="clear" w:color="auto" w:fill="auto"/>
            <w:vAlign w:val="center"/>
          </w:tcPr>
          <w:p w14:paraId="567976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台</w:t>
            </w:r>
          </w:p>
        </w:tc>
      </w:tr>
      <w:tr w14:paraId="4885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6D4BC0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26</w:t>
            </w:r>
          </w:p>
        </w:tc>
        <w:tc>
          <w:tcPr>
            <w:tcW w:w="1176" w:type="dxa"/>
            <w:vAlign w:val="center"/>
          </w:tcPr>
          <w:p w14:paraId="05001C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电蒸锅</w:t>
            </w:r>
          </w:p>
        </w:tc>
        <w:tc>
          <w:tcPr>
            <w:tcW w:w="6914" w:type="dxa"/>
          </w:tcPr>
          <w:p w14:paraId="7FE251B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1.材质：食品级不锈钢</w:t>
            </w:r>
          </w:p>
          <w:p w14:paraId="3729932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2.功率：≤1300W</w:t>
            </w:r>
          </w:p>
          <w:p w14:paraId="6DBE80A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3.额定电压：220V </w:t>
            </w:r>
          </w:p>
          <w:p w14:paraId="0BA0F6E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4.外形尺寸：≥330*350mm</w:t>
            </w:r>
          </w:p>
          <w:p w14:paraId="08810C4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5.聚热量，快速出汽，食品级不锈钢，更加安心，≥12L大容量，上下共三层，可以烹饪更多美食，缺水防干烧，内置温控器，锅内无水，自动断电，免看管安心蒸，多种烹饪模式，自由安排</w:t>
            </w:r>
          </w:p>
        </w:tc>
        <w:tc>
          <w:tcPr>
            <w:tcW w:w="685" w:type="dxa"/>
            <w:vAlign w:val="center"/>
          </w:tcPr>
          <w:p w14:paraId="0E9B2D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12" w:type="dxa"/>
            <w:vAlign w:val="center"/>
          </w:tcPr>
          <w:p w14:paraId="01D652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r>
      <w:tr w14:paraId="25EF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453415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27</w:t>
            </w:r>
          </w:p>
        </w:tc>
        <w:tc>
          <w:tcPr>
            <w:tcW w:w="1176" w:type="dxa"/>
            <w:vAlign w:val="center"/>
          </w:tcPr>
          <w:p w14:paraId="60C8C7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面条机</w:t>
            </w:r>
          </w:p>
        </w:tc>
        <w:tc>
          <w:tcPr>
            <w:tcW w:w="6914" w:type="dxa"/>
          </w:tcPr>
          <w:p w14:paraId="2D5953D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1.材质：不锈钢</w:t>
            </w:r>
          </w:p>
          <w:p w14:paraId="321AA60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2.尺寸：≥210*190*230mm</w:t>
            </w:r>
          </w:p>
          <w:p w14:paraId="2595202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3.不锈钢外壳，切面刀和压面棍采用45#液态镀镍技术，防锈耐用，优质冷轧钢和防滑ABS手摇柄，操作简单，底部防滑颗粒设计，保证机器更牢固不易滑动。</w:t>
            </w:r>
          </w:p>
        </w:tc>
        <w:tc>
          <w:tcPr>
            <w:tcW w:w="685" w:type="dxa"/>
            <w:vAlign w:val="center"/>
          </w:tcPr>
          <w:p w14:paraId="712C0E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12" w:type="dxa"/>
            <w:vAlign w:val="center"/>
          </w:tcPr>
          <w:p w14:paraId="20A37D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r>
      <w:tr w14:paraId="1168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21A74B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28</w:t>
            </w:r>
          </w:p>
        </w:tc>
        <w:tc>
          <w:tcPr>
            <w:tcW w:w="1176" w:type="dxa"/>
            <w:vAlign w:val="center"/>
          </w:tcPr>
          <w:p w14:paraId="5D7F83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电动打蛋器</w:t>
            </w:r>
          </w:p>
        </w:tc>
        <w:tc>
          <w:tcPr>
            <w:tcW w:w="6914" w:type="dxa"/>
          </w:tcPr>
          <w:p w14:paraId="353F3AF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1.额定电压：220V</w:t>
            </w:r>
          </w:p>
          <w:p w14:paraId="37DB79E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2.额定功率：≤120W</w:t>
            </w:r>
          </w:p>
          <w:p w14:paraId="33DA099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3.机身材质：食品级ABS</w:t>
            </w:r>
          </w:p>
          <w:p w14:paraId="03509BE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4.尺寸：≥165*75mm</w:t>
            </w:r>
          </w:p>
          <w:p w14:paraId="4768136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5.可立式设计，不怕食材粘脏桌面，多孔散热，更快散热，五档调速，满足多样需求，采用耐磨钢轴承，一键退棒，弧形把手，符合人体工学设计，拿握舒适</w:t>
            </w:r>
          </w:p>
        </w:tc>
        <w:tc>
          <w:tcPr>
            <w:tcW w:w="685" w:type="dxa"/>
            <w:shd w:val="clear" w:color="auto" w:fill="auto"/>
            <w:vAlign w:val="center"/>
          </w:tcPr>
          <w:p w14:paraId="22E04F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4</w:t>
            </w:r>
          </w:p>
        </w:tc>
        <w:tc>
          <w:tcPr>
            <w:tcW w:w="712" w:type="dxa"/>
            <w:shd w:val="clear" w:color="auto" w:fill="auto"/>
            <w:vAlign w:val="center"/>
          </w:tcPr>
          <w:p w14:paraId="037F6A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台</w:t>
            </w:r>
          </w:p>
        </w:tc>
      </w:tr>
      <w:tr w14:paraId="0597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246AA7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29</w:t>
            </w:r>
          </w:p>
        </w:tc>
        <w:tc>
          <w:tcPr>
            <w:tcW w:w="1176" w:type="dxa"/>
            <w:vAlign w:val="center"/>
          </w:tcPr>
          <w:p w14:paraId="483B17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热水壶</w:t>
            </w:r>
          </w:p>
        </w:tc>
        <w:tc>
          <w:tcPr>
            <w:tcW w:w="6914" w:type="dxa"/>
          </w:tcPr>
          <w:p w14:paraId="3E17B6A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1.容量：≥2L，外观尺寸为直径≥145mm 高度≥245mm 电压：220v功率：≤1500w 保护：自动断电。</w:t>
            </w:r>
          </w:p>
          <w:p w14:paraId="051D18A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2.接触水材质：</w:t>
            </w:r>
          </w:p>
          <w:p w14:paraId="1B29257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2.1内胆：食品级 316L 不锈钢，无缝一体成型；</w:t>
            </w:r>
          </w:p>
          <w:p w14:paraId="04D5791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2.2壶盖 / 密封圈：食品级硅胶；</w:t>
            </w:r>
          </w:p>
          <w:p w14:paraId="6EEB5C7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2.3出水口：高硼硅玻璃或304不锈钢，边缘圆角打磨，无尖锐毛刺。</w:t>
            </w:r>
          </w:p>
          <w:p w14:paraId="07B60D8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3.外壳与结构材质：</w:t>
            </w:r>
          </w:p>
          <w:p w14:paraId="25EB5DE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3.1外壳：双层隔热结构（内层不锈钢 + 外层阻燃 ABS 塑料），中间填充隔热棉，沸腾时外壳表面温度≤42℃（防烫伤，低于人体烫伤阈值 45℃）；</w:t>
            </w:r>
          </w:p>
          <w:p w14:paraId="523E13C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3.2底座：防滑阻燃 PP 塑料。</w:t>
            </w:r>
          </w:p>
          <w:p w14:paraId="1B03CB3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4.电气部件材质：电源线：TPU 高弹性阻燃外皮。</w:t>
            </w:r>
          </w:p>
        </w:tc>
        <w:tc>
          <w:tcPr>
            <w:tcW w:w="685" w:type="dxa"/>
            <w:vAlign w:val="center"/>
          </w:tcPr>
          <w:p w14:paraId="0A5CC1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12" w:type="dxa"/>
            <w:vAlign w:val="center"/>
          </w:tcPr>
          <w:p w14:paraId="1938D0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r>
      <w:tr w14:paraId="5156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66B6C0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30</w:t>
            </w:r>
          </w:p>
        </w:tc>
        <w:tc>
          <w:tcPr>
            <w:tcW w:w="1176" w:type="dxa"/>
            <w:vAlign w:val="center"/>
          </w:tcPr>
          <w:p w14:paraId="7515BC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电源插排</w:t>
            </w:r>
          </w:p>
        </w:tc>
        <w:tc>
          <w:tcPr>
            <w:tcW w:w="6914" w:type="dxa"/>
          </w:tcPr>
          <w:p w14:paraId="4E2F29D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1.外壳与结构材质：​</w:t>
            </w:r>
          </w:p>
          <w:p w14:paraId="3E56F99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外壳：高阻燃 PP 工程塑料，内部骨架：阻燃 ABS 塑料，耐高温≥105℃，避免过载发热变形；接触部件：磷青铜弹片（厚度≥0.6mm）​</w:t>
            </w:r>
          </w:p>
          <w:p w14:paraId="2EB97FB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2.电源线材质：线芯：纯铜导体，额定电流 10A ；</w:t>
            </w:r>
          </w:p>
          <w:p w14:paraId="0555F81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3.额定参数：额定电压 220V，额定电流 10A，最大功率 2500W（10A）；插孔配置：新国标组合孔，插孔数量 4-6 位，插孔间距≥25mm，避免插头拥挤冲突；​</w:t>
            </w:r>
          </w:p>
          <w:p w14:paraId="463BA59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4.尺寸重量：长度≥200mm，宽度≥100mm，高度≥50mm，重量≥800g，便于固定安装，不占用操作空间。​</w:t>
            </w:r>
          </w:p>
          <w:p w14:paraId="0724608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5.安全防护功能：​</w:t>
            </w:r>
          </w:p>
          <w:p w14:paraId="1427204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5.1儿童防误触：每个插孔独立安全保护门，单孔插入力≥10N 无法开启，双孔均衡施压才能导通，杜绝异物插入触电风险；​</w:t>
            </w:r>
          </w:p>
          <w:p w14:paraId="62065A0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5.2过载保护：内置过载检测芯片，总功率超过额定值 80% 时自动断电，故障排除后手动复位，避免线路过热起火；​</w:t>
            </w:r>
          </w:p>
          <w:p w14:paraId="4B0B348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5.3漏电保护：动作电流≤30mA，动作时间≤0.1s，突发漏电时快速断电，保障人身安全。​</w:t>
            </w:r>
          </w:p>
          <w:p w14:paraId="647D93C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6.其他防护：防浪涌、防短路设计，插头插脚包胶处理，防潮防尘，适配生活馆潮湿环境。</w:t>
            </w:r>
          </w:p>
        </w:tc>
        <w:tc>
          <w:tcPr>
            <w:tcW w:w="685" w:type="dxa"/>
            <w:vAlign w:val="center"/>
          </w:tcPr>
          <w:p w14:paraId="78B5C2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12" w:type="dxa"/>
            <w:vAlign w:val="center"/>
          </w:tcPr>
          <w:p w14:paraId="6BA218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15C6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500CA9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31</w:t>
            </w:r>
          </w:p>
        </w:tc>
        <w:tc>
          <w:tcPr>
            <w:tcW w:w="1176" w:type="dxa"/>
            <w:vAlign w:val="center"/>
          </w:tcPr>
          <w:p w14:paraId="29C98B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小石磨套装</w:t>
            </w:r>
          </w:p>
        </w:tc>
        <w:tc>
          <w:tcPr>
            <w:tcW w:w="6914" w:type="dxa"/>
          </w:tcPr>
          <w:p w14:paraId="2D2FB68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1.材质：花岗岩、橡木</w:t>
            </w:r>
          </w:p>
          <w:p w14:paraId="123DA5B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2.尺寸：≥220mm*350mm</w:t>
            </w:r>
          </w:p>
          <w:p w14:paraId="4086EA7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3.天然石材，人工打凿，匠心独韵，深刻纹理，内含不锈钢实心磨轴和一个木质磨把，架子为优质橡木制作，结实耐用，清洗方便</w:t>
            </w:r>
          </w:p>
        </w:tc>
        <w:tc>
          <w:tcPr>
            <w:tcW w:w="685" w:type="dxa"/>
            <w:vAlign w:val="center"/>
          </w:tcPr>
          <w:p w14:paraId="3E5633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712" w:type="dxa"/>
            <w:vAlign w:val="center"/>
          </w:tcPr>
          <w:p w14:paraId="0AB911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r>
      <w:tr w14:paraId="2F96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154705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32</w:t>
            </w:r>
          </w:p>
        </w:tc>
        <w:tc>
          <w:tcPr>
            <w:tcW w:w="1176" w:type="dxa"/>
            <w:vAlign w:val="center"/>
          </w:tcPr>
          <w:p w14:paraId="3BA2F1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精研磨粉机</w:t>
            </w:r>
          </w:p>
        </w:tc>
        <w:tc>
          <w:tcPr>
            <w:tcW w:w="6914" w:type="dxa"/>
          </w:tcPr>
          <w:p w14:paraId="35C810E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1.额定电压220V-50Hz</w:t>
            </w:r>
          </w:p>
          <w:p w14:paraId="113E0F9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2.控制方式旋钮开关</w:t>
            </w:r>
          </w:p>
          <w:p w14:paraId="52E4799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3.尺寸≥150x150x310mm</w:t>
            </w:r>
          </w:p>
          <w:p w14:paraId="05C0672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4.额定功率≤500W</w:t>
            </w:r>
          </w:p>
          <w:p w14:paraId="795DE4A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5.容量≥1.5kg</w:t>
            </w:r>
          </w:p>
          <w:p w14:paraId="0D80791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6.研磨杯材质304不锈钢</w:t>
            </w:r>
          </w:p>
        </w:tc>
        <w:tc>
          <w:tcPr>
            <w:tcW w:w="685" w:type="dxa"/>
            <w:vAlign w:val="center"/>
          </w:tcPr>
          <w:p w14:paraId="7245EF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5219CF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r>
      <w:tr w14:paraId="09DD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3A7533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33</w:t>
            </w:r>
          </w:p>
        </w:tc>
        <w:tc>
          <w:tcPr>
            <w:tcW w:w="1176" w:type="dxa"/>
            <w:vAlign w:val="center"/>
          </w:tcPr>
          <w:p w14:paraId="156F39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青石碾子</w:t>
            </w:r>
          </w:p>
        </w:tc>
        <w:tc>
          <w:tcPr>
            <w:tcW w:w="6914" w:type="dxa"/>
          </w:tcPr>
          <w:p w14:paraId="3C014AC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1.规格：碾子：长度≥215mm，宽≥60mm，高≥50mm</w:t>
            </w:r>
          </w:p>
          <w:p w14:paraId="432F7C9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      碾圆片：直径≥65mm，高≥19mm</w:t>
            </w:r>
          </w:p>
          <w:p w14:paraId="0D425D7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      碾杆：长≥200mm</w:t>
            </w:r>
          </w:p>
          <w:p w14:paraId="4CD01FA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2.材质：天然青石</w:t>
            </w:r>
          </w:p>
        </w:tc>
        <w:tc>
          <w:tcPr>
            <w:tcW w:w="685" w:type="dxa"/>
            <w:vAlign w:val="center"/>
          </w:tcPr>
          <w:p w14:paraId="332DA3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712" w:type="dxa"/>
            <w:vAlign w:val="center"/>
          </w:tcPr>
          <w:p w14:paraId="52C56E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73FF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5597E6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34</w:t>
            </w:r>
          </w:p>
        </w:tc>
        <w:tc>
          <w:tcPr>
            <w:tcW w:w="1176" w:type="dxa"/>
            <w:vAlign w:val="center"/>
          </w:tcPr>
          <w:p w14:paraId="1A6F2F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橡胶锤</w:t>
            </w:r>
          </w:p>
        </w:tc>
        <w:tc>
          <w:tcPr>
            <w:tcW w:w="6914" w:type="dxa"/>
            <w:vAlign w:val="center"/>
          </w:tcPr>
          <w:p w14:paraId="4CBC3E8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1.规格：全长≥235mm，锤面直径≥25mm，锤头高≥78mm，手柄长≥130mm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2.材质：锤头：金属+橡胶，柄：钢管</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3.描述：防爆防震，用于研磨之前的大颗粒物敲碎工作</w:t>
            </w:r>
          </w:p>
        </w:tc>
        <w:tc>
          <w:tcPr>
            <w:tcW w:w="685" w:type="dxa"/>
            <w:vAlign w:val="center"/>
          </w:tcPr>
          <w:p w14:paraId="3B5579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712" w:type="dxa"/>
            <w:vAlign w:val="center"/>
          </w:tcPr>
          <w:p w14:paraId="7D1187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3DB1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57AD24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35</w:t>
            </w:r>
          </w:p>
        </w:tc>
        <w:tc>
          <w:tcPr>
            <w:tcW w:w="1176" w:type="dxa"/>
            <w:vAlign w:val="center"/>
          </w:tcPr>
          <w:p w14:paraId="5F77FC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研磨器</w:t>
            </w:r>
          </w:p>
        </w:tc>
        <w:tc>
          <w:tcPr>
            <w:tcW w:w="6914" w:type="dxa"/>
            <w:vAlign w:val="center"/>
          </w:tcPr>
          <w:p w14:paraId="33F3164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1.规格：≥170mm*170mm,研磨棒280mm*45mm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2.材质：青石</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3.配件：研磨器1个、研磨棒1个</w:t>
            </w:r>
          </w:p>
        </w:tc>
        <w:tc>
          <w:tcPr>
            <w:tcW w:w="685" w:type="dxa"/>
            <w:vAlign w:val="center"/>
          </w:tcPr>
          <w:p w14:paraId="5A04A0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712" w:type="dxa"/>
            <w:vAlign w:val="center"/>
          </w:tcPr>
          <w:p w14:paraId="20F982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60D6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7037E2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36</w:t>
            </w:r>
          </w:p>
        </w:tc>
        <w:tc>
          <w:tcPr>
            <w:tcW w:w="1176" w:type="dxa"/>
            <w:vAlign w:val="center"/>
          </w:tcPr>
          <w:p w14:paraId="4C6837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圆头粉刷</w:t>
            </w:r>
          </w:p>
        </w:tc>
        <w:tc>
          <w:tcPr>
            <w:tcW w:w="6914" w:type="dxa"/>
            <w:vAlign w:val="center"/>
          </w:tcPr>
          <w:p w14:paraId="0864739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1.规格：长度≥185mm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2.材质：黑檀</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磨粉辅助清扫工具</w:t>
            </w:r>
          </w:p>
        </w:tc>
        <w:tc>
          <w:tcPr>
            <w:tcW w:w="685" w:type="dxa"/>
            <w:vAlign w:val="center"/>
          </w:tcPr>
          <w:p w14:paraId="76D5E9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712" w:type="dxa"/>
            <w:vAlign w:val="center"/>
          </w:tcPr>
          <w:p w14:paraId="764B19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6019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3AC313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37</w:t>
            </w:r>
          </w:p>
        </w:tc>
        <w:tc>
          <w:tcPr>
            <w:tcW w:w="1176" w:type="dxa"/>
            <w:vAlign w:val="center"/>
          </w:tcPr>
          <w:p w14:paraId="0F5253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方头粉刷</w:t>
            </w:r>
          </w:p>
        </w:tc>
        <w:tc>
          <w:tcPr>
            <w:tcW w:w="6914" w:type="dxa"/>
            <w:vAlign w:val="center"/>
          </w:tcPr>
          <w:p w14:paraId="7EE8A69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1.规格：≥190mm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2.材质：黑檀</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磨粉辅助清扫工具</w:t>
            </w:r>
          </w:p>
        </w:tc>
        <w:tc>
          <w:tcPr>
            <w:tcW w:w="685" w:type="dxa"/>
            <w:vAlign w:val="center"/>
          </w:tcPr>
          <w:p w14:paraId="706270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712" w:type="dxa"/>
            <w:vAlign w:val="center"/>
          </w:tcPr>
          <w:p w14:paraId="643213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2D10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183672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38</w:t>
            </w:r>
          </w:p>
        </w:tc>
        <w:tc>
          <w:tcPr>
            <w:tcW w:w="1176" w:type="dxa"/>
            <w:vAlign w:val="center"/>
          </w:tcPr>
          <w:p w14:paraId="2F0849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筛网</w:t>
            </w:r>
          </w:p>
        </w:tc>
        <w:tc>
          <w:tcPr>
            <w:tcW w:w="6914" w:type="dxa"/>
            <w:vAlign w:val="center"/>
          </w:tcPr>
          <w:p w14:paraId="5D7851B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1.材质：304不锈钢</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2.尺寸：≥200mm*55mm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3.一套包含三种尺寸，网格包含30目、40目、50目三种，不易生锈加厚。</w:t>
            </w:r>
          </w:p>
        </w:tc>
        <w:tc>
          <w:tcPr>
            <w:tcW w:w="685" w:type="dxa"/>
            <w:vAlign w:val="center"/>
          </w:tcPr>
          <w:p w14:paraId="670F3E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12" w:type="dxa"/>
            <w:vAlign w:val="center"/>
          </w:tcPr>
          <w:p w14:paraId="13E2E3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2D0A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714CAB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39</w:t>
            </w:r>
          </w:p>
        </w:tc>
        <w:tc>
          <w:tcPr>
            <w:tcW w:w="1176" w:type="dxa"/>
            <w:vAlign w:val="center"/>
          </w:tcPr>
          <w:p w14:paraId="3191A8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豆腐模具</w:t>
            </w:r>
          </w:p>
        </w:tc>
        <w:tc>
          <w:tcPr>
            <w:tcW w:w="6914" w:type="dxa"/>
            <w:vAlign w:val="center"/>
          </w:tcPr>
          <w:p w14:paraId="7D64FBD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1.规格：内径≥130*130*95mm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2.材质：杉木</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3.配件：豆腐布1块、过滤袋1个、压杆</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增进幼儿对食物制作过程的认知与兴趣</w:t>
            </w:r>
          </w:p>
        </w:tc>
        <w:tc>
          <w:tcPr>
            <w:tcW w:w="685" w:type="dxa"/>
            <w:vAlign w:val="center"/>
          </w:tcPr>
          <w:p w14:paraId="4031D1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12" w:type="dxa"/>
            <w:vAlign w:val="center"/>
          </w:tcPr>
          <w:p w14:paraId="20EC55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1B96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315159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40</w:t>
            </w:r>
          </w:p>
        </w:tc>
        <w:tc>
          <w:tcPr>
            <w:tcW w:w="1176" w:type="dxa"/>
            <w:vAlign w:val="center"/>
          </w:tcPr>
          <w:p w14:paraId="78685D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勺子</w:t>
            </w:r>
          </w:p>
        </w:tc>
        <w:tc>
          <w:tcPr>
            <w:tcW w:w="6914" w:type="dxa"/>
            <w:vAlign w:val="center"/>
          </w:tcPr>
          <w:p w14:paraId="5125A75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1.规格：长≥165，勺宽≥30mm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2.材质：花梨木+纯铜</w:t>
            </w:r>
          </w:p>
        </w:tc>
        <w:tc>
          <w:tcPr>
            <w:tcW w:w="685" w:type="dxa"/>
            <w:vAlign w:val="center"/>
          </w:tcPr>
          <w:p w14:paraId="2B44D1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712" w:type="dxa"/>
            <w:vAlign w:val="center"/>
          </w:tcPr>
          <w:p w14:paraId="53B0AC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023A5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5DD9A5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41</w:t>
            </w:r>
          </w:p>
        </w:tc>
        <w:tc>
          <w:tcPr>
            <w:tcW w:w="1176" w:type="dxa"/>
            <w:vAlign w:val="center"/>
          </w:tcPr>
          <w:p w14:paraId="4024AD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调料罐</w:t>
            </w:r>
          </w:p>
        </w:tc>
        <w:tc>
          <w:tcPr>
            <w:tcW w:w="6914" w:type="dxa"/>
            <w:vAlign w:val="center"/>
          </w:tcPr>
          <w:p w14:paraId="08A140D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1.材质：304不锈钢</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2.尺寸：≥45mm*60mm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3.旋转出料口，透视罐盖，密封防尘，精准控量，底部磁条可轻松吸附</w:t>
            </w:r>
          </w:p>
        </w:tc>
        <w:tc>
          <w:tcPr>
            <w:tcW w:w="685" w:type="dxa"/>
            <w:vAlign w:val="center"/>
          </w:tcPr>
          <w:p w14:paraId="1FD996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712" w:type="dxa"/>
            <w:vAlign w:val="center"/>
          </w:tcPr>
          <w:p w14:paraId="1B3E82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00ED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3ED884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42</w:t>
            </w:r>
          </w:p>
        </w:tc>
        <w:tc>
          <w:tcPr>
            <w:tcW w:w="1176" w:type="dxa"/>
            <w:vAlign w:val="center"/>
          </w:tcPr>
          <w:p w14:paraId="0F9AD4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木质卡通模具</w:t>
            </w:r>
          </w:p>
        </w:tc>
        <w:tc>
          <w:tcPr>
            <w:tcW w:w="6914" w:type="dxa"/>
            <w:vAlign w:val="center"/>
          </w:tcPr>
          <w:p w14:paraId="3E515D1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1.材质：榉木</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2.尺寸：235mm—300mm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3.一套五个，图案随机</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4.精选榉木，立体凹底雕刻，纹理清晰易脱模，手感厚实，结实耐用，手工打磨，边缘光滑，无毛刺</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用途：用于制作面食</w:t>
            </w:r>
          </w:p>
        </w:tc>
        <w:tc>
          <w:tcPr>
            <w:tcW w:w="685" w:type="dxa"/>
            <w:vAlign w:val="center"/>
          </w:tcPr>
          <w:p w14:paraId="0B7789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712" w:type="dxa"/>
            <w:vAlign w:val="center"/>
          </w:tcPr>
          <w:p w14:paraId="0F4B24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5417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75CB2F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43</w:t>
            </w:r>
          </w:p>
        </w:tc>
        <w:tc>
          <w:tcPr>
            <w:tcW w:w="1176" w:type="dxa"/>
            <w:vAlign w:val="center"/>
          </w:tcPr>
          <w:p w14:paraId="2A44FA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创意组合模具</w:t>
            </w:r>
          </w:p>
        </w:tc>
        <w:tc>
          <w:tcPr>
            <w:tcW w:w="6914" w:type="dxa"/>
            <w:vAlign w:val="center"/>
          </w:tcPr>
          <w:p w14:paraId="205A9C7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1.材质：榉木</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2.尺寸：≥290mm*73mm*25mm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3.5个/套，图案随机</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4.精选榉木，立体凹底雕刻，纹理清晰易脱模，手感厚实，结实耐用，手工打磨，边缘光滑，无毛刺</w:t>
            </w:r>
          </w:p>
        </w:tc>
        <w:tc>
          <w:tcPr>
            <w:tcW w:w="685" w:type="dxa"/>
            <w:vAlign w:val="center"/>
          </w:tcPr>
          <w:p w14:paraId="6DB514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712" w:type="dxa"/>
            <w:vAlign w:val="center"/>
          </w:tcPr>
          <w:p w14:paraId="6951CD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5590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0CA889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44</w:t>
            </w:r>
          </w:p>
        </w:tc>
        <w:tc>
          <w:tcPr>
            <w:tcW w:w="1176" w:type="dxa"/>
            <w:vAlign w:val="center"/>
          </w:tcPr>
          <w:p w14:paraId="285A04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雪花模具</w:t>
            </w:r>
          </w:p>
        </w:tc>
        <w:tc>
          <w:tcPr>
            <w:tcW w:w="6914" w:type="dxa"/>
            <w:vAlign w:val="center"/>
          </w:tcPr>
          <w:p w14:paraId="295FCE8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1.材质：食用级PP</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2.尺寸：25mm—55mm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3.规格：6个/套</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4.食品级PP塑料，使用更安全放心，模具边缘圆润光滑，手压式模具设计，单款多尺寸，制作效果更多样</w:t>
            </w:r>
          </w:p>
        </w:tc>
        <w:tc>
          <w:tcPr>
            <w:tcW w:w="685" w:type="dxa"/>
            <w:vAlign w:val="center"/>
          </w:tcPr>
          <w:p w14:paraId="172928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712" w:type="dxa"/>
            <w:vAlign w:val="center"/>
          </w:tcPr>
          <w:p w14:paraId="6BD725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699E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05DA86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45</w:t>
            </w:r>
          </w:p>
        </w:tc>
        <w:tc>
          <w:tcPr>
            <w:tcW w:w="1176" w:type="dxa"/>
            <w:vAlign w:val="center"/>
          </w:tcPr>
          <w:p w14:paraId="78BBDA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圆形月饼模具</w:t>
            </w:r>
          </w:p>
        </w:tc>
        <w:tc>
          <w:tcPr>
            <w:tcW w:w="6914" w:type="dxa"/>
            <w:vAlign w:val="center"/>
          </w:tcPr>
          <w:p w14:paraId="30E3CC9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1.材质：食品级ABS</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2.规格：50g 一模四片</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3.食品级PP塑料加厚用料,韧性好质感足，金属杆和螺丝、弹簧采用镀锌不锈铁材质，经久耐用，表面光滑无毛刺，脱模容易</w:t>
            </w:r>
          </w:p>
        </w:tc>
        <w:tc>
          <w:tcPr>
            <w:tcW w:w="685" w:type="dxa"/>
            <w:vAlign w:val="center"/>
          </w:tcPr>
          <w:p w14:paraId="17CAFF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712" w:type="dxa"/>
            <w:vAlign w:val="center"/>
          </w:tcPr>
          <w:p w14:paraId="389041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6CC4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03FA2D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46</w:t>
            </w:r>
          </w:p>
        </w:tc>
        <w:tc>
          <w:tcPr>
            <w:tcW w:w="1176" w:type="dxa"/>
            <w:vAlign w:val="center"/>
          </w:tcPr>
          <w:p w14:paraId="28EC2E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方形月饼模具</w:t>
            </w:r>
          </w:p>
        </w:tc>
        <w:tc>
          <w:tcPr>
            <w:tcW w:w="6914" w:type="dxa"/>
            <w:vAlign w:val="center"/>
          </w:tcPr>
          <w:p w14:paraId="0903448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1.材质：食品级ABS</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2.规格：≥50g 一模四片</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3.食品级PP塑料加厚用料,韧性好质感足，金属杆和螺丝、弹簧采用镀锌不锈铁材质，经久耐用，表面光滑无毛刺，脱模容易</w:t>
            </w:r>
          </w:p>
        </w:tc>
        <w:tc>
          <w:tcPr>
            <w:tcW w:w="685" w:type="dxa"/>
            <w:vAlign w:val="center"/>
          </w:tcPr>
          <w:p w14:paraId="5CFC99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712" w:type="dxa"/>
            <w:vAlign w:val="center"/>
          </w:tcPr>
          <w:p w14:paraId="6BAFC2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0288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67F935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47</w:t>
            </w:r>
          </w:p>
        </w:tc>
        <w:tc>
          <w:tcPr>
            <w:tcW w:w="1176" w:type="dxa"/>
            <w:vAlign w:val="center"/>
          </w:tcPr>
          <w:p w14:paraId="6D0FF4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糕点印章</w:t>
            </w:r>
          </w:p>
        </w:tc>
        <w:tc>
          <w:tcPr>
            <w:tcW w:w="6914" w:type="dxa"/>
            <w:vAlign w:val="center"/>
          </w:tcPr>
          <w:p w14:paraId="60952D5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1.规格：≥直径25mm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2.配件：五叶花、六叶花、兔子、福、旺各一个，食品级红色素2g5包</w:t>
            </w:r>
          </w:p>
        </w:tc>
        <w:tc>
          <w:tcPr>
            <w:tcW w:w="685" w:type="dxa"/>
            <w:vAlign w:val="center"/>
          </w:tcPr>
          <w:p w14:paraId="411300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12" w:type="dxa"/>
            <w:vAlign w:val="center"/>
          </w:tcPr>
          <w:p w14:paraId="7A20F7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1BB0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37C7D5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48</w:t>
            </w:r>
          </w:p>
        </w:tc>
        <w:tc>
          <w:tcPr>
            <w:tcW w:w="1176" w:type="dxa"/>
            <w:vAlign w:val="center"/>
          </w:tcPr>
          <w:p w14:paraId="274181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晾面架</w:t>
            </w:r>
          </w:p>
        </w:tc>
        <w:tc>
          <w:tcPr>
            <w:tcW w:w="6914" w:type="dxa"/>
            <w:vAlign w:val="center"/>
          </w:tcPr>
          <w:p w14:paraId="56532BE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1.规格：尺寸≥300mm*280mm*300mm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2.材质：木</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3.描述：无漆无蜡、纯手工制作，古朴自然</w:t>
            </w:r>
          </w:p>
        </w:tc>
        <w:tc>
          <w:tcPr>
            <w:tcW w:w="685" w:type="dxa"/>
            <w:vAlign w:val="center"/>
          </w:tcPr>
          <w:p w14:paraId="01D312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712" w:type="dxa"/>
            <w:vAlign w:val="center"/>
          </w:tcPr>
          <w:p w14:paraId="743B10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4B20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6B708C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49</w:t>
            </w:r>
          </w:p>
        </w:tc>
        <w:tc>
          <w:tcPr>
            <w:tcW w:w="1176" w:type="dxa"/>
            <w:vAlign w:val="center"/>
          </w:tcPr>
          <w:p w14:paraId="0D7F67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幼儿擀面杖</w:t>
            </w:r>
          </w:p>
        </w:tc>
        <w:tc>
          <w:tcPr>
            <w:tcW w:w="6914" w:type="dxa"/>
            <w:vAlign w:val="center"/>
          </w:tcPr>
          <w:p w14:paraId="1C92CE8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1.材质：榉木</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2.尺寸：≥240mm*25mm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3.精选榉木，打磨光滑无毛刺，圆弧边设计手感舒适，一体成型，光滑无缝不粘面，经久耐用</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用途：用于幼儿操作使用</w:t>
            </w:r>
          </w:p>
        </w:tc>
        <w:tc>
          <w:tcPr>
            <w:tcW w:w="685" w:type="dxa"/>
            <w:vAlign w:val="center"/>
          </w:tcPr>
          <w:p w14:paraId="513BC9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25</w:t>
            </w:r>
          </w:p>
        </w:tc>
        <w:tc>
          <w:tcPr>
            <w:tcW w:w="712" w:type="dxa"/>
            <w:vAlign w:val="center"/>
          </w:tcPr>
          <w:p w14:paraId="79FFD6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根</w:t>
            </w:r>
          </w:p>
        </w:tc>
      </w:tr>
      <w:tr w14:paraId="49C8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14B562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50</w:t>
            </w:r>
          </w:p>
        </w:tc>
        <w:tc>
          <w:tcPr>
            <w:tcW w:w="1176" w:type="dxa"/>
            <w:vAlign w:val="center"/>
          </w:tcPr>
          <w:p w14:paraId="45E0E2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面团刮刀</w:t>
            </w:r>
          </w:p>
        </w:tc>
        <w:tc>
          <w:tcPr>
            <w:tcW w:w="6914" w:type="dxa"/>
            <w:vAlign w:val="center"/>
          </w:tcPr>
          <w:p w14:paraId="3A364F8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1.材质：PP</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2.尺寸：≥130mm*90mm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3.食品级PP塑料，加厚用料,表面光滑易清洗，一体成型，柔韧性好，坚固耐用不易折断</w:t>
            </w:r>
          </w:p>
        </w:tc>
        <w:tc>
          <w:tcPr>
            <w:tcW w:w="685" w:type="dxa"/>
            <w:vAlign w:val="center"/>
          </w:tcPr>
          <w:p w14:paraId="49FC7B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w:t>
            </w:r>
          </w:p>
        </w:tc>
        <w:tc>
          <w:tcPr>
            <w:tcW w:w="712" w:type="dxa"/>
            <w:vAlign w:val="center"/>
          </w:tcPr>
          <w:p w14:paraId="031FD6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1E1B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51F6D3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51</w:t>
            </w:r>
          </w:p>
        </w:tc>
        <w:tc>
          <w:tcPr>
            <w:tcW w:w="1176" w:type="dxa"/>
            <w:vAlign w:val="center"/>
          </w:tcPr>
          <w:p w14:paraId="2290D7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丝瓜络蒸笼垫</w:t>
            </w:r>
          </w:p>
        </w:tc>
        <w:tc>
          <w:tcPr>
            <w:tcW w:w="6914" w:type="dxa"/>
            <w:vAlign w:val="center"/>
          </w:tcPr>
          <w:p w14:paraId="41D05F8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1.规格：≥直径200mm,双层</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2.材质：丝瓜络纤维</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3.描述：天然植物纤维，安全、适宜幼儿使用，易清洗，不粘黏</w:t>
            </w:r>
          </w:p>
        </w:tc>
        <w:tc>
          <w:tcPr>
            <w:tcW w:w="685" w:type="dxa"/>
            <w:vAlign w:val="center"/>
          </w:tcPr>
          <w:p w14:paraId="4FF973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c>
          <w:tcPr>
            <w:tcW w:w="712" w:type="dxa"/>
            <w:vAlign w:val="center"/>
          </w:tcPr>
          <w:p w14:paraId="138D48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片</w:t>
            </w:r>
          </w:p>
        </w:tc>
      </w:tr>
      <w:tr w14:paraId="7FAC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65ABBA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52</w:t>
            </w:r>
          </w:p>
        </w:tc>
        <w:tc>
          <w:tcPr>
            <w:tcW w:w="1176" w:type="dxa"/>
            <w:vAlign w:val="center"/>
          </w:tcPr>
          <w:p w14:paraId="7AB0C4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擀面垫</w:t>
            </w:r>
          </w:p>
        </w:tc>
        <w:tc>
          <w:tcPr>
            <w:tcW w:w="6914" w:type="dxa"/>
            <w:vAlign w:val="center"/>
          </w:tcPr>
          <w:p w14:paraId="1D45286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1.材质：食品级硅胶</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2.尺寸：≥400mm*500mm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3.柔软的硅胶材质，无缝注塑工艺，安全环保，刻度清晰</w:t>
            </w:r>
          </w:p>
        </w:tc>
        <w:tc>
          <w:tcPr>
            <w:tcW w:w="685" w:type="dxa"/>
            <w:vAlign w:val="center"/>
          </w:tcPr>
          <w:p w14:paraId="3A4EC0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25</w:t>
            </w:r>
          </w:p>
        </w:tc>
        <w:tc>
          <w:tcPr>
            <w:tcW w:w="712" w:type="dxa"/>
            <w:vAlign w:val="center"/>
          </w:tcPr>
          <w:p w14:paraId="3CC79C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张</w:t>
            </w:r>
          </w:p>
        </w:tc>
      </w:tr>
      <w:tr w14:paraId="4DD3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1D8614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53</w:t>
            </w:r>
          </w:p>
        </w:tc>
        <w:tc>
          <w:tcPr>
            <w:tcW w:w="1176" w:type="dxa"/>
            <w:vAlign w:val="center"/>
          </w:tcPr>
          <w:p w14:paraId="1C4007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儿童面塑泥</w:t>
            </w:r>
          </w:p>
        </w:tc>
        <w:tc>
          <w:tcPr>
            <w:tcW w:w="6914" w:type="dxa"/>
            <w:vAlign w:val="center"/>
          </w:tcPr>
          <w:p w14:paraId="2EA0C9E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1.材质：面粉、蜂蜜、糯米粉、食用色素</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2.规格：12种常见颜色组成，每种颜色30g，一盒共360g</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面泥是用纯天然材料按比例混合制成，获得国家食品级认证，有着不霉、不裂、不变形、不褪色的特点，可塑性强，可与多种材料结合，色彩丰富，面泥材料通过了19种元素迁移检测，符合幼儿园玩具国际标准，非常适合幼儿使用</w:t>
            </w:r>
          </w:p>
        </w:tc>
        <w:tc>
          <w:tcPr>
            <w:tcW w:w="685" w:type="dxa"/>
            <w:vAlign w:val="center"/>
          </w:tcPr>
          <w:p w14:paraId="3E5CFF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12" w:type="dxa"/>
            <w:vAlign w:val="center"/>
          </w:tcPr>
          <w:p w14:paraId="6A4A0D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0D7C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2F664A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54</w:t>
            </w:r>
          </w:p>
        </w:tc>
        <w:tc>
          <w:tcPr>
            <w:tcW w:w="1176" w:type="dxa"/>
            <w:vAlign w:val="center"/>
          </w:tcPr>
          <w:p w14:paraId="507F0E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面塑工具套装</w:t>
            </w:r>
          </w:p>
        </w:tc>
        <w:tc>
          <w:tcPr>
            <w:tcW w:w="6914" w:type="dxa"/>
            <w:vAlign w:val="center"/>
          </w:tcPr>
          <w:p w14:paraId="7927016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1.材质：亚克力</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2.配件：16件/盒</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3.描述：用于幼儿制作面塑，不同工具用于塑造不同形象和细节，符合幼儿使用习惯</w:t>
            </w:r>
          </w:p>
        </w:tc>
        <w:tc>
          <w:tcPr>
            <w:tcW w:w="685" w:type="dxa"/>
            <w:vAlign w:val="center"/>
          </w:tcPr>
          <w:p w14:paraId="64D5EA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712" w:type="dxa"/>
            <w:vAlign w:val="center"/>
          </w:tcPr>
          <w:p w14:paraId="4689C4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盒</w:t>
            </w:r>
          </w:p>
        </w:tc>
      </w:tr>
      <w:tr w14:paraId="124C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298E3A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55</w:t>
            </w:r>
          </w:p>
        </w:tc>
        <w:tc>
          <w:tcPr>
            <w:tcW w:w="1176" w:type="dxa"/>
            <w:vAlign w:val="center"/>
          </w:tcPr>
          <w:p w14:paraId="5F50FE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果蔬清洗盆</w:t>
            </w:r>
          </w:p>
        </w:tc>
        <w:tc>
          <w:tcPr>
            <w:tcW w:w="6914" w:type="dxa"/>
            <w:vAlign w:val="center"/>
          </w:tcPr>
          <w:p w14:paraId="26D0CAB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1.规格：≥295*265*125mm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2.材质：塑料</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3.描述：快速沥水，加厚材质坚固耐用</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适用于幼儿进行水果、蔬菜清洗，可直接洗后沥水。</w:t>
            </w:r>
          </w:p>
        </w:tc>
        <w:tc>
          <w:tcPr>
            <w:tcW w:w="685" w:type="dxa"/>
            <w:vAlign w:val="center"/>
          </w:tcPr>
          <w:p w14:paraId="0EBB7A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712" w:type="dxa"/>
            <w:vAlign w:val="center"/>
          </w:tcPr>
          <w:p w14:paraId="4E2C77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2205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0DC8D4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56</w:t>
            </w:r>
          </w:p>
        </w:tc>
        <w:tc>
          <w:tcPr>
            <w:tcW w:w="1176" w:type="dxa"/>
            <w:vAlign w:val="center"/>
          </w:tcPr>
          <w:p w14:paraId="27D94C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厨具五件套</w:t>
            </w:r>
          </w:p>
        </w:tc>
        <w:tc>
          <w:tcPr>
            <w:tcW w:w="6914" w:type="dxa"/>
            <w:vAlign w:val="center"/>
          </w:tcPr>
          <w:p w14:paraId="448AFE6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1.规格：饭勺、汤勺、捞篱、锅铲、漏铲</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2.材质：硅胶</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3.描述：加厚材质，一体成型，握感舒适</w:t>
            </w:r>
          </w:p>
        </w:tc>
        <w:tc>
          <w:tcPr>
            <w:tcW w:w="685" w:type="dxa"/>
            <w:vAlign w:val="center"/>
          </w:tcPr>
          <w:p w14:paraId="09C1F9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712" w:type="dxa"/>
            <w:vAlign w:val="center"/>
          </w:tcPr>
          <w:p w14:paraId="566DB0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2D54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2F0688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57</w:t>
            </w:r>
          </w:p>
        </w:tc>
        <w:tc>
          <w:tcPr>
            <w:tcW w:w="1176" w:type="dxa"/>
            <w:vAlign w:val="center"/>
          </w:tcPr>
          <w:p w14:paraId="0E677B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花色刨</w:t>
            </w:r>
          </w:p>
        </w:tc>
        <w:tc>
          <w:tcPr>
            <w:tcW w:w="6914" w:type="dxa"/>
            <w:vAlign w:val="center"/>
          </w:tcPr>
          <w:p w14:paraId="4708BEF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1.规格：≥270*125mm,放菜口≥93*100mm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2.材质：PP+ABS+PET</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3.配件：2mm细丝刀片2个、3mm 粗丝刀片2个、2.5mm切片刀片2个、研磨刀片2个、波浪刀片2个、刀片盒1个</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4.用于食品制作前的食材处理，幼儿使用安全、省力、方便</w:t>
            </w:r>
          </w:p>
        </w:tc>
        <w:tc>
          <w:tcPr>
            <w:tcW w:w="685" w:type="dxa"/>
            <w:vAlign w:val="center"/>
          </w:tcPr>
          <w:p w14:paraId="4246E7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712" w:type="dxa"/>
            <w:vAlign w:val="center"/>
          </w:tcPr>
          <w:p w14:paraId="24F283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14E5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0EF71D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58</w:t>
            </w:r>
          </w:p>
        </w:tc>
        <w:tc>
          <w:tcPr>
            <w:tcW w:w="1176" w:type="dxa"/>
            <w:vAlign w:val="center"/>
          </w:tcPr>
          <w:p w14:paraId="3670B1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取盘夹</w:t>
            </w:r>
          </w:p>
        </w:tc>
        <w:tc>
          <w:tcPr>
            <w:tcW w:w="6914" w:type="dxa"/>
            <w:vAlign w:val="center"/>
          </w:tcPr>
          <w:p w14:paraId="6D929E5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1.规格：≥185*85mm </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2.材质：硅胶+不锈钢</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3.描述：波浪形夹口，取物稳妥，角度可调，受力好，不易掉落</w:t>
            </w:r>
          </w:p>
        </w:tc>
        <w:tc>
          <w:tcPr>
            <w:tcW w:w="685" w:type="dxa"/>
            <w:vAlign w:val="center"/>
          </w:tcPr>
          <w:p w14:paraId="5DC339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5460F3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03DE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22BF99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59</w:t>
            </w:r>
          </w:p>
        </w:tc>
        <w:tc>
          <w:tcPr>
            <w:tcW w:w="1176" w:type="dxa"/>
            <w:vAlign w:val="center"/>
          </w:tcPr>
          <w:p w14:paraId="5DBD36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幼儿专用砧板</w:t>
            </w:r>
          </w:p>
        </w:tc>
        <w:tc>
          <w:tcPr>
            <w:tcW w:w="6914" w:type="dxa"/>
            <w:vAlign w:val="center"/>
          </w:tcPr>
          <w:p w14:paraId="7F69FD1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1.规格：≥340*215mm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2.材质：PP+TPR</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3.描述：TPR加强背面防滑，放置于桌面上稳固防滑，易清洗不发霉，更适合幼儿使用</w:t>
            </w:r>
          </w:p>
        </w:tc>
        <w:tc>
          <w:tcPr>
            <w:tcW w:w="685" w:type="dxa"/>
            <w:vAlign w:val="center"/>
          </w:tcPr>
          <w:p w14:paraId="612C7D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w:t>
            </w:r>
          </w:p>
        </w:tc>
        <w:tc>
          <w:tcPr>
            <w:tcW w:w="712" w:type="dxa"/>
            <w:vAlign w:val="center"/>
          </w:tcPr>
          <w:p w14:paraId="0148DD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307B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64EE29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60</w:t>
            </w:r>
          </w:p>
        </w:tc>
        <w:tc>
          <w:tcPr>
            <w:tcW w:w="1176" w:type="dxa"/>
            <w:vAlign w:val="center"/>
          </w:tcPr>
          <w:p w14:paraId="1C7052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儿童刀具套装</w:t>
            </w:r>
          </w:p>
        </w:tc>
        <w:tc>
          <w:tcPr>
            <w:tcW w:w="6914" w:type="dxa"/>
            <w:vAlign w:val="center"/>
          </w:tcPr>
          <w:p w14:paraId="79A3E68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1.规格：大圆盘直径≥175mm、小圆盘直径≥130mm、厨师刀长≥285mm、水果刀长≥210mm、叉子长≥160mm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2.材质：食品级PP材质</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3.配件：5件/套（厨师刀、水果刀、叉子、大圆盘、小圆盘）</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4.描述：安全放心，防滑手柄，锯齿设计，使用省力。切割食材，制作美食。</w:t>
            </w:r>
          </w:p>
        </w:tc>
        <w:tc>
          <w:tcPr>
            <w:tcW w:w="685" w:type="dxa"/>
            <w:vAlign w:val="center"/>
          </w:tcPr>
          <w:p w14:paraId="149456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25</w:t>
            </w:r>
          </w:p>
        </w:tc>
        <w:tc>
          <w:tcPr>
            <w:tcW w:w="712" w:type="dxa"/>
            <w:vAlign w:val="center"/>
          </w:tcPr>
          <w:p w14:paraId="11FF37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0A81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5E962E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61</w:t>
            </w:r>
          </w:p>
        </w:tc>
        <w:tc>
          <w:tcPr>
            <w:tcW w:w="1176" w:type="dxa"/>
            <w:vAlign w:val="center"/>
          </w:tcPr>
          <w:p w14:paraId="15CC8C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果蔬压花模型</w:t>
            </w:r>
          </w:p>
        </w:tc>
        <w:tc>
          <w:tcPr>
            <w:tcW w:w="6914" w:type="dxa"/>
            <w:vAlign w:val="center"/>
          </w:tcPr>
          <w:p w14:paraId="31D88F0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1.材质：PP、304不锈钢</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2.尺寸：大号≥40mm*40mm       小号≥30mm*40mm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3.规格：9个/套</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4.304不锈钢，加厚护手，轻松脱模</w:t>
            </w:r>
          </w:p>
        </w:tc>
        <w:tc>
          <w:tcPr>
            <w:tcW w:w="685" w:type="dxa"/>
            <w:vAlign w:val="center"/>
          </w:tcPr>
          <w:p w14:paraId="3E2423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712" w:type="dxa"/>
            <w:vAlign w:val="center"/>
          </w:tcPr>
          <w:p w14:paraId="5B64BC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2B85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391A34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62</w:t>
            </w:r>
          </w:p>
        </w:tc>
        <w:tc>
          <w:tcPr>
            <w:tcW w:w="1176" w:type="dxa"/>
            <w:vAlign w:val="center"/>
          </w:tcPr>
          <w:p w14:paraId="708636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圆盘</w:t>
            </w:r>
          </w:p>
        </w:tc>
        <w:tc>
          <w:tcPr>
            <w:tcW w:w="6914" w:type="dxa"/>
            <w:vAlign w:val="center"/>
          </w:tcPr>
          <w:p w14:paraId="090B955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1.规格：直径≥200mm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2.材质：小麦秸秆+食品级PP</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3.描述：颜色鲜艳，环保耐用，耐摔耐高温；用于盛放食物或零食。</w:t>
            </w:r>
          </w:p>
        </w:tc>
        <w:tc>
          <w:tcPr>
            <w:tcW w:w="685" w:type="dxa"/>
            <w:vAlign w:val="center"/>
          </w:tcPr>
          <w:p w14:paraId="20F432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712" w:type="dxa"/>
            <w:vAlign w:val="center"/>
          </w:tcPr>
          <w:p w14:paraId="0AED95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48C3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777BD9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63</w:t>
            </w:r>
          </w:p>
        </w:tc>
        <w:tc>
          <w:tcPr>
            <w:tcW w:w="1176" w:type="dxa"/>
            <w:vAlign w:val="center"/>
          </w:tcPr>
          <w:p w14:paraId="0A903E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儿童餐具套装</w:t>
            </w:r>
          </w:p>
        </w:tc>
        <w:tc>
          <w:tcPr>
            <w:tcW w:w="6914" w:type="dxa"/>
            <w:vAlign w:val="center"/>
          </w:tcPr>
          <w:p w14:paraId="29E2878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1.规格：米奇餐盘≥210*245mm，鱼碗≥155*105*40mm，杯子≥80*90mm，勺叉筷长≥150mm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2.材质：小麦秸秆+PP食品材料</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3.配件：六件/套</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4.描述：卡通造型，餐盘分格不串味 ；用于盛装、夹取食物。</w:t>
            </w:r>
          </w:p>
        </w:tc>
        <w:tc>
          <w:tcPr>
            <w:tcW w:w="685" w:type="dxa"/>
            <w:vAlign w:val="center"/>
          </w:tcPr>
          <w:p w14:paraId="115F86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25</w:t>
            </w:r>
          </w:p>
        </w:tc>
        <w:tc>
          <w:tcPr>
            <w:tcW w:w="712" w:type="dxa"/>
            <w:vAlign w:val="center"/>
          </w:tcPr>
          <w:p w14:paraId="48E1A8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7BB3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216CCD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64</w:t>
            </w:r>
          </w:p>
        </w:tc>
        <w:tc>
          <w:tcPr>
            <w:tcW w:w="1176" w:type="dxa"/>
            <w:vAlign w:val="center"/>
          </w:tcPr>
          <w:p w14:paraId="2064CE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五谷收纳箱</w:t>
            </w:r>
          </w:p>
        </w:tc>
        <w:tc>
          <w:tcPr>
            <w:tcW w:w="6914" w:type="dxa"/>
            <w:vAlign w:val="center"/>
          </w:tcPr>
          <w:p w14:paraId="70C7463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1.规格：≥230*240mm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2.容量：设计精巧，约可装载6公斤，各类谷物杂粮，如大米、小米、燕麦、红豆等</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3.材质：环保材料PP（聚丙烯）与PET（聚对苯二甲酸乙二醇酯）复合而成，无毒无味，安全健康，确保长期储存谷物不变质</w:t>
            </w:r>
          </w:p>
        </w:tc>
        <w:tc>
          <w:tcPr>
            <w:tcW w:w="685" w:type="dxa"/>
            <w:vAlign w:val="center"/>
          </w:tcPr>
          <w:p w14:paraId="65436F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0807EF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054D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75D6A5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65</w:t>
            </w:r>
          </w:p>
        </w:tc>
        <w:tc>
          <w:tcPr>
            <w:tcW w:w="1176" w:type="dxa"/>
            <w:vAlign w:val="center"/>
          </w:tcPr>
          <w:p w14:paraId="552E4C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工具收纳储物盒</w:t>
            </w:r>
          </w:p>
        </w:tc>
        <w:tc>
          <w:tcPr>
            <w:tcW w:w="6914" w:type="dxa"/>
            <w:vAlign w:val="center"/>
          </w:tcPr>
          <w:p w14:paraId="1859178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1.规格：≥380*260*120mm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2.材质：金属框架，丙丝带编织布料</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3.描述：空间大，两侧设计有提手，用于物品收纳</w:t>
            </w:r>
          </w:p>
        </w:tc>
        <w:tc>
          <w:tcPr>
            <w:tcW w:w="685" w:type="dxa"/>
            <w:vAlign w:val="center"/>
          </w:tcPr>
          <w:p w14:paraId="2A962D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712" w:type="dxa"/>
            <w:vAlign w:val="center"/>
          </w:tcPr>
          <w:p w14:paraId="3214D7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1EA8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55A558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66</w:t>
            </w:r>
          </w:p>
        </w:tc>
        <w:tc>
          <w:tcPr>
            <w:tcW w:w="1176" w:type="dxa"/>
            <w:vAlign w:val="center"/>
          </w:tcPr>
          <w:p w14:paraId="5B4117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方形藤编筐（大）</w:t>
            </w:r>
          </w:p>
        </w:tc>
        <w:tc>
          <w:tcPr>
            <w:tcW w:w="6914" w:type="dxa"/>
            <w:vAlign w:val="center"/>
          </w:tcPr>
          <w:p w14:paraId="5CC128D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1.材质：柳条</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2.尺寸：≥350mm*250mm*80mm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精选柳条晒干之后，不用任何加工全部都是天然柳条手工编织而成</w:t>
            </w:r>
          </w:p>
        </w:tc>
        <w:tc>
          <w:tcPr>
            <w:tcW w:w="685" w:type="dxa"/>
            <w:vAlign w:val="center"/>
          </w:tcPr>
          <w:p w14:paraId="528FDE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712" w:type="dxa"/>
            <w:vAlign w:val="center"/>
          </w:tcPr>
          <w:p w14:paraId="279FC8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7C6B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3E9FF3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67</w:t>
            </w:r>
          </w:p>
        </w:tc>
        <w:tc>
          <w:tcPr>
            <w:tcW w:w="1176" w:type="dxa"/>
            <w:vAlign w:val="center"/>
          </w:tcPr>
          <w:p w14:paraId="0496D3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调味瓶架组合</w:t>
            </w:r>
          </w:p>
        </w:tc>
        <w:tc>
          <w:tcPr>
            <w:tcW w:w="6914" w:type="dxa"/>
            <w:vAlign w:val="center"/>
          </w:tcPr>
          <w:p w14:paraId="7C2B994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1.规格：架子尺寸≥305mm*190mm*75mm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2.材质：竹木+高硼硅玻璃+陶瓷</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3.配件：内含竹木架1套 陶瓷罐3个 玻璃瓶4个</w:t>
            </w:r>
          </w:p>
        </w:tc>
        <w:tc>
          <w:tcPr>
            <w:tcW w:w="685" w:type="dxa"/>
            <w:vAlign w:val="center"/>
          </w:tcPr>
          <w:p w14:paraId="6FBE67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4C0F53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5797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4216F0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68</w:t>
            </w:r>
          </w:p>
        </w:tc>
        <w:tc>
          <w:tcPr>
            <w:tcW w:w="1176" w:type="dxa"/>
            <w:vAlign w:val="center"/>
          </w:tcPr>
          <w:p w14:paraId="788ADF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量勺套装</w:t>
            </w:r>
          </w:p>
        </w:tc>
        <w:tc>
          <w:tcPr>
            <w:tcW w:w="6914" w:type="dxa"/>
            <w:vAlign w:val="center"/>
          </w:tcPr>
          <w:p w14:paraId="6AC703E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1.材质：PP</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2.规格：1.25g、2.5g、5g、7.5g、15g</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3.食品级PP塑料加厚用料，表面平滑，刻度清晰准确</w:t>
            </w:r>
          </w:p>
        </w:tc>
        <w:tc>
          <w:tcPr>
            <w:tcW w:w="685" w:type="dxa"/>
            <w:vAlign w:val="center"/>
          </w:tcPr>
          <w:p w14:paraId="60F3CC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712" w:type="dxa"/>
            <w:vAlign w:val="center"/>
          </w:tcPr>
          <w:p w14:paraId="3FC994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7BFE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14A994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69</w:t>
            </w:r>
          </w:p>
        </w:tc>
        <w:tc>
          <w:tcPr>
            <w:tcW w:w="1176" w:type="dxa"/>
            <w:vAlign w:val="center"/>
          </w:tcPr>
          <w:p w14:paraId="5FCD3B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量杯</w:t>
            </w:r>
          </w:p>
        </w:tc>
        <w:tc>
          <w:tcPr>
            <w:tcW w:w="6914" w:type="dxa"/>
            <w:vAlign w:val="center"/>
          </w:tcPr>
          <w:p w14:paraId="1174CB7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1.材质：ABS树脂</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2.规格：≥500ML</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3.三角倾斜嘴设计不外漏，加宽手柄，舒适握感，采用激光雕刻工艺，环保</w:t>
            </w:r>
          </w:p>
        </w:tc>
        <w:tc>
          <w:tcPr>
            <w:tcW w:w="685" w:type="dxa"/>
            <w:vAlign w:val="center"/>
          </w:tcPr>
          <w:p w14:paraId="2EA848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712" w:type="dxa"/>
            <w:vAlign w:val="center"/>
          </w:tcPr>
          <w:p w14:paraId="2C9025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6D4B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6AE0AC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70</w:t>
            </w:r>
          </w:p>
        </w:tc>
        <w:tc>
          <w:tcPr>
            <w:tcW w:w="1176" w:type="dxa"/>
            <w:vAlign w:val="center"/>
          </w:tcPr>
          <w:p w14:paraId="294EF7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计量称</w:t>
            </w:r>
          </w:p>
        </w:tc>
        <w:tc>
          <w:tcPr>
            <w:tcW w:w="6914" w:type="dxa"/>
            <w:vAlign w:val="center"/>
          </w:tcPr>
          <w:p w14:paraId="26BF0DF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1.材质：HIPS</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2.尺寸：≥195mm*150mm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3.承重量：3kg精度0.1g</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4.防水面板，创新圆角设计，耐摔耐磕碰，减少划痕，经久耐用，四个防滑脚垫，放于桌面不易滑动，背光LCD显示屏，读数清晰</w:t>
            </w:r>
          </w:p>
        </w:tc>
        <w:tc>
          <w:tcPr>
            <w:tcW w:w="685" w:type="dxa"/>
            <w:vAlign w:val="center"/>
          </w:tcPr>
          <w:p w14:paraId="2DE0A3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712" w:type="dxa"/>
            <w:vAlign w:val="center"/>
          </w:tcPr>
          <w:p w14:paraId="01A788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r>
      <w:tr w14:paraId="0A66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2BC890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71</w:t>
            </w:r>
          </w:p>
        </w:tc>
        <w:tc>
          <w:tcPr>
            <w:tcW w:w="1176" w:type="dxa"/>
            <w:vAlign w:val="center"/>
          </w:tcPr>
          <w:p w14:paraId="53E483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手持式面粉过滤筛</w:t>
            </w:r>
          </w:p>
        </w:tc>
        <w:tc>
          <w:tcPr>
            <w:tcW w:w="6914" w:type="dxa"/>
            <w:vAlign w:val="center"/>
          </w:tcPr>
          <w:p w14:paraId="01E5307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1.规格：≥150*105mm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2.材质：pp材质</w:t>
            </w:r>
          </w:p>
        </w:tc>
        <w:tc>
          <w:tcPr>
            <w:tcW w:w="685" w:type="dxa"/>
            <w:vAlign w:val="center"/>
          </w:tcPr>
          <w:p w14:paraId="2EFB05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w:t>
            </w:r>
          </w:p>
        </w:tc>
        <w:tc>
          <w:tcPr>
            <w:tcW w:w="712" w:type="dxa"/>
            <w:vAlign w:val="center"/>
          </w:tcPr>
          <w:p w14:paraId="15627B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64DB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6A451F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72</w:t>
            </w:r>
          </w:p>
        </w:tc>
        <w:tc>
          <w:tcPr>
            <w:tcW w:w="1176" w:type="dxa"/>
            <w:vAlign w:val="center"/>
          </w:tcPr>
          <w:p w14:paraId="79375D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分蛋过滤器</w:t>
            </w:r>
          </w:p>
        </w:tc>
        <w:tc>
          <w:tcPr>
            <w:tcW w:w="6914" w:type="dxa"/>
            <w:vAlign w:val="center"/>
          </w:tcPr>
          <w:p w14:paraId="64A6678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1.材质：PP</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2.尺寸：≥120mm*60mm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3.精选食品级PP材质，健康环保，卡槽设计不易掉，底部花型镂空设计，过滤效果好</w:t>
            </w:r>
          </w:p>
        </w:tc>
        <w:tc>
          <w:tcPr>
            <w:tcW w:w="685" w:type="dxa"/>
            <w:vAlign w:val="center"/>
          </w:tcPr>
          <w:p w14:paraId="318EEA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25</w:t>
            </w:r>
          </w:p>
        </w:tc>
        <w:tc>
          <w:tcPr>
            <w:tcW w:w="712" w:type="dxa"/>
            <w:vAlign w:val="center"/>
          </w:tcPr>
          <w:p w14:paraId="064ADA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79B6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372B47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73</w:t>
            </w:r>
          </w:p>
        </w:tc>
        <w:tc>
          <w:tcPr>
            <w:tcW w:w="1176" w:type="dxa"/>
            <w:vAlign w:val="center"/>
          </w:tcPr>
          <w:p w14:paraId="096AC2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分料碗</w:t>
            </w:r>
          </w:p>
        </w:tc>
        <w:tc>
          <w:tcPr>
            <w:tcW w:w="6914" w:type="dxa"/>
            <w:vAlign w:val="center"/>
          </w:tcPr>
          <w:p w14:paraId="5A38410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1.规格：≥120*55mm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2.材质：小麦秸秆+食品级PP</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3.描述：颜色鲜艳，环保耐用</w:t>
            </w:r>
          </w:p>
        </w:tc>
        <w:tc>
          <w:tcPr>
            <w:tcW w:w="685" w:type="dxa"/>
            <w:vAlign w:val="center"/>
          </w:tcPr>
          <w:p w14:paraId="2A7C4E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25</w:t>
            </w:r>
          </w:p>
        </w:tc>
        <w:tc>
          <w:tcPr>
            <w:tcW w:w="712" w:type="dxa"/>
            <w:vAlign w:val="center"/>
          </w:tcPr>
          <w:p w14:paraId="2FE672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13BF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4D6D15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74</w:t>
            </w:r>
          </w:p>
        </w:tc>
        <w:tc>
          <w:tcPr>
            <w:tcW w:w="1176" w:type="dxa"/>
            <w:vAlign w:val="center"/>
          </w:tcPr>
          <w:p w14:paraId="6AFAE2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不锈钢打蛋盆</w:t>
            </w:r>
          </w:p>
        </w:tc>
        <w:tc>
          <w:tcPr>
            <w:tcW w:w="6914" w:type="dxa"/>
            <w:vAlign w:val="center"/>
          </w:tcPr>
          <w:p w14:paraId="2C4BB19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1.材质：304不锈钢</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2.尺寸：直径≥200mm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3.精选不锈钢精铸而成，一次冲压成型，卷边设计，圆润边沿，表面光洁如镜，容易清洗</w:t>
            </w:r>
          </w:p>
        </w:tc>
        <w:tc>
          <w:tcPr>
            <w:tcW w:w="685" w:type="dxa"/>
            <w:vAlign w:val="center"/>
          </w:tcPr>
          <w:p w14:paraId="373EEF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712" w:type="dxa"/>
            <w:vAlign w:val="center"/>
          </w:tcPr>
          <w:p w14:paraId="3FB15C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15F4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2DF93C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75</w:t>
            </w:r>
          </w:p>
        </w:tc>
        <w:tc>
          <w:tcPr>
            <w:tcW w:w="1176" w:type="dxa"/>
            <w:vAlign w:val="center"/>
          </w:tcPr>
          <w:p w14:paraId="638716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连柄打蛋器</w:t>
            </w:r>
          </w:p>
        </w:tc>
        <w:tc>
          <w:tcPr>
            <w:tcW w:w="6914" w:type="dxa"/>
            <w:vAlign w:val="center"/>
          </w:tcPr>
          <w:p w14:paraId="6A19F5C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1.材质：304不锈钢</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2.规格：≥12寸</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3.精选不锈钢，加粗钢线，打发顺畅且均匀，结实耐用，清洗方便</w:t>
            </w:r>
          </w:p>
        </w:tc>
        <w:tc>
          <w:tcPr>
            <w:tcW w:w="685" w:type="dxa"/>
            <w:vAlign w:val="center"/>
          </w:tcPr>
          <w:p w14:paraId="70FA37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712" w:type="dxa"/>
            <w:vAlign w:val="center"/>
          </w:tcPr>
          <w:p w14:paraId="0AB3E6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7B1F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1555D0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76</w:t>
            </w:r>
          </w:p>
        </w:tc>
        <w:tc>
          <w:tcPr>
            <w:tcW w:w="1176" w:type="dxa"/>
            <w:vAlign w:val="center"/>
          </w:tcPr>
          <w:p w14:paraId="3FEFFD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硅胶刮刀</w:t>
            </w:r>
          </w:p>
        </w:tc>
        <w:tc>
          <w:tcPr>
            <w:tcW w:w="6914" w:type="dxa"/>
            <w:vAlign w:val="center"/>
          </w:tcPr>
          <w:p w14:paraId="7AA4A0D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1.材质：食品级硅胶</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2.尺寸：≥280m*50mm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3.精选原料，安全环保，一体成型设计，经久耐用，耐高温，易清洗</w:t>
            </w:r>
          </w:p>
        </w:tc>
        <w:tc>
          <w:tcPr>
            <w:tcW w:w="685" w:type="dxa"/>
            <w:vAlign w:val="center"/>
          </w:tcPr>
          <w:p w14:paraId="2F7E6B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712" w:type="dxa"/>
            <w:vAlign w:val="center"/>
          </w:tcPr>
          <w:p w14:paraId="72AB72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248B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5E7DE1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77</w:t>
            </w:r>
          </w:p>
        </w:tc>
        <w:tc>
          <w:tcPr>
            <w:tcW w:w="1176" w:type="dxa"/>
            <w:vAlign w:val="center"/>
          </w:tcPr>
          <w:p w14:paraId="763816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蛋糕脱模刀</w:t>
            </w:r>
          </w:p>
        </w:tc>
        <w:tc>
          <w:tcPr>
            <w:tcW w:w="6914" w:type="dxa"/>
            <w:vAlign w:val="center"/>
          </w:tcPr>
          <w:p w14:paraId="4E362B9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1.材质：PP</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2.尺寸：≥20mm*220mm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3.食品级PP塑料加厚用料,光滑不伤手，尖角设计，轻松脱模</w:t>
            </w:r>
          </w:p>
        </w:tc>
        <w:tc>
          <w:tcPr>
            <w:tcW w:w="685" w:type="dxa"/>
            <w:vAlign w:val="center"/>
          </w:tcPr>
          <w:p w14:paraId="6DABEC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712" w:type="dxa"/>
            <w:vAlign w:val="center"/>
          </w:tcPr>
          <w:p w14:paraId="4B0586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把</w:t>
            </w:r>
          </w:p>
        </w:tc>
      </w:tr>
      <w:tr w14:paraId="7F05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1BCE48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78</w:t>
            </w:r>
          </w:p>
        </w:tc>
        <w:tc>
          <w:tcPr>
            <w:tcW w:w="1176" w:type="dxa"/>
            <w:vAlign w:val="center"/>
          </w:tcPr>
          <w:p w14:paraId="6C7880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奶油抹刀</w:t>
            </w:r>
          </w:p>
        </w:tc>
        <w:tc>
          <w:tcPr>
            <w:tcW w:w="6914" w:type="dxa"/>
            <w:vAlign w:val="center"/>
          </w:tcPr>
          <w:p w14:paraId="5EA6B2E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1.材质：不锈钢、PP</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2.尺寸：≥320mm*30mm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3.采用不锈钢材质，硬度高，不易生锈，表面光滑无痕，镜面处理，流线型舒适手柄，握感舒适，经久耐用</w:t>
            </w:r>
          </w:p>
        </w:tc>
        <w:tc>
          <w:tcPr>
            <w:tcW w:w="685" w:type="dxa"/>
            <w:vAlign w:val="center"/>
          </w:tcPr>
          <w:p w14:paraId="60B93D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712" w:type="dxa"/>
            <w:vAlign w:val="center"/>
          </w:tcPr>
          <w:p w14:paraId="330328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把</w:t>
            </w:r>
          </w:p>
        </w:tc>
      </w:tr>
      <w:tr w14:paraId="3747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541613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79</w:t>
            </w:r>
          </w:p>
        </w:tc>
        <w:tc>
          <w:tcPr>
            <w:tcW w:w="1176" w:type="dxa"/>
            <w:vAlign w:val="center"/>
          </w:tcPr>
          <w:p w14:paraId="2CA2B1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油刷</w:t>
            </w:r>
          </w:p>
        </w:tc>
        <w:tc>
          <w:tcPr>
            <w:tcW w:w="6914" w:type="dxa"/>
            <w:vAlign w:val="center"/>
          </w:tcPr>
          <w:p w14:paraId="642A08C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1.材质：食品级硅胶</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2.尺寸：≥165mm*30mm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3.硅胶刷头柔软弹性好，不掉毛，不易断裂，刷油均匀</w:t>
            </w:r>
          </w:p>
        </w:tc>
        <w:tc>
          <w:tcPr>
            <w:tcW w:w="685" w:type="dxa"/>
            <w:vAlign w:val="center"/>
          </w:tcPr>
          <w:p w14:paraId="79D127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712" w:type="dxa"/>
            <w:vAlign w:val="center"/>
          </w:tcPr>
          <w:p w14:paraId="303C70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562A8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2F6464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80</w:t>
            </w:r>
          </w:p>
        </w:tc>
        <w:tc>
          <w:tcPr>
            <w:tcW w:w="1176" w:type="dxa"/>
            <w:vAlign w:val="center"/>
          </w:tcPr>
          <w:p w14:paraId="17C597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披萨工具套装</w:t>
            </w:r>
          </w:p>
        </w:tc>
        <w:tc>
          <w:tcPr>
            <w:tcW w:w="6914" w:type="dxa"/>
            <w:vAlign w:val="center"/>
          </w:tcPr>
          <w:p w14:paraId="7A058C5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1.规格：披萨轮刀≥60mm*190mm、披萨铲刀≥270mm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2.材质：不锈钢</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3.配件：2个/套（披萨轮刀、披萨铲刀）</w:t>
            </w:r>
          </w:p>
        </w:tc>
        <w:tc>
          <w:tcPr>
            <w:tcW w:w="685" w:type="dxa"/>
            <w:vAlign w:val="center"/>
          </w:tcPr>
          <w:p w14:paraId="2D8AED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12" w:type="dxa"/>
            <w:vAlign w:val="center"/>
          </w:tcPr>
          <w:p w14:paraId="383E4C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1F84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6E1FFA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81</w:t>
            </w:r>
          </w:p>
        </w:tc>
        <w:tc>
          <w:tcPr>
            <w:tcW w:w="1176" w:type="dxa"/>
            <w:vAlign w:val="center"/>
          </w:tcPr>
          <w:p w14:paraId="099B21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蛋糕转台</w:t>
            </w:r>
          </w:p>
        </w:tc>
        <w:tc>
          <w:tcPr>
            <w:tcW w:w="6914" w:type="dxa"/>
            <w:vAlign w:val="center"/>
          </w:tcPr>
          <w:p w14:paraId="2426AD7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1.材质：铝合金、硅胶</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2.尺寸：≥220mm*180mm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3.铝合金材质和防滑硅胶垫，操作平稳，坚固耐用，静音轴承转动顺畅，台面拉丝工艺，边沿圆润，手感舒适，无毛刺不伤手</w:t>
            </w:r>
          </w:p>
        </w:tc>
        <w:tc>
          <w:tcPr>
            <w:tcW w:w="685" w:type="dxa"/>
            <w:vAlign w:val="center"/>
          </w:tcPr>
          <w:p w14:paraId="688D3E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712" w:type="dxa"/>
            <w:vAlign w:val="center"/>
          </w:tcPr>
          <w:p w14:paraId="719AB3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35F8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2562EF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82</w:t>
            </w:r>
          </w:p>
        </w:tc>
        <w:tc>
          <w:tcPr>
            <w:tcW w:w="1176" w:type="dxa"/>
            <w:vAlign w:val="center"/>
          </w:tcPr>
          <w:p w14:paraId="4B4318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幼儿裱花嘴套装</w:t>
            </w:r>
          </w:p>
        </w:tc>
        <w:tc>
          <w:tcPr>
            <w:tcW w:w="6914" w:type="dxa"/>
            <w:vAlign w:val="center"/>
          </w:tcPr>
          <w:p w14:paraId="5FA602B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1.材质：不锈钢</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2.尺寸：≥195mm*130mm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3.不锈钢精铸而成，质感厚重，多种形状满足不同裱花需求，经久耐用</w:t>
            </w:r>
          </w:p>
        </w:tc>
        <w:tc>
          <w:tcPr>
            <w:tcW w:w="685" w:type="dxa"/>
            <w:vAlign w:val="center"/>
          </w:tcPr>
          <w:p w14:paraId="21A8F0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25</w:t>
            </w:r>
          </w:p>
        </w:tc>
        <w:tc>
          <w:tcPr>
            <w:tcW w:w="712" w:type="dxa"/>
            <w:vAlign w:val="center"/>
          </w:tcPr>
          <w:p w14:paraId="20BA22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7907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40A714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83</w:t>
            </w:r>
          </w:p>
        </w:tc>
        <w:tc>
          <w:tcPr>
            <w:tcW w:w="1176" w:type="dxa"/>
            <w:vAlign w:val="center"/>
          </w:tcPr>
          <w:p w14:paraId="6FB98A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6寸蛋糕练习模型</w:t>
            </w:r>
          </w:p>
        </w:tc>
        <w:tc>
          <w:tcPr>
            <w:tcW w:w="6914" w:type="dxa"/>
            <w:vAlign w:val="center"/>
          </w:tcPr>
          <w:p w14:paraId="7DB0470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1.规格：≥145*95mm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2.材质：环保食品级泡沫</w:t>
            </w:r>
          </w:p>
        </w:tc>
        <w:tc>
          <w:tcPr>
            <w:tcW w:w="685" w:type="dxa"/>
            <w:vAlign w:val="center"/>
          </w:tcPr>
          <w:p w14:paraId="47EB62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712" w:type="dxa"/>
            <w:vAlign w:val="center"/>
          </w:tcPr>
          <w:p w14:paraId="75A49D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3469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034A04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84</w:t>
            </w:r>
          </w:p>
        </w:tc>
        <w:tc>
          <w:tcPr>
            <w:tcW w:w="1176" w:type="dxa"/>
            <w:vAlign w:val="center"/>
          </w:tcPr>
          <w:p w14:paraId="5B7696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8寸蛋糕练习模型</w:t>
            </w:r>
          </w:p>
        </w:tc>
        <w:tc>
          <w:tcPr>
            <w:tcW w:w="6914" w:type="dxa"/>
            <w:vAlign w:val="center"/>
          </w:tcPr>
          <w:p w14:paraId="6D64CEC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1.规格：≥195*95mm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2.材质：环保食品级泡沫</w:t>
            </w:r>
          </w:p>
        </w:tc>
        <w:tc>
          <w:tcPr>
            <w:tcW w:w="685" w:type="dxa"/>
            <w:vAlign w:val="center"/>
          </w:tcPr>
          <w:p w14:paraId="2CCB1E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712" w:type="dxa"/>
            <w:vAlign w:val="center"/>
          </w:tcPr>
          <w:p w14:paraId="62FEEF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30B1B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6615FC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85</w:t>
            </w:r>
          </w:p>
        </w:tc>
        <w:tc>
          <w:tcPr>
            <w:tcW w:w="1176" w:type="dxa"/>
            <w:vAlign w:val="center"/>
          </w:tcPr>
          <w:p w14:paraId="0E2A4B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奶油泥</w:t>
            </w:r>
          </w:p>
        </w:tc>
        <w:tc>
          <w:tcPr>
            <w:tcW w:w="6914" w:type="dxa"/>
            <w:vAlign w:val="center"/>
          </w:tcPr>
          <w:p w14:paraId="2E8E258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1.规格：50g/袋</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2.材质：奶油土</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3.配件：6色/套（蓝色、白色、黄色、紫色、绿色、粉色）</w:t>
            </w:r>
          </w:p>
        </w:tc>
        <w:tc>
          <w:tcPr>
            <w:tcW w:w="685" w:type="dxa"/>
            <w:vAlign w:val="center"/>
          </w:tcPr>
          <w:p w14:paraId="2798E2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12" w:type="dxa"/>
            <w:vAlign w:val="center"/>
          </w:tcPr>
          <w:p w14:paraId="724348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5289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7D4232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86</w:t>
            </w:r>
          </w:p>
        </w:tc>
        <w:tc>
          <w:tcPr>
            <w:tcW w:w="1176" w:type="dxa"/>
            <w:vAlign w:val="center"/>
          </w:tcPr>
          <w:p w14:paraId="7782F7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蛋糕盒</w:t>
            </w:r>
          </w:p>
        </w:tc>
        <w:tc>
          <w:tcPr>
            <w:tcW w:w="6914" w:type="dxa"/>
            <w:vAlign w:val="center"/>
          </w:tcPr>
          <w:p w14:paraId="363EE38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1.材质：PP</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2.尺寸：≥260mm*130mm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3.PP材质，结实耐用，牢固卡扣设计不怕掉落，防尘保险密封效果好</w:t>
            </w:r>
          </w:p>
        </w:tc>
        <w:tc>
          <w:tcPr>
            <w:tcW w:w="685" w:type="dxa"/>
            <w:vAlign w:val="center"/>
          </w:tcPr>
          <w:p w14:paraId="66A40E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712" w:type="dxa"/>
            <w:vAlign w:val="center"/>
          </w:tcPr>
          <w:p w14:paraId="351269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43EA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140AED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87</w:t>
            </w:r>
          </w:p>
        </w:tc>
        <w:tc>
          <w:tcPr>
            <w:tcW w:w="1176" w:type="dxa"/>
            <w:vAlign w:val="center"/>
          </w:tcPr>
          <w:p w14:paraId="54815A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棉花糖纸棒</w:t>
            </w:r>
          </w:p>
        </w:tc>
        <w:tc>
          <w:tcPr>
            <w:tcW w:w="6914" w:type="dxa"/>
            <w:vAlign w:val="center"/>
          </w:tcPr>
          <w:p w14:paraId="64F4F6B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1.规格：300mm*10mm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2.材质：环保纸</w:t>
            </w:r>
          </w:p>
        </w:tc>
        <w:tc>
          <w:tcPr>
            <w:tcW w:w="685" w:type="dxa"/>
            <w:vAlign w:val="center"/>
          </w:tcPr>
          <w:p w14:paraId="10B82E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200</w:t>
            </w:r>
          </w:p>
        </w:tc>
        <w:tc>
          <w:tcPr>
            <w:tcW w:w="712" w:type="dxa"/>
            <w:vAlign w:val="center"/>
          </w:tcPr>
          <w:p w14:paraId="0B7743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支</w:t>
            </w:r>
          </w:p>
        </w:tc>
      </w:tr>
      <w:tr w14:paraId="214F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6E13DE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88</w:t>
            </w:r>
          </w:p>
        </w:tc>
        <w:tc>
          <w:tcPr>
            <w:tcW w:w="1176" w:type="dxa"/>
            <w:vAlign w:val="center"/>
          </w:tcPr>
          <w:p w14:paraId="337742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纸杯蛋糕</w:t>
            </w:r>
          </w:p>
        </w:tc>
        <w:tc>
          <w:tcPr>
            <w:tcW w:w="6914" w:type="dxa"/>
            <w:vAlign w:val="center"/>
          </w:tcPr>
          <w:p w14:paraId="02DB78C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1.材质：食品级白芯卡纸</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2.尺寸：≥45mm*45mm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3.采用食品级材质，健康环保，纸托花边设计，造型美观，不粘黏易脱模</w:t>
            </w:r>
          </w:p>
        </w:tc>
        <w:tc>
          <w:tcPr>
            <w:tcW w:w="685" w:type="dxa"/>
            <w:vAlign w:val="center"/>
          </w:tcPr>
          <w:p w14:paraId="3F8D41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200</w:t>
            </w:r>
          </w:p>
        </w:tc>
        <w:tc>
          <w:tcPr>
            <w:tcW w:w="712" w:type="dxa"/>
            <w:vAlign w:val="center"/>
          </w:tcPr>
          <w:p w14:paraId="509D0A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3270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63FA74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89</w:t>
            </w:r>
          </w:p>
        </w:tc>
        <w:tc>
          <w:tcPr>
            <w:tcW w:w="1176" w:type="dxa"/>
            <w:vAlign w:val="center"/>
          </w:tcPr>
          <w:p w14:paraId="7ECC3B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曲奇枪</w:t>
            </w:r>
          </w:p>
        </w:tc>
        <w:tc>
          <w:tcPr>
            <w:tcW w:w="6914" w:type="dxa"/>
            <w:vAlign w:val="center"/>
          </w:tcPr>
          <w:p w14:paraId="19692D5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1.材质：铝合金</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2.尺寸：≥170mm*55mm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3.配件：饼干花型模片*20，奶油裱花嘴*4</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4.裱花枪体光滑洁净，造型多样，经久耐用</w:t>
            </w:r>
          </w:p>
        </w:tc>
        <w:tc>
          <w:tcPr>
            <w:tcW w:w="685" w:type="dxa"/>
            <w:vAlign w:val="center"/>
          </w:tcPr>
          <w:p w14:paraId="680A15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712" w:type="dxa"/>
            <w:vAlign w:val="center"/>
          </w:tcPr>
          <w:p w14:paraId="7BE6D0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7B8C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651249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90</w:t>
            </w:r>
          </w:p>
        </w:tc>
        <w:tc>
          <w:tcPr>
            <w:tcW w:w="1176" w:type="dxa"/>
            <w:vAlign w:val="center"/>
          </w:tcPr>
          <w:p w14:paraId="05C08B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活底蛋糕模（小）</w:t>
            </w:r>
          </w:p>
        </w:tc>
        <w:tc>
          <w:tcPr>
            <w:tcW w:w="6914" w:type="dxa"/>
            <w:vAlign w:val="center"/>
          </w:tcPr>
          <w:p w14:paraId="724FB38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1.规格：≥6寸，直径165mm 高度75mm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2.材质：铝合金</w:t>
            </w:r>
          </w:p>
        </w:tc>
        <w:tc>
          <w:tcPr>
            <w:tcW w:w="685" w:type="dxa"/>
            <w:vAlign w:val="center"/>
          </w:tcPr>
          <w:p w14:paraId="0460FC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12" w:type="dxa"/>
            <w:vAlign w:val="center"/>
          </w:tcPr>
          <w:p w14:paraId="55C4B3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4439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506C5A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91</w:t>
            </w:r>
          </w:p>
        </w:tc>
        <w:tc>
          <w:tcPr>
            <w:tcW w:w="1176" w:type="dxa"/>
            <w:vAlign w:val="center"/>
          </w:tcPr>
          <w:p w14:paraId="13BC31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甜甜圈烤盘</w:t>
            </w:r>
          </w:p>
        </w:tc>
        <w:tc>
          <w:tcPr>
            <w:tcW w:w="6914" w:type="dxa"/>
            <w:vAlign w:val="center"/>
          </w:tcPr>
          <w:p w14:paraId="16224B3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1.规格：≥265*185*20mm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2.材质：碳钢</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3.描述：加厚碳钢，涂层处理，不沾不黏，导热性好，耐热温度300度</w:t>
            </w:r>
          </w:p>
        </w:tc>
        <w:tc>
          <w:tcPr>
            <w:tcW w:w="685" w:type="dxa"/>
            <w:vAlign w:val="center"/>
          </w:tcPr>
          <w:p w14:paraId="6E2BC3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712" w:type="dxa"/>
            <w:vAlign w:val="center"/>
          </w:tcPr>
          <w:p w14:paraId="71D843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26C4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64B3A2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92</w:t>
            </w:r>
          </w:p>
        </w:tc>
        <w:tc>
          <w:tcPr>
            <w:tcW w:w="1176" w:type="dxa"/>
            <w:vAlign w:val="center"/>
          </w:tcPr>
          <w:p w14:paraId="5EF341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蛋糕模具烤盘</w:t>
            </w:r>
          </w:p>
        </w:tc>
        <w:tc>
          <w:tcPr>
            <w:tcW w:w="6914" w:type="dxa"/>
            <w:vAlign w:val="center"/>
          </w:tcPr>
          <w:p w14:paraId="49CCC30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1.规格：≥265*185*25mm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2.材质：碳钢</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3.描述：加厚碳钢，涂层处理，不沾不黏，导热性好，耐热温度300度</w:t>
            </w:r>
          </w:p>
        </w:tc>
        <w:tc>
          <w:tcPr>
            <w:tcW w:w="685" w:type="dxa"/>
            <w:vAlign w:val="center"/>
          </w:tcPr>
          <w:p w14:paraId="0F1B95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712" w:type="dxa"/>
            <w:vAlign w:val="center"/>
          </w:tcPr>
          <w:p w14:paraId="2C38B9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0B4F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36A93B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93</w:t>
            </w:r>
          </w:p>
        </w:tc>
        <w:tc>
          <w:tcPr>
            <w:tcW w:w="1176" w:type="dxa"/>
            <w:vAlign w:val="center"/>
          </w:tcPr>
          <w:p w14:paraId="41C1B3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吐司模具</w:t>
            </w:r>
          </w:p>
        </w:tc>
        <w:tc>
          <w:tcPr>
            <w:tcW w:w="6914" w:type="dxa"/>
            <w:vAlign w:val="center"/>
          </w:tcPr>
          <w:p w14:paraId="2E5FCBF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1.规格：≥255*130*60mm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2.材质：碳钢</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3.描述：加厚碳钢，涂层处理，不沾不黏，导热性好，耐热温度300度</w:t>
            </w:r>
          </w:p>
        </w:tc>
        <w:tc>
          <w:tcPr>
            <w:tcW w:w="685" w:type="dxa"/>
            <w:vAlign w:val="center"/>
          </w:tcPr>
          <w:p w14:paraId="113914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712" w:type="dxa"/>
            <w:vAlign w:val="center"/>
          </w:tcPr>
          <w:p w14:paraId="281EDF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4834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771D30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94</w:t>
            </w:r>
          </w:p>
        </w:tc>
        <w:tc>
          <w:tcPr>
            <w:tcW w:w="1176" w:type="dxa"/>
            <w:vAlign w:val="center"/>
          </w:tcPr>
          <w:p w14:paraId="59AD82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印花模具</w:t>
            </w:r>
          </w:p>
        </w:tc>
        <w:tc>
          <w:tcPr>
            <w:tcW w:w="6914" w:type="dxa"/>
            <w:vAlign w:val="center"/>
          </w:tcPr>
          <w:p w14:paraId="2244B35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1.规格：单个模具大小20-40mm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2.材质：食品级聚乙烯</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3.描述：33件/套，图案有趣</w:t>
            </w:r>
          </w:p>
        </w:tc>
        <w:tc>
          <w:tcPr>
            <w:tcW w:w="685" w:type="dxa"/>
            <w:vAlign w:val="center"/>
          </w:tcPr>
          <w:p w14:paraId="4EB181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712" w:type="dxa"/>
            <w:vAlign w:val="center"/>
          </w:tcPr>
          <w:p w14:paraId="0E9E84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3EB5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30421D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95</w:t>
            </w:r>
          </w:p>
        </w:tc>
        <w:tc>
          <w:tcPr>
            <w:tcW w:w="1176" w:type="dxa"/>
            <w:vAlign w:val="center"/>
          </w:tcPr>
          <w:p w14:paraId="083AB6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披萨盘</w:t>
            </w:r>
          </w:p>
        </w:tc>
        <w:tc>
          <w:tcPr>
            <w:tcW w:w="6914" w:type="dxa"/>
            <w:vAlign w:val="center"/>
          </w:tcPr>
          <w:p w14:paraId="7C66B73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1.材质：碳钢、特氟龙不粘层</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2.尺寸：≥200mm*25mm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3.表面不粘涂层，碳钢材质导热性能好，坚固耐用，不易掉漆，清洗方便</w:t>
            </w:r>
          </w:p>
        </w:tc>
        <w:tc>
          <w:tcPr>
            <w:tcW w:w="685" w:type="dxa"/>
            <w:vAlign w:val="center"/>
          </w:tcPr>
          <w:p w14:paraId="063EAC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712" w:type="dxa"/>
            <w:vAlign w:val="center"/>
          </w:tcPr>
          <w:p w14:paraId="38E411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4915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791B9B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96</w:t>
            </w:r>
          </w:p>
        </w:tc>
        <w:tc>
          <w:tcPr>
            <w:tcW w:w="1176" w:type="dxa"/>
            <w:vAlign w:val="center"/>
          </w:tcPr>
          <w:p w14:paraId="64C381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铝箔纸</w:t>
            </w:r>
          </w:p>
        </w:tc>
        <w:tc>
          <w:tcPr>
            <w:tcW w:w="6914" w:type="dxa"/>
            <w:vAlign w:val="center"/>
          </w:tcPr>
          <w:p w14:paraId="096C6CB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1.材质：铝箔</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2.尺寸：≥300mm*10000mm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3.耐热性强，加厚耐烤，防油防粘，剪裁方便，可塑性强</w:t>
            </w:r>
          </w:p>
        </w:tc>
        <w:tc>
          <w:tcPr>
            <w:tcW w:w="685" w:type="dxa"/>
            <w:vAlign w:val="center"/>
          </w:tcPr>
          <w:p w14:paraId="69E7CD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12" w:type="dxa"/>
            <w:vAlign w:val="center"/>
          </w:tcPr>
          <w:p w14:paraId="0A2E4B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卷</w:t>
            </w:r>
          </w:p>
        </w:tc>
      </w:tr>
      <w:tr w14:paraId="1B57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092F7D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97</w:t>
            </w:r>
          </w:p>
        </w:tc>
        <w:tc>
          <w:tcPr>
            <w:tcW w:w="1176" w:type="dxa"/>
            <w:vAlign w:val="center"/>
          </w:tcPr>
          <w:p w14:paraId="5AFF44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硅油纸</w:t>
            </w:r>
          </w:p>
        </w:tc>
        <w:tc>
          <w:tcPr>
            <w:tcW w:w="6914" w:type="dxa"/>
            <w:vAlign w:val="center"/>
          </w:tcPr>
          <w:p w14:paraId="0FA4AB5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1.材质：双面硅加工耐油纸</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2.尺寸：≥300mm*5000mm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3.健康环保植物性硅油，防油防粘，干净卫生</w:t>
            </w:r>
          </w:p>
        </w:tc>
        <w:tc>
          <w:tcPr>
            <w:tcW w:w="685" w:type="dxa"/>
            <w:vAlign w:val="center"/>
          </w:tcPr>
          <w:p w14:paraId="06C0A3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12" w:type="dxa"/>
            <w:vAlign w:val="center"/>
          </w:tcPr>
          <w:p w14:paraId="5DA211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卷</w:t>
            </w:r>
          </w:p>
        </w:tc>
      </w:tr>
      <w:tr w14:paraId="316A1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1EFD6B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98</w:t>
            </w:r>
          </w:p>
        </w:tc>
        <w:tc>
          <w:tcPr>
            <w:tcW w:w="1176" w:type="dxa"/>
            <w:vAlign w:val="center"/>
          </w:tcPr>
          <w:p w14:paraId="357BB2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保鲜膜</w:t>
            </w:r>
          </w:p>
        </w:tc>
        <w:tc>
          <w:tcPr>
            <w:tcW w:w="6914" w:type="dxa"/>
            <w:vAlign w:val="center"/>
          </w:tcPr>
          <w:p w14:paraId="1CBC97F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1.材质：食品PE</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2.尺寸：≥300mm*30000mm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3.高强度PE原料，柔韧耐用，密封严实，锁住新鲜</w:t>
            </w:r>
          </w:p>
        </w:tc>
        <w:tc>
          <w:tcPr>
            <w:tcW w:w="685" w:type="dxa"/>
            <w:vAlign w:val="center"/>
          </w:tcPr>
          <w:p w14:paraId="09BD48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12" w:type="dxa"/>
            <w:vAlign w:val="center"/>
          </w:tcPr>
          <w:p w14:paraId="470C45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卷</w:t>
            </w:r>
          </w:p>
        </w:tc>
      </w:tr>
      <w:tr w14:paraId="776C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2B4E17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99</w:t>
            </w:r>
          </w:p>
        </w:tc>
        <w:tc>
          <w:tcPr>
            <w:tcW w:w="1176" w:type="dxa"/>
            <w:vAlign w:val="center"/>
          </w:tcPr>
          <w:p w14:paraId="192460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食品夹</w:t>
            </w:r>
          </w:p>
        </w:tc>
        <w:tc>
          <w:tcPr>
            <w:tcW w:w="6914" w:type="dxa"/>
            <w:vAlign w:val="center"/>
          </w:tcPr>
          <w:p w14:paraId="3C83986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1.材质：食品级pp</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2.尺寸：≥195mm*30mm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3.食品级选材，防烫耐高温，防滑夹头，不易脱落，夹取方便，加长手柄，握感舒适，轻松省力。</w:t>
            </w:r>
          </w:p>
        </w:tc>
        <w:tc>
          <w:tcPr>
            <w:tcW w:w="685" w:type="dxa"/>
            <w:vAlign w:val="center"/>
          </w:tcPr>
          <w:p w14:paraId="71B10C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12" w:type="dxa"/>
            <w:vAlign w:val="center"/>
          </w:tcPr>
          <w:p w14:paraId="0057AB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38666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6B9EBD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100</w:t>
            </w:r>
          </w:p>
        </w:tc>
        <w:tc>
          <w:tcPr>
            <w:tcW w:w="1176" w:type="dxa"/>
            <w:vAlign w:val="center"/>
          </w:tcPr>
          <w:p w14:paraId="2E74D5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食品袋封口器</w:t>
            </w:r>
          </w:p>
        </w:tc>
        <w:tc>
          <w:tcPr>
            <w:tcW w:w="6914" w:type="dxa"/>
            <w:vAlign w:val="center"/>
          </w:tcPr>
          <w:p w14:paraId="41A7AF6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1.材质：PP</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2.尺寸：≥70mm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3.精选PP材质，弯折处不易断裂，经得起反复开合，封口紧密，防潮不串味，卡扣开合，操作便捷</w:t>
            </w:r>
          </w:p>
        </w:tc>
        <w:tc>
          <w:tcPr>
            <w:tcW w:w="685" w:type="dxa"/>
            <w:vAlign w:val="center"/>
          </w:tcPr>
          <w:p w14:paraId="5D3FB4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12" w:type="dxa"/>
            <w:vAlign w:val="center"/>
          </w:tcPr>
          <w:p w14:paraId="52B1CE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706C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1288CF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101</w:t>
            </w:r>
          </w:p>
        </w:tc>
        <w:tc>
          <w:tcPr>
            <w:tcW w:w="1176" w:type="dxa"/>
            <w:vAlign w:val="center"/>
          </w:tcPr>
          <w:p w14:paraId="638A96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保鲜袋</w:t>
            </w:r>
          </w:p>
        </w:tc>
        <w:tc>
          <w:tcPr>
            <w:tcW w:w="6914" w:type="dxa"/>
            <w:vAlign w:val="center"/>
          </w:tcPr>
          <w:p w14:paraId="04C680C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1.材质：食品PE</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2.规格：100只/卷</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3.高强度PE原料，柔韧耐用，密封严实，锁住新鲜</w:t>
            </w:r>
          </w:p>
        </w:tc>
        <w:tc>
          <w:tcPr>
            <w:tcW w:w="685" w:type="dxa"/>
            <w:vAlign w:val="center"/>
          </w:tcPr>
          <w:p w14:paraId="445C3F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712" w:type="dxa"/>
            <w:vAlign w:val="center"/>
          </w:tcPr>
          <w:p w14:paraId="45B823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卷</w:t>
            </w:r>
          </w:p>
        </w:tc>
      </w:tr>
      <w:tr w14:paraId="26CF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5C39A4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102</w:t>
            </w:r>
          </w:p>
        </w:tc>
        <w:tc>
          <w:tcPr>
            <w:tcW w:w="1176" w:type="dxa"/>
            <w:vAlign w:val="center"/>
          </w:tcPr>
          <w:p w14:paraId="12BA93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糕点收纳三层筐</w:t>
            </w:r>
          </w:p>
        </w:tc>
        <w:tc>
          <w:tcPr>
            <w:tcW w:w="6914" w:type="dxa"/>
            <w:vAlign w:val="center"/>
          </w:tcPr>
          <w:p w14:paraId="52C6B7C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511175</wp:posOffset>
                  </wp:positionH>
                  <wp:positionV relativeFrom="paragraph">
                    <wp:posOffset>47625</wp:posOffset>
                  </wp:positionV>
                  <wp:extent cx="597535" cy="500380"/>
                  <wp:effectExtent l="0" t="0" r="0" b="0"/>
                  <wp:wrapNone/>
                  <wp:docPr id="175" name="ID_B5BF18E09CFE43799C5EE3D44F45FB47"/>
                  <wp:cNvGraphicFramePr/>
                  <a:graphic xmlns:a="http://schemas.openxmlformats.org/drawingml/2006/main">
                    <a:graphicData uri="http://schemas.openxmlformats.org/drawingml/2006/picture">
                      <pic:pic xmlns:pic="http://schemas.openxmlformats.org/drawingml/2006/picture">
                        <pic:nvPicPr>
                          <pic:cNvPr id="175" name="ID_B5BF18E09CFE43799C5EE3D44F45FB47"/>
                          <pic:cNvPicPr/>
                        </pic:nvPicPr>
                        <pic:blipFill>
                          <a:blip r:embed="rId14"/>
                          <a:stretch>
                            <a:fillRect/>
                          </a:stretch>
                        </pic:blipFill>
                        <pic:spPr>
                          <a:xfrm>
                            <a:off x="0" y="0"/>
                            <a:ext cx="597535" cy="5003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511175</wp:posOffset>
                  </wp:positionH>
                  <wp:positionV relativeFrom="paragraph">
                    <wp:posOffset>47625</wp:posOffset>
                  </wp:positionV>
                  <wp:extent cx="597535" cy="500380"/>
                  <wp:effectExtent l="0" t="0" r="0" b="0"/>
                  <wp:wrapNone/>
                  <wp:docPr id="176" name="ID_B5BF18E09CFE43799C5EE3D44F45FB47_SpCnt_1"/>
                  <wp:cNvGraphicFramePr/>
                  <a:graphic xmlns:a="http://schemas.openxmlformats.org/drawingml/2006/main">
                    <a:graphicData uri="http://schemas.openxmlformats.org/drawingml/2006/picture">
                      <pic:pic xmlns:pic="http://schemas.openxmlformats.org/drawingml/2006/picture">
                        <pic:nvPicPr>
                          <pic:cNvPr id="176" name="ID_B5BF18E09CFE43799C5EE3D44F45FB47_SpCnt_1"/>
                          <pic:cNvPicPr/>
                        </pic:nvPicPr>
                        <pic:blipFill>
                          <a:blip r:embed="rId14"/>
                          <a:stretch>
                            <a:fillRect/>
                          </a:stretch>
                        </pic:blipFill>
                        <pic:spPr>
                          <a:xfrm>
                            <a:off x="0" y="0"/>
                            <a:ext cx="597535" cy="5003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518795</wp:posOffset>
                  </wp:positionH>
                  <wp:positionV relativeFrom="paragraph">
                    <wp:posOffset>47625</wp:posOffset>
                  </wp:positionV>
                  <wp:extent cx="597535" cy="500380"/>
                  <wp:effectExtent l="0" t="0" r="0" b="0"/>
                  <wp:wrapNone/>
                  <wp:docPr id="177" name="ID_B5BF18E09CFE43799C5EE3D44F45FB47_SpCnt_2"/>
                  <wp:cNvGraphicFramePr/>
                  <a:graphic xmlns:a="http://schemas.openxmlformats.org/drawingml/2006/main">
                    <a:graphicData uri="http://schemas.openxmlformats.org/drawingml/2006/picture">
                      <pic:pic xmlns:pic="http://schemas.openxmlformats.org/drawingml/2006/picture">
                        <pic:nvPicPr>
                          <pic:cNvPr id="177" name="ID_B5BF18E09CFE43799C5EE3D44F45FB47_SpCnt_2"/>
                          <pic:cNvPicPr/>
                        </pic:nvPicPr>
                        <pic:blipFill>
                          <a:blip r:embed="rId14"/>
                          <a:stretch>
                            <a:fillRect/>
                          </a:stretch>
                        </pic:blipFill>
                        <pic:spPr>
                          <a:xfrm>
                            <a:off x="0" y="0"/>
                            <a:ext cx="597535" cy="5003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518795</wp:posOffset>
                  </wp:positionH>
                  <wp:positionV relativeFrom="paragraph">
                    <wp:posOffset>47625</wp:posOffset>
                  </wp:positionV>
                  <wp:extent cx="597535" cy="500380"/>
                  <wp:effectExtent l="0" t="0" r="0" b="0"/>
                  <wp:wrapNone/>
                  <wp:docPr id="178" name="ID_B5BF18E09CFE43799C5EE3D44F45FB47_SpCnt_3"/>
                  <wp:cNvGraphicFramePr/>
                  <a:graphic xmlns:a="http://schemas.openxmlformats.org/drawingml/2006/main">
                    <a:graphicData uri="http://schemas.openxmlformats.org/drawingml/2006/picture">
                      <pic:pic xmlns:pic="http://schemas.openxmlformats.org/drawingml/2006/picture">
                        <pic:nvPicPr>
                          <pic:cNvPr id="178" name="ID_B5BF18E09CFE43799C5EE3D44F45FB47_SpCnt_3"/>
                          <pic:cNvPicPr/>
                        </pic:nvPicPr>
                        <pic:blipFill>
                          <a:blip r:embed="rId14"/>
                          <a:stretch>
                            <a:fillRect/>
                          </a:stretch>
                        </pic:blipFill>
                        <pic:spPr>
                          <a:xfrm>
                            <a:off x="0" y="0"/>
                            <a:ext cx="597535" cy="5003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521335</wp:posOffset>
                  </wp:positionH>
                  <wp:positionV relativeFrom="paragraph">
                    <wp:posOffset>47625</wp:posOffset>
                  </wp:positionV>
                  <wp:extent cx="597535" cy="500380"/>
                  <wp:effectExtent l="0" t="0" r="0" b="0"/>
                  <wp:wrapNone/>
                  <wp:docPr id="179" name="ID_B73E8774DBA24C66A077783CE7B139D0_SpCnt_4"/>
                  <wp:cNvGraphicFramePr/>
                  <a:graphic xmlns:a="http://schemas.openxmlformats.org/drawingml/2006/main">
                    <a:graphicData uri="http://schemas.openxmlformats.org/drawingml/2006/picture">
                      <pic:pic xmlns:pic="http://schemas.openxmlformats.org/drawingml/2006/picture">
                        <pic:nvPicPr>
                          <pic:cNvPr id="179" name="ID_B73E8774DBA24C66A077783CE7B139D0_SpCnt_4"/>
                          <pic:cNvPicPr/>
                        </pic:nvPicPr>
                        <pic:blipFill>
                          <a:blip r:embed="rId14"/>
                          <a:stretch>
                            <a:fillRect/>
                          </a:stretch>
                        </pic:blipFill>
                        <pic:spPr>
                          <a:xfrm>
                            <a:off x="0" y="0"/>
                            <a:ext cx="597535" cy="5003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521335</wp:posOffset>
                  </wp:positionH>
                  <wp:positionV relativeFrom="paragraph">
                    <wp:posOffset>47625</wp:posOffset>
                  </wp:positionV>
                  <wp:extent cx="597535" cy="500380"/>
                  <wp:effectExtent l="0" t="0" r="0" b="0"/>
                  <wp:wrapNone/>
                  <wp:docPr id="180" name="ID_B73E8774DBA24C66A077783CE7B139D0_SpCnt_5"/>
                  <wp:cNvGraphicFramePr/>
                  <a:graphic xmlns:a="http://schemas.openxmlformats.org/drawingml/2006/main">
                    <a:graphicData uri="http://schemas.openxmlformats.org/drawingml/2006/picture">
                      <pic:pic xmlns:pic="http://schemas.openxmlformats.org/drawingml/2006/picture">
                        <pic:nvPicPr>
                          <pic:cNvPr id="180" name="ID_B73E8774DBA24C66A077783CE7B139D0_SpCnt_5"/>
                          <pic:cNvPicPr/>
                        </pic:nvPicPr>
                        <pic:blipFill>
                          <a:blip r:embed="rId14"/>
                          <a:stretch>
                            <a:fillRect/>
                          </a:stretch>
                        </pic:blipFill>
                        <pic:spPr>
                          <a:xfrm>
                            <a:off x="0" y="0"/>
                            <a:ext cx="597535" cy="5003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528955</wp:posOffset>
                  </wp:positionH>
                  <wp:positionV relativeFrom="paragraph">
                    <wp:posOffset>47625</wp:posOffset>
                  </wp:positionV>
                  <wp:extent cx="597535" cy="500380"/>
                  <wp:effectExtent l="0" t="0" r="0" b="0"/>
                  <wp:wrapNone/>
                  <wp:docPr id="181" name="ID_E826D4FD2F1D481EA1CFBD3451A51F56"/>
                  <wp:cNvGraphicFramePr/>
                  <a:graphic xmlns:a="http://schemas.openxmlformats.org/drawingml/2006/main">
                    <a:graphicData uri="http://schemas.openxmlformats.org/drawingml/2006/picture">
                      <pic:pic xmlns:pic="http://schemas.openxmlformats.org/drawingml/2006/picture">
                        <pic:nvPicPr>
                          <pic:cNvPr id="181" name="ID_E826D4FD2F1D481EA1CFBD3451A51F56"/>
                          <pic:cNvPicPr/>
                        </pic:nvPicPr>
                        <pic:blipFill>
                          <a:blip r:embed="rId14"/>
                          <a:stretch>
                            <a:fillRect/>
                          </a:stretch>
                        </pic:blipFill>
                        <pic:spPr>
                          <a:xfrm>
                            <a:off x="0" y="0"/>
                            <a:ext cx="597535" cy="5003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532765</wp:posOffset>
                  </wp:positionH>
                  <wp:positionV relativeFrom="paragraph">
                    <wp:posOffset>47625</wp:posOffset>
                  </wp:positionV>
                  <wp:extent cx="597535" cy="500380"/>
                  <wp:effectExtent l="0" t="0" r="0" b="0"/>
                  <wp:wrapNone/>
                  <wp:docPr id="182" name="ID_DE60E1367F4D47B68B43A253F9DB257F"/>
                  <wp:cNvGraphicFramePr/>
                  <a:graphic xmlns:a="http://schemas.openxmlformats.org/drawingml/2006/main">
                    <a:graphicData uri="http://schemas.openxmlformats.org/drawingml/2006/picture">
                      <pic:pic xmlns:pic="http://schemas.openxmlformats.org/drawingml/2006/picture">
                        <pic:nvPicPr>
                          <pic:cNvPr id="182" name="ID_DE60E1367F4D47B68B43A253F9DB257F"/>
                          <pic:cNvPicPr/>
                        </pic:nvPicPr>
                        <pic:blipFill>
                          <a:blip r:embed="rId14"/>
                          <a:stretch>
                            <a:fillRect/>
                          </a:stretch>
                        </pic:blipFill>
                        <pic:spPr>
                          <a:xfrm>
                            <a:off x="0" y="0"/>
                            <a:ext cx="597535" cy="5003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528955</wp:posOffset>
                  </wp:positionH>
                  <wp:positionV relativeFrom="paragraph">
                    <wp:posOffset>47625</wp:posOffset>
                  </wp:positionV>
                  <wp:extent cx="597535" cy="500380"/>
                  <wp:effectExtent l="0" t="0" r="0" b="0"/>
                  <wp:wrapNone/>
                  <wp:docPr id="183" name="ID_E826D4FD2F1D481EA1CFBD3451A51F56_SpCnt_1"/>
                  <wp:cNvGraphicFramePr/>
                  <a:graphic xmlns:a="http://schemas.openxmlformats.org/drawingml/2006/main">
                    <a:graphicData uri="http://schemas.openxmlformats.org/drawingml/2006/picture">
                      <pic:pic xmlns:pic="http://schemas.openxmlformats.org/drawingml/2006/picture">
                        <pic:nvPicPr>
                          <pic:cNvPr id="183" name="ID_E826D4FD2F1D481EA1CFBD3451A51F56_SpCnt_1"/>
                          <pic:cNvPicPr/>
                        </pic:nvPicPr>
                        <pic:blipFill>
                          <a:blip r:embed="rId14"/>
                          <a:stretch>
                            <a:fillRect/>
                          </a:stretch>
                        </pic:blipFill>
                        <pic:spPr>
                          <a:xfrm>
                            <a:off x="0" y="0"/>
                            <a:ext cx="597535" cy="5003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532765</wp:posOffset>
                  </wp:positionH>
                  <wp:positionV relativeFrom="paragraph">
                    <wp:posOffset>47625</wp:posOffset>
                  </wp:positionV>
                  <wp:extent cx="597535" cy="500380"/>
                  <wp:effectExtent l="0" t="0" r="0" b="0"/>
                  <wp:wrapNone/>
                  <wp:docPr id="184" name="ID_DE60E1367F4D47B68B43A253F9DB257F_SpCnt_1"/>
                  <wp:cNvGraphicFramePr/>
                  <a:graphic xmlns:a="http://schemas.openxmlformats.org/drawingml/2006/main">
                    <a:graphicData uri="http://schemas.openxmlformats.org/drawingml/2006/picture">
                      <pic:pic xmlns:pic="http://schemas.openxmlformats.org/drawingml/2006/picture">
                        <pic:nvPicPr>
                          <pic:cNvPr id="184" name="ID_DE60E1367F4D47B68B43A253F9DB257F_SpCnt_1"/>
                          <pic:cNvPicPr/>
                        </pic:nvPicPr>
                        <pic:blipFill>
                          <a:blip r:embed="rId14"/>
                          <a:stretch>
                            <a:fillRect/>
                          </a:stretch>
                        </pic:blipFill>
                        <pic:spPr>
                          <a:xfrm>
                            <a:off x="0" y="0"/>
                            <a:ext cx="597535" cy="5003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528955</wp:posOffset>
                  </wp:positionH>
                  <wp:positionV relativeFrom="paragraph">
                    <wp:posOffset>47625</wp:posOffset>
                  </wp:positionV>
                  <wp:extent cx="597535" cy="500380"/>
                  <wp:effectExtent l="0" t="0" r="0" b="0"/>
                  <wp:wrapNone/>
                  <wp:docPr id="185" name="ID_CA31AD5AD4A240A69EBE9CEAC8E99D77"/>
                  <wp:cNvGraphicFramePr/>
                  <a:graphic xmlns:a="http://schemas.openxmlformats.org/drawingml/2006/main">
                    <a:graphicData uri="http://schemas.openxmlformats.org/drawingml/2006/picture">
                      <pic:pic xmlns:pic="http://schemas.openxmlformats.org/drawingml/2006/picture">
                        <pic:nvPicPr>
                          <pic:cNvPr id="185" name="ID_CA31AD5AD4A240A69EBE9CEAC8E99D77"/>
                          <pic:cNvPicPr/>
                        </pic:nvPicPr>
                        <pic:blipFill>
                          <a:blip r:embed="rId14"/>
                          <a:stretch>
                            <a:fillRect/>
                          </a:stretch>
                        </pic:blipFill>
                        <pic:spPr>
                          <a:xfrm>
                            <a:off x="0" y="0"/>
                            <a:ext cx="597535" cy="5003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528955</wp:posOffset>
                  </wp:positionH>
                  <wp:positionV relativeFrom="paragraph">
                    <wp:posOffset>47625</wp:posOffset>
                  </wp:positionV>
                  <wp:extent cx="597535" cy="500380"/>
                  <wp:effectExtent l="0" t="0" r="0" b="0"/>
                  <wp:wrapNone/>
                  <wp:docPr id="186" name="ID_CA31AD5AD4A240A69EBE9CEAC8E99D77_SpCnt_1"/>
                  <wp:cNvGraphicFramePr/>
                  <a:graphic xmlns:a="http://schemas.openxmlformats.org/drawingml/2006/main">
                    <a:graphicData uri="http://schemas.openxmlformats.org/drawingml/2006/picture">
                      <pic:pic xmlns:pic="http://schemas.openxmlformats.org/drawingml/2006/picture">
                        <pic:nvPicPr>
                          <pic:cNvPr id="186" name="ID_CA31AD5AD4A240A69EBE9CEAC8E99D77_SpCnt_1"/>
                          <pic:cNvPicPr/>
                        </pic:nvPicPr>
                        <pic:blipFill>
                          <a:blip r:embed="rId14"/>
                          <a:stretch>
                            <a:fillRect/>
                          </a:stretch>
                        </pic:blipFill>
                        <pic:spPr>
                          <a:xfrm>
                            <a:off x="0" y="0"/>
                            <a:ext cx="597535" cy="5003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526415</wp:posOffset>
                  </wp:positionH>
                  <wp:positionV relativeFrom="paragraph">
                    <wp:posOffset>47625</wp:posOffset>
                  </wp:positionV>
                  <wp:extent cx="597535" cy="500380"/>
                  <wp:effectExtent l="0" t="0" r="0" b="0"/>
                  <wp:wrapNone/>
                  <wp:docPr id="187" name="ID_DE60E1367F4D47B68B43A253F9DB257F_SpCnt_2"/>
                  <wp:cNvGraphicFramePr/>
                  <a:graphic xmlns:a="http://schemas.openxmlformats.org/drawingml/2006/main">
                    <a:graphicData uri="http://schemas.openxmlformats.org/drawingml/2006/picture">
                      <pic:pic xmlns:pic="http://schemas.openxmlformats.org/drawingml/2006/picture">
                        <pic:nvPicPr>
                          <pic:cNvPr id="187" name="ID_DE60E1367F4D47B68B43A253F9DB257F_SpCnt_2"/>
                          <pic:cNvPicPr/>
                        </pic:nvPicPr>
                        <pic:blipFill>
                          <a:blip r:embed="rId14"/>
                          <a:stretch>
                            <a:fillRect/>
                          </a:stretch>
                        </pic:blipFill>
                        <pic:spPr>
                          <a:xfrm>
                            <a:off x="0" y="0"/>
                            <a:ext cx="597535" cy="5003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526415</wp:posOffset>
                  </wp:positionH>
                  <wp:positionV relativeFrom="paragraph">
                    <wp:posOffset>47625</wp:posOffset>
                  </wp:positionV>
                  <wp:extent cx="597535" cy="500380"/>
                  <wp:effectExtent l="0" t="0" r="0" b="0"/>
                  <wp:wrapNone/>
                  <wp:docPr id="188" name="ID_B5BF18E09CFE43799C5EE3D44F45FB47_SpCnt_4"/>
                  <wp:cNvGraphicFramePr/>
                  <a:graphic xmlns:a="http://schemas.openxmlformats.org/drawingml/2006/main">
                    <a:graphicData uri="http://schemas.openxmlformats.org/drawingml/2006/picture">
                      <pic:pic xmlns:pic="http://schemas.openxmlformats.org/drawingml/2006/picture">
                        <pic:nvPicPr>
                          <pic:cNvPr id="188" name="ID_B5BF18E09CFE43799C5EE3D44F45FB47_SpCnt_4"/>
                          <pic:cNvPicPr/>
                        </pic:nvPicPr>
                        <pic:blipFill>
                          <a:blip r:embed="rId14"/>
                          <a:stretch>
                            <a:fillRect/>
                          </a:stretch>
                        </pic:blipFill>
                        <pic:spPr>
                          <a:xfrm>
                            <a:off x="0" y="0"/>
                            <a:ext cx="597535" cy="5003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526415</wp:posOffset>
                  </wp:positionH>
                  <wp:positionV relativeFrom="paragraph">
                    <wp:posOffset>47625</wp:posOffset>
                  </wp:positionV>
                  <wp:extent cx="597535" cy="500380"/>
                  <wp:effectExtent l="0" t="0" r="0" b="0"/>
                  <wp:wrapNone/>
                  <wp:docPr id="189" name="ID_B5BF18E09CFE43799C5EE3D44F45FB47_SpCnt_5"/>
                  <wp:cNvGraphicFramePr/>
                  <a:graphic xmlns:a="http://schemas.openxmlformats.org/drawingml/2006/main">
                    <a:graphicData uri="http://schemas.openxmlformats.org/drawingml/2006/picture">
                      <pic:pic xmlns:pic="http://schemas.openxmlformats.org/drawingml/2006/picture">
                        <pic:nvPicPr>
                          <pic:cNvPr id="189" name="ID_B5BF18E09CFE43799C5EE3D44F45FB47_SpCnt_5"/>
                          <pic:cNvPicPr/>
                        </pic:nvPicPr>
                        <pic:blipFill>
                          <a:blip r:embed="rId14"/>
                          <a:stretch>
                            <a:fillRect/>
                          </a:stretch>
                        </pic:blipFill>
                        <pic:spPr>
                          <a:xfrm>
                            <a:off x="0" y="0"/>
                            <a:ext cx="597535" cy="5003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526415</wp:posOffset>
                  </wp:positionH>
                  <wp:positionV relativeFrom="paragraph">
                    <wp:posOffset>47625</wp:posOffset>
                  </wp:positionV>
                  <wp:extent cx="597535" cy="500380"/>
                  <wp:effectExtent l="0" t="0" r="0" b="0"/>
                  <wp:wrapNone/>
                  <wp:docPr id="190" name="ID_DE60E1367F4D47B68B43A253F9DB257F_SpCnt_3"/>
                  <wp:cNvGraphicFramePr/>
                  <a:graphic xmlns:a="http://schemas.openxmlformats.org/drawingml/2006/main">
                    <a:graphicData uri="http://schemas.openxmlformats.org/drawingml/2006/picture">
                      <pic:pic xmlns:pic="http://schemas.openxmlformats.org/drawingml/2006/picture">
                        <pic:nvPicPr>
                          <pic:cNvPr id="190" name="ID_DE60E1367F4D47B68B43A253F9DB257F_SpCnt_3"/>
                          <pic:cNvPicPr/>
                        </pic:nvPicPr>
                        <pic:blipFill>
                          <a:blip r:embed="rId14"/>
                          <a:stretch>
                            <a:fillRect/>
                          </a:stretch>
                        </pic:blipFill>
                        <pic:spPr>
                          <a:xfrm>
                            <a:off x="0" y="0"/>
                            <a:ext cx="597535" cy="5003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536575</wp:posOffset>
                  </wp:positionH>
                  <wp:positionV relativeFrom="paragraph">
                    <wp:posOffset>47625</wp:posOffset>
                  </wp:positionV>
                  <wp:extent cx="597535" cy="500380"/>
                  <wp:effectExtent l="0" t="0" r="0" b="0"/>
                  <wp:wrapNone/>
                  <wp:docPr id="191" name="ID_CA31AD5AD4A240A69EBE9CEAC8E99D77_SpCnt_2"/>
                  <wp:cNvGraphicFramePr/>
                  <a:graphic xmlns:a="http://schemas.openxmlformats.org/drawingml/2006/main">
                    <a:graphicData uri="http://schemas.openxmlformats.org/drawingml/2006/picture">
                      <pic:pic xmlns:pic="http://schemas.openxmlformats.org/drawingml/2006/picture">
                        <pic:nvPicPr>
                          <pic:cNvPr id="191" name="ID_CA31AD5AD4A240A69EBE9CEAC8E99D77_SpCnt_2"/>
                          <pic:cNvPicPr/>
                        </pic:nvPicPr>
                        <pic:blipFill>
                          <a:blip r:embed="rId14"/>
                          <a:stretch>
                            <a:fillRect/>
                          </a:stretch>
                        </pic:blipFill>
                        <pic:spPr>
                          <a:xfrm>
                            <a:off x="0" y="0"/>
                            <a:ext cx="597535" cy="5003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541655</wp:posOffset>
                  </wp:positionH>
                  <wp:positionV relativeFrom="paragraph">
                    <wp:posOffset>47625</wp:posOffset>
                  </wp:positionV>
                  <wp:extent cx="597535" cy="500380"/>
                  <wp:effectExtent l="0" t="0" r="0" b="0"/>
                  <wp:wrapNone/>
                  <wp:docPr id="192" name="ID_DE60E1367F4D47B68B43A253F9DB257F_SpCnt_4"/>
                  <wp:cNvGraphicFramePr/>
                  <a:graphic xmlns:a="http://schemas.openxmlformats.org/drawingml/2006/main">
                    <a:graphicData uri="http://schemas.openxmlformats.org/drawingml/2006/picture">
                      <pic:pic xmlns:pic="http://schemas.openxmlformats.org/drawingml/2006/picture">
                        <pic:nvPicPr>
                          <pic:cNvPr id="192" name="ID_DE60E1367F4D47B68B43A253F9DB257F_SpCnt_4"/>
                          <pic:cNvPicPr/>
                        </pic:nvPicPr>
                        <pic:blipFill>
                          <a:blip r:embed="rId14"/>
                          <a:stretch>
                            <a:fillRect/>
                          </a:stretch>
                        </pic:blipFill>
                        <pic:spPr>
                          <a:xfrm>
                            <a:off x="0" y="0"/>
                            <a:ext cx="597535" cy="5003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536575</wp:posOffset>
                  </wp:positionH>
                  <wp:positionV relativeFrom="paragraph">
                    <wp:posOffset>47625</wp:posOffset>
                  </wp:positionV>
                  <wp:extent cx="597535" cy="500380"/>
                  <wp:effectExtent l="0" t="0" r="0" b="0"/>
                  <wp:wrapNone/>
                  <wp:docPr id="193" name="ID_CA31AD5AD4A240A69EBE9CEAC8E99D77_SpCnt_3"/>
                  <wp:cNvGraphicFramePr/>
                  <a:graphic xmlns:a="http://schemas.openxmlformats.org/drawingml/2006/main">
                    <a:graphicData uri="http://schemas.openxmlformats.org/drawingml/2006/picture">
                      <pic:pic xmlns:pic="http://schemas.openxmlformats.org/drawingml/2006/picture">
                        <pic:nvPicPr>
                          <pic:cNvPr id="193" name="ID_CA31AD5AD4A240A69EBE9CEAC8E99D77_SpCnt_3"/>
                          <pic:cNvPicPr/>
                        </pic:nvPicPr>
                        <pic:blipFill>
                          <a:blip r:embed="rId14"/>
                          <a:stretch>
                            <a:fillRect/>
                          </a:stretch>
                        </pic:blipFill>
                        <pic:spPr>
                          <a:xfrm>
                            <a:off x="0" y="0"/>
                            <a:ext cx="597535" cy="5003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536575</wp:posOffset>
                  </wp:positionH>
                  <wp:positionV relativeFrom="paragraph">
                    <wp:posOffset>47625</wp:posOffset>
                  </wp:positionV>
                  <wp:extent cx="597535" cy="500380"/>
                  <wp:effectExtent l="0" t="0" r="0" b="0"/>
                  <wp:wrapNone/>
                  <wp:docPr id="194" name="ID_E826D4FD2F1D481EA1CFBD3451A51F56_SpCnt_2"/>
                  <wp:cNvGraphicFramePr/>
                  <a:graphic xmlns:a="http://schemas.openxmlformats.org/drawingml/2006/main">
                    <a:graphicData uri="http://schemas.openxmlformats.org/drawingml/2006/picture">
                      <pic:pic xmlns:pic="http://schemas.openxmlformats.org/drawingml/2006/picture">
                        <pic:nvPicPr>
                          <pic:cNvPr id="194" name="ID_E826D4FD2F1D481EA1CFBD3451A51F56_SpCnt_2"/>
                          <pic:cNvPicPr/>
                        </pic:nvPicPr>
                        <pic:blipFill>
                          <a:blip r:embed="rId14"/>
                          <a:stretch>
                            <a:fillRect/>
                          </a:stretch>
                        </pic:blipFill>
                        <pic:spPr>
                          <a:xfrm>
                            <a:off x="0" y="0"/>
                            <a:ext cx="597535" cy="5003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536575</wp:posOffset>
                  </wp:positionH>
                  <wp:positionV relativeFrom="paragraph">
                    <wp:posOffset>47625</wp:posOffset>
                  </wp:positionV>
                  <wp:extent cx="597535" cy="500380"/>
                  <wp:effectExtent l="0" t="0" r="0" b="0"/>
                  <wp:wrapNone/>
                  <wp:docPr id="195" name="ID_E826D4FD2F1D481EA1CFBD3451A51F56_SpCnt_3"/>
                  <wp:cNvGraphicFramePr/>
                  <a:graphic xmlns:a="http://schemas.openxmlformats.org/drawingml/2006/main">
                    <a:graphicData uri="http://schemas.openxmlformats.org/drawingml/2006/picture">
                      <pic:pic xmlns:pic="http://schemas.openxmlformats.org/drawingml/2006/picture">
                        <pic:nvPicPr>
                          <pic:cNvPr id="195" name="ID_E826D4FD2F1D481EA1CFBD3451A51F56_SpCnt_3"/>
                          <pic:cNvPicPr/>
                        </pic:nvPicPr>
                        <pic:blipFill>
                          <a:blip r:embed="rId14"/>
                          <a:stretch>
                            <a:fillRect/>
                          </a:stretch>
                        </pic:blipFill>
                        <pic:spPr>
                          <a:xfrm>
                            <a:off x="0" y="0"/>
                            <a:ext cx="597535" cy="5003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541655</wp:posOffset>
                  </wp:positionH>
                  <wp:positionV relativeFrom="paragraph">
                    <wp:posOffset>47625</wp:posOffset>
                  </wp:positionV>
                  <wp:extent cx="597535" cy="500380"/>
                  <wp:effectExtent l="0" t="0" r="0" b="0"/>
                  <wp:wrapNone/>
                  <wp:docPr id="196" name="ID_DE60E1367F4D47B68B43A253F9DB257F_SpCnt_5"/>
                  <wp:cNvGraphicFramePr/>
                  <a:graphic xmlns:a="http://schemas.openxmlformats.org/drawingml/2006/main">
                    <a:graphicData uri="http://schemas.openxmlformats.org/drawingml/2006/picture">
                      <pic:pic xmlns:pic="http://schemas.openxmlformats.org/drawingml/2006/picture">
                        <pic:nvPicPr>
                          <pic:cNvPr id="196" name="ID_DE60E1367F4D47B68B43A253F9DB257F_SpCnt_5"/>
                          <pic:cNvPicPr/>
                        </pic:nvPicPr>
                        <pic:blipFill>
                          <a:blip r:embed="rId14"/>
                          <a:stretch>
                            <a:fillRect/>
                          </a:stretch>
                        </pic:blipFill>
                        <pic:spPr>
                          <a:xfrm>
                            <a:off x="0" y="0"/>
                            <a:ext cx="597535" cy="5003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544195</wp:posOffset>
                  </wp:positionH>
                  <wp:positionV relativeFrom="paragraph">
                    <wp:posOffset>47625</wp:posOffset>
                  </wp:positionV>
                  <wp:extent cx="597535" cy="500380"/>
                  <wp:effectExtent l="0" t="0" r="0" b="0"/>
                  <wp:wrapNone/>
                  <wp:docPr id="197" name="ID_E826D4FD2F1D481EA1CFBD3451A51F56_SpCnt_4"/>
                  <wp:cNvGraphicFramePr/>
                  <a:graphic xmlns:a="http://schemas.openxmlformats.org/drawingml/2006/main">
                    <a:graphicData uri="http://schemas.openxmlformats.org/drawingml/2006/picture">
                      <pic:pic xmlns:pic="http://schemas.openxmlformats.org/drawingml/2006/picture">
                        <pic:nvPicPr>
                          <pic:cNvPr id="197" name="ID_E826D4FD2F1D481EA1CFBD3451A51F56_SpCnt_4"/>
                          <pic:cNvPicPr/>
                        </pic:nvPicPr>
                        <pic:blipFill>
                          <a:blip r:embed="rId14"/>
                          <a:stretch>
                            <a:fillRect/>
                          </a:stretch>
                        </pic:blipFill>
                        <pic:spPr>
                          <a:xfrm>
                            <a:off x="0" y="0"/>
                            <a:ext cx="597535" cy="5003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544195</wp:posOffset>
                  </wp:positionH>
                  <wp:positionV relativeFrom="paragraph">
                    <wp:posOffset>47625</wp:posOffset>
                  </wp:positionV>
                  <wp:extent cx="597535" cy="500380"/>
                  <wp:effectExtent l="0" t="0" r="0" b="0"/>
                  <wp:wrapNone/>
                  <wp:docPr id="198" name="ID_E826D4FD2F1D481EA1CFBD3451A51F56_SpCnt_5"/>
                  <wp:cNvGraphicFramePr/>
                  <a:graphic xmlns:a="http://schemas.openxmlformats.org/drawingml/2006/main">
                    <a:graphicData uri="http://schemas.openxmlformats.org/drawingml/2006/picture">
                      <pic:pic xmlns:pic="http://schemas.openxmlformats.org/drawingml/2006/picture">
                        <pic:nvPicPr>
                          <pic:cNvPr id="198" name="ID_E826D4FD2F1D481EA1CFBD3451A51F56_SpCnt_5"/>
                          <pic:cNvPicPr/>
                        </pic:nvPicPr>
                        <pic:blipFill>
                          <a:blip r:embed="rId14"/>
                          <a:stretch>
                            <a:fillRect/>
                          </a:stretch>
                        </pic:blipFill>
                        <pic:spPr>
                          <a:xfrm>
                            <a:off x="0" y="0"/>
                            <a:ext cx="597535" cy="5003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544195</wp:posOffset>
                  </wp:positionH>
                  <wp:positionV relativeFrom="paragraph">
                    <wp:posOffset>47625</wp:posOffset>
                  </wp:positionV>
                  <wp:extent cx="597535" cy="500380"/>
                  <wp:effectExtent l="0" t="0" r="0" b="0"/>
                  <wp:wrapNone/>
                  <wp:docPr id="199" name="ID_CA31AD5AD4A240A69EBE9CEAC8E99D77_SpCnt_4"/>
                  <wp:cNvGraphicFramePr/>
                  <a:graphic xmlns:a="http://schemas.openxmlformats.org/drawingml/2006/main">
                    <a:graphicData uri="http://schemas.openxmlformats.org/drawingml/2006/picture">
                      <pic:pic xmlns:pic="http://schemas.openxmlformats.org/drawingml/2006/picture">
                        <pic:nvPicPr>
                          <pic:cNvPr id="199" name="ID_CA31AD5AD4A240A69EBE9CEAC8E99D77_SpCnt_4"/>
                          <pic:cNvPicPr/>
                        </pic:nvPicPr>
                        <pic:blipFill>
                          <a:blip r:embed="rId14"/>
                          <a:stretch>
                            <a:fillRect/>
                          </a:stretch>
                        </pic:blipFill>
                        <pic:spPr>
                          <a:xfrm>
                            <a:off x="0" y="0"/>
                            <a:ext cx="597535" cy="5003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544195</wp:posOffset>
                  </wp:positionH>
                  <wp:positionV relativeFrom="paragraph">
                    <wp:posOffset>47625</wp:posOffset>
                  </wp:positionV>
                  <wp:extent cx="597535" cy="500380"/>
                  <wp:effectExtent l="0" t="0" r="0" b="0"/>
                  <wp:wrapNone/>
                  <wp:docPr id="200" name="ID_CA31AD5AD4A240A69EBE9CEAC8E99D77_SpCnt_5"/>
                  <wp:cNvGraphicFramePr/>
                  <a:graphic xmlns:a="http://schemas.openxmlformats.org/drawingml/2006/main">
                    <a:graphicData uri="http://schemas.openxmlformats.org/drawingml/2006/picture">
                      <pic:pic xmlns:pic="http://schemas.openxmlformats.org/drawingml/2006/picture">
                        <pic:nvPicPr>
                          <pic:cNvPr id="200" name="ID_CA31AD5AD4A240A69EBE9CEAC8E99D77_SpCnt_5"/>
                          <pic:cNvPicPr/>
                        </pic:nvPicPr>
                        <pic:blipFill>
                          <a:blip r:embed="rId14"/>
                          <a:stretch>
                            <a:fillRect/>
                          </a:stretch>
                        </pic:blipFill>
                        <pic:spPr>
                          <a:xfrm>
                            <a:off x="0" y="0"/>
                            <a:ext cx="597535" cy="5003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506095</wp:posOffset>
                  </wp:positionH>
                  <wp:positionV relativeFrom="paragraph">
                    <wp:posOffset>47625</wp:posOffset>
                  </wp:positionV>
                  <wp:extent cx="597535" cy="500380"/>
                  <wp:effectExtent l="0" t="0" r="0" b="0"/>
                  <wp:wrapNone/>
                  <wp:docPr id="171" name="ID_B73E8774DBA24C66A077783CE7B139D0"/>
                  <wp:cNvGraphicFramePr/>
                  <a:graphic xmlns:a="http://schemas.openxmlformats.org/drawingml/2006/main">
                    <a:graphicData uri="http://schemas.openxmlformats.org/drawingml/2006/picture">
                      <pic:pic xmlns:pic="http://schemas.openxmlformats.org/drawingml/2006/picture">
                        <pic:nvPicPr>
                          <pic:cNvPr id="171" name="ID_B73E8774DBA24C66A077783CE7B139D0"/>
                          <pic:cNvPicPr/>
                        </pic:nvPicPr>
                        <pic:blipFill>
                          <a:blip r:embed="rId14"/>
                          <a:stretch>
                            <a:fillRect/>
                          </a:stretch>
                        </pic:blipFill>
                        <pic:spPr>
                          <a:xfrm>
                            <a:off x="0" y="0"/>
                            <a:ext cx="597535" cy="5003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513715</wp:posOffset>
                  </wp:positionH>
                  <wp:positionV relativeFrom="paragraph">
                    <wp:posOffset>47625</wp:posOffset>
                  </wp:positionV>
                  <wp:extent cx="597535" cy="500380"/>
                  <wp:effectExtent l="0" t="0" r="0" b="0"/>
                  <wp:wrapNone/>
                  <wp:docPr id="172" name="ID_B73E8774DBA24C66A077783CE7B139D0_SpCnt_1"/>
                  <wp:cNvGraphicFramePr/>
                  <a:graphic xmlns:a="http://schemas.openxmlformats.org/drawingml/2006/main">
                    <a:graphicData uri="http://schemas.openxmlformats.org/drawingml/2006/picture">
                      <pic:pic xmlns:pic="http://schemas.openxmlformats.org/drawingml/2006/picture">
                        <pic:nvPicPr>
                          <pic:cNvPr id="172" name="ID_B73E8774DBA24C66A077783CE7B139D0_SpCnt_1"/>
                          <pic:cNvPicPr/>
                        </pic:nvPicPr>
                        <pic:blipFill>
                          <a:blip r:embed="rId14"/>
                          <a:stretch>
                            <a:fillRect/>
                          </a:stretch>
                        </pic:blipFill>
                        <pic:spPr>
                          <a:xfrm>
                            <a:off x="0" y="0"/>
                            <a:ext cx="597535" cy="5003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513715</wp:posOffset>
                  </wp:positionH>
                  <wp:positionV relativeFrom="paragraph">
                    <wp:posOffset>47625</wp:posOffset>
                  </wp:positionV>
                  <wp:extent cx="597535" cy="500380"/>
                  <wp:effectExtent l="0" t="0" r="0" b="0"/>
                  <wp:wrapNone/>
                  <wp:docPr id="173" name="ID_B73E8774DBA24C66A077783CE7B139D0_SpCnt_2"/>
                  <wp:cNvGraphicFramePr/>
                  <a:graphic xmlns:a="http://schemas.openxmlformats.org/drawingml/2006/main">
                    <a:graphicData uri="http://schemas.openxmlformats.org/drawingml/2006/picture">
                      <pic:pic xmlns:pic="http://schemas.openxmlformats.org/drawingml/2006/picture">
                        <pic:nvPicPr>
                          <pic:cNvPr id="173" name="ID_B73E8774DBA24C66A077783CE7B139D0_SpCnt_2"/>
                          <pic:cNvPicPr/>
                        </pic:nvPicPr>
                        <pic:blipFill>
                          <a:blip r:embed="rId14"/>
                          <a:stretch>
                            <a:fillRect/>
                          </a:stretch>
                        </pic:blipFill>
                        <pic:spPr>
                          <a:xfrm>
                            <a:off x="0" y="0"/>
                            <a:ext cx="597535" cy="5003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506095</wp:posOffset>
                  </wp:positionH>
                  <wp:positionV relativeFrom="paragraph">
                    <wp:posOffset>47625</wp:posOffset>
                  </wp:positionV>
                  <wp:extent cx="597535" cy="500380"/>
                  <wp:effectExtent l="0" t="0" r="0" b="0"/>
                  <wp:wrapNone/>
                  <wp:docPr id="174" name="ID_B73E8774DBA24C66A077783CE7B139D0_SpCnt_3"/>
                  <wp:cNvGraphicFramePr/>
                  <a:graphic xmlns:a="http://schemas.openxmlformats.org/drawingml/2006/main">
                    <a:graphicData uri="http://schemas.openxmlformats.org/drawingml/2006/picture">
                      <pic:pic xmlns:pic="http://schemas.openxmlformats.org/drawingml/2006/picture">
                        <pic:nvPicPr>
                          <pic:cNvPr id="174" name="ID_B73E8774DBA24C66A077783CE7B139D0_SpCnt_3"/>
                          <pic:cNvPicPr/>
                        </pic:nvPicPr>
                        <pic:blipFill>
                          <a:blip r:embed="rId14"/>
                          <a:stretch>
                            <a:fillRect/>
                          </a:stretch>
                        </pic:blipFill>
                        <pic:spPr>
                          <a:xfrm>
                            <a:off x="0" y="0"/>
                            <a:ext cx="597535" cy="5003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t>1.规格：≥高450mm，竹篮直径分别为φ140mm，φ170mm，φ220mm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2.材质：竹制</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3.描述：传统手工编织，以竹子为原料，经过手工匠心精心编织而成，回归自然、田园的味道，体现出中国传统文化的底蕴，主要用于盛放水果或者点心，三层设计，分类摆放更使用。</w:t>
            </w:r>
          </w:p>
        </w:tc>
        <w:tc>
          <w:tcPr>
            <w:tcW w:w="685" w:type="dxa"/>
            <w:vAlign w:val="center"/>
          </w:tcPr>
          <w:p w14:paraId="193D23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712" w:type="dxa"/>
            <w:vAlign w:val="center"/>
          </w:tcPr>
          <w:p w14:paraId="5874F5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1B43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2F209A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103</w:t>
            </w:r>
          </w:p>
        </w:tc>
        <w:tc>
          <w:tcPr>
            <w:tcW w:w="1176" w:type="dxa"/>
            <w:vAlign w:val="center"/>
          </w:tcPr>
          <w:p w14:paraId="4A7584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摇饭团工具</w:t>
            </w:r>
          </w:p>
        </w:tc>
        <w:tc>
          <w:tcPr>
            <w:tcW w:w="6914" w:type="dxa"/>
            <w:vAlign w:val="center"/>
          </w:tcPr>
          <w:p w14:paraId="118A88B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1.材质：食品级PP</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2.尺寸：≥70mm*180mm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3.PP环保材质，安全健康，三槽设计，制作简单快速，一次可做三个饭团</w:t>
            </w:r>
          </w:p>
        </w:tc>
        <w:tc>
          <w:tcPr>
            <w:tcW w:w="685" w:type="dxa"/>
            <w:vAlign w:val="center"/>
          </w:tcPr>
          <w:p w14:paraId="027006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w:t>
            </w:r>
          </w:p>
        </w:tc>
        <w:tc>
          <w:tcPr>
            <w:tcW w:w="712" w:type="dxa"/>
            <w:vAlign w:val="center"/>
          </w:tcPr>
          <w:p w14:paraId="5B90F2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0B75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763AFC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104</w:t>
            </w:r>
          </w:p>
        </w:tc>
        <w:tc>
          <w:tcPr>
            <w:tcW w:w="1176" w:type="dxa"/>
            <w:vAlign w:val="center"/>
          </w:tcPr>
          <w:p w14:paraId="10F420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寿司卷帘</w:t>
            </w:r>
          </w:p>
        </w:tc>
        <w:tc>
          <w:tcPr>
            <w:tcW w:w="6914" w:type="dxa"/>
            <w:vAlign w:val="center"/>
          </w:tcPr>
          <w:p w14:paraId="74182D8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1.规格：≥240mm*240mm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2.材质：竹子</w:t>
            </w:r>
          </w:p>
        </w:tc>
        <w:tc>
          <w:tcPr>
            <w:tcW w:w="685" w:type="dxa"/>
            <w:vAlign w:val="center"/>
          </w:tcPr>
          <w:p w14:paraId="2BF3BD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0385" cy="541655"/>
                  <wp:effectExtent l="0" t="0" r="0" b="0"/>
                  <wp:wrapNone/>
                  <wp:docPr id="292" name="ID_34BD430C0D8E4301B5D2E6DEA77B953F_SpCnt_3"/>
                  <wp:cNvGraphicFramePr/>
                  <a:graphic xmlns:a="http://schemas.openxmlformats.org/drawingml/2006/main">
                    <a:graphicData uri="http://schemas.openxmlformats.org/drawingml/2006/picture">
                      <pic:pic xmlns:pic="http://schemas.openxmlformats.org/drawingml/2006/picture">
                        <pic:nvPicPr>
                          <pic:cNvPr id="292" name="ID_34BD430C0D8E4301B5D2E6DEA77B953F_SpCnt_3"/>
                          <pic:cNvPicPr/>
                        </pic:nvPicPr>
                        <pic:blipFill>
                          <a:blip r:embed="rId14"/>
                          <a:stretch>
                            <a:fillRect/>
                          </a:stretch>
                        </pic:blipFill>
                        <pic:spPr>
                          <a:xfrm>
                            <a:off x="0" y="0"/>
                            <a:ext cx="540385" cy="5416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0385" cy="541655"/>
                  <wp:effectExtent l="0" t="0" r="0" b="0"/>
                  <wp:wrapNone/>
                  <wp:docPr id="293" name="ID_BF17101804024A13B72CAC5E77C43885_SpCnt_3"/>
                  <wp:cNvGraphicFramePr/>
                  <a:graphic xmlns:a="http://schemas.openxmlformats.org/drawingml/2006/main">
                    <a:graphicData uri="http://schemas.openxmlformats.org/drawingml/2006/picture">
                      <pic:pic xmlns:pic="http://schemas.openxmlformats.org/drawingml/2006/picture">
                        <pic:nvPicPr>
                          <pic:cNvPr id="293" name="ID_BF17101804024A13B72CAC5E77C43885_SpCnt_3"/>
                          <pic:cNvPicPr/>
                        </pic:nvPicPr>
                        <pic:blipFill>
                          <a:blip r:embed="rId14"/>
                          <a:stretch>
                            <a:fillRect/>
                          </a:stretch>
                        </pic:blipFill>
                        <pic:spPr>
                          <a:xfrm>
                            <a:off x="0" y="0"/>
                            <a:ext cx="540385" cy="5416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0385" cy="541655"/>
                  <wp:effectExtent l="0" t="0" r="0" b="0"/>
                  <wp:wrapNone/>
                  <wp:docPr id="294" name="ID_82F56A308AEB4E40B7CFFAD6A1169D92_SpCnt_2"/>
                  <wp:cNvGraphicFramePr/>
                  <a:graphic xmlns:a="http://schemas.openxmlformats.org/drawingml/2006/main">
                    <a:graphicData uri="http://schemas.openxmlformats.org/drawingml/2006/picture">
                      <pic:pic xmlns:pic="http://schemas.openxmlformats.org/drawingml/2006/picture">
                        <pic:nvPicPr>
                          <pic:cNvPr id="294" name="ID_82F56A308AEB4E40B7CFFAD6A1169D92_SpCnt_2"/>
                          <pic:cNvPicPr/>
                        </pic:nvPicPr>
                        <pic:blipFill>
                          <a:blip r:embed="rId14"/>
                          <a:stretch>
                            <a:fillRect/>
                          </a:stretch>
                        </pic:blipFill>
                        <pic:spPr>
                          <a:xfrm>
                            <a:off x="0" y="0"/>
                            <a:ext cx="540385" cy="5416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0385" cy="541655"/>
                  <wp:effectExtent l="0" t="0" r="0" b="0"/>
                  <wp:wrapNone/>
                  <wp:docPr id="295" name="ID_45D7BB5C0C2941B4B922D418AC375462_SpCnt_2"/>
                  <wp:cNvGraphicFramePr/>
                  <a:graphic xmlns:a="http://schemas.openxmlformats.org/drawingml/2006/main">
                    <a:graphicData uri="http://schemas.openxmlformats.org/drawingml/2006/picture">
                      <pic:pic xmlns:pic="http://schemas.openxmlformats.org/drawingml/2006/picture">
                        <pic:nvPicPr>
                          <pic:cNvPr id="295" name="ID_45D7BB5C0C2941B4B922D418AC375462_SpCnt_2"/>
                          <pic:cNvPicPr/>
                        </pic:nvPicPr>
                        <pic:blipFill>
                          <a:blip r:embed="rId14"/>
                          <a:stretch>
                            <a:fillRect/>
                          </a:stretch>
                        </pic:blipFill>
                        <pic:spPr>
                          <a:xfrm>
                            <a:off x="0" y="0"/>
                            <a:ext cx="540385" cy="5416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15240</wp:posOffset>
                  </wp:positionV>
                  <wp:extent cx="540385" cy="535305"/>
                  <wp:effectExtent l="0" t="0" r="0" b="0"/>
                  <wp:wrapNone/>
                  <wp:docPr id="296" name="ID_B639C15C412A481E849C6DAD145CF1BC_SpCnt_1"/>
                  <wp:cNvGraphicFramePr/>
                  <a:graphic xmlns:a="http://schemas.openxmlformats.org/drawingml/2006/main">
                    <a:graphicData uri="http://schemas.openxmlformats.org/drawingml/2006/picture">
                      <pic:pic xmlns:pic="http://schemas.openxmlformats.org/drawingml/2006/picture">
                        <pic:nvPicPr>
                          <pic:cNvPr id="296" name="ID_B639C15C412A481E849C6DAD145CF1BC_SpCnt_1"/>
                          <pic:cNvPicPr/>
                        </pic:nvPicPr>
                        <pic:blipFill>
                          <a:blip r:embed="rId14"/>
                          <a:stretch>
                            <a:fillRect/>
                          </a:stretch>
                        </pic:blipFill>
                        <pic:spPr>
                          <a:xfrm>
                            <a:off x="0" y="0"/>
                            <a:ext cx="540385" cy="53530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49530</wp:posOffset>
                  </wp:positionV>
                  <wp:extent cx="540385" cy="534670"/>
                  <wp:effectExtent l="0" t="0" r="0" b="0"/>
                  <wp:wrapNone/>
                  <wp:docPr id="297" name="ID_ADE36C5442AC456B90F5554850069795_SpCnt_1"/>
                  <wp:cNvGraphicFramePr/>
                  <a:graphic xmlns:a="http://schemas.openxmlformats.org/drawingml/2006/main">
                    <a:graphicData uri="http://schemas.openxmlformats.org/drawingml/2006/picture">
                      <pic:pic xmlns:pic="http://schemas.openxmlformats.org/drawingml/2006/picture">
                        <pic:nvPicPr>
                          <pic:cNvPr id="297" name="ID_ADE36C5442AC456B90F5554850069795_SpCnt_1"/>
                          <pic:cNvPicPr/>
                        </pic:nvPicPr>
                        <pic:blipFill>
                          <a:blip r:embed="rId14"/>
                          <a:stretch>
                            <a:fillRect/>
                          </a:stretch>
                        </pic:blipFill>
                        <pic:spPr>
                          <a:xfrm>
                            <a:off x="0" y="0"/>
                            <a:ext cx="540385" cy="53467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152400</wp:posOffset>
                  </wp:positionV>
                  <wp:extent cx="540385" cy="538480"/>
                  <wp:effectExtent l="0" t="0" r="0" b="0"/>
                  <wp:wrapNone/>
                  <wp:docPr id="298" name="ID_022CFE9ECF76443C84FF6E8FE5377D48_SpCnt_2"/>
                  <wp:cNvGraphicFramePr/>
                  <a:graphic xmlns:a="http://schemas.openxmlformats.org/drawingml/2006/main">
                    <a:graphicData uri="http://schemas.openxmlformats.org/drawingml/2006/picture">
                      <pic:pic xmlns:pic="http://schemas.openxmlformats.org/drawingml/2006/picture">
                        <pic:nvPicPr>
                          <pic:cNvPr id="298" name="ID_022CFE9ECF76443C84FF6E8FE5377D48_SpCnt_2"/>
                          <pic:cNvPicPr/>
                        </pic:nvPicPr>
                        <pic:blipFill>
                          <a:blip r:embed="rId14"/>
                          <a:stretch>
                            <a:fillRect/>
                          </a:stretch>
                        </pic:blipFill>
                        <pic:spPr>
                          <a:xfrm>
                            <a:off x="0" y="0"/>
                            <a:ext cx="540385" cy="5384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t>6</w:t>
            </w:r>
          </w:p>
        </w:tc>
        <w:tc>
          <w:tcPr>
            <w:tcW w:w="712" w:type="dxa"/>
            <w:vAlign w:val="center"/>
          </w:tcPr>
          <w:p w14:paraId="72E40E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25F8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26A2E6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105</w:t>
            </w:r>
          </w:p>
        </w:tc>
        <w:tc>
          <w:tcPr>
            <w:tcW w:w="1176" w:type="dxa"/>
            <w:vAlign w:val="center"/>
          </w:tcPr>
          <w:p w14:paraId="14E74E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儿童围裙</w:t>
            </w:r>
          </w:p>
        </w:tc>
        <w:tc>
          <w:tcPr>
            <w:tcW w:w="6914" w:type="dxa"/>
            <w:vAlign w:val="center"/>
          </w:tcPr>
          <w:p w14:paraId="44A4A60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1.材质：涤纶</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2.尺寸：≥450mm*620mm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3.挂脖肩带设计，防止滑落，精选优质布料，透气性好，舒适耐用</w:t>
            </w:r>
          </w:p>
        </w:tc>
        <w:tc>
          <w:tcPr>
            <w:tcW w:w="685" w:type="dxa"/>
            <w:vAlign w:val="center"/>
          </w:tcPr>
          <w:p w14:paraId="590360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25</w:t>
            </w:r>
          </w:p>
        </w:tc>
        <w:tc>
          <w:tcPr>
            <w:tcW w:w="712" w:type="dxa"/>
            <w:vAlign w:val="center"/>
          </w:tcPr>
          <w:p w14:paraId="5E3573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4F59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7506B5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106</w:t>
            </w:r>
          </w:p>
        </w:tc>
        <w:tc>
          <w:tcPr>
            <w:tcW w:w="1176" w:type="dxa"/>
            <w:vAlign w:val="center"/>
          </w:tcPr>
          <w:p w14:paraId="33BDC8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教师围裙</w:t>
            </w:r>
          </w:p>
        </w:tc>
        <w:tc>
          <w:tcPr>
            <w:tcW w:w="6914" w:type="dxa"/>
            <w:vAlign w:val="center"/>
          </w:tcPr>
          <w:p w14:paraId="593B521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15010" cy="714375"/>
                  <wp:effectExtent l="0" t="0" r="0" b="0"/>
                  <wp:wrapNone/>
                  <wp:docPr id="513" name="ID_B5BF18E09CFE43799C5EE3D44F45FB47_SpCnt_6"/>
                  <wp:cNvGraphicFramePr/>
                  <a:graphic xmlns:a="http://schemas.openxmlformats.org/drawingml/2006/main">
                    <a:graphicData uri="http://schemas.openxmlformats.org/drawingml/2006/picture">
                      <pic:pic xmlns:pic="http://schemas.openxmlformats.org/drawingml/2006/picture">
                        <pic:nvPicPr>
                          <pic:cNvPr id="513" name="ID_B5BF18E09CFE43799C5EE3D44F45FB47_SpCnt_6"/>
                          <pic:cNvPicPr/>
                        </pic:nvPicPr>
                        <pic:blipFill>
                          <a:blip r:embed="rId14"/>
                          <a:stretch>
                            <a:fillRect/>
                          </a:stretch>
                        </pic:blipFill>
                        <pic:spPr>
                          <a:xfrm>
                            <a:off x="0" y="0"/>
                            <a:ext cx="715010" cy="71437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39115" cy="541020"/>
                  <wp:effectExtent l="0" t="0" r="0" b="0"/>
                  <wp:wrapNone/>
                  <wp:docPr id="514" name="ID_ADE36C5442AC456B90F5554850069795_SpCnt_2"/>
                  <wp:cNvGraphicFramePr/>
                  <a:graphic xmlns:a="http://schemas.openxmlformats.org/drawingml/2006/main">
                    <a:graphicData uri="http://schemas.openxmlformats.org/drawingml/2006/picture">
                      <pic:pic xmlns:pic="http://schemas.openxmlformats.org/drawingml/2006/picture">
                        <pic:nvPicPr>
                          <pic:cNvPr id="514" name="ID_ADE36C5442AC456B90F5554850069795_SpCnt_2"/>
                          <pic:cNvPicPr/>
                        </pic:nvPicPr>
                        <pic:blipFill>
                          <a:blip r:embed="rId14"/>
                          <a:stretch>
                            <a:fillRect/>
                          </a:stretch>
                        </pic:blipFill>
                        <pic:spPr>
                          <a:xfrm>
                            <a:off x="0" y="0"/>
                            <a:ext cx="539115" cy="54102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39115" cy="541655"/>
                  <wp:effectExtent l="0" t="0" r="0" b="0"/>
                  <wp:wrapNone/>
                  <wp:docPr id="515" name="ID_BF17101804024A13B72CAC5E77C43885_SpCnt_4"/>
                  <wp:cNvGraphicFramePr/>
                  <a:graphic xmlns:a="http://schemas.openxmlformats.org/drawingml/2006/main">
                    <a:graphicData uri="http://schemas.openxmlformats.org/drawingml/2006/picture">
                      <pic:pic xmlns:pic="http://schemas.openxmlformats.org/drawingml/2006/picture">
                        <pic:nvPicPr>
                          <pic:cNvPr id="515" name="ID_BF17101804024A13B72CAC5E77C43885_SpCnt_4"/>
                          <pic:cNvPicPr/>
                        </pic:nvPicPr>
                        <pic:blipFill>
                          <a:blip r:embed="rId14"/>
                          <a:stretch>
                            <a:fillRect/>
                          </a:stretch>
                        </pic:blipFill>
                        <pic:spPr>
                          <a:xfrm>
                            <a:off x="0" y="0"/>
                            <a:ext cx="539115" cy="5416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22630" cy="714375"/>
                  <wp:effectExtent l="0" t="0" r="0" b="0"/>
                  <wp:wrapNone/>
                  <wp:docPr id="516" name="ID_B73E8774DBA24C66A077783CE7B139D0_SpCnt_6"/>
                  <wp:cNvGraphicFramePr/>
                  <a:graphic xmlns:a="http://schemas.openxmlformats.org/drawingml/2006/main">
                    <a:graphicData uri="http://schemas.openxmlformats.org/drawingml/2006/picture">
                      <pic:pic xmlns:pic="http://schemas.openxmlformats.org/drawingml/2006/picture">
                        <pic:nvPicPr>
                          <pic:cNvPr id="516" name="ID_B73E8774DBA24C66A077783CE7B139D0_SpCnt_6"/>
                          <pic:cNvPicPr/>
                        </pic:nvPicPr>
                        <pic:blipFill>
                          <a:blip r:embed="rId14"/>
                          <a:stretch>
                            <a:fillRect/>
                          </a:stretch>
                        </pic:blipFill>
                        <pic:spPr>
                          <a:xfrm>
                            <a:off x="0" y="0"/>
                            <a:ext cx="722630" cy="71437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39115" cy="539115"/>
                  <wp:effectExtent l="0" t="0" r="0" b="0"/>
                  <wp:wrapNone/>
                  <wp:docPr id="517" name="ID_C23DD322F9F94C8F9B27260858C145BB_SpCnt_2"/>
                  <wp:cNvGraphicFramePr/>
                  <a:graphic xmlns:a="http://schemas.openxmlformats.org/drawingml/2006/main">
                    <a:graphicData uri="http://schemas.openxmlformats.org/drawingml/2006/picture">
                      <pic:pic xmlns:pic="http://schemas.openxmlformats.org/drawingml/2006/picture">
                        <pic:nvPicPr>
                          <pic:cNvPr id="517" name="ID_C23DD322F9F94C8F9B27260858C145BB_SpCnt_2"/>
                          <pic:cNvPicPr/>
                        </pic:nvPicPr>
                        <pic:blipFill>
                          <a:blip r:embed="rId14"/>
                          <a:stretch>
                            <a:fillRect/>
                          </a:stretch>
                        </pic:blipFill>
                        <pic:spPr>
                          <a:xfrm>
                            <a:off x="0" y="0"/>
                            <a:ext cx="539115" cy="53911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15010" cy="714375"/>
                  <wp:effectExtent l="0" t="0" r="0" b="0"/>
                  <wp:wrapNone/>
                  <wp:docPr id="518" name="ID_DE60E1367F4D47B68B43A253F9DB257F_SpCnt_6"/>
                  <wp:cNvGraphicFramePr/>
                  <a:graphic xmlns:a="http://schemas.openxmlformats.org/drawingml/2006/main">
                    <a:graphicData uri="http://schemas.openxmlformats.org/drawingml/2006/picture">
                      <pic:pic xmlns:pic="http://schemas.openxmlformats.org/drawingml/2006/picture">
                        <pic:nvPicPr>
                          <pic:cNvPr id="518" name="ID_DE60E1367F4D47B68B43A253F9DB257F_SpCnt_6"/>
                          <pic:cNvPicPr/>
                        </pic:nvPicPr>
                        <pic:blipFill>
                          <a:blip r:embed="rId14"/>
                          <a:stretch>
                            <a:fillRect/>
                          </a:stretch>
                        </pic:blipFill>
                        <pic:spPr>
                          <a:xfrm>
                            <a:off x="0" y="0"/>
                            <a:ext cx="715010" cy="71437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22630" cy="714375"/>
                  <wp:effectExtent l="0" t="0" r="0" b="0"/>
                  <wp:wrapNone/>
                  <wp:docPr id="519" name="ID_CA31AD5AD4A240A69EBE9CEAC8E99D77_SpCnt_6"/>
                  <wp:cNvGraphicFramePr/>
                  <a:graphic xmlns:a="http://schemas.openxmlformats.org/drawingml/2006/main">
                    <a:graphicData uri="http://schemas.openxmlformats.org/drawingml/2006/picture">
                      <pic:pic xmlns:pic="http://schemas.openxmlformats.org/drawingml/2006/picture">
                        <pic:nvPicPr>
                          <pic:cNvPr id="519" name="ID_CA31AD5AD4A240A69EBE9CEAC8E99D77_SpCnt_6"/>
                          <pic:cNvPicPr/>
                        </pic:nvPicPr>
                        <pic:blipFill>
                          <a:blip r:embed="rId14"/>
                          <a:stretch>
                            <a:fillRect/>
                          </a:stretch>
                        </pic:blipFill>
                        <pic:spPr>
                          <a:xfrm>
                            <a:off x="0" y="0"/>
                            <a:ext cx="722630" cy="71437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39115" cy="541020"/>
                  <wp:effectExtent l="0" t="0" r="0" b="0"/>
                  <wp:wrapNone/>
                  <wp:docPr id="520" name="ID_82F56A308AEB4E40B7CFFAD6A1169D92_SpCnt_4"/>
                  <wp:cNvGraphicFramePr/>
                  <a:graphic xmlns:a="http://schemas.openxmlformats.org/drawingml/2006/main">
                    <a:graphicData uri="http://schemas.openxmlformats.org/drawingml/2006/picture">
                      <pic:pic xmlns:pic="http://schemas.openxmlformats.org/drawingml/2006/picture">
                        <pic:nvPicPr>
                          <pic:cNvPr id="520" name="ID_82F56A308AEB4E40B7CFFAD6A1169D92_SpCnt_4"/>
                          <pic:cNvPicPr/>
                        </pic:nvPicPr>
                        <pic:blipFill>
                          <a:blip r:embed="rId14"/>
                          <a:stretch>
                            <a:fillRect/>
                          </a:stretch>
                        </pic:blipFill>
                        <pic:spPr>
                          <a:xfrm>
                            <a:off x="0" y="0"/>
                            <a:ext cx="539115" cy="54102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39115" cy="540385"/>
                  <wp:effectExtent l="0" t="0" r="0" b="0"/>
                  <wp:wrapNone/>
                  <wp:docPr id="521" name="ID_B639C15C412A481E849C6DAD145CF1BC_SpCnt_2"/>
                  <wp:cNvGraphicFramePr/>
                  <a:graphic xmlns:a="http://schemas.openxmlformats.org/drawingml/2006/main">
                    <a:graphicData uri="http://schemas.openxmlformats.org/drawingml/2006/picture">
                      <pic:pic xmlns:pic="http://schemas.openxmlformats.org/drawingml/2006/picture">
                        <pic:nvPicPr>
                          <pic:cNvPr id="521" name="ID_B639C15C412A481E849C6DAD145CF1BC_SpCnt_2"/>
                          <pic:cNvPicPr/>
                        </pic:nvPicPr>
                        <pic:blipFill>
                          <a:blip r:embed="rId14"/>
                          <a:stretch>
                            <a:fillRect/>
                          </a:stretch>
                        </pic:blipFill>
                        <pic:spPr>
                          <a:xfrm>
                            <a:off x="0" y="0"/>
                            <a:ext cx="539115" cy="54038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39115" cy="541020"/>
                  <wp:effectExtent l="0" t="0" r="0" b="0"/>
                  <wp:wrapNone/>
                  <wp:docPr id="522" name="ID_BF17101804024A13B72CAC5E77C43885_SpCnt_5"/>
                  <wp:cNvGraphicFramePr/>
                  <a:graphic xmlns:a="http://schemas.openxmlformats.org/drawingml/2006/main">
                    <a:graphicData uri="http://schemas.openxmlformats.org/drawingml/2006/picture">
                      <pic:pic xmlns:pic="http://schemas.openxmlformats.org/drawingml/2006/picture">
                        <pic:nvPicPr>
                          <pic:cNvPr id="522" name="ID_BF17101804024A13B72CAC5E77C43885_SpCnt_5"/>
                          <pic:cNvPicPr/>
                        </pic:nvPicPr>
                        <pic:blipFill>
                          <a:blip r:embed="rId14"/>
                          <a:stretch>
                            <a:fillRect/>
                          </a:stretch>
                        </pic:blipFill>
                        <pic:spPr>
                          <a:xfrm>
                            <a:off x="0" y="0"/>
                            <a:ext cx="539115" cy="54102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22630" cy="714375"/>
                  <wp:effectExtent l="0" t="0" r="0" b="0"/>
                  <wp:wrapNone/>
                  <wp:docPr id="523" name="ID_E826D4FD2F1D481EA1CFBD3451A51F56_SpCnt_6"/>
                  <wp:cNvGraphicFramePr/>
                  <a:graphic xmlns:a="http://schemas.openxmlformats.org/drawingml/2006/main">
                    <a:graphicData uri="http://schemas.openxmlformats.org/drawingml/2006/picture">
                      <pic:pic xmlns:pic="http://schemas.openxmlformats.org/drawingml/2006/picture">
                        <pic:nvPicPr>
                          <pic:cNvPr id="523" name="ID_E826D4FD2F1D481EA1CFBD3451A51F56_SpCnt_6"/>
                          <pic:cNvPicPr/>
                        </pic:nvPicPr>
                        <pic:blipFill>
                          <a:blip r:embed="rId14"/>
                          <a:stretch>
                            <a:fillRect/>
                          </a:stretch>
                        </pic:blipFill>
                        <pic:spPr>
                          <a:xfrm>
                            <a:off x="0" y="0"/>
                            <a:ext cx="722630" cy="71437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39115" cy="538480"/>
                  <wp:effectExtent l="0" t="0" r="0" b="0"/>
                  <wp:wrapNone/>
                  <wp:docPr id="524" name="ID_34BD430C0D8E4301B5D2E6DEA77B953F_SpCnt_4"/>
                  <wp:cNvGraphicFramePr/>
                  <a:graphic xmlns:a="http://schemas.openxmlformats.org/drawingml/2006/main">
                    <a:graphicData uri="http://schemas.openxmlformats.org/drawingml/2006/picture">
                      <pic:pic xmlns:pic="http://schemas.openxmlformats.org/drawingml/2006/picture">
                        <pic:nvPicPr>
                          <pic:cNvPr id="524" name="ID_34BD430C0D8E4301B5D2E6DEA77B953F_SpCnt_4"/>
                          <pic:cNvPicPr/>
                        </pic:nvPicPr>
                        <pic:blipFill>
                          <a:blip r:embed="rId14"/>
                          <a:stretch>
                            <a:fillRect/>
                          </a:stretch>
                        </pic:blipFill>
                        <pic:spPr>
                          <a:xfrm>
                            <a:off x="0" y="0"/>
                            <a:ext cx="539115" cy="5384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39115" cy="541655"/>
                  <wp:effectExtent l="0" t="0" r="0" b="0"/>
                  <wp:wrapNone/>
                  <wp:docPr id="525" name="ID_45D7BB5C0C2941B4B922D418AC375462_SpCnt_4"/>
                  <wp:cNvGraphicFramePr/>
                  <a:graphic xmlns:a="http://schemas.openxmlformats.org/drawingml/2006/main">
                    <a:graphicData uri="http://schemas.openxmlformats.org/drawingml/2006/picture">
                      <pic:pic xmlns:pic="http://schemas.openxmlformats.org/drawingml/2006/picture">
                        <pic:nvPicPr>
                          <pic:cNvPr id="525" name="ID_45D7BB5C0C2941B4B922D418AC375462_SpCnt_4"/>
                          <pic:cNvPicPr/>
                        </pic:nvPicPr>
                        <pic:blipFill>
                          <a:blip r:embed="rId14"/>
                          <a:stretch>
                            <a:fillRect/>
                          </a:stretch>
                        </pic:blipFill>
                        <pic:spPr>
                          <a:xfrm>
                            <a:off x="0" y="0"/>
                            <a:ext cx="539115" cy="5416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39115" cy="538480"/>
                  <wp:effectExtent l="0" t="0" r="0" b="0"/>
                  <wp:wrapNone/>
                  <wp:docPr id="526" name="ID_82F56A308AEB4E40B7CFFAD6A1169D92_SpCnt_5"/>
                  <wp:cNvGraphicFramePr/>
                  <a:graphic xmlns:a="http://schemas.openxmlformats.org/drawingml/2006/main">
                    <a:graphicData uri="http://schemas.openxmlformats.org/drawingml/2006/picture">
                      <pic:pic xmlns:pic="http://schemas.openxmlformats.org/drawingml/2006/picture">
                        <pic:nvPicPr>
                          <pic:cNvPr id="526" name="ID_82F56A308AEB4E40B7CFFAD6A1169D92_SpCnt_5"/>
                          <pic:cNvPicPr/>
                        </pic:nvPicPr>
                        <pic:blipFill>
                          <a:blip r:embed="rId14"/>
                          <a:stretch>
                            <a:fillRect/>
                          </a:stretch>
                        </pic:blipFill>
                        <pic:spPr>
                          <a:xfrm>
                            <a:off x="0" y="0"/>
                            <a:ext cx="539115" cy="5384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15010" cy="714375"/>
                  <wp:effectExtent l="0" t="0" r="0" b="0"/>
                  <wp:wrapNone/>
                  <wp:docPr id="527" name="ID_B5BF18E09CFE43799C5EE3D44F45FB47_SpCnt_7"/>
                  <wp:cNvGraphicFramePr/>
                  <a:graphic xmlns:a="http://schemas.openxmlformats.org/drawingml/2006/main">
                    <a:graphicData uri="http://schemas.openxmlformats.org/drawingml/2006/picture">
                      <pic:pic xmlns:pic="http://schemas.openxmlformats.org/drawingml/2006/picture">
                        <pic:nvPicPr>
                          <pic:cNvPr id="527" name="ID_B5BF18E09CFE43799C5EE3D44F45FB47_SpCnt_7"/>
                          <pic:cNvPicPr/>
                        </pic:nvPicPr>
                        <pic:blipFill>
                          <a:blip r:embed="rId14"/>
                          <a:stretch>
                            <a:fillRect/>
                          </a:stretch>
                        </pic:blipFill>
                        <pic:spPr>
                          <a:xfrm>
                            <a:off x="0" y="0"/>
                            <a:ext cx="715010" cy="71437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22630" cy="714375"/>
                  <wp:effectExtent l="0" t="0" r="0" b="0"/>
                  <wp:wrapNone/>
                  <wp:docPr id="528" name="ID_B73E8774DBA24C66A077783CE7B139D0_SpCnt_7"/>
                  <wp:cNvGraphicFramePr/>
                  <a:graphic xmlns:a="http://schemas.openxmlformats.org/drawingml/2006/main">
                    <a:graphicData uri="http://schemas.openxmlformats.org/drawingml/2006/picture">
                      <pic:pic xmlns:pic="http://schemas.openxmlformats.org/drawingml/2006/picture">
                        <pic:nvPicPr>
                          <pic:cNvPr id="528" name="ID_B73E8774DBA24C66A077783CE7B139D0_SpCnt_7"/>
                          <pic:cNvPicPr/>
                        </pic:nvPicPr>
                        <pic:blipFill>
                          <a:blip r:embed="rId14"/>
                          <a:stretch>
                            <a:fillRect/>
                          </a:stretch>
                        </pic:blipFill>
                        <pic:spPr>
                          <a:xfrm>
                            <a:off x="0" y="0"/>
                            <a:ext cx="722630" cy="71437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15010" cy="714375"/>
                  <wp:effectExtent l="0" t="0" r="0" b="0"/>
                  <wp:wrapNone/>
                  <wp:docPr id="529" name="ID_DE60E1367F4D47B68B43A253F9DB257F_SpCnt_7"/>
                  <wp:cNvGraphicFramePr/>
                  <a:graphic xmlns:a="http://schemas.openxmlformats.org/drawingml/2006/main">
                    <a:graphicData uri="http://schemas.openxmlformats.org/drawingml/2006/picture">
                      <pic:pic xmlns:pic="http://schemas.openxmlformats.org/drawingml/2006/picture">
                        <pic:nvPicPr>
                          <pic:cNvPr id="529" name="ID_DE60E1367F4D47B68B43A253F9DB257F_SpCnt_7"/>
                          <pic:cNvPicPr/>
                        </pic:nvPicPr>
                        <pic:blipFill>
                          <a:blip r:embed="rId14"/>
                          <a:stretch>
                            <a:fillRect/>
                          </a:stretch>
                        </pic:blipFill>
                        <pic:spPr>
                          <a:xfrm>
                            <a:off x="0" y="0"/>
                            <a:ext cx="715010" cy="71437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22630" cy="714375"/>
                  <wp:effectExtent l="0" t="0" r="0" b="0"/>
                  <wp:wrapNone/>
                  <wp:docPr id="530" name="ID_E826D4FD2F1D481EA1CFBD3451A51F56_SpCnt_7"/>
                  <wp:cNvGraphicFramePr/>
                  <a:graphic xmlns:a="http://schemas.openxmlformats.org/drawingml/2006/main">
                    <a:graphicData uri="http://schemas.openxmlformats.org/drawingml/2006/picture">
                      <pic:pic xmlns:pic="http://schemas.openxmlformats.org/drawingml/2006/picture">
                        <pic:nvPicPr>
                          <pic:cNvPr id="530" name="ID_E826D4FD2F1D481EA1CFBD3451A51F56_SpCnt_7"/>
                          <pic:cNvPicPr/>
                        </pic:nvPicPr>
                        <pic:blipFill>
                          <a:blip r:embed="rId14"/>
                          <a:stretch>
                            <a:fillRect/>
                          </a:stretch>
                        </pic:blipFill>
                        <pic:spPr>
                          <a:xfrm>
                            <a:off x="0" y="0"/>
                            <a:ext cx="722630" cy="71437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39115" cy="538480"/>
                  <wp:effectExtent l="0" t="0" r="0" b="0"/>
                  <wp:wrapNone/>
                  <wp:docPr id="531" name="ID_430ADB65064C477C8AF98FB8F15CEBA1_SpCnt_2"/>
                  <wp:cNvGraphicFramePr/>
                  <a:graphic xmlns:a="http://schemas.openxmlformats.org/drawingml/2006/main">
                    <a:graphicData uri="http://schemas.openxmlformats.org/drawingml/2006/picture">
                      <pic:pic xmlns:pic="http://schemas.openxmlformats.org/drawingml/2006/picture">
                        <pic:nvPicPr>
                          <pic:cNvPr id="531" name="ID_430ADB65064C477C8AF98FB8F15CEBA1_SpCnt_2"/>
                          <pic:cNvPicPr/>
                        </pic:nvPicPr>
                        <pic:blipFill>
                          <a:blip r:embed="rId14"/>
                          <a:stretch>
                            <a:fillRect/>
                          </a:stretch>
                        </pic:blipFill>
                        <pic:spPr>
                          <a:xfrm>
                            <a:off x="0" y="0"/>
                            <a:ext cx="539115" cy="5384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39115" cy="541020"/>
                  <wp:effectExtent l="0" t="0" r="0" b="0"/>
                  <wp:wrapNone/>
                  <wp:docPr id="532" name="ID_ADE36C5442AC456B90F5554850069795_SpCnt_3"/>
                  <wp:cNvGraphicFramePr/>
                  <a:graphic xmlns:a="http://schemas.openxmlformats.org/drawingml/2006/main">
                    <a:graphicData uri="http://schemas.openxmlformats.org/drawingml/2006/picture">
                      <pic:pic xmlns:pic="http://schemas.openxmlformats.org/drawingml/2006/picture">
                        <pic:nvPicPr>
                          <pic:cNvPr id="532" name="ID_ADE36C5442AC456B90F5554850069795_SpCnt_3"/>
                          <pic:cNvPicPr/>
                        </pic:nvPicPr>
                        <pic:blipFill>
                          <a:blip r:embed="rId14"/>
                          <a:stretch>
                            <a:fillRect/>
                          </a:stretch>
                        </pic:blipFill>
                        <pic:spPr>
                          <a:xfrm>
                            <a:off x="0" y="0"/>
                            <a:ext cx="539115" cy="54102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39115" cy="538480"/>
                  <wp:effectExtent l="0" t="0" r="0" b="0"/>
                  <wp:wrapNone/>
                  <wp:docPr id="533" name="ID_022CFE9ECF76443C84FF6E8FE5377D48_SpCnt_4"/>
                  <wp:cNvGraphicFramePr/>
                  <a:graphic xmlns:a="http://schemas.openxmlformats.org/drawingml/2006/main">
                    <a:graphicData uri="http://schemas.openxmlformats.org/drawingml/2006/picture">
                      <pic:pic xmlns:pic="http://schemas.openxmlformats.org/drawingml/2006/picture">
                        <pic:nvPicPr>
                          <pic:cNvPr id="533" name="ID_022CFE9ECF76443C84FF6E8FE5377D48_SpCnt_4"/>
                          <pic:cNvPicPr/>
                        </pic:nvPicPr>
                        <pic:blipFill>
                          <a:blip r:embed="rId14"/>
                          <a:stretch>
                            <a:fillRect/>
                          </a:stretch>
                        </pic:blipFill>
                        <pic:spPr>
                          <a:xfrm>
                            <a:off x="0" y="0"/>
                            <a:ext cx="539115" cy="53848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570230</wp:posOffset>
                  </wp:positionH>
                  <wp:positionV relativeFrom="paragraph">
                    <wp:posOffset>0</wp:posOffset>
                  </wp:positionV>
                  <wp:extent cx="727075" cy="714375"/>
                  <wp:effectExtent l="0" t="0" r="0" b="0"/>
                  <wp:wrapNone/>
                  <wp:docPr id="553" name="ID_B73E8774DBA24C66A077783CE7B139D0_SpCnt_8"/>
                  <wp:cNvGraphicFramePr/>
                  <a:graphic xmlns:a="http://schemas.openxmlformats.org/drawingml/2006/main">
                    <a:graphicData uri="http://schemas.openxmlformats.org/drawingml/2006/picture">
                      <pic:pic xmlns:pic="http://schemas.openxmlformats.org/drawingml/2006/picture">
                        <pic:nvPicPr>
                          <pic:cNvPr id="553" name="ID_B73E8774DBA24C66A077783CE7B139D0_SpCnt_8"/>
                          <pic:cNvPicPr/>
                        </pic:nvPicPr>
                        <pic:blipFill>
                          <a:blip r:embed="rId14"/>
                          <a:stretch>
                            <a:fillRect/>
                          </a:stretch>
                        </pic:blipFill>
                        <pic:spPr>
                          <a:xfrm>
                            <a:off x="0" y="0"/>
                            <a:ext cx="727075" cy="71437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570230</wp:posOffset>
                  </wp:positionH>
                  <wp:positionV relativeFrom="paragraph">
                    <wp:posOffset>0</wp:posOffset>
                  </wp:positionV>
                  <wp:extent cx="727075" cy="714375"/>
                  <wp:effectExtent l="0" t="0" r="0" b="0"/>
                  <wp:wrapNone/>
                  <wp:docPr id="554" name="ID_B73E8774DBA24C66A077783CE7B139D0_SpCnt_9"/>
                  <wp:cNvGraphicFramePr/>
                  <a:graphic xmlns:a="http://schemas.openxmlformats.org/drawingml/2006/main">
                    <a:graphicData uri="http://schemas.openxmlformats.org/drawingml/2006/picture">
                      <pic:pic xmlns:pic="http://schemas.openxmlformats.org/drawingml/2006/picture">
                        <pic:nvPicPr>
                          <pic:cNvPr id="554" name="ID_B73E8774DBA24C66A077783CE7B139D0_SpCnt_9"/>
                          <pic:cNvPicPr/>
                        </pic:nvPicPr>
                        <pic:blipFill>
                          <a:blip r:embed="rId14"/>
                          <a:stretch>
                            <a:fillRect/>
                          </a:stretch>
                        </pic:blipFill>
                        <pic:spPr>
                          <a:xfrm>
                            <a:off x="0" y="0"/>
                            <a:ext cx="727075" cy="71437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578485</wp:posOffset>
                  </wp:positionH>
                  <wp:positionV relativeFrom="paragraph">
                    <wp:posOffset>0</wp:posOffset>
                  </wp:positionV>
                  <wp:extent cx="718820" cy="714375"/>
                  <wp:effectExtent l="0" t="0" r="0" b="0"/>
                  <wp:wrapNone/>
                  <wp:docPr id="555" name="ID_B5BF18E09CFE43799C5EE3D44F45FB47_SpCnt_8"/>
                  <wp:cNvGraphicFramePr/>
                  <a:graphic xmlns:a="http://schemas.openxmlformats.org/drawingml/2006/main">
                    <a:graphicData uri="http://schemas.openxmlformats.org/drawingml/2006/picture">
                      <pic:pic xmlns:pic="http://schemas.openxmlformats.org/drawingml/2006/picture">
                        <pic:nvPicPr>
                          <pic:cNvPr id="555" name="ID_B5BF18E09CFE43799C5EE3D44F45FB47_SpCnt_8"/>
                          <pic:cNvPicPr/>
                        </pic:nvPicPr>
                        <pic:blipFill>
                          <a:blip r:embed="rId14"/>
                          <a:stretch>
                            <a:fillRect/>
                          </a:stretch>
                        </pic:blipFill>
                        <pic:spPr>
                          <a:xfrm>
                            <a:off x="0" y="0"/>
                            <a:ext cx="718820" cy="71437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577850</wp:posOffset>
                  </wp:positionH>
                  <wp:positionV relativeFrom="paragraph">
                    <wp:posOffset>0</wp:posOffset>
                  </wp:positionV>
                  <wp:extent cx="597535" cy="503555"/>
                  <wp:effectExtent l="0" t="0" r="0" b="0"/>
                  <wp:wrapNone/>
                  <wp:docPr id="556" name="ID_B5BF18E09CFE43799C5EE3D44F45FB47_SpCnt_9"/>
                  <wp:cNvGraphicFramePr/>
                  <a:graphic xmlns:a="http://schemas.openxmlformats.org/drawingml/2006/main">
                    <a:graphicData uri="http://schemas.openxmlformats.org/drawingml/2006/picture">
                      <pic:pic xmlns:pic="http://schemas.openxmlformats.org/drawingml/2006/picture">
                        <pic:nvPicPr>
                          <pic:cNvPr id="556" name="ID_B5BF18E09CFE43799C5EE3D44F45FB47_SpCnt_9"/>
                          <pic:cNvPicPr/>
                        </pic:nvPicPr>
                        <pic:blipFill>
                          <a:blip r:embed="rId14"/>
                          <a:stretch>
                            <a:fillRect/>
                          </a:stretch>
                        </pic:blipFill>
                        <pic:spPr>
                          <a:xfrm>
                            <a:off x="0" y="0"/>
                            <a:ext cx="597535" cy="5035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578485</wp:posOffset>
                  </wp:positionH>
                  <wp:positionV relativeFrom="paragraph">
                    <wp:posOffset>0</wp:posOffset>
                  </wp:positionV>
                  <wp:extent cx="718820" cy="714375"/>
                  <wp:effectExtent l="0" t="0" r="0" b="0"/>
                  <wp:wrapNone/>
                  <wp:docPr id="557" name="ID_B5BF18E09CFE43799C5EE3D44F45FB47_SpCnt_10"/>
                  <wp:cNvGraphicFramePr/>
                  <a:graphic xmlns:a="http://schemas.openxmlformats.org/drawingml/2006/main">
                    <a:graphicData uri="http://schemas.openxmlformats.org/drawingml/2006/picture">
                      <pic:pic xmlns:pic="http://schemas.openxmlformats.org/drawingml/2006/picture">
                        <pic:nvPicPr>
                          <pic:cNvPr id="557" name="ID_B5BF18E09CFE43799C5EE3D44F45FB47_SpCnt_10"/>
                          <pic:cNvPicPr/>
                        </pic:nvPicPr>
                        <pic:blipFill>
                          <a:blip r:embed="rId14"/>
                          <a:stretch>
                            <a:fillRect/>
                          </a:stretch>
                        </pic:blipFill>
                        <pic:spPr>
                          <a:xfrm>
                            <a:off x="0" y="0"/>
                            <a:ext cx="718820" cy="71437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580390</wp:posOffset>
                  </wp:positionH>
                  <wp:positionV relativeFrom="paragraph">
                    <wp:posOffset>0</wp:posOffset>
                  </wp:positionV>
                  <wp:extent cx="597535" cy="503555"/>
                  <wp:effectExtent l="0" t="0" r="0" b="0"/>
                  <wp:wrapNone/>
                  <wp:docPr id="558" name="ID_B73E8774DBA24C66A077783CE7B139D0_SpCnt_10"/>
                  <wp:cNvGraphicFramePr/>
                  <a:graphic xmlns:a="http://schemas.openxmlformats.org/drawingml/2006/main">
                    <a:graphicData uri="http://schemas.openxmlformats.org/drawingml/2006/picture">
                      <pic:pic xmlns:pic="http://schemas.openxmlformats.org/drawingml/2006/picture">
                        <pic:nvPicPr>
                          <pic:cNvPr id="558" name="ID_B73E8774DBA24C66A077783CE7B139D0_SpCnt_10"/>
                          <pic:cNvPicPr/>
                        </pic:nvPicPr>
                        <pic:blipFill>
                          <a:blip r:embed="rId14"/>
                          <a:stretch>
                            <a:fillRect/>
                          </a:stretch>
                        </pic:blipFill>
                        <pic:spPr>
                          <a:xfrm>
                            <a:off x="0" y="0"/>
                            <a:ext cx="597535" cy="5035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580390</wp:posOffset>
                  </wp:positionH>
                  <wp:positionV relativeFrom="paragraph">
                    <wp:posOffset>0</wp:posOffset>
                  </wp:positionV>
                  <wp:extent cx="597535" cy="503555"/>
                  <wp:effectExtent l="0" t="0" r="0" b="0"/>
                  <wp:wrapNone/>
                  <wp:docPr id="559" name="ID_B73E8774DBA24C66A077783CE7B139D0_SpCnt_11"/>
                  <wp:cNvGraphicFramePr/>
                  <a:graphic xmlns:a="http://schemas.openxmlformats.org/drawingml/2006/main">
                    <a:graphicData uri="http://schemas.openxmlformats.org/drawingml/2006/picture">
                      <pic:pic xmlns:pic="http://schemas.openxmlformats.org/drawingml/2006/picture">
                        <pic:nvPicPr>
                          <pic:cNvPr id="559" name="ID_B73E8774DBA24C66A077783CE7B139D0_SpCnt_11"/>
                          <pic:cNvPicPr/>
                        </pic:nvPicPr>
                        <pic:blipFill>
                          <a:blip r:embed="rId14"/>
                          <a:stretch>
                            <a:fillRect/>
                          </a:stretch>
                        </pic:blipFill>
                        <pic:spPr>
                          <a:xfrm>
                            <a:off x="0" y="0"/>
                            <a:ext cx="597535" cy="5035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572770</wp:posOffset>
                  </wp:positionH>
                  <wp:positionV relativeFrom="paragraph">
                    <wp:posOffset>0</wp:posOffset>
                  </wp:positionV>
                  <wp:extent cx="597535" cy="503555"/>
                  <wp:effectExtent l="0" t="0" r="0" b="0"/>
                  <wp:wrapNone/>
                  <wp:docPr id="560" name="ID_B73E8774DBA24C66A077783CE7B139D0_SpCnt_12"/>
                  <wp:cNvGraphicFramePr/>
                  <a:graphic xmlns:a="http://schemas.openxmlformats.org/drawingml/2006/main">
                    <a:graphicData uri="http://schemas.openxmlformats.org/drawingml/2006/picture">
                      <pic:pic xmlns:pic="http://schemas.openxmlformats.org/drawingml/2006/picture">
                        <pic:nvPicPr>
                          <pic:cNvPr id="560" name="ID_B73E8774DBA24C66A077783CE7B139D0_SpCnt_12"/>
                          <pic:cNvPicPr/>
                        </pic:nvPicPr>
                        <pic:blipFill>
                          <a:blip r:embed="rId14"/>
                          <a:stretch>
                            <a:fillRect/>
                          </a:stretch>
                        </pic:blipFill>
                        <pic:spPr>
                          <a:xfrm>
                            <a:off x="0" y="0"/>
                            <a:ext cx="597535" cy="5035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577850</wp:posOffset>
                  </wp:positionH>
                  <wp:positionV relativeFrom="paragraph">
                    <wp:posOffset>0</wp:posOffset>
                  </wp:positionV>
                  <wp:extent cx="597535" cy="503555"/>
                  <wp:effectExtent l="0" t="0" r="0" b="0"/>
                  <wp:wrapNone/>
                  <wp:docPr id="561" name="ID_B5BF18E09CFE43799C5EE3D44F45FB47_SpCnt_11"/>
                  <wp:cNvGraphicFramePr/>
                  <a:graphic xmlns:a="http://schemas.openxmlformats.org/drawingml/2006/main">
                    <a:graphicData uri="http://schemas.openxmlformats.org/drawingml/2006/picture">
                      <pic:pic xmlns:pic="http://schemas.openxmlformats.org/drawingml/2006/picture">
                        <pic:nvPicPr>
                          <pic:cNvPr id="561" name="ID_B5BF18E09CFE43799C5EE3D44F45FB47_SpCnt_11"/>
                          <pic:cNvPicPr/>
                        </pic:nvPicPr>
                        <pic:blipFill>
                          <a:blip r:embed="rId14"/>
                          <a:stretch>
                            <a:fillRect/>
                          </a:stretch>
                        </pic:blipFill>
                        <pic:spPr>
                          <a:xfrm>
                            <a:off x="0" y="0"/>
                            <a:ext cx="597535" cy="5035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572770</wp:posOffset>
                  </wp:positionH>
                  <wp:positionV relativeFrom="paragraph">
                    <wp:posOffset>0</wp:posOffset>
                  </wp:positionV>
                  <wp:extent cx="597535" cy="503555"/>
                  <wp:effectExtent l="0" t="0" r="0" b="0"/>
                  <wp:wrapNone/>
                  <wp:docPr id="562" name="ID_B73E8774DBA24C66A077783CE7B139D0_SpCnt_13"/>
                  <wp:cNvGraphicFramePr/>
                  <a:graphic xmlns:a="http://schemas.openxmlformats.org/drawingml/2006/main">
                    <a:graphicData uri="http://schemas.openxmlformats.org/drawingml/2006/picture">
                      <pic:pic xmlns:pic="http://schemas.openxmlformats.org/drawingml/2006/picture">
                        <pic:nvPicPr>
                          <pic:cNvPr id="562" name="ID_B73E8774DBA24C66A077783CE7B139D0_SpCnt_13"/>
                          <pic:cNvPicPr/>
                        </pic:nvPicPr>
                        <pic:blipFill>
                          <a:blip r:embed="rId14"/>
                          <a:stretch>
                            <a:fillRect/>
                          </a:stretch>
                        </pic:blipFill>
                        <pic:spPr>
                          <a:xfrm>
                            <a:off x="0" y="0"/>
                            <a:ext cx="597535" cy="5035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585470</wp:posOffset>
                  </wp:positionH>
                  <wp:positionV relativeFrom="paragraph">
                    <wp:posOffset>0</wp:posOffset>
                  </wp:positionV>
                  <wp:extent cx="597535" cy="503555"/>
                  <wp:effectExtent l="0" t="0" r="0" b="0"/>
                  <wp:wrapNone/>
                  <wp:docPr id="563" name="ID_B5BF18E09CFE43799C5EE3D44F45FB47_SpCnt_12"/>
                  <wp:cNvGraphicFramePr/>
                  <a:graphic xmlns:a="http://schemas.openxmlformats.org/drawingml/2006/main">
                    <a:graphicData uri="http://schemas.openxmlformats.org/drawingml/2006/picture">
                      <pic:pic xmlns:pic="http://schemas.openxmlformats.org/drawingml/2006/picture">
                        <pic:nvPicPr>
                          <pic:cNvPr id="563" name="ID_B5BF18E09CFE43799C5EE3D44F45FB47_SpCnt_12"/>
                          <pic:cNvPicPr/>
                        </pic:nvPicPr>
                        <pic:blipFill>
                          <a:blip r:embed="rId14"/>
                          <a:stretch>
                            <a:fillRect/>
                          </a:stretch>
                        </pic:blipFill>
                        <pic:spPr>
                          <a:xfrm>
                            <a:off x="0" y="0"/>
                            <a:ext cx="597535" cy="5035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588010</wp:posOffset>
                  </wp:positionH>
                  <wp:positionV relativeFrom="paragraph">
                    <wp:posOffset>0</wp:posOffset>
                  </wp:positionV>
                  <wp:extent cx="597535" cy="503555"/>
                  <wp:effectExtent l="0" t="0" r="0" b="0"/>
                  <wp:wrapNone/>
                  <wp:docPr id="564" name="ID_B73E8774DBA24C66A077783CE7B139D0_SpCnt_14"/>
                  <wp:cNvGraphicFramePr/>
                  <a:graphic xmlns:a="http://schemas.openxmlformats.org/drawingml/2006/main">
                    <a:graphicData uri="http://schemas.openxmlformats.org/drawingml/2006/picture">
                      <pic:pic xmlns:pic="http://schemas.openxmlformats.org/drawingml/2006/picture">
                        <pic:nvPicPr>
                          <pic:cNvPr id="564" name="ID_B73E8774DBA24C66A077783CE7B139D0_SpCnt_14"/>
                          <pic:cNvPicPr/>
                        </pic:nvPicPr>
                        <pic:blipFill>
                          <a:blip r:embed="rId14"/>
                          <a:stretch>
                            <a:fillRect/>
                          </a:stretch>
                        </pic:blipFill>
                        <pic:spPr>
                          <a:xfrm>
                            <a:off x="0" y="0"/>
                            <a:ext cx="597535" cy="5035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588010</wp:posOffset>
                  </wp:positionH>
                  <wp:positionV relativeFrom="paragraph">
                    <wp:posOffset>0</wp:posOffset>
                  </wp:positionV>
                  <wp:extent cx="597535" cy="503555"/>
                  <wp:effectExtent l="0" t="0" r="0" b="0"/>
                  <wp:wrapNone/>
                  <wp:docPr id="565" name="ID_B73E8774DBA24C66A077783CE7B139D0_SpCnt_15"/>
                  <wp:cNvGraphicFramePr/>
                  <a:graphic xmlns:a="http://schemas.openxmlformats.org/drawingml/2006/main">
                    <a:graphicData uri="http://schemas.openxmlformats.org/drawingml/2006/picture">
                      <pic:pic xmlns:pic="http://schemas.openxmlformats.org/drawingml/2006/picture">
                        <pic:nvPicPr>
                          <pic:cNvPr id="565" name="ID_B73E8774DBA24C66A077783CE7B139D0_SpCnt_15"/>
                          <pic:cNvPicPr/>
                        </pic:nvPicPr>
                        <pic:blipFill>
                          <a:blip r:embed="rId14"/>
                          <a:stretch>
                            <a:fillRect/>
                          </a:stretch>
                        </pic:blipFill>
                        <pic:spPr>
                          <a:xfrm>
                            <a:off x="0" y="0"/>
                            <a:ext cx="597535" cy="5035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585470</wp:posOffset>
                  </wp:positionH>
                  <wp:positionV relativeFrom="paragraph">
                    <wp:posOffset>0</wp:posOffset>
                  </wp:positionV>
                  <wp:extent cx="597535" cy="503555"/>
                  <wp:effectExtent l="0" t="0" r="0" b="0"/>
                  <wp:wrapNone/>
                  <wp:docPr id="566" name="ID_B5BF18E09CFE43799C5EE3D44F45FB47_SpCnt_13"/>
                  <wp:cNvGraphicFramePr/>
                  <a:graphic xmlns:a="http://schemas.openxmlformats.org/drawingml/2006/main">
                    <a:graphicData uri="http://schemas.openxmlformats.org/drawingml/2006/picture">
                      <pic:pic xmlns:pic="http://schemas.openxmlformats.org/drawingml/2006/picture">
                        <pic:nvPicPr>
                          <pic:cNvPr id="566" name="ID_B5BF18E09CFE43799C5EE3D44F45FB47_SpCnt_13"/>
                          <pic:cNvPicPr/>
                        </pic:nvPicPr>
                        <pic:blipFill>
                          <a:blip r:embed="rId14"/>
                          <a:stretch>
                            <a:fillRect/>
                          </a:stretch>
                        </pic:blipFill>
                        <pic:spPr>
                          <a:xfrm>
                            <a:off x="0" y="0"/>
                            <a:ext cx="597535" cy="5035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593725</wp:posOffset>
                  </wp:positionH>
                  <wp:positionV relativeFrom="paragraph">
                    <wp:posOffset>0</wp:posOffset>
                  </wp:positionV>
                  <wp:extent cx="722630" cy="714375"/>
                  <wp:effectExtent l="0" t="0" r="0" b="0"/>
                  <wp:wrapNone/>
                  <wp:docPr id="567" name="ID_CA31AD5AD4A240A69EBE9CEAC8E99D77_SpCnt_8"/>
                  <wp:cNvGraphicFramePr/>
                  <a:graphic xmlns:a="http://schemas.openxmlformats.org/drawingml/2006/main">
                    <a:graphicData uri="http://schemas.openxmlformats.org/drawingml/2006/picture">
                      <pic:pic xmlns:pic="http://schemas.openxmlformats.org/drawingml/2006/picture">
                        <pic:nvPicPr>
                          <pic:cNvPr id="567" name="ID_CA31AD5AD4A240A69EBE9CEAC8E99D77_SpCnt_8"/>
                          <pic:cNvPicPr/>
                        </pic:nvPicPr>
                        <pic:blipFill>
                          <a:blip r:embed="rId14"/>
                          <a:stretch>
                            <a:fillRect/>
                          </a:stretch>
                        </pic:blipFill>
                        <pic:spPr>
                          <a:xfrm>
                            <a:off x="0" y="0"/>
                            <a:ext cx="722630" cy="71437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593090</wp:posOffset>
                  </wp:positionH>
                  <wp:positionV relativeFrom="paragraph">
                    <wp:posOffset>0</wp:posOffset>
                  </wp:positionV>
                  <wp:extent cx="597535" cy="503555"/>
                  <wp:effectExtent l="0" t="0" r="0" b="0"/>
                  <wp:wrapNone/>
                  <wp:docPr id="568" name="ID_DE60E1367F4D47B68B43A253F9DB257F_SpCnt_8"/>
                  <wp:cNvGraphicFramePr/>
                  <a:graphic xmlns:a="http://schemas.openxmlformats.org/drawingml/2006/main">
                    <a:graphicData uri="http://schemas.openxmlformats.org/drawingml/2006/picture">
                      <pic:pic xmlns:pic="http://schemas.openxmlformats.org/drawingml/2006/picture">
                        <pic:nvPicPr>
                          <pic:cNvPr id="568" name="ID_DE60E1367F4D47B68B43A253F9DB257F_SpCnt_8"/>
                          <pic:cNvPicPr/>
                        </pic:nvPicPr>
                        <pic:blipFill>
                          <a:blip r:embed="rId14"/>
                          <a:stretch>
                            <a:fillRect/>
                          </a:stretch>
                        </pic:blipFill>
                        <pic:spPr>
                          <a:xfrm>
                            <a:off x="0" y="0"/>
                            <a:ext cx="597535" cy="5035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593725</wp:posOffset>
                  </wp:positionH>
                  <wp:positionV relativeFrom="paragraph">
                    <wp:posOffset>0</wp:posOffset>
                  </wp:positionV>
                  <wp:extent cx="718820" cy="714375"/>
                  <wp:effectExtent l="0" t="0" r="0" b="0"/>
                  <wp:wrapNone/>
                  <wp:docPr id="569" name="ID_DE60E1367F4D47B68B43A253F9DB257F_SpCnt_9"/>
                  <wp:cNvGraphicFramePr/>
                  <a:graphic xmlns:a="http://schemas.openxmlformats.org/drawingml/2006/main">
                    <a:graphicData uri="http://schemas.openxmlformats.org/drawingml/2006/picture">
                      <pic:pic xmlns:pic="http://schemas.openxmlformats.org/drawingml/2006/picture">
                        <pic:nvPicPr>
                          <pic:cNvPr id="569" name="ID_DE60E1367F4D47B68B43A253F9DB257F_SpCnt_9"/>
                          <pic:cNvPicPr/>
                        </pic:nvPicPr>
                        <pic:blipFill>
                          <a:blip r:embed="rId14"/>
                          <a:stretch>
                            <a:fillRect/>
                          </a:stretch>
                        </pic:blipFill>
                        <pic:spPr>
                          <a:xfrm>
                            <a:off x="0" y="0"/>
                            <a:ext cx="718820" cy="71437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593725</wp:posOffset>
                  </wp:positionH>
                  <wp:positionV relativeFrom="paragraph">
                    <wp:posOffset>0</wp:posOffset>
                  </wp:positionV>
                  <wp:extent cx="722630" cy="714375"/>
                  <wp:effectExtent l="0" t="0" r="0" b="0"/>
                  <wp:wrapNone/>
                  <wp:docPr id="570" name="ID_E826D4FD2F1D481EA1CFBD3451A51F56_SpCnt_8"/>
                  <wp:cNvGraphicFramePr/>
                  <a:graphic xmlns:a="http://schemas.openxmlformats.org/drawingml/2006/main">
                    <a:graphicData uri="http://schemas.openxmlformats.org/drawingml/2006/picture">
                      <pic:pic xmlns:pic="http://schemas.openxmlformats.org/drawingml/2006/picture">
                        <pic:nvPicPr>
                          <pic:cNvPr id="570" name="ID_E826D4FD2F1D481EA1CFBD3451A51F56_SpCnt_8"/>
                          <pic:cNvPicPr/>
                        </pic:nvPicPr>
                        <pic:blipFill>
                          <a:blip r:embed="rId14"/>
                          <a:stretch>
                            <a:fillRect/>
                          </a:stretch>
                        </pic:blipFill>
                        <pic:spPr>
                          <a:xfrm>
                            <a:off x="0" y="0"/>
                            <a:ext cx="722630" cy="71437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593725</wp:posOffset>
                  </wp:positionH>
                  <wp:positionV relativeFrom="paragraph">
                    <wp:posOffset>0</wp:posOffset>
                  </wp:positionV>
                  <wp:extent cx="722630" cy="714375"/>
                  <wp:effectExtent l="0" t="0" r="0" b="0"/>
                  <wp:wrapNone/>
                  <wp:docPr id="571" name="ID_E826D4FD2F1D481EA1CFBD3451A51F56_SpCnt_9"/>
                  <wp:cNvGraphicFramePr/>
                  <a:graphic xmlns:a="http://schemas.openxmlformats.org/drawingml/2006/main">
                    <a:graphicData uri="http://schemas.openxmlformats.org/drawingml/2006/picture">
                      <pic:pic xmlns:pic="http://schemas.openxmlformats.org/drawingml/2006/picture">
                        <pic:nvPicPr>
                          <pic:cNvPr id="571" name="ID_E826D4FD2F1D481EA1CFBD3451A51F56_SpCnt_9"/>
                          <pic:cNvPicPr/>
                        </pic:nvPicPr>
                        <pic:blipFill>
                          <a:blip r:embed="rId14"/>
                          <a:stretch>
                            <a:fillRect/>
                          </a:stretch>
                        </pic:blipFill>
                        <pic:spPr>
                          <a:xfrm>
                            <a:off x="0" y="0"/>
                            <a:ext cx="722630" cy="71437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593725</wp:posOffset>
                  </wp:positionH>
                  <wp:positionV relativeFrom="paragraph">
                    <wp:posOffset>0</wp:posOffset>
                  </wp:positionV>
                  <wp:extent cx="718820" cy="714375"/>
                  <wp:effectExtent l="0" t="0" r="0" b="0"/>
                  <wp:wrapNone/>
                  <wp:docPr id="572" name="ID_DE60E1367F4D47B68B43A253F9DB257F_SpCnt_10"/>
                  <wp:cNvGraphicFramePr/>
                  <a:graphic xmlns:a="http://schemas.openxmlformats.org/drawingml/2006/main">
                    <a:graphicData uri="http://schemas.openxmlformats.org/drawingml/2006/picture">
                      <pic:pic xmlns:pic="http://schemas.openxmlformats.org/drawingml/2006/picture">
                        <pic:nvPicPr>
                          <pic:cNvPr id="572" name="ID_DE60E1367F4D47B68B43A253F9DB257F_SpCnt_10"/>
                          <pic:cNvPicPr/>
                        </pic:nvPicPr>
                        <pic:blipFill>
                          <a:blip r:embed="rId14"/>
                          <a:stretch>
                            <a:fillRect/>
                          </a:stretch>
                        </pic:blipFill>
                        <pic:spPr>
                          <a:xfrm>
                            <a:off x="0" y="0"/>
                            <a:ext cx="718820" cy="71437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595630</wp:posOffset>
                  </wp:positionH>
                  <wp:positionV relativeFrom="paragraph">
                    <wp:posOffset>0</wp:posOffset>
                  </wp:positionV>
                  <wp:extent cx="597535" cy="503555"/>
                  <wp:effectExtent l="0" t="0" r="0" b="0"/>
                  <wp:wrapNone/>
                  <wp:docPr id="573" name="ID_CA31AD5AD4A240A69EBE9CEAC8E99D77_SpCnt_9"/>
                  <wp:cNvGraphicFramePr/>
                  <a:graphic xmlns:a="http://schemas.openxmlformats.org/drawingml/2006/main">
                    <a:graphicData uri="http://schemas.openxmlformats.org/drawingml/2006/picture">
                      <pic:pic xmlns:pic="http://schemas.openxmlformats.org/drawingml/2006/picture">
                        <pic:nvPicPr>
                          <pic:cNvPr id="573" name="ID_CA31AD5AD4A240A69EBE9CEAC8E99D77_SpCnt_9"/>
                          <pic:cNvPicPr/>
                        </pic:nvPicPr>
                        <pic:blipFill>
                          <a:blip r:embed="rId14"/>
                          <a:stretch>
                            <a:fillRect/>
                          </a:stretch>
                        </pic:blipFill>
                        <pic:spPr>
                          <a:xfrm>
                            <a:off x="0" y="0"/>
                            <a:ext cx="597535" cy="5035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593090</wp:posOffset>
                  </wp:positionH>
                  <wp:positionV relativeFrom="paragraph">
                    <wp:posOffset>0</wp:posOffset>
                  </wp:positionV>
                  <wp:extent cx="597535" cy="503555"/>
                  <wp:effectExtent l="0" t="0" r="0" b="0"/>
                  <wp:wrapNone/>
                  <wp:docPr id="574" name="ID_B5BF18E09CFE43799C5EE3D44F45FB47_SpCnt_14"/>
                  <wp:cNvGraphicFramePr/>
                  <a:graphic xmlns:a="http://schemas.openxmlformats.org/drawingml/2006/main">
                    <a:graphicData uri="http://schemas.openxmlformats.org/drawingml/2006/picture">
                      <pic:pic xmlns:pic="http://schemas.openxmlformats.org/drawingml/2006/picture">
                        <pic:nvPicPr>
                          <pic:cNvPr id="574" name="ID_B5BF18E09CFE43799C5EE3D44F45FB47_SpCnt_14"/>
                          <pic:cNvPicPr/>
                        </pic:nvPicPr>
                        <pic:blipFill>
                          <a:blip r:embed="rId14"/>
                          <a:stretch>
                            <a:fillRect/>
                          </a:stretch>
                        </pic:blipFill>
                        <pic:spPr>
                          <a:xfrm>
                            <a:off x="0" y="0"/>
                            <a:ext cx="597535" cy="5035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595630</wp:posOffset>
                  </wp:positionH>
                  <wp:positionV relativeFrom="paragraph">
                    <wp:posOffset>0</wp:posOffset>
                  </wp:positionV>
                  <wp:extent cx="597535" cy="503555"/>
                  <wp:effectExtent l="0" t="0" r="0" b="0"/>
                  <wp:wrapNone/>
                  <wp:docPr id="575" name="ID_E826D4FD2F1D481EA1CFBD3451A51F56_SpCnt_10"/>
                  <wp:cNvGraphicFramePr/>
                  <a:graphic xmlns:a="http://schemas.openxmlformats.org/drawingml/2006/main">
                    <a:graphicData uri="http://schemas.openxmlformats.org/drawingml/2006/picture">
                      <pic:pic xmlns:pic="http://schemas.openxmlformats.org/drawingml/2006/picture">
                        <pic:nvPicPr>
                          <pic:cNvPr id="575" name="ID_E826D4FD2F1D481EA1CFBD3451A51F56_SpCnt_10"/>
                          <pic:cNvPicPr/>
                        </pic:nvPicPr>
                        <pic:blipFill>
                          <a:blip r:embed="rId14"/>
                          <a:stretch>
                            <a:fillRect/>
                          </a:stretch>
                        </pic:blipFill>
                        <pic:spPr>
                          <a:xfrm>
                            <a:off x="0" y="0"/>
                            <a:ext cx="597535" cy="5035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593725</wp:posOffset>
                  </wp:positionH>
                  <wp:positionV relativeFrom="paragraph">
                    <wp:posOffset>0</wp:posOffset>
                  </wp:positionV>
                  <wp:extent cx="722630" cy="714375"/>
                  <wp:effectExtent l="0" t="0" r="0" b="0"/>
                  <wp:wrapNone/>
                  <wp:docPr id="576" name="ID_CA31AD5AD4A240A69EBE9CEAC8E99D77_SpCnt_10"/>
                  <wp:cNvGraphicFramePr/>
                  <a:graphic xmlns:a="http://schemas.openxmlformats.org/drawingml/2006/main">
                    <a:graphicData uri="http://schemas.openxmlformats.org/drawingml/2006/picture">
                      <pic:pic xmlns:pic="http://schemas.openxmlformats.org/drawingml/2006/picture">
                        <pic:nvPicPr>
                          <pic:cNvPr id="576" name="ID_CA31AD5AD4A240A69EBE9CEAC8E99D77_SpCnt_10"/>
                          <pic:cNvPicPr/>
                        </pic:nvPicPr>
                        <pic:blipFill>
                          <a:blip r:embed="rId14"/>
                          <a:stretch>
                            <a:fillRect/>
                          </a:stretch>
                        </pic:blipFill>
                        <pic:spPr>
                          <a:xfrm>
                            <a:off x="0" y="0"/>
                            <a:ext cx="722630" cy="71437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593090</wp:posOffset>
                  </wp:positionH>
                  <wp:positionV relativeFrom="paragraph">
                    <wp:posOffset>0</wp:posOffset>
                  </wp:positionV>
                  <wp:extent cx="597535" cy="503555"/>
                  <wp:effectExtent l="0" t="0" r="0" b="0"/>
                  <wp:wrapNone/>
                  <wp:docPr id="577" name="ID_DE60E1367F4D47B68B43A253F9DB257F_SpCnt_11"/>
                  <wp:cNvGraphicFramePr/>
                  <a:graphic xmlns:a="http://schemas.openxmlformats.org/drawingml/2006/main">
                    <a:graphicData uri="http://schemas.openxmlformats.org/drawingml/2006/picture">
                      <pic:pic xmlns:pic="http://schemas.openxmlformats.org/drawingml/2006/picture">
                        <pic:nvPicPr>
                          <pic:cNvPr id="577" name="ID_DE60E1367F4D47B68B43A253F9DB257F_SpCnt_11"/>
                          <pic:cNvPicPr/>
                        </pic:nvPicPr>
                        <pic:blipFill>
                          <a:blip r:embed="rId14"/>
                          <a:stretch>
                            <a:fillRect/>
                          </a:stretch>
                        </pic:blipFill>
                        <pic:spPr>
                          <a:xfrm>
                            <a:off x="0" y="0"/>
                            <a:ext cx="597535" cy="5035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593090</wp:posOffset>
                  </wp:positionH>
                  <wp:positionV relativeFrom="paragraph">
                    <wp:posOffset>0</wp:posOffset>
                  </wp:positionV>
                  <wp:extent cx="597535" cy="503555"/>
                  <wp:effectExtent l="0" t="0" r="0" b="0"/>
                  <wp:wrapNone/>
                  <wp:docPr id="578" name="ID_B5BF18E09CFE43799C5EE3D44F45FB47_SpCnt_15"/>
                  <wp:cNvGraphicFramePr/>
                  <a:graphic xmlns:a="http://schemas.openxmlformats.org/drawingml/2006/main">
                    <a:graphicData uri="http://schemas.openxmlformats.org/drawingml/2006/picture">
                      <pic:pic xmlns:pic="http://schemas.openxmlformats.org/drawingml/2006/picture">
                        <pic:nvPicPr>
                          <pic:cNvPr id="578" name="ID_B5BF18E09CFE43799C5EE3D44F45FB47_SpCnt_15"/>
                          <pic:cNvPicPr/>
                        </pic:nvPicPr>
                        <pic:blipFill>
                          <a:blip r:embed="rId14"/>
                          <a:stretch>
                            <a:fillRect/>
                          </a:stretch>
                        </pic:blipFill>
                        <pic:spPr>
                          <a:xfrm>
                            <a:off x="0" y="0"/>
                            <a:ext cx="597535" cy="5035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599440</wp:posOffset>
                  </wp:positionH>
                  <wp:positionV relativeFrom="paragraph">
                    <wp:posOffset>0</wp:posOffset>
                  </wp:positionV>
                  <wp:extent cx="597535" cy="503555"/>
                  <wp:effectExtent l="0" t="0" r="0" b="0"/>
                  <wp:wrapNone/>
                  <wp:docPr id="579" name="ID_DE60E1367F4D47B68B43A253F9DB257F_SpCnt_12"/>
                  <wp:cNvGraphicFramePr/>
                  <a:graphic xmlns:a="http://schemas.openxmlformats.org/drawingml/2006/main">
                    <a:graphicData uri="http://schemas.openxmlformats.org/drawingml/2006/picture">
                      <pic:pic xmlns:pic="http://schemas.openxmlformats.org/drawingml/2006/picture">
                        <pic:nvPicPr>
                          <pic:cNvPr id="579" name="ID_DE60E1367F4D47B68B43A253F9DB257F_SpCnt_12"/>
                          <pic:cNvPicPr/>
                        </pic:nvPicPr>
                        <pic:blipFill>
                          <a:blip r:embed="rId14"/>
                          <a:stretch>
                            <a:fillRect/>
                          </a:stretch>
                        </pic:blipFill>
                        <pic:spPr>
                          <a:xfrm>
                            <a:off x="0" y="0"/>
                            <a:ext cx="597535" cy="5035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599440</wp:posOffset>
                  </wp:positionH>
                  <wp:positionV relativeFrom="paragraph">
                    <wp:posOffset>0</wp:posOffset>
                  </wp:positionV>
                  <wp:extent cx="597535" cy="503555"/>
                  <wp:effectExtent l="0" t="0" r="0" b="0"/>
                  <wp:wrapNone/>
                  <wp:docPr id="580" name="ID_DE60E1367F4D47B68B43A253F9DB257F_SpCnt_13"/>
                  <wp:cNvGraphicFramePr/>
                  <a:graphic xmlns:a="http://schemas.openxmlformats.org/drawingml/2006/main">
                    <a:graphicData uri="http://schemas.openxmlformats.org/drawingml/2006/picture">
                      <pic:pic xmlns:pic="http://schemas.openxmlformats.org/drawingml/2006/picture">
                        <pic:nvPicPr>
                          <pic:cNvPr id="580" name="ID_DE60E1367F4D47B68B43A253F9DB257F_SpCnt_13"/>
                          <pic:cNvPicPr/>
                        </pic:nvPicPr>
                        <pic:blipFill>
                          <a:blip r:embed="rId14"/>
                          <a:stretch>
                            <a:fillRect/>
                          </a:stretch>
                        </pic:blipFill>
                        <pic:spPr>
                          <a:xfrm>
                            <a:off x="0" y="0"/>
                            <a:ext cx="597535" cy="5035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595630</wp:posOffset>
                  </wp:positionH>
                  <wp:positionV relativeFrom="paragraph">
                    <wp:posOffset>0</wp:posOffset>
                  </wp:positionV>
                  <wp:extent cx="597535" cy="503555"/>
                  <wp:effectExtent l="0" t="0" r="0" b="0"/>
                  <wp:wrapNone/>
                  <wp:docPr id="581" name="ID_CA31AD5AD4A240A69EBE9CEAC8E99D77_SpCnt_11"/>
                  <wp:cNvGraphicFramePr/>
                  <a:graphic xmlns:a="http://schemas.openxmlformats.org/drawingml/2006/main">
                    <a:graphicData uri="http://schemas.openxmlformats.org/drawingml/2006/picture">
                      <pic:pic xmlns:pic="http://schemas.openxmlformats.org/drawingml/2006/picture">
                        <pic:nvPicPr>
                          <pic:cNvPr id="581" name="ID_CA31AD5AD4A240A69EBE9CEAC8E99D77_SpCnt_11"/>
                          <pic:cNvPicPr/>
                        </pic:nvPicPr>
                        <pic:blipFill>
                          <a:blip r:embed="rId14"/>
                          <a:stretch>
                            <a:fillRect/>
                          </a:stretch>
                        </pic:blipFill>
                        <pic:spPr>
                          <a:xfrm>
                            <a:off x="0" y="0"/>
                            <a:ext cx="597535" cy="5035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595630</wp:posOffset>
                  </wp:positionH>
                  <wp:positionV relativeFrom="paragraph">
                    <wp:posOffset>0</wp:posOffset>
                  </wp:positionV>
                  <wp:extent cx="597535" cy="503555"/>
                  <wp:effectExtent l="0" t="0" r="0" b="0"/>
                  <wp:wrapNone/>
                  <wp:docPr id="582" name="ID_E826D4FD2F1D481EA1CFBD3451A51F56_SpCnt_11"/>
                  <wp:cNvGraphicFramePr/>
                  <a:graphic xmlns:a="http://schemas.openxmlformats.org/drawingml/2006/main">
                    <a:graphicData uri="http://schemas.openxmlformats.org/drawingml/2006/picture">
                      <pic:pic xmlns:pic="http://schemas.openxmlformats.org/drawingml/2006/picture">
                        <pic:nvPicPr>
                          <pic:cNvPr id="582" name="ID_E826D4FD2F1D481EA1CFBD3451A51F56_SpCnt_11"/>
                          <pic:cNvPicPr/>
                        </pic:nvPicPr>
                        <pic:blipFill>
                          <a:blip r:embed="rId14"/>
                          <a:stretch>
                            <a:fillRect/>
                          </a:stretch>
                        </pic:blipFill>
                        <pic:spPr>
                          <a:xfrm>
                            <a:off x="0" y="0"/>
                            <a:ext cx="597535" cy="5035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603250</wp:posOffset>
                  </wp:positionH>
                  <wp:positionV relativeFrom="paragraph">
                    <wp:posOffset>0</wp:posOffset>
                  </wp:positionV>
                  <wp:extent cx="597535" cy="503555"/>
                  <wp:effectExtent l="0" t="0" r="0" b="0"/>
                  <wp:wrapNone/>
                  <wp:docPr id="583" name="ID_E826D4FD2F1D481EA1CFBD3451A51F56_SpCnt_12"/>
                  <wp:cNvGraphicFramePr/>
                  <a:graphic xmlns:a="http://schemas.openxmlformats.org/drawingml/2006/main">
                    <a:graphicData uri="http://schemas.openxmlformats.org/drawingml/2006/picture">
                      <pic:pic xmlns:pic="http://schemas.openxmlformats.org/drawingml/2006/picture">
                        <pic:nvPicPr>
                          <pic:cNvPr id="583" name="ID_E826D4FD2F1D481EA1CFBD3451A51F56_SpCnt_12"/>
                          <pic:cNvPicPr/>
                        </pic:nvPicPr>
                        <pic:blipFill>
                          <a:blip r:embed="rId14"/>
                          <a:stretch>
                            <a:fillRect/>
                          </a:stretch>
                        </pic:blipFill>
                        <pic:spPr>
                          <a:xfrm>
                            <a:off x="0" y="0"/>
                            <a:ext cx="597535" cy="5035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603250</wp:posOffset>
                  </wp:positionH>
                  <wp:positionV relativeFrom="paragraph">
                    <wp:posOffset>0</wp:posOffset>
                  </wp:positionV>
                  <wp:extent cx="597535" cy="503555"/>
                  <wp:effectExtent l="0" t="0" r="0" b="0"/>
                  <wp:wrapNone/>
                  <wp:docPr id="584" name="ID_CA31AD5AD4A240A69EBE9CEAC8E99D77_SpCnt_12"/>
                  <wp:cNvGraphicFramePr/>
                  <a:graphic xmlns:a="http://schemas.openxmlformats.org/drawingml/2006/main">
                    <a:graphicData uri="http://schemas.openxmlformats.org/drawingml/2006/picture">
                      <pic:pic xmlns:pic="http://schemas.openxmlformats.org/drawingml/2006/picture">
                        <pic:nvPicPr>
                          <pic:cNvPr id="584" name="ID_CA31AD5AD4A240A69EBE9CEAC8E99D77_SpCnt_12"/>
                          <pic:cNvPicPr/>
                        </pic:nvPicPr>
                        <pic:blipFill>
                          <a:blip r:embed="rId14"/>
                          <a:stretch>
                            <a:fillRect/>
                          </a:stretch>
                        </pic:blipFill>
                        <pic:spPr>
                          <a:xfrm>
                            <a:off x="0" y="0"/>
                            <a:ext cx="597535" cy="5035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608330</wp:posOffset>
                  </wp:positionH>
                  <wp:positionV relativeFrom="paragraph">
                    <wp:posOffset>0</wp:posOffset>
                  </wp:positionV>
                  <wp:extent cx="597535" cy="503555"/>
                  <wp:effectExtent l="0" t="0" r="0" b="0"/>
                  <wp:wrapNone/>
                  <wp:docPr id="585" name="ID_DE60E1367F4D47B68B43A253F9DB257F_SpCnt_14"/>
                  <wp:cNvGraphicFramePr/>
                  <a:graphic xmlns:a="http://schemas.openxmlformats.org/drawingml/2006/main">
                    <a:graphicData uri="http://schemas.openxmlformats.org/drawingml/2006/picture">
                      <pic:pic xmlns:pic="http://schemas.openxmlformats.org/drawingml/2006/picture">
                        <pic:nvPicPr>
                          <pic:cNvPr id="585" name="ID_DE60E1367F4D47B68B43A253F9DB257F_SpCnt_14"/>
                          <pic:cNvPicPr/>
                        </pic:nvPicPr>
                        <pic:blipFill>
                          <a:blip r:embed="rId14"/>
                          <a:stretch>
                            <a:fillRect/>
                          </a:stretch>
                        </pic:blipFill>
                        <pic:spPr>
                          <a:xfrm>
                            <a:off x="0" y="0"/>
                            <a:ext cx="597535" cy="5035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603250</wp:posOffset>
                  </wp:positionH>
                  <wp:positionV relativeFrom="paragraph">
                    <wp:posOffset>0</wp:posOffset>
                  </wp:positionV>
                  <wp:extent cx="597535" cy="503555"/>
                  <wp:effectExtent l="0" t="0" r="0" b="0"/>
                  <wp:wrapNone/>
                  <wp:docPr id="586" name="ID_CA31AD5AD4A240A69EBE9CEAC8E99D77_SpCnt_13"/>
                  <wp:cNvGraphicFramePr/>
                  <a:graphic xmlns:a="http://schemas.openxmlformats.org/drawingml/2006/main">
                    <a:graphicData uri="http://schemas.openxmlformats.org/drawingml/2006/picture">
                      <pic:pic xmlns:pic="http://schemas.openxmlformats.org/drawingml/2006/picture">
                        <pic:nvPicPr>
                          <pic:cNvPr id="586" name="ID_CA31AD5AD4A240A69EBE9CEAC8E99D77_SpCnt_13"/>
                          <pic:cNvPicPr/>
                        </pic:nvPicPr>
                        <pic:blipFill>
                          <a:blip r:embed="rId14"/>
                          <a:stretch>
                            <a:fillRect/>
                          </a:stretch>
                        </pic:blipFill>
                        <pic:spPr>
                          <a:xfrm>
                            <a:off x="0" y="0"/>
                            <a:ext cx="597535" cy="5035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603250</wp:posOffset>
                  </wp:positionH>
                  <wp:positionV relativeFrom="paragraph">
                    <wp:posOffset>0</wp:posOffset>
                  </wp:positionV>
                  <wp:extent cx="597535" cy="503555"/>
                  <wp:effectExtent l="0" t="0" r="0" b="0"/>
                  <wp:wrapNone/>
                  <wp:docPr id="587" name="ID_E826D4FD2F1D481EA1CFBD3451A51F56_SpCnt_13"/>
                  <wp:cNvGraphicFramePr/>
                  <a:graphic xmlns:a="http://schemas.openxmlformats.org/drawingml/2006/main">
                    <a:graphicData uri="http://schemas.openxmlformats.org/drawingml/2006/picture">
                      <pic:pic xmlns:pic="http://schemas.openxmlformats.org/drawingml/2006/picture">
                        <pic:nvPicPr>
                          <pic:cNvPr id="587" name="ID_E826D4FD2F1D481EA1CFBD3451A51F56_SpCnt_13"/>
                          <pic:cNvPicPr/>
                        </pic:nvPicPr>
                        <pic:blipFill>
                          <a:blip r:embed="rId14"/>
                          <a:stretch>
                            <a:fillRect/>
                          </a:stretch>
                        </pic:blipFill>
                        <pic:spPr>
                          <a:xfrm>
                            <a:off x="0" y="0"/>
                            <a:ext cx="597535" cy="5035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608330</wp:posOffset>
                  </wp:positionH>
                  <wp:positionV relativeFrom="paragraph">
                    <wp:posOffset>0</wp:posOffset>
                  </wp:positionV>
                  <wp:extent cx="597535" cy="503555"/>
                  <wp:effectExtent l="0" t="0" r="0" b="0"/>
                  <wp:wrapNone/>
                  <wp:docPr id="588" name="ID_DE60E1367F4D47B68B43A253F9DB257F_SpCnt_15"/>
                  <wp:cNvGraphicFramePr/>
                  <a:graphic xmlns:a="http://schemas.openxmlformats.org/drawingml/2006/main">
                    <a:graphicData uri="http://schemas.openxmlformats.org/drawingml/2006/picture">
                      <pic:pic xmlns:pic="http://schemas.openxmlformats.org/drawingml/2006/picture">
                        <pic:nvPicPr>
                          <pic:cNvPr id="588" name="ID_DE60E1367F4D47B68B43A253F9DB257F_SpCnt_15"/>
                          <pic:cNvPicPr/>
                        </pic:nvPicPr>
                        <pic:blipFill>
                          <a:blip r:embed="rId14"/>
                          <a:stretch>
                            <a:fillRect/>
                          </a:stretch>
                        </pic:blipFill>
                        <pic:spPr>
                          <a:xfrm>
                            <a:off x="0" y="0"/>
                            <a:ext cx="597535" cy="5035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610870</wp:posOffset>
                  </wp:positionH>
                  <wp:positionV relativeFrom="paragraph">
                    <wp:posOffset>0</wp:posOffset>
                  </wp:positionV>
                  <wp:extent cx="597535" cy="503555"/>
                  <wp:effectExtent l="0" t="0" r="0" b="0"/>
                  <wp:wrapNone/>
                  <wp:docPr id="589" name="ID_CA31AD5AD4A240A69EBE9CEAC8E99D77_SpCnt_14"/>
                  <wp:cNvGraphicFramePr/>
                  <a:graphic xmlns:a="http://schemas.openxmlformats.org/drawingml/2006/main">
                    <a:graphicData uri="http://schemas.openxmlformats.org/drawingml/2006/picture">
                      <pic:pic xmlns:pic="http://schemas.openxmlformats.org/drawingml/2006/picture">
                        <pic:nvPicPr>
                          <pic:cNvPr id="589" name="ID_CA31AD5AD4A240A69EBE9CEAC8E99D77_SpCnt_14"/>
                          <pic:cNvPicPr/>
                        </pic:nvPicPr>
                        <pic:blipFill>
                          <a:blip r:embed="rId14"/>
                          <a:stretch>
                            <a:fillRect/>
                          </a:stretch>
                        </pic:blipFill>
                        <pic:spPr>
                          <a:xfrm>
                            <a:off x="0" y="0"/>
                            <a:ext cx="597535" cy="5035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610870</wp:posOffset>
                  </wp:positionH>
                  <wp:positionV relativeFrom="paragraph">
                    <wp:posOffset>0</wp:posOffset>
                  </wp:positionV>
                  <wp:extent cx="597535" cy="503555"/>
                  <wp:effectExtent l="0" t="0" r="0" b="0"/>
                  <wp:wrapNone/>
                  <wp:docPr id="590" name="ID_CA31AD5AD4A240A69EBE9CEAC8E99D77_SpCnt_15"/>
                  <wp:cNvGraphicFramePr/>
                  <a:graphic xmlns:a="http://schemas.openxmlformats.org/drawingml/2006/main">
                    <a:graphicData uri="http://schemas.openxmlformats.org/drawingml/2006/picture">
                      <pic:pic xmlns:pic="http://schemas.openxmlformats.org/drawingml/2006/picture">
                        <pic:nvPicPr>
                          <pic:cNvPr id="590" name="ID_CA31AD5AD4A240A69EBE9CEAC8E99D77_SpCnt_15"/>
                          <pic:cNvPicPr/>
                        </pic:nvPicPr>
                        <pic:blipFill>
                          <a:blip r:embed="rId14"/>
                          <a:stretch>
                            <a:fillRect/>
                          </a:stretch>
                        </pic:blipFill>
                        <pic:spPr>
                          <a:xfrm>
                            <a:off x="0" y="0"/>
                            <a:ext cx="597535" cy="5035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610870</wp:posOffset>
                  </wp:positionH>
                  <wp:positionV relativeFrom="paragraph">
                    <wp:posOffset>0</wp:posOffset>
                  </wp:positionV>
                  <wp:extent cx="597535" cy="503555"/>
                  <wp:effectExtent l="0" t="0" r="0" b="0"/>
                  <wp:wrapNone/>
                  <wp:docPr id="591" name="ID_E826D4FD2F1D481EA1CFBD3451A51F56_SpCnt_14"/>
                  <wp:cNvGraphicFramePr/>
                  <a:graphic xmlns:a="http://schemas.openxmlformats.org/drawingml/2006/main">
                    <a:graphicData uri="http://schemas.openxmlformats.org/drawingml/2006/picture">
                      <pic:pic xmlns:pic="http://schemas.openxmlformats.org/drawingml/2006/picture">
                        <pic:nvPicPr>
                          <pic:cNvPr id="591" name="ID_E826D4FD2F1D481EA1CFBD3451A51F56_SpCnt_14"/>
                          <pic:cNvPicPr/>
                        </pic:nvPicPr>
                        <pic:blipFill>
                          <a:blip r:embed="rId14"/>
                          <a:stretch>
                            <a:fillRect/>
                          </a:stretch>
                        </pic:blipFill>
                        <pic:spPr>
                          <a:xfrm>
                            <a:off x="0" y="0"/>
                            <a:ext cx="597535" cy="5035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610870</wp:posOffset>
                  </wp:positionH>
                  <wp:positionV relativeFrom="paragraph">
                    <wp:posOffset>0</wp:posOffset>
                  </wp:positionV>
                  <wp:extent cx="597535" cy="503555"/>
                  <wp:effectExtent l="0" t="0" r="0" b="0"/>
                  <wp:wrapNone/>
                  <wp:docPr id="592" name="ID_E826D4FD2F1D481EA1CFBD3451A51F56_SpCnt_15"/>
                  <wp:cNvGraphicFramePr/>
                  <a:graphic xmlns:a="http://schemas.openxmlformats.org/drawingml/2006/main">
                    <a:graphicData uri="http://schemas.openxmlformats.org/drawingml/2006/picture">
                      <pic:pic xmlns:pic="http://schemas.openxmlformats.org/drawingml/2006/picture">
                        <pic:nvPicPr>
                          <pic:cNvPr id="592" name="ID_E826D4FD2F1D481EA1CFBD3451A51F56_SpCnt_15"/>
                          <pic:cNvPicPr/>
                        </pic:nvPicPr>
                        <pic:blipFill>
                          <a:blip r:embed="rId14"/>
                          <a:stretch>
                            <a:fillRect/>
                          </a:stretch>
                        </pic:blipFill>
                        <pic:spPr>
                          <a:xfrm>
                            <a:off x="0" y="0"/>
                            <a:ext cx="597535" cy="50355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664210</wp:posOffset>
                  </wp:positionH>
                  <wp:positionV relativeFrom="paragraph">
                    <wp:posOffset>0</wp:posOffset>
                  </wp:positionV>
                  <wp:extent cx="648335" cy="647065"/>
                  <wp:effectExtent l="0" t="0" r="0" b="0"/>
                  <wp:wrapNone/>
                  <wp:docPr id="593" name="ID_B73E8774DBA24C66A077783CE7B139D0_SpCnt_16"/>
                  <wp:cNvGraphicFramePr/>
                  <a:graphic xmlns:a="http://schemas.openxmlformats.org/drawingml/2006/main">
                    <a:graphicData uri="http://schemas.openxmlformats.org/drawingml/2006/picture">
                      <pic:pic xmlns:pic="http://schemas.openxmlformats.org/drawingml/2006/picture">
                        <pic:nvPicPr>
                          <pic:cNvPr id="593" name="ID_B73E8774DBA24C66A077783CE7B139D0_SpCnt_16"/>
                          <pic:cNvPicPr/>
                        </pic:nvPicPr>
                        <pic:blipFill>
                          <a:blip r:embed="rId14"/>
                          <a:stretch>
                            <a:fillRect/>
                          </a:stretch>
                        </pic:blipFill>
                        <pic:spPr>
                          <a:xfrm>
                            <a:off x="0" y="0"/>
                            <a:ext cx="648335" cy="64706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664210</wp:posOffset>
                  </wp:positionH>
                  <wp:positionV relativeFrom="paragraph">
                    <wp:posOffset>0</wp:posOffset>
                  </wp:positionV>
                  <wp:extent cx="648335" cy="647065"/>
                  <wp:effectExtent l="0" t="0" r="0" b="0"/>
                  <wp:wrapNone/>
                  <wp:docPr id="594" name="ID_B73E8774DBA24C66A077783CE7B139D0_SpCnt_17"/>
                  <wp:cNvGraphicFramePr/>
                  <a:graphic xmlns:a="http://schemas.openxmlformats.org/drawingml/2006/main">
                    <a:graphicData uri="http://schemas.openxmlformats.org/drawingml/2006/picture">
                      <pic:pic xmlns:pic="http://schemas.openxmlformats.org/drawingml/2006/picture">
                        <pic:nvPicPr>
                          <pic:cNvPr id="594" name="ID_B73E8774DBA24C66A077783CE7B139D0_SpCnt_17"/>
                          <pic:cNvPicPr/>
                        </pic:nvPicPr>
                        <pic:blipFill>
                          <a:blip r:embed="rId14"/>
                          <a:stretch>
                            <a:fillRect/>
                          </a:stretch>
                        </pic:blipFill>
                        <pic:spPr>
                          <a:xfrm>
                            <a:off x="0" y="0"/>
                            <a:ext cx="648335" cy="64706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664210</wp:posOffset>
                  </wp:positionH>
                  <wp:positionV relativeFrom="paragraph">
                    <wp:posOffset>0</wp:posOffset>
                  </wp:positionV>
                  <wp:extent cx="652145" cy="647065"/>
                  <wp:effectExtent l="0" t="0" r="0" b="0"/>
                  <wp:wrapNone/>
                  <wp:docPr id="595" name="ID_B5BF18E09CFE43799C5EE3D44F45FB47_SpCnt_16"/>
                  <wp:cNvGraphicFramePr/>
                  <a:graphic xmlns:a="http://schemas.openxmlformats.org/drawingml/2006/main">
                    <a:graphicData uri="http://schemas.openxmlformats.org/drawingml/2006/picture">
                      <pic:pic xmlns:pic="http://schemas.openxmlformats.org/drawingml/2006/picture">
                        <pic:nvPicPr>
                          <pic:cNvPr id="595" name="ID_B5BF18E09CFE43799C5EE3D44F45FB47_SpCnt_16"/>
                          <pic:cNvPicPr/>
                        </pic:nvPicPr>
                        <pic:blipFill>
                          <a:blip r:embed="rId14"/>
                          <a:stretch>
                            <a:fillRect/>
                          </a:stretch>
                        </pic:blipFill>
                        <pic:spPr>
                          <a:xfrm>
                            <a:off x="0" y="0"/>
                            <a:ext cx="652145" cy="64706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664210</wp:posOffset>
                  </wp:positionH>
                  <wp:positionV relativeFrom="paragraph">
                    <wp:posOffset>0</wp:posOffset>
                  </wp:positionV>
                  <wp:extent cx="652145" cy="647065"/>
                  <wp:effectExtent l="0" t="0" r="0" b="0"/>
                  <wp:wrapNone/>
                  <wp:docPr id="596" name="ID_B5BF18E09CFE43799C5EE3D44F45FB47_SpCnt_17"/>
                  <wp:cNvGraphicFramePr/>
                  <a:graphic xmlns:a="http://schemas.openxmlformats.org/drawingml/2006/main">
                    <a:graphicData uri="http://schemas.openxmlformats.org/drawingml/2006/picture">
                      <pic:pic xmlns:pic="http://schemas.openxmlformats.org/drawingml/2006/picture">
                        <pic:nvPicPr>
                          <pic:cNvPr id="596" name="ID_B5BF18E09CFE43799C5EE3D44F45FB47_SpCnt_17"/>
                          <pic:cNvPicPr/>
                        </pic:nvPicPr>
                        <pic:blipFill>
                          <a:blip r:embed="rId14"/>
                          <a:stretch>
                            <a:fillRect/>
                          </a:stretch>
                        </pic:blipFill>
                        <pic:spPr>
                          <a:xfrm>
                            <a:off x="0" y="0"/>
                            <a:ext cx="652145" cy="64706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680085</wp:posOffset>
                  </wp:positionH>
                  <wp:positionV relativeFrom="paragraph">
                    <wp:posOffset>0</wp:posOffset>
                  </wp:positionV>
                  <wp:extent cx="644525" cy="647065"/>
                  <wp:effectExtent l="0" t="0" r="0" b="0"/>
                  <wp:wrapNone/>
                  <wp:docPr id="597" name="ID_DE60E1367F4D47B68B43A253F9DB257F_SpCnt_16"/>
                  <wp:cNvGraphicFramePr/>
                  <a:graphic xmlns:a="http://schemas.openxmlformats.org/drawingml/2006/main">
                    <a:graphicData uri="http://schemas.openxmlformats.org/drawingml/2006/picture">
                      <pic:pic xmlns:pic="http://schemas.openxmlformats.org/drawingml/2006/picture">
                        <pic:nvPicPr>
                          <pic:cNvPr id="597" name="ID_DE60E1367F4D47B68B43A253F9DB257F_SpCnt_16"/>
                          <pic:cNvPicPr/>
                        </pic:nvPicPr>
                        <pic:blipFill>
                          <a:blip r:embed="rId14"/>
                          <a:stretch>
                            <a:fillRect/>
                          </a:stretch>
                        </pic:blipFill>
                        <pic:spPr>
                          <a:xfrm>
                            <a:off x="0" y="0"/>
                            <a:ext cx="644525" cy="64706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680085</wp:posOffset>
                  </wp:positionH>
                  <wp:positionV relativeFrom="paragraph">
                    <wp:posOffset>0</wp:posOffset>
                  </wp:positionV>
                  <wp:extent cx="644525" cy="647065"/>
                  <wp:effectExtent l="0" t="0" r="0" b="0"/>
                  <wp:wrapNone/>
                  <wp:docPr id="598" name="ID_DE60E1367F4D47B68B43A253F9DB257F_SpCnt_17"/>
                  <wp:cNvGraphicFramePr/>
                  <a:graphic xmlns:a="http://schemas.openxmlformats.org/drawingml/2006/main">
                    <a:graphicData uri="http://schemas.openxmlformats.org/drawingml/2006/picture">
                      <pic:pic xmlns:pic="http://schemas.openxmlformats.org/drawingml/2006/picture">
                        <pic:nvPicPr>
                          <pic:cNvPr id="598" name="ID_DE60E1367F4D47B68B43A253F9DB257F_SpCnt_17"/>
                          <pic:cNvPicPr/>
                        </pic:nvPicPr>
                        <pic:blipFill>
                          <a:blip r:embed="rId14"/>
                          <a:stretch>
                            <a:fillRect/>
                          </a:stretch>
                        </pic:blipFill>
                        <pic:spPr>
                          <a:xfrm>
                            <a:off x="0" y="0"/>
                            <a:ext cx="644525" cy="64706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685800</wp:posOffset>
                  </wp:positionH>
                  <wp:positionV relativeFrom="paragraph">
                    <wp:posOffset>0</wp:posOffset>
                  </wp:positionV>
                  <wp:extent cx="644525" cy="647065"/>
                  <wp:effectExtent l="0" t="0" r="0" b="0"/>
                  <wp:wrapNone/>
                  <wp:docPr id="599" name="ID_CA31AD5AD4A240A69EBE9CEAC8E99D77_SpCnt_16"/>
                  <wp:cNvGraphicFramePr/>
                  <a:graphic xmlns:a="http://schemas.openxmlformats.org/drawingml/2006/main">
                    <a:graphicData uri="http://schemas.openxmlformats.org/drawingml/2006/picture">
                      <pic:pic xmlns:pic="http://schemas.openxmlformats.org/drawingml/2006/picture">
                        <pic:nvPicPr>
                          <pic:cNvPr id="599" name="ID_CA31AD5AD4A240A69EBE9CEAC8E99D77_SpCnt_16"/>
                          <pic:cNvPicPr/>
                        </pic:nvPicPr>
                        <pic:blipFill>
                          <a:blip r:embed="rId14"/>
                          <a:stretch>
                            <a:fillRect/>
                          </a:stretch>
                        </pic:blipFill>
                        <pic:spPr>
                          <a:xfrm>
                            <a:off x="0" y="0"/>
                            <a:ext cx="644525" cy="64706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685800</wp:posOffset>
                  </wp:positionH>
                  <wp:positionV relativeFrom="paragraph">
                    <wp:posOffset>0</wp:posOffset>
                  </wp:positionV>
                  <wp:extent cx="644525" cy="647065"/>
                  <wp:effectExtent l="0" t="0" r="0" b="0"/>
                  <wp:wrapNone/>
                  <wp:docPr id="600" name="ID_E826D4FD2F1D481EA1CFBD3451A51F56_SpCnt_16"/>
                  <wp:cNvGraphicFramePr/>
                  <a:graphic xmlns:a="http://schemas.openxmlformats.org/drawingml/2006/main">
                    <a:graphicData uri="http://schemas.openxmlformats.org/drawingml/2006/picture">
                      <pic:pic xmlns:pic="http://schemas.openxmlformats.org/drawingml/2006/picture">
                        <pic:nvPicPr>
                          <pic:cNvPr id="600" name="ID_E826D4FD2F1D481EA1CFBD3451A51F56_SpCnt_16"/>
                          <pic:cNvPicPr/>
                        </pic:nvPicPr>
                        <pic:blipFill>
                          <a:blip r:embed="rId14"/>
                          <a:stretch>
                            <a:fillRect/>
                          </a:stretch>
                        </pic:blipFill>
                        <pic:spPr>
                          <a:xfrm>
                            <a:off x="0" y="0"/>
                            <a:ext cx="644525" cy="64706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685800</wp:posOffset>
                  </wp:positionH>
                  <wp:positionV relativeFrom="paragraph">
                    <wp:posOffset>0</wp:posOffset>
                  </wp:positionV>
                  <wp:extent cx="644525" cy="647065"/>
                  <wp:effectExtent l="0" t="0" r="0" b="0"/>
                  <wp:wrapNone/>
                  <wp:docPr id="601" name="ID_CA31AD5AD4A240A69EBE9CEAC8E99D77_SpCnt_17"/>
                  <wp:cNvGraphicFramePr/>
                  <a:graphic xmlns:a="http://schemas.openxmlformats.org/drawingml/2006/main">
                    <a:graphicData uri="http://schemas.openxmlformats.org/drawingml/2006/picture">
                      <pic:pic xmlns:pic="http://schemas.openxmlformats.org/drawingml/2006/picture">
                        <pic:nvPicPr>
                          <pic:cNvPr id="601" name="ID_CA31AD5AD4A240A69EBE9CEAC8E99D77_SpCnt_17"/>
                          <pic:cNvPicPr/>
                        </pic:nvPicPr>
                        <pic:blipFill>
                          <a:blip r:embed="rId14"/>
                          <a:stretch>
                            <a:fillRect/>
                          </a:stretch>
                        </pic:blipFill>
                        <pic:spPr>
                          <a:xfrm>
                            <a:off x="0" y="0"/>
                            <a:ext cx="644525" cy="64706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685800</wp:posOffset>
                  </wp:positionH>
                  <wp:positionV relativeFrom="paragraph">
                    <wp:posOffset>0</wp:posOffset>
                  </wp:positionV>
                  <wp:extent cx="644525" cy="647065"/>
                  <wp:effectExtent l="0" t="0" r="0" b="0"/>
                  <wp:wrapNone/>
                  <wp:docPr id="602" name="ID_E826D4FD2F1D481EA1CFBD3451A51F56_SpCnt_17"/>
                  <wp:cNvGraphicFramePr/>
                  <a:graphic xmlns:a="http://schemas.openxmlformats.org/drawingml/2006/main">
                    <a:graphicData uri="http://schemas.openxmlformats.org/drawingml/2006/picture">
                      <pic:pic xmlns:pic="http://schemas.openxmlformats.org/drawingml/2006/picture">
                        <pic:nvPicPr>
                          <pic:cNvPr id="602" name="ID_E826D4FD2F1D481EA1CFBD3451A51F56_SpCnt_17"/>
                          <pic:cNvPicPr/>
                        </pic:nvPicPr>
                        <pic:blipFill>
                          <a:blip r:embed="rId14"/>
                          <a:stretch>
                            <a:fillRect/>
                          </a:stretch>
                        </pic:blipFill>
                        <pic:spPr>
                          <a:xfrm>
                            <a:off x="0" y="0"/>
                            <a:ext cx="644525" cy="647065"/>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t>1.材质：涤纶</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2.尺寸：≥800mm*610mm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3.挂脖肩带设计，防止滑落，精选优质布料，透气性好，舒适耐用</w:t>
            </w:r>
          </w:p>
        </w:tc>
        <w:tc>
          <w:tcPr>
            <w:tcW w:w="685" w:type="dxa"/>
            <w:vAlign w:val="center"/>
          </w:tcPr>
          <w:p w14:paraId="58154B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drawing>
                <wp:anchor distT="0" distB="0" distL="114300" distR="114300" simplePos="0" relativeHeight="251662336" behindDoc="0" locked="0" layoutInCell="1" allowOverlap="1">
                  <wp:simplePos x="0" y="0"/>
                  <wp:positionH relativeFrom="column">
                    <wp:posOffset>371475</wp:posOffset>
                  </wp:positionH>
                  <wp:positionV relativeFrom="paragraph">
                    <wp:posOffset>648335</wp:posOffset>
                  </wp:positionV>
                  <wp:extent cx="540385" cy="541020"/>
                  <wp:effectExtent l="0" t="0" r="0" b="0"/>
                  <wp:wrapNone/>
                  <wp:docPr id="616" name="ID_1D2DA7D5EFFF48789A845F8F8569F9EE"/>
                  <wp:cNvGraphicFramePr/>
                  <a:graphic xmlns:a="http://schemas.openxmlformats.org/drawingml/2006/main">
                    <a:graphicData uri="http://schemas.openxmlformats.org/drawingml/2006/picture">
                      <pic:pic xmlns:pic="http://schemas.openxmlformats.org/drawingml/2006/picture">
                        <pic:nvPicPr>
                          <pic:cNvPr id="616" name="ID_1D2DA7D5EFFF48789A845F8F8569F9EE"/>
                          <pic:cNvPicPr/>
                        </pic:nvPicPr>
                        <pic:blipFill>
                          <a:blip r:embed="rId14"/>
                          <a:stretch>
                            <a:fillRect/>
                          </a:stretch>
                        </pic:blipFill>
                        <pic:spPr>
                          <a:xfrm>
                            <a:off x="0" y="0"/>
                            <a:ext cx="540385" cy="541020"/>
                          </a:xfrm>
                          <a:prstGeom prst="rect">
                            <a:avLst/>
                          </a:prstGeom>
                          <a:noFill/>
                          <a:ln>
                            <a:noFill/>
                          </a:ln>
                        </pic:spPr>
                      </pic:pic>
                    </a:graphicData>
                  </a:graphic>
                </wp:anchor>
              </w:drawing>
            </w:r>
            <w:r>
              <w:rPr>
                <w:rFonts w:hint="eastAsia" w:ascii="宋体" w:hAnsi="宋体" w:eastAsia="宋体" w:cs="宋体"/>
                <w:color w:val="auto"/>
                <w:sz w:val="24"/>
                <w:szCs w:val="24"/>
                <w:vertAlign w:val="baseline"/>
                <w:lang w:val="en-US" w:eastAsia="zh-CN"/>
              </w:rPr>
              <w:t>2</w:t>
            </w:r>
          </w:p>
        </w:tc>
        <w:tc>
          <w:tcPr>
            <w:tcW w:w="712" w:type="dxa"/>
            <w:vAlign w:val="center"/>
          </w:tcPr>
          <w:p w14:paraId="7A5C63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2DB8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7826ED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107</w:t>
            </w:r>
          </w:p>
        </w:tc>
        <w:tc>
          <w:tcPr>
            <w:tcW w:w="1176" w:type="dxa"/>
            <w:vAlign w:val="center"/>
          </w:tcPr>
          <w:p w14:paraId="6C23A4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隔热手套</w:t>
            </w:r>
          </w:p>
        </w:tc>
        <w:tc>
          <w:tcPr>
            <w:tcW w:w="6914" w:type="dxa"/>
            <w:vAlign w:val="center"/>
          </w:tcPr>
          <w:p w14:paraId="393E7AF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1.材质：加厚棉麻</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2.尺寸：≥250mm*180mm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3.采用加厚隔热棉花制作，佩戴舒适，操作灵活方便，隔热效果好</w:t>
            </w:r>
          </w:p>
        </w:tc>
        <w:tc>
          <w:tcPr>
            <w:tcW w:w="685" w:type="dxa"/>
            <w:vAlign w:val="center"/>
          </w:tcPr>
          <w:p w14:paraId="047318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12" w:type="dxa"/>
            <w:vAlign w:val="center"/>
          </w:tcPr>
          <w:p w14:paraId="550369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副</w:t>
            </w:r>
          </w:p>
        </w:tc>
      </w:tr>
      <w:tr w14:paraId="54349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125DE1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108</w:t>
            </w:r>
          </w:p>
        </w:tc>
        <w:tc>
          <w:tcPr>
            <w:tcW w:w="1176" w:type="dxa"/>
            <w:vAlign w:val="center"/>
          </w:tcPr>
          <w:p w14:paraId="40BD38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幼儿操作TPE手套</w:t>
            </w:r>
          </w:p>
        </w:tc>
        <w:tc>
          <w:tcPr>
            <w:tcW w:w="6914" w:type="dxa"/>
            <w:vAlign w:val="center"/>
          </w:tcPr>
          <w:p w14:paraId="71348D6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1.材质：食品级PE</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2.规格：≥100只/包</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3.贴合手型，佩戴舒适，密封材质无渗透，防滑设计很灵活，韧性强更耐拉扯，安全方便卫生</w:t>
            </w:r>
          </w:p>
        </w:tc>
        <w:tc>
          <w:tcPr>
            <w:tcW w:w="685" w:type="dxa"/>
            <w:vAlign w:val="center"/>
          </w:tcPr>
          <w:p w14:paraId="28ACE8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12" w:type="dxa"/>
            <w:vAlign w:val="center"/>
          </w:tcPr>
          <w:p w14:paraId="6CE0F0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包</w:t>
            </w:r>
          </w:p>
        </w:tc>
      </w:tr>
      <w:tr w14:paraId="56F2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1226E3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109</w:t>
            </w:r>
          </w:p>
        </w:tc>
        <w:tc>
          <w:tcPr>
            <w:tcW w:w="1176" w:type="dxa"/>
            <w:vAlign w:val="center"/>
          </w:tcPr>
          <w:p w14:paraId="6A4E00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教师操作TPE手套</w:t>
            </w:r>
          </w:p>
        </w:tc>
        <w:tc>
          <w:tcPr>
            <w:tcW w:w="6914" w:type="dxa"/>
            <w:vAlign w:val="center"/>
          </w:tcPr>
          <w:p w14:paraId="615FD1E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1.材质：食品级PE</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2.规格：≥100只/包</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3.贴合手型，佩戴舒适，密封材质无渗透，防滑设计很灵活，韧性强更耐拉扯，安全方便卫生</w:t>
            </w:r>
          </w:p>
        </w:tc>
        <w:tc>
          <w:tcPr>
            <w:tcW w:w="685" w:type="dxa"/>
            <w:vAlign w:val="center"/>
          </w:tcPr>
          <w:p w14:paraId="2FE588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0F2B08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包</w:t>
            </w:r>
          </w:p>
        </w:tc>
      </w:tr>
      <w:tr w14:paraId="17FC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236695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110</w:t>
            </w:r>
          </w:p>
        </w:tc>
        <w:tc>
          <w:tcPr>
            <w:tcW w:w="1176" w:type="dxa"/>
            <w:vAlign w:val="center"/>
          </w:tcPr>
          <w:p w14:paraId="482599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功能室资源</w:t>
            </w:r>
          </w:p>
        </w:tc>
        <w:tc>
          <w:tcPr>
            <w:tcW w:w="6914" w:type="dxa"/>
            <w:vAlign w:val="center"/>
          </w:tcPr>
          <w:p w14:paraId="4685B94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课程需实现中国传统文化与 STEM 教育理念深度融合，全面覆盖健康、语言、社会、科学、艺术五大领域，将抽象文化转化为幼儿可感知、可操作的生活教育内容；符合《3-6 岁儿童学习与发展指南》精神，无小学化倾向，适配 3-6 岁幼儿年龄特点与认知水平。</w:t>
            </w:r>
          </w:p>
          <w:p w14:paraId="4F90B9D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幼儿发展目标：</w:t>
            </w:r>
          </w:p>
          <w:p w14:paraId="0AC11D2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能力培养：通过实践操作提升幼儿精细动作、手眼协调、逻辑思维、创意表达及合作交往能力；习惯养成：建立健康饮食认知、规则意识、责任意识及节能环保理念；文化感知：感受中外饮食文化多样性，培养文化自信与包容心态。</w:t>
            </w:r>
          </w:p>
          <w:p w14:paraId="5BA4334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幼儿园长远价值：构建特色园本课程体系，丰富办学内涵，提升办园竞争力；搭建家园共育平台，通过亲子课程增强家园互动，优化教育生态；推动教师专业发展，提升教师生活教育、课程实施及设备操作能力。</w:t>
            </w:r>
          </w:p>
          <w:p w14:paraId="02B829E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一、生活馆功能配置要求</w:t>
            </w:r>
          </w:p>
          <w:p w14:paraId="14E9565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空间与区域功能：</w:t>
            </w:r>
          </w:p>
          <w:p w14:paraId="0BD83FD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需规划多功能实操区、食材储存区、文化展示区、角色体验区四大核心区域，各区域布局科学，动线合理，符合幼儿活动安全规范；</w:t>
            </w:r>
          </w:p>
          <w:p w14:paraId="21D8D4F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1.实操区：适配分组操作（每组 4-6 人），配备安全操作台、厨具及消毒设备，满足集体教学与自主实践需求；</w:t>
            </w:r>
          </w:p>
          <w:p w14:paraId="3CBABDC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2.文化展示区：设置饮食文化展品陈列架、图文展板，可展示农作物标本、美食模型、传统厨具等，兼具教育性与观赏性；</w:t>
            </w:r>
          </w:p>
          <w:p w14:paraId="7A25F0E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3.角色体验区：配备模拟餐厅、厨房等场景道具，支持 “厨师、服务员、顾客” 等多元角色互动。</w:t>
            </w:r>
          </w:p>
          <w:p w14:paraId="5A67559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4.设施设备适配性：</w:t>
            </w:r>
          </w:p>
          <w:p w14:paraId="4334E79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4.1所有设施设备需符合 GB 28007《婴幼儿及儿童家具安全技术规范》、GB 4806 系列食品接触安全标准，材质环保无毒（甲醛释放量符合 ENF 级要求），边角圆角处理，无安全隐患；设备功能需匹配幼儿操作能力，如小型化、易操控、防干烧、防烫伤设计，适配课程中的面食制作、菜系烹饪、食材加工等环节。</w:t>
            </w:r>
          </w:p>
          <w:p w14:paraId="1E1A3A2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二、课程体系标准要求</w:t>
            </w:r>
          </w:p>
          <w:p w14:paraId="4FB777C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1.课程结构与板块：</w:t>
            </w:r>
          </w:p>
          <w:p w14:paraId="1E09771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1.1课程体系为递进式设计，包含六大核心板块：生活馆体验、中外特色面食制作、菜系制作、社会角色实践、文化传递（需明确第六板块具体内容，确保体系完整）；全年课程总量：96 节常规课 + 6 节亲子课，共 102 节课，每节课时长符合幼儿注意力特点（3-4 岁 20-25 分钟，5-6 岁 25-30 分钟）。</w:t>
            </w:r>
          </w:p>
          <w:p w14:paraId="47FDDD3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1.1.1课程内容要求：</w:t>
            </w:r>
          </w:p>
          <w:p w14:paraId="4B514A1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1.1.1.1生活馆体验：涵盖食材认知、工具使用、安全规范、卫生习惯等基础内容，帮助幼儿建立生活馆活动基本认知；</w:t>
            </w:r>
          </w:p>
          <w:p w14:paraId="2E83A5B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1.1.1.2中外特色面食制作：包含中国传统面食（如饺子、面条、馒头）及国外特色面食（如披萨、意面），兼顾技能学习与文化感知；</w:t>
            </w:r>
          </w:p>
          <w:p w14:paraId="2D384FF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1.1.1.3菜系制作：选取适合幼儿操作的家常菜、地方特色菜，融入食材搭配、营养知识，培养健康饮食观念；</w:t>
            </w:r>
          </w:p>
          <w:p w14:paraId="188C195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1.1.1.4社会角色实践：通过模拟餐厅运营、食材采购、美食分享等场景，提升幼儿社会交往与规则意识；</w:t>
            </w:r>
          </w:p>
          <w:p w14:paraId="044CF21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1.1.1.5文化传递：挖掘饮食背后的历史渊源、民俗礼仪、地域特色，如节气饮食、传统节庆美食等，融入文化启蒙。</w:t>
            </w:r>
          </w:p>
          <w:p w14:paraId="59FCA8E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2.课程资源配置：</w:t>
            </w:r>
          </w:p>
          <w:p w14:paraId="33E55D5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2.1提供全套课本资源（102 节课配套），含教师指导手册、幼儿活动手册、教学课件（PPT）、操作步骤图解等；资源需图文并茂、语言简洁，适配幼儿理解水平，教师手册需包含教学目标、重难点、准备材料、教学流程、评价方式等完整内容。</w:t>
            </w:r>
          </w:p>
          <w:p w14:paraId="1AEC1C8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三、文化传递要求</w:t>
            </w:r>
          </w:p>
          <w:p w14:paraId="7CB3E1D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传统文化融入：课程需系统融入中国饮食文化，如八大菜系基础认知、传统烹饪技艺（蒸、煮、炖、拌）、节气饮食习俗、传统厨具演变等内容；通过实物观察（如传统厨具模型）、动手实践（如制作节日美食）、故事讲解、民俗体验等多种形式，让幼儿直观感受传统文化魅力。</w:t>
            </w:r>
          </w:p>
          <w:p w14:paraId="2677821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2.多元文化包容：引入国外特色饮食文化，如不同国家的面食制作工艺、饮食礼仪、食材特色，帮助幼儿了解世界文化多样性，培养跨文化认知。</w:t>
            </w:r>
          </w:p>
        </w:tc>
        <w:tc>
          <w:tcPr>
            <w:tcW w:w="685" w:type="dxa"/>
            <w:vAlign w:val="center"/>
          </w:tcPr>
          <w:p w14:paraId="509DCE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532AA2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次</w:t>
            </w:r>
          </w:p>
        </w:tc>
      </w:tr>
      <w:tr w14:paraId="4803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0205" w:type="dxa"/>
            <w:gridSpan w:val="5"/>
            <w:vAlign w:val="center"/>
          </w:tcPr>
          <w:p w14:paraId="2FF9B2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第二幼儿园</w:t>
            </w:r>
          </w:p>
        </w:tc>
      </w:tr>
      <w:tr w14:paraId="5616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4269B1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111</w:t>
            </w:r>
          </w:p>
        </w:tc>
        <w:tc>
          <w:tcPr>
            <w:tcW w:w="1176" w:type="dxa"/>
            <w:vAlign w:val="center"/>
          </w:tcPr>
          <w:p w14:paraId="3A8052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2.5mm室内小间距LED显示单元</w:t>
            </w:r>
          </w:p>
        </w:tc>
        <w:tc>
          <w:tcPr>
            <w:tcW w:w="6914" w:type="dxa"/>
            <w:vAlign w:val="center"/>
          </w:tcPr>
          <w:p w14:paraId="0ECD275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vertAlign w:val="baseline"/>
                <w:lang w:val="en-US" w:eastAsia="zh-CN"/>
              </w:rPr>
              <w:t>1.像素密度≥160000点/㎡ 点间距≤2.5mm</w:t>
            </w:r>
          </w:p>
          <w:p w14:paraId="4D7BFED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vertAlign w:val="baseline"/>
                <w:lang w:val="en-US" w:eastAsia="zh-CN"/>
              </w:rPr>
              <w:t>2.LED显示屏模块统一，整屏任意位置可互换，带电情况下也可互换操作</w:t>
            </w:r>
          </w:p>
          <w:p w14:paraId="1FD52BB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3.为了保证产品使用稳定性，具备动态扫描方式LED显示屏驱动电路板保护电路</w:t>
            </w:r>
          </w:p>
          <w:p w14:paraId="014D755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4.一体化驱动设计，恒流驱动，动态扫描保护功能，同步控制，点点对应，具有非线性校正显示控制和自带驱动控制方面的先进技术</w:t>
            </w:r>
          </w:p>
          <w:p w14:paraId="72CB257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vertAlign w:val="baseline"/>
                <w:lang w:val="en-US" w:eastAsia="zh-CN"/>
              </w:rPr>
              <w:t>5.支持通过配套控制软件调节刷新率设置选项。刷新率≥3840Hz；换帧频率50Hz-120Hz，播放时画面流畅，无水波纹现象，在1/1250秒专业相机拍摄情况下，画面无频闪线、扫描线及晃动</w:t>
            </w:r>
          </w:p>
          <w:p w14:paraId="48AD84C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vertAlign w:val="baseline"/>
                <w:lang w:val="en-US" w:eastAsia="zh-CN"/>
              </w:rPr>
              <w:t>6.默认亮度≥600NITS，显示单元亮度支持0-1000nits，0-100%无极可调。</w:t>
            </w:r>
          </w:p>
          <w:p w14:paraId="075B135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7.水平≥179.9°，垂直≥179.9°</w:t>
            </w:r>
          </w:p>
          <w:p w14:paraId="76E82B9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8.亮度等级≥24级</w:t>
            </w:r>
          </w:p>
          <w:p w14:paraId="159929C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vertAlign w:val="baseline"/>
                <w:lang w:val="en-US" w:eastAsia="zh-CN"/>
              </w:rPr>
              <w:t>9.整屏失控点数：≤1/1000000（验收时失控点为0），连续失控点为0，盲点率≤1/1000000；无单列或单行像素失控现象，无常亮点</w:t>
            </w:r>
          </w:p>
          <w:p w14:paraId="474BADC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10.功耗无极可调，可调范围：峰值≤300-600W/㎡，平均100-200W/㎡，带电黑屏≤20W/㎡</w:t>
            </w:r>
          </w:p>
          <w:p w14:paraId="7D7626C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11.节能待机：支持无信号输入自动息屏待机，有信号输入自动唤醒屏体</w:t>
            </w:r>
          </w:p>
          <w:p w14:paraId="31B1D5D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12.LED显示单元具备色彩诊断能力，并能对色彩进行自动修正</w:t>
            </w:r>
          </w:p>
          <w:p w14:paraId="40EB769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13.逐点校正，可对单点或整屏的亮度、色度进行校正。具有隐亮消除功能，无隐亮。</w:t>
            </w:r>
          </w:p>
          <w:p w14:paraId="6ECFAB5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14.支持出厂前逐点一致化校正和现场逐点一致化校正，支持单点维修更换；支持逐点校正参数存储，具有自带掉电存储功能，断电后可保存色度、亮度校正系数及其他参数值</w:t>
            </w:r>
          </w:p>
          <w:p w14:paraId="5AB8B0D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15.模组具有防短路短路设计，避免模组短路对设备造成影响</w:t>
            </w:r>
          </w:p>
          <w:p w14:paraId="4894F9A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16.屏体正面为黑色哑光处理，大屏反光率≤0.3%，能够抑制摩尔纹</w:t>
            </w:r>
          </w:p>
          <w:p w14:paraId="4D24D10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17.支持模组件亮暗线修复功能，可从软、硬两方面彻底改善亮、暗线问题</w:t>
            </w:r>
          </w:p>
          <w:p w14:paraId="721657A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18.设备在正常工作条件下，连续工作240h，不出现电、机械或操作系统的故障</w:t>
            </w:r>
          </w:p>
          <w:p w14:paraId="28B1E63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19.具有坏点监测功能， 自动告警， 方便快速维护。可以自动或者手动检测坏点，并可以查询坏点信息：个数，比率，颜色，坐标等信息可根据坏点所在位置，调整周边灯珠显示，避免坏点的影响</w:t>
            </w:r>
          </w:p>
          <w:p w14:paraId="35A6B51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20.平均无故障使用时间≥ 200000h，故障平均修复时间MTTR不超过1分钟，系统可用度≥99.9%，LED显示单元连续运行10000小时，亮度衰减≤5%，连续工作7×24小时，画质颜色正常无色衰</w:t>
            </w:r>
          </w:p>
          <w:p w14:paraId="104866D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21.LED全彩显示屏显示模组可承受 T≥60S，≥1500V   (交流有效值)，不大于 0.01mA  (AC 峰值)</w:t>
            </w:r>
          </w:p>
          <w:p w14:paraId="2665F6D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22.工作温度：≥-40-60℃；工作湿度：≥10-90%RH；存储温度：≥-45-70℃；存储湿度：≥10-90%RH</w:t>
            </w:r>
          </w:p>
          <w:p w14:paraId="546104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23.接收卡类型HUB75，接口数量≥8；电源模块额定功率200W，输出电压5V</w:t>
            </w:r>
          </w:p>
          <w:p w14:paraId="049AAAA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24.为保证产品质量，以上1-22条需提供第三方检验报告。</w:t>
            </w:r>
          </w:p>
        </w:tc>
        <w:tc>
          <w:tcPr>
            <w:tcW w:w="685" w:type="dxa"/>
            <w:vAlign w:val="center"/>
          </w:tcPr>
          <w:p w14:paraId="32BAE7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28.21</w:t>
            </w:r>
          </w:p>
        </w:tc>
        <w:tc>
          <w:tcPr>
            <w:tcW w:w="712" w:type="dxa"/>
            <w:vAlign w:val="center"/>
          </w:tcPr>
          <w:p w14:paraId="078C73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m²</w:t>
            </w:r>
          </w:p>
        </w:tc>
      </w:tr>
      <w:tr w14:paraId="5D84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53" w:hRule="atLeast"/>
          <w:jc w:val="center"/>
        </w:trPr>
        <w:tc>
          <w:tcPr>
            <w:tcW w:w="718" w:type="dxa"/>
            <w:vAlign w:val="center"/>
          </w:tcPr>
          <w:p w14:paraId="2451A9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112</w:t>
            </w:r>
          </w:p>
        </w:tc>
        <w:tc>
          <w:tcPr>
            <w:tcW w:w="1176" w:type="dxa"/>
            <w:vAlign w:val="center"/>
          </w:tcPr>
          <w:p w14:paraId="3FF4CE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LED视频处理器</w:t>
            </w:r>
          </w:p>
        </w:tc>
        <w:tc>
          <w:tcPr>
            <w:tcW w:w="6914" w:type="dxa"/>
            <w:vAlign w:val="center"/>
          </w:tcPr>
          <w:p w14:paraId="223FE1B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1.视频输入：≥1个DP、≥3个HDMI、≥2个DVI</w:t>
            </w:r>
          </w:p>
          <w:p w14:paraId="35A4C18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2.视频输入分辨率：≥4096*2160@60Hz，支持分辨率任意设置</w:t>
            </w:r>
          </w:p>
          <w:p w14:paraId="2C493C2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3.音频输入≥：1个LINE IN</w:t>
            </w:r>
          </w:p>
          <w:p w14:paraId="2BBD750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4.带载网口：≥8个</w:t>
            </w:r>
          </w:p>
          <w:p w14:paraId="5CFAF4B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5.最大带载：≥524W像素，最宽≥16384，最高≥8192</w:t>
            </w:r>
          </w:p>
          <w:p w14:paraId="03D2115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6.音频输出：≥1个LINE OUT</w:t>
            </w:r>
          </w:p>
          <w:p w14:paraId="090EA5B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7.USB接口：≥2个</w:t>
            </w:r>
          </w:p>
          <w:p w14:paraId="50E78EE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8.串口：≥1个</w:t>
            </w:r>
          </w:p>
          <w:p w14:paraId="4310885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9.网络接口：≥1个百兆网口</w:t>
            </w:r>
          </w:p>
        </w:tc>
        <w:tc>
          <w:tcPr>
            <w:tcW w:w="685" w:type="dxa"/>
            <w:vAlign w:val="center"/>
          </w:tcPr>
          <w:p w14:paraId="5630A4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3902BE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r>
      <w:tr w14:paraId="6AC7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790646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113</w:t>
            </w:r>
          </w:p>
        </w:tc>
        <w:tc>
          <w:tcPr>
            <w:tcW w:w="1176" w:type="dxa"/>
            <w:vAlign w:val="center"/>
          </w:tcPr>
          <w:p w14:paraId="6881BA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工程安装服务(含钢结构及现场制作)</w:t>
            </w:r>
          </w:p>
        </w:tc>
        <w:tc>
          <w:tcPr>
            <w:tcW w:w="6914" w:type="dxa"/>
            <w:vAlign w:val="center"/>
          </w:tcPr>
          <w:p w14:paraId="1E8128E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安装工程（含钢结构，底座封板，包边采用不锈钢材质装饰；内部框架采用镀锌钢管焊接，材料厚度≥1.5mm；钢管焊点喷涂防锈油漆防止生锈。</w:t>
            </w:r>
          </w:p>
        </w:tc>
        <w:tc>
          <w:tcPr>
            <w:tcW w:w="685" w:type="dxa"/>
            <w:vAlign w:val="center"/>
          </w:tcPr>
          <w:p w14:paraId="402D27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31.27</w:t>
            </w:r>
          </w:p>
        </w:tc>
        <w:tc>
          <w:tcPr>
            <w:tcW w:w="712" w:type="dxa"/>
            <w:vAlign w:val="center"/>
          </w:tcPr>
          <w:p w14:paraId="05B7ED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m²</w:t>
            </w:r>
          </w:p>
        </w:tc>
      </w:tr>
      <w:tr w14:paraId="2ED6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3DEAB4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114</w:t>
            </w:r>
          </w:p>
        </w:tc>
        <w:tc>
          <w:tcPr>
            <w:tcW w:w="1176" w:type="dxa"/>
            <w:vAlign w:val="center"/>
          </w:tcPr>
          <w:p w14:paraId="6BBF80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HDMI 光纤线缆-10m</w:t>
            </w:r>
          </w:p>
        </w:tc>
        <w:tc>
          <w:tcPr>
            <w:tcW w:w="6914" w:type="dxa"/>
            <w:vAlign w:val="center"/>
          </w:tcPr>
          <w:p w14:paraId="76D716D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长度≥10m</w:t>
            </w:r>
          </w:p>
        </w:tc>
        <w:tc>
          <w:tcPr>
            <w:tcW w:w="685" w:type="dxa"/>
            <w:vAlign w:val="center"/>
          </w:tcPr>
          <w:p w14:paraId="68E9DC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4972CA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条</w:t>
            </w:r>
          </w:p>
        </w:tc>
      </w:tr>
      <w:tr w14:paraId="61C5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4D63B6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115</w:t>
            </w:r>
          </w:p>
        </w:tc>
        <w:tc>
          <w:tcPr>
            <w:tcW w:w="1176" w:type="dxa"/>
            <w:vAlign w:val="center"/>
          </w:tcPr>
          <w:p w14:paraId="397252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20KW室内配电箱</w:t>
            </w:r>
          </w:p>
        </w:tc>
        <w:tc>
          <w:tcPr>
            <w:tcW w:w="6914" w:type="dxa"/>
            <w:vAlign w:val="center"/>
          </w:tcPr>
          <w:p w14:paraId="1904FEB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1.≥20KW室内配电柜，远程开关机功能，过载保护功能。</w:t>
            </w:r>
          </w:p>
          <w:p w14:paraId="4FF5BFC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2.采用高质量，高可靠性的工业级控制器，全天候，全时段稳定可靠运行</w:t>
            </w:r>
          </w:p>
          <w:p w14:paraId="12E5472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3.配电系统包含PLC远程智能控制系统，可执行远程开关机操作，具备过压、过流、欠压、短路、断路及漏电保护措施。</w:t>
            </w:r>
          </w:p>
          <w:p w14:paraId="27CB3B9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4.拥有LED显示屏全智能远程控制系统，可实现对LED智能配电箱的远程设定、控制。</w:t>
            </w:r>
          </w:p>
          <w:p w14:paraId="7D33D5E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5.内部模块化设计，合理布局，用电安全</w:t>
            </w:r>
          </w:p>
          <w:p w14:paraId="762E843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6.内设控制电路保险装置，对电路实施全方位监控、保护</w:t>
            </w:r>
          </w:p>
          <w:p w14:paraId="1812A76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7.内部设立具有三芯及两芯插座，方便调试设备及维修供电</w:t>
            </w:r>
          </w:p>
          <w:p w14:paraId="06F77EE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8.具有A/B/C三相独立供电指示灯，方便外部判断设备工作状态</w:t>
            </w:r>
          </w:p>
          <w:p w14:paraId="40DC6D3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9.支持手动一键启动/停止和单点点动控制、远程一键启动/停止和单点点动控制.</w:t>
            </w:r>
          </w:p>
          <w:p w14:paraId="7414E6C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10.拥有启动、紧急制停按钮，方便异常状态紧急维护使用。</w:t>
            </w:r>
          </w:p>
          <w:p w14:paraId="2953EA9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11.机柜可采用壁装、挂装安装方式，具有防虫、防鼠功效。</w:t>
            </w:r>
          </w:p>
        </w:tc>
        <w:tc>
          <w:tcPr>
            <w:tcW w:w="685" w:type="dxa"/>
            <w:vAlign w:val="center"/>
          </w:tcPr>
          <w:p w14:paraId="60B06C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2CABC5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r>
      <w:tr w14:paraId="2387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76" w:hRule="atLeast"/>
          <w:jc w:val="center"/>
        </w:trPr>
        <w:tc>
          <w:tcPr>
            <w:tcW w:w="718" w:type="dxa"/>
            <w:vAlign w:val="center"/>
          </w:tcPr>
          <w:p w14:paraId="49087F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116</w:t>
            </w:r>
          </w:p>
        </w:tc>
        <w:tc>
          <w:tcPr>
            <w:tcW w:w="1176" w:type="dxa"/>
            <w:vAlign w:val="center"/>
          </w:tcPr>
          <w:p w14:paraId="0ED765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控制终端</w:t>
            </w:r>
          </w:p>
        </w:tc>
        <w:tc>
          <w:tcPr>
            <w:tcW w:w="6914" w:type="dxa"/>
            <w:vAlign w:val="center"/>
          </w:tcPr>
          <w:p w14:paraId="5712CE0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vertAlign w:val="baseline"/>
                <w:lang w:val="en-US" w:eastAsia="zh-CN"/>
              </w:rPr>
              <w:t>1.处理器8核处理器或以上，频率&gt;2.5 GHZ；内存≥16GB，DDR4；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vertAlign w:val="baseline"/>
                <w:lang w:val="en-US" w:eastAsia="zh-CN"/>
              </w:rPr>
              <w:t>2.硬盘≥512SSD 硬盘；显卡≥2GB独立显卡；光驱标配DVD刻录光驱；</w:t>
            </w:r>
          </w:p>
          <w:p w14:paraId="42DF49B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3.网卡10M/100M/1000M 自适应。</w:t>
            </w:r>
          </w:p>
          <w:p w14:paraId="3656D0E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4.显示器：22"液晶显示器；分辨率1920×1080，亮度400cd/m2，对比度&gt;1000：1，响应时间&lt;8ms。</w:t>
            </w:r>
          </w:p>
          <w:p w14:paraId="7441617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5.8个 USB 2.0；1个音频输入；2个音效输出；1个RJ-45；2个PS/2。</w:t>
            </w:r>
          </w:p>
        </w:tc>
        <w:tc>
          <w:tcPr>
            <w:tcW w:w="685" w:type="dxa"/>
            <w:vAlign w:val="center"/>
          </w:tcPr>
          <w:p w14:paraId="0697A3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0BA23C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r>
      <w:tr w14:paraId="5984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651ECF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117</w:t>
            </w:r>
          </w:p>
        </w:tc>
        <w:tc>
          <w:tcPr>
            <w:tcW w:w="1176" w:type="dxa"/>
            <w:vAlign w:val="center"/>
          </w:tcPr>
          <w:p w14:paraId="5E9411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线性音箱</w:t>
            </w:r>
          </w:p>
        </w:tc>
        <w:tc>
          <w:tcPr>
            <w:tcW w:w="6914" w:type="dxa"/>
            <w:vAlign w:val="center"/>
          </w:tcPr>
          <w:p w14:paraId="44415DA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1.低音模组：4*4""；高音模组：1*34mm号角高音；</w:t>
            </w:r>
          </w:p>
          <w:p w14:paraId="58A63CC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2.额定阻抗：4Ω；</w:t>
            </w:r>
          </w:p>
          <w:p w14:paraId="0540265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3.额定功率：≥250W（1000W，PEAK）；</w:t>
            </w:r>
          </w:p>
          <w:p w14:paraId="09DAD0B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4.特性灵敏度级（1m/1W）：≥93dB；</w:t>
            </w:r>
          </w:p>
          <w:p w14:paraId="2408578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5.指定频带内的声压级：≥115dB；</w:t>
            </w:r>
          </w:p>
          <w:p w14:paraId="5AB8FB0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6.有效频率范围：85Hz~20KHz；</w:t>
            </w:r>
          </w:p>
          <w:p w14:paraId="3164865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7.扩散角度：垂直20°，水平160°；</w:t>
            </w:r>
          </w:p>
          <w:p w14:paraId="2BC5F72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8.箱体材质：铝合金；</w:t>
            </w:r>
          </w:p>
        </w:tc>
        <w:tc>
          <w:tcPr>
            <w:tcW w:w="685" w:type="dxa"/>
            <w:vAlign w:val="center"/>
          </w:tcPr>
          <w:p w14:paraId="465B69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712" w:type="dxa"/>
            <w:vAlign w:val="center"/>
          </w:tcPr>
          <w:p w14:paraId="2F2249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只</w:t>
            </w:r>
          </w:p>
        </w:tc>
      </w:tr>
      <w:tr w14:paraId="7722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493F02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118</w:t>
            </w:r>
          </w:p>
        </w:tc>
        <w:tc>
          <w:tcPr>
            <w:tcW w:w="1176" w:type="dxa"/>
            <w:vAlign w:val="center"/>
          </w:tcPr>
          <w:p w14:paraId="4923AF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D类数字功放</w:t>
            </w:r>
          </w:p>
        </w:tc>
        <w:tc>
          <w:tcPr>
            <w:tcW w:w="6914" w:type="dxa"/>
            <w:vAlign w:val="center"/>
          </w:tcPr>
          <w:p w14:paraId="57EAD1D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1.采用CLASS-D类拓扑电路,高效率功率转换，转换效率可以达到95%。</w:t>
            </w:r>
          </w:p>
          <w:p w14:paraId="71DFB55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2.功能保护具有：过载、过热，短路、失真限幅功能。</w:t>
            </w:r>
          </w:p>
          <w:p w14:paraId="14C444B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3.面板采用铝合金材质，整体加工采用数控激光切割技术</w:t>
            </w:r>
          </w:p>
          <w:p w14:paraId="0DC0818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4.额定输出功率：≥8Ω立体声350W*2，≥4Ω立体声525W*2</w:t>
            </w:r>
          </w:p>
          <w:p w14:paraId="2F935B9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5.额定桥接输出功率：≥8Ω桥接900W</w:t>
            </w:r>
          </w:p>
          <w:p w14:paraId="6B5F873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6.谐波失真+噪声（1kHz,-10dB,4ohms)：&lt;0.1%</w:t>
            </w:r>
          </w:p>
          <w:p w14:paraId="7D03DE3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7.频率响应：20Hz-20kHz：±0.1dB(1W/8Ω)</w:t>
            </w:r>
          </w:p>
          <w:p w14:paraId="02759F8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8.输入阻抗：平衡20Kohm非平衡10KOhm</w:t>
            </w:r>
          </w:p>
          <w:p w14:paraId="6599087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9.灵敏度：0.775V/1.4V两档可调节</w:t>
            </w:r>
          </w:p>
          <w:p w14:paraId="11099E6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10.信噪比：≥103dB</w:t>
            </w:r>
          </w:p>
          <w:p w14:paraId="7566EC7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11.阻尼系数：（350：1,1Khz8ohms）</w:t>
            </w:r>
          </w:p>
          <w:p w14:paraId="770ED77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12.转换速率：28V/US</w:t>
            </w:r>
          </w:p>
        </w:tc>
        <w:tc>
          <w:tcPr>
            <w:tcW w:w="685" w:type="dxa"/>
            <w:vAlign w:val="center"/>
          </w:tcPr>
          <w:p w14:paraId="77D307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12" w:type="dxa"/>
            <w:vAlign w:val="center"/>
          </w:tcPr>
          <w:p w14:paraId="017183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r>
      <w:tr w14:paraId="1896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6752E5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119</w:t>
            </w:r>
          </w:p>
        </w:tc>
        <w:tc>
          <w:tcPr>
            <w:tcW w:w="1176" w:type="dxa"/>
            <w:vAlign w:val="center"/>
          </w:tcPr>
          <w:p w14:paraId="2EA182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8路调音台带2编组</w:t>
            </w:r>
          </w:p>
        </w:tc>
        <w:tc>
          <w:tcPr>
            <w:tcW w:w="6914" w:type="dxa"/>
            <w:vAlign w:val="center"/>
          </w:tcPr>
          <w:p w14:paraId="17BF7EB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1.麦克风输入：不少于6路（6个卡侬接口）</w:t>
            </w:r>
          </w:p>
          <w:p w14:paraId="5DF4D9E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2.线路输入：不少于6路单插单声道/立体声自动切换混合接口</w:t>
            </w:r>
          </w:p>
          <w:p w14:paraId="779D39C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3.立体声输入：不少于2组</w:t>
            </w:r>
          </w:p>
          <w:p w14:paraId="7E13933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4.CD/Tape输入：不少于1路CD/TAPE RCA立体声输入接口</w:t>
            </w:r>
          </w:p>
          <w:p w14:paraId="4B429C5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5.每路单声道输入通道设有不低于3段EQ（立体声两段），内置不低于7段立体声均衡器，设有峰值指示灯。</w:t>
            </w:r>
          </w:p>
          <w:p w14:paraId="2B3C12E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6.提供不少于2组立体声主输出、2路辅助输出、2路编组输出、1路耳机监听输出、1组CD/Tape输出。</w:t>
            </w:r>
          </w:p>
          <w:p w14:paraId="695BC8B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7.内置24位DSP效果器。</w:t>
            </w:r>
          </w:p>
          <w:p w14:paraId="12676C7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8.蓝牙、MP3、大屏播放器、USB带声卡功能、USB电脑录音、U盘录音直录</w:t>
            </w:r>
          </w:p>
          <w:p w14:paraId="0F16E11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9.效果器：24位DSP效果器（包括人声、小房子、大厅、回声、回声+回响、盘子、声乐板、合唱GTR，旋转GTR、颤音GTR类型）</w:t>
            </w:r>
          </w:p>
          <w:p w14:paraId="7117ACC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10.幻象电源：+48V带开关</w:t>
            </w:r>
          </w:p>
          <w:p w14:paraId="68C42F7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11.频率响应：20Hz-20kHz，±3dB</w:t>
            </w:r>
          </w:p>
        </w:tc>
        <w:tc>
          <w:tcPr>
            <w:tcW w:w="685" w:type="dxa"/>
            <w:vAlign w:val="center"/>
          </w:tcPr>
          <w:p w14:paraId="3FE45F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50DC36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r>
      <w:tr w14:paraId="426A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3E4708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120</w:t>
            </w:r>
          </w:p>
        </w:tc>
        <w:tc>
          <w:tcPr>
            <w:tcW w:w="1176" w:type="dxa"/>
            <w:vAlign w:val="center"/>
          </w:tcPr>
          <w:p w14:paraId="3DDBBD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4进4出数字音频处理器</w:t>
            </w:r>
          </w:p>
        </w:tc>
        <w:tc>
          <w:tcPr>
            <w:tcW w:w="6914" w:type="dxa"/>
            <w:vAlign w:val="center"/>
          </w:tcPr>
          <w:p w14:paraId="1DE8949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1.内置USB声卡，支持音乐播放、录制和软视频会议（如：ZOOM，腾讯会议，钉钉会议等）；</w:t>
            </w:r>
          </w:p>
          <w:p w14:paraId="2AFEB4C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2.总线式AEC，尾长时间：512ms，收敛率：60dB/S， 回声消除幅度：60dB；</w:t>
            </w:r>
          </w:p>
          <w:p w14:paraId="3A17C68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3.独立通道的AFC（反馈抑制），采用陷波式算法，传声增益提升幅度：10dB；</w:t>
            </w:r>
          </w:p>
          <w:p w14:paraId="0EB36AB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4.噪声抑制（ANS），信噪比提升18dB</w:t>
            </w:r>
          </w:p>
          <w:p w14:paraId="73ECFDE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5.不少于8段英式参量均衡，提供5种滤波器选择：Parametric，LoWshelf，Highshelf，LoWpass，Highpass；（提供产品功能截图证明）</w:t>
            </w:r>
          </w:p>
          <w:p w14:paraId="279EAC9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6.提供终端用户订制操作界面，最大支持30台设备同一个界面管理；</w:t>
            </w:r>
          </w:p>
          <w:p w14:paraId="447AE23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7.配置双向RS232控制接口；</w:t>
            </w:r>
          </w:p>
          <w:p w14:paraId="524BEB4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8.具有中央控制功能，可对系统中的电源、信号切换、环境控制、音频等整体控制，实现一键开启系统所需要的功能。</w:t>
            </w:r>
          </w:p>
          <w:p w14:paraId="1662671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9.具备不低于4路平衡/非平衡信号输入，4路平衡/非平衡信号输出；</w:t>
            </w:r>
          </w:p>
        </w:tc>
        <w:tc>
          <w:tcPr>
            <w:tcW w:w="685" w:type="dxa"/>
            <w:vAlign w:val="center"/>
          </w:tcPr>
          <w:p w14:paraId="56C990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60E9AF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r>
      <w:tr w14:paraId="4F66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33D0B8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121</w:t>
            </w:r>
          </w:p>
        </w:tc>
        <w:tc>
          <w:tcPr>
            <w:tcW w:w="1176" w:type="dxa"/>
            <w:vAlign w:val="center"/>
          </w:tcPr>
          <w:p w14:paraId="077756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真分集一拖二手持话筒</w:t>
            </w:r>
          </w:p>
        </w:tc>
        <w:tc>
          <w:tcPr>
            <w:tcW w:w="6914" w:type="dxa"/>
            <w:vAlign w:val="center"/>
          </w:tcPr>
          <w:p w14:paraId="74B2B53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1.U段一拖二真分集调频无线麦克风数字导频，自动搜频功能</w:t>
            </w:r>
          </w:p>
          <w:p w14:paraId="4F50125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2.载波频率：640-690MHz.</w:t>
            </w:r>
          </w:p>
          <w:p w14:paraId="16CF819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3.通道：200频点</w:t>
            </w:r>
          </w:p>
          <w:p w14:paraId="6B48DD4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4.配置：2只金属手持话筒+1台接收机                                                                  </w:t>
            </w:r>
          </w:p>
          <w:p w14:paraId="71A7651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5.电池：1.5V*2，可连续使用不低于8小时，带静音功能.</w:t>
            </w:r>
          </w:p>
          <w:p w14:paraId="024FF88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6.射频载波范围：640-690MHz</w:t>
            </w:r>
          </w:p>
          <w:p w14:paraId="593F373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7.震荡方式：PLL锁相环合成</w:t>
            </w:r>
          </w:p>
          <w:p w14:paraId="40BCA54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8.调制方式：FM，导频：30K</w:t>
            </w:r>
          </w:p>
          <w:p w14:paraId="3831007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9.动态范围：&gt;90DB</w:t>
            </w:r>
          </w:p>
          <w:p w14:paraId="1C03A73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10.系统失真/THD</w:t>
            </w:r>
          </w:p>
          <w:p w14:paraId="09A4D4B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11.总谐波失真：&lt;0.5%</w:t>
            </w:r>
          </w:p>
          <w:p w14:paraId="3EC71BE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12.输出接口：(XLR*2)/(114-INCHCONMECTOR*1)</w:t>
            </w:r>
          </w:p>
          <w:p w14:paraId="5344014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13.音频输出水平：(XLR：+50DBV)/(1/4-INCHCONMECTOR：+50DBV)</w:t>
            </w:r>
          </w:p>
          <w:p w14:paraId="6A80551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14.频响范围：610~670MHz</w:t>
            </w:r>
          </w:p>
          <w:p w14:paraId="7598F13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15.信号比：&gt;103dB(1KHZ-A)</w:t>
            </w:r>
          </w:p>
          <w:p w14:paraId="520AB59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16.射频灵敏度：-102dB(12dBS/NAD)</w:t>
            </w:r>
          </w:p>
          <w:p w14:paraId="2E2FDB2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17.镜像抑制：&gt;80DB</w:t>
            </w:r>
          </w:p>
          <w:p w14:paraId="7A8AF38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18.显示方式：LCD</w:t>
            </w:r>
          </w:p>
          <w:p w14:paraId="0718869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19.使用距离：≥150米</w:t>
            </w:r>
          </w:p>
        </w:tc>
        <w:tc>
          <w:tcPr>
            <w:tcW w:w="685" w:type="dxa"/>
            <w:vAlign w:val="center"/>
          </w:tcPr>
          <w:p w14:paraId="0C0D56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7EFBBB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28BA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06D860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122</w:t>
            </w:r>
          </w:p>
        </w:tc>
        <w:tc>
          <w:tcPr>
            <w:tcW w:w="1176" w:type="dxa"/>
            <w:vAlign w:val="center"/>
          </w:tcPr>
          <w:p w14:paraId="7A9A7F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真分集一拖二头戴话筒</w:t>
            </w:r>
          </w:p>
        </w:tc>
        <w:tc>
          <w:tcPr>
            <w:tcW w:w="6914" w:type="dxa"/>
            <w:vAlign w:val="center"/>
          </w:tcPr>
          <w:p w14:paraId="3A78969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1.U段一拖二真分集调频无线麦克风数字导频，自动搜频功能.</w:t>
            </w:r>
          </w:p>
          <w:p w14:paraId="620DB78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2.载波频率：640-690MHz.</w:t>
            </w:r>
          </w:p>
          <w:p w14:paraId="7B5DC8E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3.使用距离：≥150米</w:t>
            </w:r>
          </w:p>
          <w:p w14:paraId="061EEA0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4.电池：1.5V*2，可连续使用不低于8小时，带静音功能.</w:t>
            </w:r>
          </w:p>
          <w:p w14:paraId="4A33795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5.配置：2只头戴话筒+1台接收机</w:t>
            </w:r>
          </w:p>
          <w:p w14:paraId="2D2DAEE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6.震荡方式：PLL锁相环合成</w:t>
            </w:r>
          </w:p>
          <w:p w14:paraId="538F7EB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7.工作距离：100Feet</w:t>
            </w:r>
          </w:p>
          <w:p w14:paraId="51F83D9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8.调制方式：FM</w:t>
            </w:r>
          </w:p>
          <w:p w14:paraId="57F6E2A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9.导频：30K</w:t>
            </w:r>
          </w:p>
          <w:p w14:paraId="187C860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10.上限频道数：≥200通道</w:t>
            </w:r>
          </w:p>
          <w:p w14:paraId="2D9910E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11.系统兼容性：可与其他品牌音响使用</w:t>
            </w:r>
          </w:p>
          <w:p w14:paraId="7F742C2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12.动态范围：&gt;90DB</w:t>
            </w:r>
          </w:p>
          <w:p w14:paraId="2F6B4B2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13.系统失真/THD</w:t>
            </w:r>
          </w:p>
          <w:p w14:paraId="6E4977F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14.总谐波失真：&lt;0.5%</w:t>
            </w:r>
          </w:p>
          <w:p w14:paraId="6BD4CF9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15.输出接口：(XLR*2)/(114-INCHCONMECTOR*1)</w:t>
            </w:r>
          </w:p>
          <w:p w14:paraId="336EF82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16.音频输出水平：(XLR：+50DBV)/(1/4-INCHCONMECTOR：+50DBV)</w:t>
            </w:r>
          </w:p>
          <w:p w14:paraId="60D0480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17.频响范围：610~670MHz</w:t>
            </w:r>
          </w:p>
          <w:p w14:paraId="212EC56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18.信号比：&gt;103dB(1KHZ-A)</w:t>
            </w:r>
          </w:p>
          <w:p w14:paraId="2A9A8F9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19.射频灵敏度：-102dB(12dBS/NAD)     </w:t>
            </w:r>
          </w:p>
          <w:p w14:paraId="136DA9C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20.镜像抑制：&gt;80DB    </w:t>
            </w:r>
          </w:p>
          <w:p w14:paraId="323718B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21.显示方式：LCD    </w:t>
            </w:r>
          </w:p>
          <w:p w14:paraId="4D52D75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22.电源要求：12~16VDC1000mA     </w:t>
            </w:r>
          </w:p>
          <w:p w14:paraId="6806274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23.工作温度范围：-10C~+55C</w:t>
            </w:r>
          </w:p>
        </w:tc>
        <w:tc>
          <w:tcPr>
            <w:tcW w:w="685" w:type="dxa"/>
            <w:shd w:val="clear" w:color="auto" w:fill="auto"/>
            <w:vAlign w:val="center"/>
          </w:tcPr>
          <w:p w14:paraId="197E2B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w:t>
            </w:r>
          </w:p>
        </w:tc>
        <w:tc>
          <w:tcPr>
            <w:tcW w:w="712" w:type="dxa"/>
            <w:shd w:val="clear" w:color="auto" w:fill="auto"/>
            <w:vAlign w:val="center"/>
          </w:tcPr>
          <w:p w14:paraId="1B1FE1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套</w:t>
            </w:r>
          </w:p>
        </w:tc>
      </w:tr>
      <w:tr w14:paraId="3100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034696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123</w:t>
            </w:r>
          </w:p>
        </w:tc>
        <w:tc>
          <w:tcPr>
            <w:tcW w:w="1176" w:type="dxa"/>
            <w:vAlign w:val="center"/>
          </w:tcPr>
          <w:p w14:paraId="2139CB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反馈抑制器</w:t>
            </w:r>
          </w:p>
        </w:tc>
        <w:tc>
          <w:tcPr>
            <w:tcW w:w="6914" w:type="dxa"/>
            <w:vAlign w:val="center"/>
          </w:tcPr>
          <w:p w14:paraId="5997819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1.全数字处理信号无须调试，自动适应声学环境，无需过多设置。</w:t>
            </w:r>
          </w:p>
          <w:p w14:paraId="1815685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2.可有效提升拾音灵敏度，有效距离可达70CM以上</w:t>
            </w:r>
          </w:p>
          <w:p w14:paraId="4BBA09E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3.自带12dB环境降噪，系统具有极低的底噪</w:t>
            </w:r>
          </w:p>
          <w:p w14:paraId="77E07C9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4.可一键打开或者关闭反馈功能，关闭反馈时需要长按5秒，直到按键上面反馈指示灯闪烁，打开时请按一下，可有效保护现场设备。</w:t>
            </w:r>
          </w:p>
          <w:p w14:paraId="740606C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5.面板具有≥7个高亮LED指示电平状态</w:t>
            </w:r>
          </w:p>
          <w:p w14:paraId="6E5AA5C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6.输入接口：不平衡TRS输入，阻抗：1KΩ，不平衡RCA输入阻抗：10KΩ，平衡卡侬输入阻抗：1KΩ</w:t>
            </w:r>
          </w:p>
          <w:p w14:paraId="352BFBF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7.输出接口：不平衡TRS输出阻抗：1KΩ，不平衡RCA输出阻抗：1KΩ，平衡卡侬输出阻抗：1KΩ</w:t>
            </w:r>
          </w:p>
          <w:p w14:paraId="48EB2EC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8.额定电压：220V±10%50Hz</w:t>
            </w:r>
          </w:p>
          <w:p w14:paraId="19D778C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9.频率响应：100Hz~16KHz</w:t>
            </w:r>
          </w:p>
          <w:p w14:paraId="59575E0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10.失真：＜1%@1KHz</w:t>
            </w:r>
          </w:p>
          <w:p w14:paraId="6DDCE8D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11.信噪比：＞90dB</w:t>
            </w:r>
          </w:p>
        </w:tc>
        <w:tc>
          <w:tcPr>
            <w:tcW w:w="685" w:type="dxa"/>
            <w:vAlign w:val="center"/>
          </w:tcPr>
          <w:p w14:paraId="47362A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1C1188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r>
      <w:tr w14:paraId="4232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7F8B00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124</w:t>
            </w:r>
          </w:p>
        </w:tc>
        <w:tc>
          <w:tcPr>
            <w:tcW w:w="1176" w:type="dxa"/>
            <w:vAlign w:val="center"/>
          </w:tcPr>
          <w:p w14:paraId="00B736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电源时序器</w:t>
            </w:r>
          </w:p>
        </w:tc>
        <w:tc>
          <w:tcPr>
            <w:tcW w:w="6914" w:type="dxa"/>
            <w:vAlign w:val="center"/>
          </w:tcPr>
          <w:p w14:paraId="0FDC151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1.支持不少于8路通道额定总承受功率≥7.5KW电源负载，拥有独立高性能RFI/EMI电源滤波器，为用户的设备提供干净而稳定的电源；</w:t>
            </w:r>
          </w:p>
          <w:p w14:paraId="4FCD5C2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2.具有≥1.77英寸TFT全彩显示屏，可显示设备当前电压、各通道开启状态指示、设备网络MAC地址、ID地址及相关系统信息；</w:t>
            </w:r>
          </w:p>
          <w:p w14:paraId="752747D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3.采用新国家标准的4个经时序控制的10A通用安全划盖插座、4个经时序控制的16A通用安全划盖插座及2个直通10A通用安全划盖插座。</w:t>
            </w:r>
          </w:p>
          <w:p w14:paraId="46A5DC8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4.设备具备软件编辑功能，可独立调整通道开机及关机的延时时间，控制电源开启与关闭功能；</w:t>
            </w:r>
          </w:p>
          <w:p w14:paraId="34AFE80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5.可通过软件对设备进行密码功能选择性锁定功能，可满足使用者的系统控制安全起到保护作用；</w:t>
            </w:r>
          </w:p>
          <w:p w14:paraId="6D1C2F5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6.设备软件内置中控代码生成器模块，方便第三方设备进行代码获取编辑；</w:t>
            </w:r>
          </w:p>
          <w:p w14:paraId="3F9197A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7.设备内置远程（REMOTE）控制功能，让用户能远距离的对设备进行开启关闭操作；</w:t>
            </w:r>
          </w:p>
          <w:p w14:paraId="65C1394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8.可通过设备的LINK接口与同型号的电源时序器进行多台扩展及级联设置控制，而无需再购置其它控制器件；</w:t>
            </w:r>
          </w:p>
          <w:p w14:paraId="2C2420D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9.设备受控控制方式多样，分别有TCP/IP、RS485、UDP进行联机控制，或通过第三方中控设备进行RS485、UDP控制复杂的电源系统。</w:t>
            </w:r>
          </w:p>
          <w:p w14:paraId="10D83FB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10.电源滤波器：具备RFI/EMI电源滤波功能</w:t>
            </w:r>
          </w:p>
          <w:p w14:paraId="1802BF6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11.设备级联控制接口：RS485LINK</w:t>
            </w:r>
          </w:p>
          <w:p w14:paraId="0B1D44E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12.时序时间：可自行设置更改，开机延时为1至999秒，关机延时为1至999秒</w:t>
            </w:r>
          </w:p>
          <w:p w14:paraId="123EEDB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13.密码功能：可设置无密码分功能选择锁定及6位数字、字母、符号密码分功能选择锁定</w:t>
            </w:r>
          </w:p>
          <w:p w14:paraId="5AB704D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14.设备级联ID设置：可设置250个ID进行级联控制</w:t>
            </w:r>
          </w:p>
          <w:p w14:paraId="3AF8178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15.中控代码：设备软件内置中控代码生成器</w:t>
            </w:r>
          </w:p>
          <w:p w14:paraId="679B69E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16.程序存储：≥5组数据存储</w:t>
            </w:r>
          </w:p>
        </w:tc>
        <w:tc>
          <w:tcPr>
            <w:tcW w:w="685" w:type="dxa"/>
            <w:vAlign w:val="center"/>
          </w:tcPr>
          <w:p w14:paraId="7DB536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2B5ECD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r>
      <w:tr w14:paraId="02E1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0D35E1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125</w:t>
            </w:r>
          </w:p>
        </w:tc>
        <w:tc>
          <w:tcPr>
            <w:tcW w:w="1176" w:type="dxa"/>
            <w:vAlign w:val="center"/>
          </w:tcPr>
          <w:p w14:paraId="765577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机柜</w:t>
            </w:r>
          </w:p>
        </w:tc>
        <w:tc>
          <w:tcPr>
            <w:tcW w:w="6914" w:type="dxa"/>
            <w:vAlign w:val="center"/>
          </w:tcPr>
          <w:p w14:paraId="2C9DF88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1.22U；</w:t>
            </w:r>
          </w:p>
          <w:p w14:paraId="09BD037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2.材料：采用冷轧钢板制作；厚度：1.0mm- 2.0mm；</w:t>
            </w:r>
          </w:p>
          <w:p w14:paraId="7F93BC1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3.内置多功能活动层板，</w:t>
            </w:r>
          </w:p>
          <w:p w14:paraId="2DD52E6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4.尺寸：≥600*600*1200mm。</w:t>
            </w:r>
          </w:p>
        </w:tc>
        <w:tc>
          <w:tcPr>
            <w:tcW w:w="685" w:type="dxa"/>
            <w:vAlign w:val="center"/>
          </w:tcPr>
          <w:p w14:paraId="50C047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1FD49B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3952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6A7FD7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126</w:t>
            </w:r>
          </w:p>
        </w:tc>
        <w:tc>
          <w:tcPr>
            <w:tcW w:w="1176" w:type="dxa"/>
            <w:vAlign w:val="center"/>
          </w:tcPr>
          <w:p w14:paraId="612091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双通道专业音频噪声隔离器</w:t>
            </w:r>
          </w:p>
        </w:tc>
        <w:tc>
          <w:tcPr>
            <w:tcW w:w="6914" w:type="dxa"/>
            <w:vAlign w:val="center"/>
          </w:tcPr>
          <w:p w14:paraId="7356B3D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1.输入采用复合型COMBO接口，可适用多种信号输入接口；输出采用高品质平衡式XLR接口；</w:t>
            </w:r>
          </w:p>
          <w:p w14:paraId="4193FDA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2.具备信号-20dBPAD衰减功能开关进行设置；</w:t>
            </w:r>
          </w:p>
          <w:p w14:paraId="02C300F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3.内置抗静电保护，瞬态、浪涌抑制电路</w:t>
            </w:r>
          </w:p>
          <w:p w14:paraId="0B43B2F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4.输入通道及插座：≥2路COMBO复合型接口</w:t>
            </w:r>
          </w:p>
          <w:p w14:paraId="15AAB29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5.输出通道及插座：≥2路XLR卡侬公座</w:t>
            </w:r>
          </w:p>
        </w:tc>
        <w:tc>
          <w:tcPr>
            <w:tcW w:w="685" w:type="dxa"/>
            <w:vAlign w:val="center"/>
          </w:tcPr>
          <w:p w14:paraId="4CBED4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76515C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r>
      <w:tr w14:paraId="588F1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15123B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127</w:t>
            </w:r>
          </w:p>
        </w:tc>
        <w:tc>
          <w:tcPr>
            <w:tcW w:w="1176" w:type="dxa"/>
            <w:vAlign w:val="center"/>
          </w:tcPr>
          <w:p w14:paraId="3E7F80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安装辅材</w:t>
            </w:r>
          </w:p>
        </w:tc>
        <w:tc>
          <w:tcPr>
            <w:tcW w:w="6914" w:type="dxa"/>
            <w:vAlign w:val="center"/>
          </w:tcPr>
          <w:p w14:paraId="1838994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1.视频线、音箱线、电源线、网线、线管、光纤线、音频连接线等</w:t>
            </w:r>
          </w:p>
        </w:tc>
        <w:tc>
          <w:tcPr>
            <w:tcW w:w="685" w:type="dxa"/>
            <w:vAlign w:val="center"/>
          </w:tcPr>
          <w:p w14:paraId="473C1E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272ABA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批</w:t>
            </w:r>
          </w:p>
        </w:tc>
      </w:tr>
      <w:tr w14:paraId="0129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1D969A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128</w:t>
            </w:r>
          </w:p>
        </w:tc>
        <w:tc>
          <w:tcPr>
            <w:tcW w:w="1176" w:type="dxa"/>
            <w:vAlign w:val="center"/>
          </w:tcPr>
          <w:p w14:paraId="76E8F7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净水机</w:t>
            </w:r>
          </w:p>
        </w:tc>
        <w:tc>
          <w:tcPr>
            <w:tcW w:w="6914" w:type="dxa"/>
            <w:vAlign w:val="center"/>
          </w:tcPr>
          <w:p w14:paraId="02D4748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1.整机型式：整机为立式柜机，外观参考尺寸：宽*厚*高≥550*470*1520mm。</w:t>
            </w:r>
          </w:p>
          <w:p w14:paraId="47291BA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2.出水方式：水龙头数量为2个，按键控制出水，龙头间距≥280mm，水嘴到接水盒的高度≥360mm。</w:t>
            </w:r>
          </w:p>
          <w:p w14:paraId="0F30AA8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3.整机材料：整机外壳钣金材质，前、侧外壳表面采用防锈、外壳材料 防划、防污等防护喷涂工艺处理，接水区面板及接水盘采用防锈材料。</w:t>
            </w:r>
          </w:p>
          <w:p w14:paraId="51937D0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vertAlign w:val="baseline"/>
                <w:lang w:val="en-US" w:eastAsia="zh-CN"/>
              </w:rPr>
              <w:t>4.净化工艺：过滤系统：采用反渗透过滤技术工艺，过滤系统要求以涉水卫生批件内容为准，提供投标产品型号《涉及饮用水卫生安全产品卫生许可批件》。</w:t>
            </w:r>
          </w:p>
          <w:p w14:paraId="65EFB49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vertAlign w:val="baseline"/>
                <w:lang w:val="en-US" w:eastAsia="zh-CN"/>
              </w:rPr>
              <w:t>5.杀菌装置：采用紫外线（UV）杀菌装置（《涉及饮用水卫生安全产品卫生许可批件及说明书内必须体现），且紫外线使用年限≥4800h，紫外线杀菌器须满足《生活饮用水消毒剂和消毒设备卫生安全评价规范》①提供投标产品型号《涉及饮用水卫生安全产品卫生许可批件》②提供紫外线杀菌器的第三方检测报告。</w:t>
            </w:r>
          </w:p>
          <w:p w14:paraId="56B4F4E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vertAlign w:val="baseline"/>
                <w:lang w:val="en-US" w:eastAsia="zh-CN"/>
              </w:rPr>
              <w:t>6.净化能力：净水流量≥0.75L/min，额定总净水量≥4000L，以涉水卫生批件内容为准，提供投标产品型号《涉及饮用水卫生安全产品卫生许可批件》。</w:t>
            </w:r>
          </w:p>
          <w:p w14:paraId="4DB098F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7.用电要求：额定电压/频率220V/50Hz，额定总功率≤3100W，加热功率≥3000W，①提供投标产品CQC认证证书②提供投标产品的第三方检测报告来证明用电要求。</w:t>
            </w:r>
          </w:p>
          <w:p w14:paraId="2772CC8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8.加热方式：采用步进式进水加热方式。</w:t>
            </w:r>
          </w:p>
          <w:p w14:paraId="1C8022B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9.储/供水能力：常温水储水容量≥11L，304不锈钢材料热罐储水容量≥21L。</w:t>
            </w:r>
          </w:p>
          <w:p w14:paraId="693493F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整机出水水质符合《生活饮用水卫生标准》：砷≤0.01mg/L、汞≤0.001mg/L、甲醛≤0.9mg/L、土臭素≤0.00001mg/L、亚硝酸盐（以N计）≤1mg/L.，产品整机出水水质不应含有化学阻垢剂（如磷酸盐等化学阻垢物质）提供第三方检测报告，报告内需体现投标产品型号。</w:t>
            </w:r>
          </w:p>
          <w:p w14:paraId="1521A3A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11.运行防护：双极限温温控技术防干烧设计，防触电保护类型为I类，防护等级≥IP44，提供第三方检测报告，报告内需体现投标产品型号。</w:t>
            </w:r>
          </w:p>
          <w:p w14:paraId="2905AED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12.漏水防护：具备漏水保护装置，检测漏水即切断进水。</w:t>
            </w:r>
          </w:p>
          <w:p w14:paraId="5C89FF7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节能模式：产品具备自适应节能功能，一段时间无人使用，设备自动停止加热，运行状态可视化，LED可视化显示屏，显示或提示内容包括不限于换芯提示、杀菌提示、加热状态等功能，设备具有故障代码提醒功能，包括不限于漏水保护、温度传感器异常、加热异常、加热超温、浮子开关损坏、水温探针失效等。</w:t>
            </w:r>
          </w:p>
          <w:p w14:paraId="1B699D7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14.机器具备长时间出水自动切断功能，避免浪费。</w:t>
            </w:r>
          </w:p>
          <w:p w14:paraId="7947A8B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vertAlign w:val="baseline"/>
                <w:lang w:val="en-US" w:eastAsia="zh-CN"/>
              </w:rPr>
              <w:t>15.满足1级水效标准。</w:t>
            </w:r>
          </w:p>
          <w:p w14:paraId="505513D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16.可根据实际使用场景设置一开一常温出水模式或两开出水模式，两种模式可一键进行切换、具备点按出水及长按出水两种模式且可一键进行切换以满足实际使用需求。</w:t>
            </w:r>
          </w:p>
        </w:tc>
        <w:tc>
          <w:tcPr>
            <w:tcW w:w="685" w:type="dxa"/>
            <w:vAlign w:val="center"/>
          </w:tcPr>
          <w:p w14:paraId="3D44A4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712" w:type="dxa"/>
            <w:vAlign w:val="center"/>
          </w:tcPr>
          <w:p w14:paraId="04CC19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r>
      <w:tr w14:paraId="2754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6583F0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129</w:t>
            </w:r>
          </w:p>
        </w:tc>
        <w:tc>
          <w:tcPr>
            <w:tcW w:w="1176" w:type="dxa"/>
            <w:vAlign w:val="center"/>
          </w:tcPr>
          <w:p w14:paraId="139461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LED护眼灯</w:t>
            </w:r>
          </w:p>
        </w:tc>
        <w:tc>
          <w:tcPr>
            <w:tcW w:w="6914" w:type="dxa"/>
            <w:vAlign w:val="center"/>
          </w:tcPr>
          <w:p w14:paraId="66CA40C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vertAlign w:val="baseline"/>
                <w:lang w:val="en-US" w:eastAsia="zh-CN"/>
              </w:rPr>
              <w:t>1.额定功率：≤40W，功率因数＞0.95，灯具效能≥80lm/W，额定色温3300～5300K，显色指数Ra&gt;90,R9&gt;50，色品容差SDCM≤5。</w:t>
            </w:r>
          </w:p>
          <w:p w14:paraId="54323D2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2.尺寸：直径≥475mm，厚度≥60mm。教室灯散热装置采用优质金属材质，厚度≥0.4mm,表面喷粉防氧化处理，产品外形平整、无凹陷和毛刺，焊缝无透光现象，表面均匀、光洁，无流挂现象。</w:t>
            </w:r>
          </w:p>
          <w:p w14:paraId="5F17799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vertAlign w:val="baseline"/>
                <w:lang w:val="en-US" w:eastAsia="zh-CN"/>
              </w:rPr>
              <w:t>3.视网膜蓝光危害类别为 RG0（或无危险类）。</w:t>
            </w:r>
          </w:p>
          <w:p w14:paraId="37E0D07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4.幼儿园灯改造后的教室，需满足课桌面维持平均照度≥300lx，照度均匀度≥0.7，统一眩光值UGR≤16</w:t>
            </w:r>
          </w:p>
          <w:p w14:paraId="31B8D90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vertAlign w:val="baseline"/>
                <w:lang w:val="en-US" w:eastAsia="zh-CN"/>
              </w:rPr>
              <w:t>5.机械悬挂性能、结构可靠性、安装可靠性通过至少依据《GB/T 36876》、《GB 50034》、《QB/T 5533》为标准的认证。</w:t>
            </w:r>
          </w:p>
          <w:p w14:paraId="50A43A6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6.通过依据以下所有且不仅限于GB 7793-2010、GB/T 26572-2011、GB 17625.1-2022、GB 40070-2021、GB/T 36876-2018为标准教室照明产品认证。</w:t>
            </w:r>
          </w:p>
          <w:p w14:paraId="692476A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vertAlign w:val="baseline"/>
                <w:lang w:val="en-US" w:eastAsia="zh-CN"/>
              </w:rPr>
              <w:t>7.通过依据《GB/T 33721》或《QB/T 5533》标准测得产品寿命≥50000H，同时对灯具进行长期燃点≥6000小时的测试，光通维持率≥98%。</w:t>
            </w:r>
          </w:p>
          <w:p w14:paraId="686323C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LED幼儿园灯产品通过国家强制性 ccc 认证要求。</w:t>
            </w:r>
          </w:p>
        </w:tc>
        <w:tc>
          <w:tcPr>
            <w:tcW w:w="685" w:type="dxa"/>
            <w:vAlign w:val="center"/>
          </w:tcPr>
          <w:p w14:paraId="22E4C4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140</w:t>
            </w:r>
          </w:p>
        </w:tc>
        <w:tc>
          <w:tcPr>
            <w:tcW w:w="712" w:type="dxa"/>
            <w:vAlign w:val="center"/>
          </w:tcPr>
          <w:p w14:paraId="748FE0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1356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5EB3A7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130</w:t>
            </w:r>
          </w:p>
        </w:tc>
        <w:tc>
          <w:tcPr>
            <w:tcW w:w="1176" w:type="dxa"/>
            <w:vAlign w:val="center"/>
          </w:tcPr>
          <w:p w14:paraId="752A1D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跑酷游戏器材</w:t>
            </w:r>
          </w:p>
        </w:tc>
        <w:tc>
          <w:tcPr>
            <w:tcW w:w="6914" w:type="dxa"/>
            <w:vAlign w:val="center"/>
          </w:tcPr>
          <w:p w14:paraId="4C7C836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每套包含3套配套资源及28样物品（119件组件材料）</w:t>
            </w:r>
          </w:p>
          <w:p w14:paraId="757F91F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1.6件三角墩规格尺寸：L850*W600*H400mm（±5mm）材质：PVC+EPE</w:t>
            </w:r>
          </w:p>
          <w:p w14:paraId="460FAEA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详细描述：选用高密度PVC外皮，防水耐磨；不易变形；内衬选用环保EPE珍珠棉，隔水防潮，韧性强不易塌陷。采用隐藏拉链，更安全；增加了把手设计，易搬运。三角墩设计成不等边样式，斜度不一样对幼儿的挑战也不一样，更加适合不同年龄段的幼儿使用。根据需要增加了高粘度魔术贴，可以多种组合使用。"</w:t>
            </w:r>
          </w:p>
          <w:p w14:paraId="091F61D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2.4件平衡木（矮）规格尺寸：L800*W300*H300mm（±5mm）材质：PVC+EPE+压缩海绵</w:t>
            </w:r>
          </w:p>
          <w:p w14:paraId="42100DE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详细描述：选用高密度PVC外皮，防水耐磨；不易变形；内衬选用环保EPE珍珠棉，隔水防潮，韧性强不易塌陷。内衬增加配重，更稳固；采用隐藏拉链，更安全；增加了把手设计，易搬运，高度适合小年龄段幼儿。两端增加了高粘度魔术贴，可连接延长，组合使用。"</w:t>
            </w:r>
          </w:p>
          <w:p w14:paraId="41B923D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3.2件平衡木（高）规格尺寸：L800*W300*H450mm（±5mm）材质：PVC+EPE+压缩海绵</w:t>
            </w:r>
          </w:p>
          <w:p w14:paraId="4129B8D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详细描述：选用高密度PVC外皮，防水耐磨；不易变形；内衬选用环保EPE珍珠棉，隔水防潮，韧性强不易塌陷。内衬增加配重，更稳固；采用隐藏拉链，更安全；增加了把手设计，易搬运。高度适合大年龄段幼儿。两端增加了高粘度魔术贴，可连接延长，组合使用。"</w:t>
            </w:r>
          </w:p>
          <w:p w14:paraId="576C77E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4.1件跳马墩1规格尺寸：L800*W300*H200mm（±5mm）材质：PVC+EPE+压缩海绵</w:t>
            </w:r>
          </w:p>
          <w:p w14:paraId="0D14478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详细描述：选用高密度PVC外皮，防水耐磨；不易变形；内衬选用环保EPE珍珠棉，隔水防潮，韧性强不易塌陷。内衬增加配重，更稳固；采用隐藏拉链，更安全；增加了把手设计，易搬运。每一层跳马墩的长边上增加了高粘度魔术贴，组合使用更加稳固。"</w:t>
            </w:r>
          </w:p>
          <w:p w14:paraId="080A1C1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5.1件跳马墩2规格尺寸：L800*W400*H200mm（±5mm）材质：PVC+EPE+压缩海绵</w:t>
            </w:r>
          </w:p>
          <w:p w14:paraId="562FE96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详细描述：选用高密度PVC外皮，防水耐磨；不易变形；内衬选用环保EPE珍珠棉，隔水防潮，韧性强不易塌陷。内衬增加配重，更稳固；采用隐藏拉链，更安全；增加了把手设计，易搬运。每一层跳马墩的长边上增加了高粘度魔术贴，组合使用更加稳固。"</w:t>
            </w:r>
          </w:p>
          <w:p w14:paraId="29DABF6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6.1件跳马墩3规格尺寸：L800*W500*H200mm（±5mm）材质：PVC+EPE+压缩海绵</w:t>
            </w:r>
          </w:p>
          <w:p w14:paraId="545145D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详细描述：选用高密度PVC外皮，防水耐磨；不易变形；内衬选用环保EPE珍珠棉，隔水防潮，韧性强不易塌陷。内衬增加配重，更稳固；采用隐藏拉链，更安全；增加了把手设计，易搬运。每一层跳马墩的长边上增加了高粘度魔术贴，组合使用更加稳固。"</w:t>
            </w:r>
          </w:p>
          <w:p w14:paraId="68E6579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7.1件跳马墩4规格尺寸：L800*W600*H200mm（±5mm）材质：PVC+EPE+压缩海绵</w:t>
            </w:r>
          </w:p>
          <w:p w14:paraId="1FE5F5E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详细描述：选用高密度PVC外皮，防水耐磨；不易变形；内衬选用环保EPE珍珠棉，隔水防潮，韧性强不易塌陷。内衬增加配重，更稳固；采用隐藏拉链，更安全；增加了把手设计，易搬运。每一层跳马墩的长边上增加了高粘度魔术贴，组合使用更加稳固。"</w:t>
            </w:r>
          </w:p>
          <w:p w14:paraId="6F87055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8.2件跳箱1规格尺寸：L800*W600*H100mm（±5mm）材质：PVC+EPE+压缩海绵</w:t>
            </w:r>
          </w:p>
          <w:p w14:paraId="7A29EE8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详细描述：选用高密度PVC外皮，防水耐磨；不易变形；内衬选用环保EPE珍珠棉，隔水防潮，韧性强不易塌陷。内衬增加配重，更稳固；采用隐藏拉链，更安全；增加了把手设计，易搬运。"</w:t>
            </w:r>
          </w:p>
          <w:p w14:paraId="348047B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9.2件跳箱2规格尺寸：L800*W600*H200mm（±5mm）材质：PVC+EPE+压缩海绵</w:t>
            </w:r>
          </w:p>
          <w:p w14:paraId="548226C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详细描述：选用高密度PVC外皮，防水耐磨；不易变形；内衬选用环保EPE珍珠棉，隔水防潮，韧性强不易塌陷。内衬增加配重，更稳固；采用隐藏拉链，更安全；增加了把手设计，易搬运。"</w:t>
            </w:r>
          </w:p>
          <w:p w14:paraId="18323C4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10.2件跳箱3规格尺寸：L800*W600*H300mm（±5mm）材质：PVC+EPE+压缩海绵</w:t>
            </w:r>
          </w:p>
          <w:p w14:paraId="0550308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详细描述：选用高密度PVC外皮，防水耐磨；不易变形；内衬选用环保EPE珍珠棉，隔水防潮，韧性强不易塌陷。内衬增加配重，更稳固；采用隐藏拉链，更安全；增加了把手设计，易搬运。03号跳箱上增加了多面高粘度魔术贴"</w:t>
            </w:r>
          </w:p>
          <w:p w14:paraId="5D3F7D0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11.2件跳箱4规格尺寸：L800*W600*H400mm（±5mm）材质：PVC+EPE+压缩海绵</w:t>
            </w:r>
          </w:p>
          <w:p w14:paraId="0FB957E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详细描述：选用高密度PVC外皮，防水耐磨；不易变形；内衬选用环保EPE珍珠棉，隔水防潮，韧性强不易塌陷。内衬增加配重，更稳固；采用隐藏拉链，更安全；增加了把手设计，易搬运。04号跳箱采用可折叠的形式，折叠成长方体，打开后成斜坡，可多用。"</w:t>
            </w:r>
          </w:p>
          <w:p w14:paraId="24D1792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12.2件拱形桥规格尺寸：L1300*W450*H650mm（±5mm）材质：PVC+EPE</w:t>
            </w:r>
          </w:p>
          <w:p w14:paraId="36470E1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详细描述：选用高密度PVC外皮，防水耐磨；不易变形；内衬选用环保EPE珍珠棉，隔水防潮，韧性强不易塌陷。采用隐藏拉链，更安全。两端增加了高粘度魔术贴，可连接延长，组合使用。"</w:t>
            </w:r>
          </w:p>
          <w:p w14:paraId="1F3F61F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13.1件曲面墙规格尺寸：L1000*W800*H1200（±5mm）材质：PVC+EPE+压缩海绵</w:t>
            </w:r>
          </w:p>
          <w:p w14:paraId="4E89EAA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详细描述：选用高密度PVC外皮，防水耐磨；不易变形；内衬选用环保EPE珍珠棉，隔水防潮，韧性强不易塌陷。内衬增加配重，更稳固；采用隐藏拉链，更安全；增加了把手设计，易搬运。斜长边采用曲面设计，两直角边不等长设计，可以供幼儿挑战不同高度。</w:t>
            </w:r>
          </w:p>
          <w:p w14:paraId="5E9C43E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14.1件三角墙规格尺寸：L1000*W800*H1200（±5mm）材质：PVC+EPE+压缩海绵</w:t>
            </w:r>
          </w:p>
          <w:p w14:paraId="6B642D2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详细描述：选用高密度PVC外皮，防水耐磨；不易变形；内衬选用环保EPE珍珠棉，隔水防潮，韧性强不易塌陷。内衬增加配重，更稳固；采用隐藏拉链，更安全；增加了把手设计，易搬运。两直角边不等长设计，可以供幼儿挑战不同高度。"</w:t>
            </w:r>
          </w:p>
          <w:p w14:paraId="30F7A21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15.2件四折垫规格尺寸：L2460*W600*H50mm（±5mm）材质：PVC+EPE</w:t>
            </w:r>
          </w:p>
          <w:p w14:paraId="3C3D97E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详细描述：选用高密度PVC外皮，防水耐磨；不易变形；内衬选用环保EPE珍珠棉，隔水防潮，韧性强不易塌陷。采用隐藏拉链，更安全。四折垫两端配有高粘度魔术贴，可以平铺，也可以折叠成方形，发展幼儿的钻、爬能力。"</w:t>
            </w:r>
          </w:p>
          <w:p w14:paraId="584E973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16.2件两折垫规格尺寸：L1600*W800*H100（±5mm）材质：PVC+EPE</w:t>
            </w:r>
          </w:p>
          <w:p w14:paraId="7497A9A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详细描述：选用高密度PVC外皮，防水耐磨；不易变形；内衬选用环保EPE珍珠棉，隔水防潮，韧性强不易塌陷。采用隐藏拉链，更安全；增加了把手设计，易搬运。可折叠，易收纳；垫子下面设有凹槽，可以卡在单杠底部，起到保护作用。"</w:t>
            </w:r>
          </w:p>
          <w:p w14:paraId="71DE709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17.2套升降单杠（含保护套）规格尺寸：L1500*W980*H1200mm（1200-1700可调节）（±5mm）材质：镀锌钢管</w:t>
            </w:r>
          </w:p>
          <w:p w14:paraId="6065D63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详细描述：单杠采用镀锌钢管，坚固耐用，安全稳定，两侧立柱和顶部横杆配备保护套，防止幼儿磕碰受伤。"</w:t>
            </w:r>
          </w:p>
          <w:p w14:paraId="338A40E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18.2套计时器规格尺寸：L240*W115*H40mm材质：铝合金边框+pc板</w:t>
            </w:r>
          </w:p>
          <w:p w14:paraId="5FAB4E2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详细描述：用于幼儿体育活动计时用，可充电无限次使用。"</w:t>
            </w:r>
          </w:p>
          <w:p w14:paraId="2B5D133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19.4个蹦蹦球规格尺寸：L400*W400*H180mm材质：PVC+ABS</w:t>
            </w:r>
          </w:p>
          <w:p w14:paraId="14D2F30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详细描述：表面有防滑纹理，稳定支撑不打滑；ABS底盘，强韧耐磨；橡胶底脚，稳定支撑；加厚防爆，高强承重。</w:t>
            </w:r>
          </w:p>
          <w:p w14:paraId="1D30F25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20.1套猴杆规格尺寸：L300*W400mm材质：PP+高强涤纶</w:t>
            </w:r>
          </w:p>
          <w:p w14:paraId="37EE8DC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详细描述：材料环保耐用，承重力强，可与单杠搭配使用，用于锻炼幼儿的上肢力量。"</w:t>
            </w:r>
          </w:p>
          <w:p w14:paraId="6FC7826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21.1套荡绳规格尺寸：L2000mm材质：PE</w:t>
            </w:r>
          </w:p>
          <w:p w14:paraId="43C92B8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详细描述：与单杠搭配使用，用于锻炼幼儿的悬垂能力。"</w:t>
            </w:r>
          </w:p>
          <w:p w14:paraId="446068E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22.3根连接带规格尺寸：L350*W25mm材质：高强涤纶</w:t>
            </w:r>
          </w:p>
          <w:p w14:paraId="01C2530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详细描述：主要用于连接单杠与猴杆和荡绳。"</w:t>
            </w:r>
          </w:p>
          <w:p w14:paraId="176654E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23.10个敏捷圈规格尺寸：L430*W430mm材质：PP</w:t>
            </w:r>
          </w:p>
          <w:p w14:paraId="774D3B7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详细描述：采用环保PP材质，耐磨、耐用；可用连接扣连接组合使用，也可卡在花口座上使用。锻炼幼儿跳跃、钻爬等能力。"</w:t>
            </w:r>
          </w:p>
          <w:p w14:paraId="5328E44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24.10个连接扣规格尺寸：L100*W30*H12mm材质：ABS</w:t>
            </w:r>
          </w:p>
          <w:p w14:paraId="4B90DA8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详细描述：采用塑料ABS，耐磨、环保，用来连接敏捷圈。"</w:t>
            </w:r>
          </w:p>
          <w:p w14:paraId="1A057AB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25.6个体能环规格尺寸：L570*W570mm材质：PP</w:t>
            </w:r>
          </w:p>
          <w:p w14:paraId="32F53A1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详细描述：采用环保PP材质，耐磨、耐用；可用连接扣连接组合使用，也可卡在花口座上使用。锻炼幼儿跳跃、钻爬等能力。"</w:t>
            </w:r>
          </w:p>
          <w:p w14:paraId="6ECB9EB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26.18根体能棒规格尺寸：L1000*W25mm*H25mm材质：ABS</w:t>
            </w:r>
          </w:p>
          <w:p w14:paraId="166B5DC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详细描述：采用优质塑料ABS，耐磨、环保；可以插在花口座上，也可用卡扣和环组合使用。"</w:t>
            </w:r>
          </w:p>
          <w:p w14:paraId="66779ED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27.12个花口座规格尺寸：L200*W200*H100mm材质：ABS</w:t>
            </w:r>
          </w:p>
          <w:p w14:paraId="3014ECE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详细描述：采用优质塑料ABS，耐磨、环保；承重好，插上体能棒不易倒，底部可注水或沙，增加重量。"</w:t>
            </w:r>
          </w:p>
          <w:p w14:paraId="5C5945C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28.18个固定夹规格尺寸：L65*W40*H40mm材质：ABS</w:t>
            </w:r>
          </w:p>
          <w:p w14:paraId="631B295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详细描述：采用优质塑料ABS，耐磨、环保，用来连接体能环和体能棒。"</w:t>
            </w:r>
          </w:p>
          <w:p w14:paraId="36E710E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提供第三方机构出具的检测报告   提供线下入园培训</w:t>
            </w:r>
          </w:p>
          <w:p w14:paraId="61967FBE">
            <w:pPr>
              <w:pStyle w:val="10"/>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包含第三幼儿园1套、织合玛幼儿园1套</w:t>
            </w:r>
          </w:p>
        </w:tc>
        <w:tc>
          <w:tcPr>
            <w:tcW w:w="685" w:type="dxa"/>
            <w:vAlign w:val="center"/>
          </w:tcPr>
          <w:p w14:paraId="5EEDD0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712" w:type="dxa"/>
            <w:vAlign w:val="center"/>
          </w:tcPr>
          <w:p w14:paraId="341082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289C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20E96C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131</w:t>
            </w:r>
          </w:p>
        </w:tc>
        <w:tc>
          <w:tcPr>
            <w:tcW w:w="1176" w:type="dxa"/>
            <w:vAlign w:val="center"/>
          </w:tcPr>
          <w:p w14:paraId="17EFA2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水培种子混装</w:t>
            </w:r>
          </w:p>
        </w:tc>
        <w:tc>
          <w:tcPr>
            <w:tcW w:w="6914" w:type="dxa"/>
            <w:vAlign w:val="center"/>
          </w:tcPr>
          <w:p w14:paraId="74538F1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1.品种组合：≥4 （绿豆、豌豆、小麦草、萝卜籽），每套≥200g。</w:t>
            </w:r>
          </w:p>
          <w:p w14:paraId="3EBB185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2.核心质量：非转基因、无化学包衣，发芽率≥85%，水分≤10%。</w:t>
            </w:r>
          </w:p>
          <w:p w14:paraId="57D766C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3.教学适配：种子大小适中、易操作，芽苗无毒、观赏性强，7 天内发芽率≥80%。</w:t>
            </w:r>
          </w:p>
        </w:tc>
        <w:tc>
          <w:tcPr>
            <w:tcW w:w="685" w:type="dxa"/>
            <w:vAlign w:val="center"/>
          </w:tcPr>
          <w:p w14:paraId="2CED38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0C0BE1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6A96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5C2300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132</w:t>
            </w:r>
          </w:p>
        </w:tc>
        <w:tc>
          <w:tcPr>
            <w:tcW w:w="1176" w:type="dxa"/>
            <w:vAlign w:val="center"/>
          </w:tcPr>
          <w:p w14:paraId="0659E4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红领巾练习教具</w:t>
            </w:r>
          </w:p>
        </w:tc>
        <w:tc>
          <w:tcPr>
            <w:tcW w:w="6914" w:type="dxa"/>
            <w:vAlign w:val="center"/>
          </w:tcPr>
          <w:p w14:paraId="419ECAD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 主体操作板</w:t>
            </w:r>
          </w:p>
          <w:p w14:paraId="26A3B0B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1.1材质要求：采用实木多层板 / 原木密度板，厚度≥5mm，边缘做圆角打磨（R≥3mm），无毛刺、无尖锐棱角</w:t>
            </w:r>
          </w:p>
          <w:p w14:paraId="19645C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1.2尺寸规格：成品尺寸≥ 400mm（长）×300mm（宽），板面平整，无变形、开裂</w:t>
            </w:r>
          </w:p>
          <w:p w14:paraId="0E3BF96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1.3表面工艺：采用环保 UV 印刷，色彩牢固不脱落，无异味、无甲醛残留，符合儿童用品环保标准</w:t>
            </w:r>
          </w:p>
          <w:p w14:paraId="44C3607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1.4结构设计：板面顶部预留 2 个挂孔（直径≥8mm），方便悬挂展示；人物颈部预留操作卡位，适配红领巾固定与操作</w:t>
            </w:r>
          </w:p>
          <w:p w14:paraId="3AA94E9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 配套红领巾</w:t>
            </w:r>
          </w:p>
          <w:p w14:paraId="353C576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2.1材质要求：采用100% 纯棉斜纹布，克重≥120g/㎡，手感柔软、透气性好，无刺激性气味</w:t>
            </w:r>
          </w:p>
          <w:p w14:paraId="15EDC6D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2.2规格标准：符合中国少年先锋队红领巾国家标准，等腰三角形</w:t>
            </w:r>
          </w:p>
          <w:p w14:paraId="7FD0EF4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2.3工艺要求：锁边工整，无跳线、无脱线，颜色为标准国旗红，色牢度≥4 级，洗涤不褪色</w:t>
            </w:r>
          </w:p>
        </w:tc>
        <w:tc>
          <w:tcPr>
            <w:tcW w:w="685" w:type="dxa"/>
            <w:vAlign w:val="center"/>
          </w:tcPr>
          <w:p w14:paraId="16A28A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5A0032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3BB2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7E724D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133</w:t>
            </w:r>
          </w:p>
        </w:tc>
        <w:tc>
          <w:tcPr>
            <w:tcW w:w="1176" w:type="dxa"/>
            <w:vAlign w:val="center"/>
          </w:tcPr>
          <w:p w14:paraId="68CFF1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扎辫子</w:t>
            </w:r>
          </w:p>
        </w:tc>
        <w:tc>
          <w:tcPr>
            <w:tcW w:w="6914" w:type="dxa"/>
            <w:vAlign w:val="center"/>
          </w:tcPr>
          <w:p w14:paraId="529AC95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一、主体操作底板</w:t>
            </w:r>
          </w:p>
          <w:p w14:paraId="48A6179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1.材质要求：采用高密度毛毡板，厚度≥5mm，边缘做圆角打磨（R≥3mm），无毛刺、无尖锐棱角；</w:t>
            </w:r>
          </w:p>
          <w:p w14:paraId="79C7FF3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2.尺寸规格：成品尺寸≥ 410mm（长）×400mm（宽），板面平整，无变形、开裂；</w:t>
            </w:r>
          </w:p>
          <w:p w14:paraId="5469D3F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3.表面工艺：采用毛毡裁剪工艺，色彩牢固不脱落，无异味、无甲醛残留；</w:t>
            </w:r>
          </w:p>
          <w:p w14:paraId="0957750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4.结构设计：板面预留人物固定位、编发组件安装位，结构牢固，可承受儿童反复操作。</w:t>
            </w:r>
          </w:p>
          <w:p w14:paraId="0999AA7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二、编发组件</w:t>
            </w:r>
          </w:p>
          <w:p w14:paraId="5634D2C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1.材质要求：采用高韧性涤纶 ，手感柔软、无刺激性气味，绳体结实耐磨，不易断裂、起球；</w:t>
            </w:r>
          </w:p>
          <w:p w14:paraId="70C8992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2.规格要求：单根绳长≥600mm，直径≥8mm，适配儿童抓握与编发操作；绳体颜色区分清晰（如粉紫混色、深棕色），辨识度高。</w:t>
            </w:r>
          </w:p>
        </w:tc>
        <w:tc>
          <w:tcPr>
            <w:tcW w:w="685" w:type="dxa"/>
            <w:vAlign w:val="center"/>
          </w:tcPr>
          <w:p w14:paraId="293757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79E989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7CDE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38548D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134</w:t>
            </w:r>
          </w:p>
        </w:tc>
        <w:tc>
          <w:tcPr>
            <w:tcW w:w="1176" w:type="dxa"/>
            <w:vAlign w:val="center"/>
          </w:tcPr>
          <w:p w14:paraId="484E85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土培植物</w:t>
            </w:r>
          </w:p>
        </w:tc>
        <w:tc>
          <w:tcPr>
            <w:tcW w:w="6914" w:type="dxa"/>
            <w:vAlign w:val="center"/>
          </w:tcPr>
          <w:p w14:paraId="7392D58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1.植物无毒、无刺、无异味、无致敏性、无汁液刺激；</w:t>
            </w:r>
          </w:p>
          <w:p w14:paraId="5898E2F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2.易养护、耐粗放管理、生长稳定、观赏性强；</w:t>
            </w:r>
          </w:p>
          <w:p w14:paraId="305F466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3.植株健壮、无病虫害、无枯叶、无烂根、无药害；</w:t>
            </w:r>
          </w:p>
          <w:p w14:paraId="5DA4B27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4.整体高度适合幼儿观察、触摸、浇水照料；</w:t>
            </w:r>
          </w:p>
          <w:p w14:paraId="2D87E03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5.土壤：直接用通用营养土（无需配比），要求疏松，手握成团、松开即散即可；</w:t>
            </w:r>
          </w:p>
          <w:p w14:paraId="7F4D4B3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6.容器：口径 150-200mm 小花盆（带排水孔）</w:t>
            </w:r>
          </w:p>
        </w:tc>
        <w:tc>
          <w:tcPr>
            <w:tcW w:w="685" w:type="dxa"/>
            <w:vAlign w:val="center"/>
          </w:tcPr>
          <w:p w14:paraId="41F657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w:t>
            </w:r>
          </w:p>
        </w:tc>
        <w:tc>
          <w:tcPr>
            <w:tcW w:w="712" w:type="dxa"/>
            <w:vAlign w:val="center"/>
          </w:tcPr>
          <w:p w14:paraId="643472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罐</w:t>
            </w:r>
          </w:p>
        </w:tc>
      </w:tr>
      <w:tr w14:paraId="47AB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09868E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135</w:t>
            </w:r>
          </w:p>
        </w:tc>
        <w:tc>
          <w:tcPr>
            <w:tcW w:w="1176" w:type="dxa"/>
            <w:vAlign w:val="center"/>
          </w:tcPr>
          <w:p w14:paraId="6B7BE2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多肉</w:t>
            </w:r>
          </w:p>
        </w:tc>
        <w:tc>
          <w:tcPr>
            <w:tcW w:w="6914" w:type="dxa"/>
            <w:vAlign w:val="center"/>
          </w:tcPr>
          <w:p w14:paraId="5A3AC9E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 多肉植株（含 4-6 个不同品种）；</w:t>
            </w:r>
          </w:p>
          <w:p w14:paraId="5C16A5B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 专用营养土（适配多肉生长） 配方：多肉专用土（泥炭土 + 珍珠岩 + 火山石 + 蛭石配比≥3：2：2：1）；品质：疏松透气、排水性好，无虫卵、无杂草、无异味、无结块； 安全：无重金属残留、无化学添加剂，干净不扬尘、不沾手； 酸碱度：pH 6.0-7.5，适配多肉生长；</w:t>
            </w:r>
          </w:p>
          <w:p w14:paraId="3D48C3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 儿童安全花盆（1 盆 / 株）；</w:t>
            </w:r>
          </w:p>
          <w:p w14:paraId="5463AD0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 教学辅助工具；</w:t>
            </w:r>
          </w:p>
          <w:p w14:paraId="30B5E2D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 观察记录配套物料</w:t>
            </w:r>
          </w:p>
        </w:tc>
        <w:tc>
          <w:tcPr>
            <w:tcW w:w="685" w:type="dxa"/>
            <w:vAlign w:val="center"/>
          </w:tcPr>
          <w:p w14:paraId="304BC5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40</w:t>
            </w:r>
          </w:p>
        </w:tc>
        <w:tc>
          <w:tcPr>
            <w:tcW w:w="712" w:type="dxa"/>
            <w:vAlign w:val="center"/>
          </w:tcPr>
          <w:p w14:paraId="501158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颗</w:t>
            </w:r>
          </w:p>
        </w:tc>
      </w:tr>
      <w:tr w14:paraId="6671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3C4236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136</w:t>
            </w:r>
          </w:p>
        </w:tc>
        <w:tc>
          <w:tcPr>
            <w:tcW w:w="1176" w:type="dxa"/>
            <w:vAlign w:val="center"/>
          </w:tcPr>
          <w:p w14:paraId="4359B0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时钟教具 </w:t>
            </w:r>
          </w:p>
        </w:tc>
        <w:tc>
          <w:tcPr>
            <w:tcW w:w="6914" w:type="dxa"/>
            <w:vAlign w:val="center"/>
          </w:tcPr>
          <w:p w14:paraId="77B20D7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1.材质：表盘底座采用松木，木材含水率 8%-12%，无节疤、霉变、虫蛀及裂纹，表面经四道精细打磨工艺，粗糙度 Ra≤3.2μm，手感细腻无毛刺，边缘全圆角处理（倒角半径 R≥3mm）；时针、分针采用食品级 ABS 塑料，无双酚 A、甲醛及邻苯二甲酸酯，内部添加玻纤增强材质提升刚性，边缘经超声波倒角无锋利切面；刻度层采用 250g/㎡双面铜版纸复合 0.05mm 食品级 PET 覆膜，防水防撕且耐摩擦，印刷采用水性环保油墨，无重金属残留；粘合采用环保水性白胶，甲醛释放量≤0.05mg/m³，无刺激性气味。</w:t>
            </w:r>
          </w:p>
          <w:p w14:paraId="536F021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2.尺寸：≥时钟100*100*12mm</w:t>
            </w:r>
          </w:p>
        </w:tc>
        <w:tc>
          <w:tcPr>
            <w:tcW w:w="685" w:type="dxa"/>
            <w:vAlign w:val="center"/>
          </w:tcPr>
          <w:p w14:paraId="029C04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1EF8F8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61EC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5749A6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137</w:t>
            </w:r>
          </w:p>
        </w:tc>
        <w:tc>
          <w:tcPr>
            <w:tcW w:w="1176" w:type="dxa"/>
            <w:vAlign w:val="center"/>
          </w:tcPr>
          <w:p w14:paraId="5815D7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小号石膏娃娃涂色</w:t>
            </w:r>
          </w:p>
        </w:tc>
        <w:tc>
          <w:tcPr>
            <w:tcW w:w="6914" w:type="dxa"/>
            <w:vAlign w:val="center"/>
          </w:tcPr>
          <w:p w14:paraId="64A9B86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1.材质：环保石膏（无异味、无毛刺，邵氏硬度≥60D），配套无毒可水洗水性颜料、环保 PP 笔杆 + 尼龙笔头画笔。</w:t>
            </w:r>
          </w:p>
          <w:p w14:paraId="57E85CC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 尺寸：娃娃高80-120mm，单重≤200g，适配幼儿抓握；颜料瓶≥6 色（10ml / 瓶），画笔长 120-150mm。</w:t>
            </w:r>
          </w:p>
          <w:p w14:paraId="4AE3F69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 安全：边缘圆角处理，1m 跌落不碎裂；无细小零件，重金属含量达标，无刺激性气味。</w:t>
            </w:r>
          </w:p>
          <w:p w14:paraId="5C83183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 适配：造型卡通简洁，颜料易附着、干速适中，单袋含 1 娃 + 1 套颜料 + 1 支笔，满足幼儿园手工创作。</w:t>
            </w:r>
          </w:p>
        </w:tc>
        <w:tc>
          <w:tcPr>
            <w:tcW w:w="685" w:type="dxa"/>
            <w:vAlign w:val="center"/>
          </w:tcPr>
          <w:p w14:paraId="2EF235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w:t>
            </w:r>
          </w:p>
        </w:tc>
        <w:tc>
          <w:tcPr>
            <w:tcW w:w="712" w:type="dxa"/>
            <w:vAlign w:val="center"/>
          </w:tcPr>
          <w:p w14:paraId="1734F2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袋</w:t>
            </w:r>
          </w:p>
        </w:tc>
      </w:tr>
      <w:tr w14:paraId="39FF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7F1F7C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138</w:t>
            </w:r>
          </w:p>
        </w:tc>
        <w:tc>
          <w:tcPr>
            <w:tcW w:w="1176" w:type="dxa"/>
            <w:vAlign w:val="center"/>
          </w:tcPr>
          <w:p w14:paraId="37DA66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圆木片</w:t>
            </w:r>
          </w:p>
        </w:tc>
        <w:tc>
          <w:tcPr>
            <w:tcW w:w="6914" w:type="dxa"/>
            <w:vAlign w:val="center"/>
          </w:tcPr>
          <w:p w14:paraId="70663D0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1.材质：天然实木（无霉变、无虫蛀），表面打磨光滑无毛刺。</w:t>
            </w:r>
          </w:p>
          <w:p w14:paraId="234AD3B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 尺寸：直径 60-70mm，厚度≥20mm，规格均匀。</w:t>
            </w:r>
          </w:p>
          <w:p w14:paraId="7E7A6F4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 安全：边缘圆角处理，无尖锐边角，无刺激性气味。</w:t>
            </w:r>
          </w:p>
          <w:p w14:paraId="29BDC60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 适配：重量轻便，便于幼儿手工粘贴、绘画创作，适配幼儿园手工课。</w:t>
            </w:r>
          </w:p>
        </w:tc>
        <w:tc>
          <w:tcPr>
            <w:tcW w:w="685" w:type="dxa"/>
            <w:vAlign w:val="center"/>
          </w:tcPr>
          <w:p w14:paraId="30725E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35</w:t>
            </w:r>
          </w:p>
        </w:tc>
        <w:tc>
          <w:tcPr>
            <w:tcW w:w="712" w:type="dxa"/>
            <w:vAlign w:val="center"/>
          </w:tcPr>
          <w:p w14:paraId="71B52D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70EE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4EBB62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139</w:t>
            </w:r>
          </w:p>
        </w:tc>
        <w:tc>
          <w:tcPr>
            <w:tcW w:w="1176" w:type="dxa"/>
            <w:vAlign w:val="center"/>
          </w:tcPr>
          <w:p w14:paraId="2906FA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白海棠扇</w:t>
            </w:r>
          </w:p>
        </w:tc>
        <w:tc>
          <w:tcPr>
            <w:tcW w:w="6914" w:type="dxa"/>
            <w:vAlign w:val="center"/>
          </w:tcPr>
          <w:p w14:paraId="4B724CA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1.材质：宣纸扇面 + 天然竹骨，无异味、无毛刺，竹骨坚韧不易断。</w:t>
            </w:r>
          </w:p>
          <w:p w14:paraId="4A063F6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2.尺寸：展开≥300×200mm，扇柄长度适中，适配幼儿抓握。</w:t>
            </w:r>
          </w:p>
          <w:p w14:paraId="3A26401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3.安全：边缘打磨光滑，无尖锐边角，扇面平整无脱胶。</w:t>
            </w:r>
          </w:p>
          <w:p w14:paraId="706AF0D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4.适配：扇面易着色，适配绘画、装饰创作，满足幼儿园美术活动需求</w:t>
            </w:r>
          </w:p>
        </w:tc>
        <w:tc>
          <w:tcPr>
            <w:tcW w:w="685" w:type="dxa"/>
            <w:vAlign w:val="center"/>
          </w:tcPr>
          <w:p w14:paraId="019198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50</w:t>
            </w:r>
          </w:p>
        </w:tc>
        <w:tc>
          <w:tcPr>
            <w:tcW w:w="712" w:type="dxa"/>
            <w:vAlign w:val="center"/>
          </w:tcPr>
          <w:p w14:paraId="1F2A88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把</w:t>
            </w:r>
          </w:p>
        </w:tc>
      </w:tr>
      <w:tr w14:paraId="6CB6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532E5D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140</w:t>
            </w:r>
          </w:p>
        </w:tc>
        <w:tc>
          <w:tcPr>
            <w:tcW w:w="1176" w:type="dxa"/>
            <w:vAlign w:val="center"/>
          </w:tcPr>
          <w:p w14:paraId="3F63D4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草编帽子</w:t>
            </w:r>
          </w:p>
        </w:tc>
        <w:tc>
          <w:tcPr>
            <w:tcW w:w="6914" w:type="dxa"/>
            <w:vAlign w:val="center"/>
          </w:tcPr>
          <w:p w14:paraId="664AC25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1.材质：天然草编（无异味、无尖锐杂质），编织紧密不松散。</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 尺寸：头围 520-560mm，适配 3-6 岁幼儿，重量轻便。</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 安全：边缘打磨光滑，无毛刺、无易脱落线头，无刺激性气味。</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4. 适配：可装饰、绘画创作，佩戴舒适，满足幼儿园手工活动及角色扮演需求。</w:t>
            </w:r>
          </w:p>
        </w:tc>
        <w:tc>
          <w:tcPr>
            <w:tcW w:w="685" w:type="dxa"/>
            <w:vAlign w:val="center"/>
          </w:tcPr>
          <w:p w14:paraId="0A83FA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30</w:t>
            </w:r>
          </w:p>
        </w:tc>
        <w:tc>
          <w:tcPr>
            <w:tcW w:w="712" w:type="dxa"/>
            <w:vAlign w:val="center"/>
          </w:tcPr>
          <w:p w14:paraId="61EBED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1B219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6C1242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141</w:t>
            </w:r>
          </w:p>
        </w:tc>
        <w:tc>
          <w:tcPr>
            <w:tcW w:w="1176" w:type="dxa"/>
            <w:vAlign w:val="center"/>
          </w:tcPr>
          <w:p w14:paraId="2B2F5B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模特架</w:t>
            </w:r>
          </w:p>
        </w:tc>
        <w:tc>
          <w:tcPr>
            <w:tcW w:w="6914" w:type="dxa"/>
            <w:vAlign w:val="center"/>
          </w:tcPr>
          <w:p w14:paraId="748A82B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1.材质：环保 ABS 工程塑料，无毒无毛刺，稳固安全，结构稳固。</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 尺寸：高度 ≥280mm，适配幼儿服饰尺寸，重量轻便易挪动。</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 安全：边角圆角处理，无尖锐凸起，无易脱落零件。</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4. 适配：可穿戴头饰、服饰，用于角色扮演区，培养幼儿审美与动手能力。</w:t>
            </w:r>
          </w:p>
        </w:tc>
        <w:tc>
          <w:tcPr>
            <w:tcW w:w="685" w:type="dxa"/>
            <w:vAlign w:val="center"/>
          </w:tcPr>
          <w:p w14:paraId="02B5E9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712" w:type="dxa"/>
            <w:vAlign w:val="center"/>
          </w:tcPr>
          <w:p w14:paraId="272CC2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4417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6B2265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142</w:t>
            </w:r>
          </w:p>
        </w:tc>
        <w:tc>
          <w:tcPr>
            <w:tcW w:w="1176" w:type="dxa"/>
            <w:vAlign w:val="center"/>
          </w:tcPr>
          <w:p w14:paraId="0D2DD5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材料</w:t>
            </w:r>
          </w:p>
        </w:tc>
        <w:tc>
          <w:tcPr>
            <w:tcW w:w="6914" w:type="dxa"/>
            <w:vAlign w:val="center"/>
          </w:tcPr>
          <w:p w14:paraId="5E001A2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1.纯棉环保面料，无荧光无甲醛，柔软透气耐洗</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2.尺寸≥250*250mm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3.规格：7片/包</w:t>
            </w:r>
          </w:p>
        </w:tc>
        <w:tc>
          <w:tcPr>
            <w:tcW w:w="685" w:type="dxa"/>
            <w:vAlign w:val="center"/>
          </w:tcPr>
          <w:p w14:paraId="0A640B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712" w:type="dxa"/>
            <w:vAlign w:val="center"/>
          </w:tcPr>
          <w:p w14:paraId="540BCF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包</w:t>
            </w:r>
          </w:p>
        </w:tc>
      </w:tr>
      <w:tr w14:paraId="65E4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49D035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143</w:t>
            </w:r>
          </w:p>
        </w:tc>
        <w:tc>
          <w:tcPr>
            <w:tcW w:w="1176" w:type="dxa"/>
            <w:vAlign w:val="center"/>
          </w:tcPr>
          <w:p w14:paraId="2B713A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舞台背景布（长2.0✖️1.5高）</w:t>
            </w:r>
          </w:p>
        </w:tc>
        <w:tc>
          <w:tcPr>
            <w:tcW w:w="6914" w:type="dxa"/>
            <w:vAlign w:val="center"/>
          </w:tcPr>
          <w:p w14:paraId="2AFD44F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1.加厚贡缎 / 牛津布，色彩牢固，无异味阻燃，平整垂顺</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2.尺寸≥2000*1500mm</w:t>
            </w:r>
          </w:p>
        </w:tc>
        <w:tc>
          <w:tcPr>
            <w:tcW w:w="685" w:type="dxa"/>
            <w:vAlign w:val="center"/>
          </w:tcPr>
          <w:p w14:paraId="043B9B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47072A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54ED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11A6E1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144</w:t>
            </w:r>
          </w:p>
        </w:tc>
        <w:tc>
          <w:tcPr>
            <w:tcW w:w="1176" w:type="dxa"/>
            <w:vAlign w:val="center"/>
          </w:tcPr>
          <w:p w14:paraId="047771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表演头饰</w:t>
            </w:r>
          </w:p>
        </w:tc>
        <w:tc>
          <w:tcPr>
            <w:tcW w:w="6914" w:type="dxa"/>
            <w:vAlign w:val="center"/>
          </w:tcPr>
          <w:p w14:paraId="57F979E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1.主体面料：环保棉布 ，柔软亲肤、透气吸汗，无异味、无甲醛，无荧光剂、重金属等有害物质。</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辅助材质：</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2.内衬：纯棉纱布（透气不闷热），接触皮肤无刺激；</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装饰部件（眼睛、斑纹）：环保 EVA 泡沫（柔软无硬度）、水性油墨印刷（无异味、不掉色），无细小可拆卸零件；</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3.固定带：高弹力尼龙带（弹性适中，拉伸后不易断裂），无乳胶成分，避免过敏。</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4.尺寸参数：</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头围适配：480-540mm（可调节，适配 3-6 岁幼儿），固定带长度可调节范围 100-150mm；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头饰尺寸：宽度 150-200mm，高度80-120mm（造型饱满不遮挡视线），重量≤50g，轻便无压迫感；</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装饰细节：眼睛直径 30-40mm（柔软凸起，无坚硬质感），斑纹色彩为绿色、黑色等自然色系，一套5个。</w:t>
            </w:r>
          </w:p>
        </w:tc>
        <w:tc>
          <w:tcPr>
            <w:tcW w:w="685" w:type="dxa"/>
            <w:vAlign w:val="center"/>
          </w:tcPr>
          <w:p w14:paraId="38E37D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075258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235E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5BF4EE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145</w:t>
            </w:r>
          </w:p>
        </w:tc>
        <w:tc>
          <w:tcPr>
            <w:tcW w:w="1176" w:type="dxa"/>
            <w:vAlign w:val="center"/>
          </w:tcPr>
          <w:p w14:paraId="05AE5A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多米骨牌</w:t>
            </w:r>
          </w:p>
        </w:tc>
        <w:tc>
          <w:tcPr>
            <w:tcW w:w="6914" w:type="dxa"/>
            <w:vAlign w:val="center"/>
          </w:tcPr>
          <w:p w14:paraId="2CC274C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1.骨牌数量 240片，配大容量收纳箱（带手提），搭配弯轨 / 直轨配件材质ABS 材质，圆角光滑，无毒安全；</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2.骨牌无细小配件，避免幼儿误食，配件尺寸≥50mm（防止入口）；</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3.收纳方便，幼儿可自主参与整理，培养收纳习惯。</w:t>
            </w:r>
          </w:p>
        </w:tc>
        <w:tc>
          <w:tcPr>
            <w:tcW w:w="685" w:type="dxa"/>
            <w:vAlign w:val="center"/>
          </w:tcPr>
          <w:p w14:paraId="6D6D90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240</w:t>
            </w:r>
          </w:p>
        </w:tc>
        <w:tc>
          <w:tcPr>
            <w:tcW w:w="712" w:type="dxa"/>
            <w:vAlign w:val="center"/>
          </w:tcPr>
          <w:p w14:paraId="0A9AF7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片</w:t>
            </w:r>
          </w:p>
        </w:tc>
      </w:tr>
      <w:tr w14:paraId="342F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6B9441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146</w:t>
            </w:r>
          </w:p>
        </w:tc>
        <w:tc>
          <w:tcPr>
            <w:tcW w:w="1176" w:type="dxa"/>
            <w:vAlign w:val="center"/>
          </w:tcPr>
          <w:p w14:paraId="374025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卡普乐积木条</w:t>
            </w:r>
          </w:p>
        </w:tc>
        <w:tc>
          <w:tcPr>
            <w:tcW w:w="6914" w:type="dxa"/>
            <w:vAlign w:val="center"/>
          </w:tcPr>
          <w:p w14:paraId="7B260D9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1.材质：实木，无漆无蜡，环保无毒</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2.工艺：双面打磨、圆角光滑，无毛刺</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3.尺寸：≥长 260mm× 宽 45mm× 高 8mm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4.性能：结实耐用、不易开裂、拼接稳固</w:t>
            </w:r>
          </w:p>
        </w:tc>
        <w:tc>
          <w:tcPr>
            <w:tcW w:w="685" w:type="dxa"/>
            <w:vAlign w:val="center"/>
          </w:tcPr>
          <w:p w14:paraId="767FC4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500</w:t>
            </w:r>
          </w:p>
        </w:tc>
        <w:tc>
          <w:tcPr>
            <w:tcW w:w="712" w:type="dxa"/>
            <w:vAlign w:val="center"/>
          </w:tcPr>
          <w:p w14:paraId="237559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条</w:t>
            </w:r>
          </w:p>
        </w:tc>
      </w:tr>
      <w:tr w14:paraId="7004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128E9F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147</w:t>
            </w:r>
          </w:p>
        </w:tc>
        <w:tc>
          <w:tcPr>
            <w:tcW w:w="1176" w:type="dxa"/>
            <w:vAlign w:val="center"/>
          </w:tcPr>
          <w:p w14:paraId="1ADBDA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大扑克16倍</w:t>
            </w:r>
          </w:p>
        </w:tc>
        <w:tc>
          <w:tcPr>
            <w:tcW w:w="6914" w:type="dxa"/>
            <w:vAlign w:val="center"/>
          </w:tcPr>
          <w:p w14:paraId="433CE71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 铜版纸覆哑膜，防水耐磨</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2.工艺：圆角裁切，无尖锐边角，图文清晰</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3.尺寸：为标准扑克16 倍大，适合教学展示</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4.安全：无毒环保油墨，无异味，牢固不易折</w:t>
            </w:r>
          </w:p>
        </w:tc>
        <w:tc>
          <w:tcPr>
            <w:tcW w:w="685" w:type="dxa"/>
            <w:vAlign w:val="center"/>
          </w:tcPr>
          <w:p w14:paraId="6747C9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712" w:type="dxa"/>
            <w:vAlign w:val="center"/>
          </w:tcPr>
          <w:p w14:paraId="42FFDB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副</w:t>
            </w:r>
          </w:p>
        </w:tc>
      </w:tr>
      <w:tr w14:paraId="5106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6036B0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148</w:t>
            </w:r>
          </w:p>
        </w:tc>
        <w:tc>
          <w:tcPr>
            <w:tcW w:w="1176" w:type="dxa"/>
            <w:vAlign w:val="center"/>
          </w:tcPr>
          <w:p w14:paraId="22C02B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背景绒布</w:t>
            </w:r>
          </w:p>
        </w:tc>
        <w:tc>
          <w:tcPr>
            <w:tcW w:w="6914" w:type="dxa"/>
            <w:vAlign w:val="center"/>
          </w:tcPr>
          <w:p w14:paraId="291B1AE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1.加厚绒布，哑光不反光、垂感好、无静电、环保无异味，色彩均匀，柔软厚实，易清洁不变形。</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2.尺寸：1600*1600mm</w:t>
            </w:r>
          </w:p>
        </w:tc>
        <w:tc>
          <w:tcPr>
            <w:tcW w:w="685" w:type="dxa"/>
            <w:vAlign w:val="center"/>
          </w:tcPr>
          <w:p w14:paraId="4E1B67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160BCB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1661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1C50FE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149</w:t>
            </w:r>
          </w:p>
        </w:tc>
        <w:tc>
          <w:tcPr>
            <w:tcW w:w="1176" w:type="dxa"/>
            <w:vAlign w:val="center"/>
          </w:tcPr>
          <w:p w14:paraId="4F6C38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沙包</w:t>
            </w:r>
          </w:p>
        </w:tc>
        <w:tc>
          <w:tcPr>
            <w:tcW w:w="6914" w:type="dxa"/>
            <w:vAlign w:val="center"/>
          </w:tcPr>
          <w:p w14:paraId="305C8D6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1.材质加厚帆布面料，填充饱满，圆角无棱角，环保无毒，耐磨耐摔。</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2.尺寸：70mm</w:t>
            </w:r>
          </w:p>
        </w:tc>
        <w:tc>
          <w:tcPr>
            <w:tcW w:w="685" w:type="dxa"/>
            <w:vAlign w:val="center"/>
          </w:tcPr>
          <w:p w14:paraId="276213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30</w:t>
            </w:r>
          </w:p>
        </w:tc>
        <w:tc>
          <w:tcPr>
            <w:tcW w:w="712" w:type="dxa"/>
            <w:vAlign w:val="center"/>
          </w:tcPr>
          <w:p w14:paraId="315EDA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2722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03121B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150</w:t>
            </w:r>
          </w:p>
        </w:tc>
        <w:tc>
          <w:tcPr>
            <w:tcW w:w="1176" w:type="dxa"/>
            <w:vAlign w:val="center"/>
          </w:tcPr>
          <w:p w14:paraId="0F3F67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跳绳</w:t>
            </w:r>
          </w:p>
        </w:tc>
        <w:tc>
          <w:tcPr>
            <w:tcW w:w="6914" w:type="dxa"/>
            <w:vAlign w:val="center"/>
          </w:tcPr>
          <w:p w14:paraId="29C633C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1.绳体材质：采用食品级环保 PVC / 棉麻混纺材质，无异味、无甲醛，柔软亲肤不硌手。</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2.手柄材质：ABS 环保塑料，表面防滑纹理设计，无毒无味，无毛刺、无尖锐边角。</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3.尺寸规格</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3.1绳体长度：可调节范围 1800-2500mm，适配 3-6 岁幼儿身高（900-1200mm），调节便捷。</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3.2手柄尺寸：长度 100-120mm，直径 25-30mm，符合幼儿抓握习惯，重量≤50g / 只，轻便不压手。</w:t>
            </w:r>
          </w:p>
        </w:tc>
        <w:tc>
          <w:tcPr>
            <w:tcW w:w="685" w:type="dxa"/>
            <w:vAlign w:val="center"/>
          </w:tcPr>
          <w:p w14:paraId="1ECC5F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30</w:t>
            </w:r>
          </w:p>
        </w:tc>
        <w:tc>
          <w:tcPr>
            <w:tcW w:w="712" w:type="dxa"/>
            <w:vAlign w:val="center"/>
          </w:tcPr>
          <w:p w14:paraId="06E63B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6A9E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5B6B88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151</w:t>
            </w:r>
          </w:p>
        </w:tc>
        <w:tc>
          <w:tcPr>
            <w:tcW w:w="1176" w:type="dxa"/>
            <w:vAlign w:val="center"/>
          </w:tcPr>
          <w:p w14:paraId="575E86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剪纸</w:t>
            </w:r>
          </w:p>
        </w:tc>
        <w:tc>
          <w:tcPr>
            <w:tcW w:w="6914" w:type="dxa"/>
            <w:vAlign w:val="center"/>
          </w:tcPr>
          <w:p w14:paraId="6FA54BD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1.纸张材质：采用食品级环保卡纸 / 牛皮纸，克重 80-120g，厚薄适中，易裁剪不易撕裂，无荧光剂、无甲醛。</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2.尺寸规格</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2.1剪纸尺寸：单张剪纸规格 150mm×150mm，适配幼儿小手操作，边缘整齐无毛边。</w:t>
            </w:r>
          </w:p>
        </w:tc>
        <w:tc>
          <w:tcPr>
            <w:tcW w:w="685" w:type="dxa"/>
            <w:vAlign w:val="center"/>
          </w:tcPr>
          <w:p w14:paraId="1950FB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180</w:t>
            </w:r>
          </w:p>
        </w:tc>
        <w:tc>
          <w:tcPr>
            <w:tcW w:w="712" w:type="dxa"/>
            <w:vAlign w:val="center"/>
          </w:tcPr>
          <w:p w14:paraId="491C23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张</w:t>
            </w:r>
          </w:p>
        </w:tc>
      </w:tr>
      <w:tr w14:paraId="0C6A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5B943A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152</w:t>
            </w:r>
          </w:p>
        </w:tc>
        <w:tc>
          <w:tcPr>
            <w:tcW w:w="1176" w:type="dxa"/>
            <w:vAlign w:val="center"/>
          </w:tcPr>
          <w:p w14:paraId="207DEB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大号齿轮积木</w:t>
            </w:r>
          </w:p>
        </w:tc>
        <w:tc>
          <w:tcPr>
            <w:tcW w:w="6914" w:type="dxa"/>
            <w:vAlign w:val="center"/>
          </w:tcPr>
          <w:p w14:paraId="501155C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1.配置：主齿轮 4-6 个 + 副齿轮 10-15 个 + 连接轴  底板 2 块 + 辅助配件 8-10 个</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收纳：配套带分格塑料收纳盒（带卡扣，手提式），分格对应不同配件，方便幼儿整理</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适用：桌面拼搭，简单齿轮传动游戏材质：通体食品级 PP 环保塑料，无双酚 A、无甲醛、无重金属，无异味，耐摔（1.5m 高度跌落无破损、无掉件）</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 边缘：所有配件边角均做圆角打磨处理，无尖锐棱角、无毛刺，防止划伤幼儿手部</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 尺寸：所有单件配件最小尺寸≥4cm，无细小零件，从根源避免幼儿误食风险</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4. 色彩：食品级环保色料，色彩鲜艳不刺眼（马卡龙色系 / 基础纯色），不掉色、不褪色，耐摩擦</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5. 耐用性：配件可反复拼插 / 转动≥1000 次，无变形、无齿牙磨损，适配幼儿园高频次使用</w:t>
            </w:r>
          </w:p>
        </w:tc>
        <w:tc>
          <w:tcPr>
            <w:tcW w:w="685" w:type="dxa"/>
            <w:vAlign w:val="center"/>
          </w:tcPr>
          <w:p w14:paraId="52BD09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697ECD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盒</w:t>
            </w:r>
          </w:p>
        </w:tc>
      </w:tr>
      <w:tr w14:paraId="0CF5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40B23B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153</w:t>
            </w:r>
          </w:p>
        </w:tc>
        <w:tc>
          <w:tcPr>
            <w:tcW w:w="1176" w:type="dxa"/>
            <w:vAlign w:val="center"/>
          </w:tcPr>
          <w:p w14:paraId="4E8908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Diy蒙氏缝工板</w:t>
            </w:r>
          </w:p>
        </w:tc>
        <w:tc>
          <w:tcPr>
            <w:tcW w:w="6914" w:type="dxa"/>
            <w:vAlign w:val="center"/>
          </w:tcPr>
          <w:p w14:paraId="3E16890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1.所有材质符合幼儿玩具安全标准，实木款无甲醛、无油漆，EVA / 塑料款无双酚 A、无重金属；配件最小尺寸≥80mm（缝针 / 穿线器），无细小零件，从根源避免幼儿误食；</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2.操作场景：室内平整桌面，适配蒙氏区域活动，单人单块，避免拥挤碰撞；</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3.耐用性：可反复缝补使用≥100 次，板材不变形、孔位不破损、配件不老化。</w:t>
            </w:r>
          </w:p>
        </w:tc>
        <w:tc>
          <w:tcPr>
            <w:tcW w:w="685" w:type="dxa"/>
            <w:vAlign w:val="center"/>
          </w:tcPr>
          <w:p w14:paraId="3B6590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w:t>
            </w:r>
          </w:p>
        </w:tc>
        <w:tc>
          <w:tcPr>
            <w:tcW w:w="712" w:type="dxa"/>
            <w:vAlign w:val="center"/>
          </w:tcPr>
          <w:p w14:paraId="1CB1FE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张</w:t>
            </w:r>
          </w:p>
        </w:tc>
      </w:tr>
      <w:tr w14:paraId="2B9A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7984A9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154</w:t>
            </w:r>
          </w:p>
        </w:tc>
        <w:tc>
          <w:tcPr>
            <w:tcW w:w="1176" w:type="dxa"/>
            <w:vAlign w:val="center"/>
          </w:tcPr>
          <w:p w14:paraId="7C6310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圆木片</w:t>
            </w:r>
          </w:p>
        </w:tc>
        <w:tc>
          <w:tcPr>
            <w:tcW w:w="6914" w:type="dxa"/>
            <w:vAlign w:val="center"/>
          </w:tcPr>
          <w:p w14:paraId="14127B5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1.材质：天然实木（无霉变、无虫蛀），表面打磨光滑无毛刺。</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 尺寸：直径 60-70mm，厚度≥20mm，规格均匀。</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 安全：边缘圆角处理，无尖锐边角，无刺激性气味。</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4. 适配：重量轻便，便于幼儿手工粘贴、绘画创作，适配幼儿园手工课。</w:t>
            </w:r>
          </w:p>
        </w:tc>
        <w:tc>
          <w:tcPr>
            <w:tcW w:w="685" w:type="dxa"/>
            <w:vAlign w:val="center"/>
          </w:tcPr>
          <w:p w14:paraId="71D2CC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35</w:t>
            </w:r>
          </w:p>
        </w:tc>
        <w:tc>
          <w:tcPr>
            <w:tcW w:w="712" w:type="dxa"/>
            <w:vAlign w:val="center"/>
          </w:tcPr>
          <w:p w14:paraId="2664AD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175D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73F0B1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155</w:t>
            </w:r>
          </w:p>
        </w:tc>
        <w:tc>
          <w:tcPr>
            <w:tcW w:w="1176" w:type="dxa"/>
            <w:vAlign w:val="center"/>
          </w:tcPr>
          <w:p w14:paraId="0F0B5A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益智桌面玩具</w:t>
            </w:r>
          </w:p>
        </w:tc>
        <w:tc>
          <w:tcPr>
            <w:tcW w:w="6914" w:type="dxa"/>
            <w:vAlign w:val="center"/>
          </w:tcPr>
          <w:p w14:paraId="33CAF72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1.拼图： 12-24 片，单块尺寸≥80mm，边缘无缝隙，拼合精准</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2.数独板：幼儿简易款 4×4 格，棋子直径 30mm，板面有数字 / 图案标识，清晰易懂</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3.串珠：珠子直径≥30mm，孔径 8mm，配粗绳（线径 2mm），串珠顺畅不打结，绳端有加固</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4.核心：无细小零件，拼图无毛刺，串珠绳不易断裂</w:t>
            </w:r>
          </w:p>
        </w:tc>
        <w:tc>
          <w:tcPr>
            <w:tcW w:w="685" w:type="dxa"/>
            <w:vAlign w:val="center"/>
          </w:tcPr>
          <w:p w14:paraId="6CC200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60ADCE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2020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364EA8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156</w:t>
            </w:r>
          </w:p>
        </w:tc>
        <w:tc>
          <w:tcPr>
            <w:tcW w:w="1176" w:type="dxa"/>
            <w:vAlign w:val="center"/>
          </w:tcPr>
          <w:p w14:paraId="34A24F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透明扇子</w:t>
            </w:r>
          </w:p>
        </w:tc>
        <w:tc>
          <w:tcPr>
            <w:tcW w:w="6914" w:type="dxa"/>
            <w:vAlign w:val="center"/>
          </w:tcPr>
          <w:p w14:paraId="6ADE23E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1.扇面材质：食品级环保 PET 透明塑料，厚度 0.2-0.3mm，无异味、无甲醛，透光性好且不易碎裂。</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扇柄材质：优质 ABS 环保塑料，一体注塑成型，无毒无味，无毛刺、无尖锐边角。</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2.尺寸规格</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2.1扇面尺寸：展开直径 200-250mm，折叠后长度 120-150mm，适配 3-6 岁幼儿抓握与挥动。</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2.2扇柄尺寸：长度 80-100mm，直径 15-20mm，握感舒适，重量≤30g，轻便不压手。</w:t>
            </w:r>
          </w:p>
        </w:tc>
        <w:tc>
          <w:tcPr>
            <w:tcW w:w="685" w:type="dxa"/>
            <w:vAlign w:val="center"/>
          </w:tcPr>
          <w:p w14:paraId="4F4D3E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40</w:t>
            </w:r>
          </w:p>
        </w:tc>
        <w:tc>
          <w:tcPr>
            <w:tcW w:w="712" w:type="dxa"/>
            <w:vAlign w:val="center"/>
          </w:tcPr>
          <w:p w14:paraId="3DC875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把</w:t>
            </w:r>
          </w:p>
        </w:tc>
      </w:tr>
      <w:tr w14:paraId="651C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696634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157</w:t>
            </w:r>
          </w:p>
        </w:tc>
        <w:tc>
          <w:tcPr>
            <w:tcW w:w="1176" w:type="dxa"/>
            <w:vAlign w:val="center"/>
          </w:tcPr>
          <w:p w14:paraId="39E7A5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梅花积木</w:t>
            </w:r>
          </w:p>
        </w:tc>
        <w:tc>
          <w:tcPr>
            <w:tcW w:w="6914" w:type="dxa"/>
            <w:vAlign w:val="center"/>
          </w:tcPr>
          <w:p w14:paraId="4FA662B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1.积木主体：优质环保 ABS 工程塑料，无异味、无甲醛，质地坚韧不易碎裂。</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2.拼接部件：同材质一体注塑成型，无额外粘接剂，无毒无害，无重金属、荧光剂等有害物质。</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3.尺寸规格</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3.1单块尺寸：直径 60-80mm，厚度 20-30mm，凸起 “花瓣” 高度 8-10mm，适配 3-6 岁幼儿抓握与拼接力度。</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3.2套装配置：单套含 20-50 块，颜色含红、黄、蓝、绿等基础色系（≥4 种），色彩均匀鲜艳。</w:t>
            </w:r>
          </w:p>
        </w:tc>
        <w:tc>
          <w:tcPr>
            <w:tcW w:w="685" w:type="dxa"/>
            <w:vAlign w:val="center"/>
          </w:tcPr>
          <w:p w14:paraId="595E4C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150</w:t>
            </w:r>
          </w:p>
        </w:tc>
        <w:tc>
          <w:tcPr>
            <w:tcW w:w="712" w:type="dxa"/>
            <w:vAlign w:val="center"/>
          </w:tcPr>
          <w:p w14:paraId="414DC0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片</w:t>
            </w:r>
          </w:p>
        </w:tc>
      </w:tr>
      <w:tr w14:paraId="4BCE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3A1922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158</w:t>
            </w:r>
          </w:p>
        </w:tc>
        <w:tc>
          <w:tcPr>
            <w:tcW w:w="1176" w:type="dxa"/>
            <w:vAlign w:val="center"/>
          </w:tcPr>
          <w:p w14:paraId="683474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郁金香水培种球</w:t>
            </w:r>
          </w:p>
        </w:tc>
        <w:tc>
          <w:tcPr>
            <w:tcW w:w="6914" w:type="dxa"/>
            <w:vAlign w:val="center"/>
          </w:tcPr>
          <w:p w14:paraId="7BF7CC5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1.容器：口径 80-100mm 专用水培瓶 / 玻璃杯（透明款，方便观察根系），高度 15-20cm；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2.固定：种球底部距水面5-10mm（悬空不接触水面，防腐烂），可用专用定植篮 ，避免倾倒。周长 120-140mm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3.种球类型：5℃低温春化球（五度球），已完成花芽分化，水培可直接生根开花。</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4.围径（周长）：≥120mm。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5.外观：扁球形、饱满紧实、有重量感；外皮棕褐色、光滑有光泽；鳞片洁白紧实。</w:t>
            </w:r>
          </w:p>
        </w:tc>
        <w:tc>
          <w:tcPr>
            <w:tcW w:w="685" w:type="dxa"/>
            <w:vAlign w:val="center"/>
          </w:tcPr>
          <w:p w14:paraId="1B3670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w:t>
            </w:r>
          </w:p>
        </w:tc>
        <w:tc>
          <w:tcPr>
            <w:tcW w:w="712" w:type="dxa"/>
            <w:vAlign w:val="center"/>
          </w:tcPr>
          <w:p w14:paraId="34EC35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51F0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4FB03E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159</w:t>
            </w:r>
          </w:p>
        </w:tc>
        <w:tc>
          <w:tcPr>
            <w:tcW w:w="1176" w:type="dxa"/>
            <w:vAlign w:val="center"/>
          </w:tcPr>
          <w:p w14:paraId="57B2FC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扇骨混装</w:t>
            </w:r>
          </w:p>
        </w:tc>
        <w:tc>
          <w:tcPr>
            <w:tcW w:w="6914" w:type="dxa"/>
            <w:vAlign w:val="center"/>
          </w:tcPr>
          <w:p w14:paraId="39DB21D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1.主体材质：优质环保 ABS 工程塑料 ，无异味、无甲醛，质地坚韧不易断裂。</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2.尺寸：总长 ≥150mm，单根扇骨宽度≥ 10mm，厚度 ≥4mm</w:t>
            </w:r>
          </w:p>
        </w:tc>
        <w:tc>
          <w:tcPr>
            <w:tcW w:w="685" w:type="dxa"/>
            <w:vAlign w:val="center"/>
          </w:tcPr>
          <w:p w14:paraId="3E8EA6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w:t>
            </w:r>
          </w:p>
        </w:tc>
        <w:tc>
          <w:tcPr>
            <w:tcW w:w="712" w:type="dxa"/>
            <w:vAlign w:val="center"/>
          </w:tcPr>
          <w:p w14:paraId="377CA7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把</w:t>
            </w:r>
          </w:p>
        </w:tc>
      </w:tr>
      <w:tr w14:paraId="459A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1F84FB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160</w:t>
            </w:r>
          </w:p>
        </w:tc>
        <w:tc>
          <w:tcPr>
            <w:tcW w:w="1176" w:type="dxa"/>
            <w:vAlign w:val="center"/>
          </w:tcPr>
          <w:p w14:paraId="2FBEDC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玻璃纸</w:t>
            </w:r>
          </w:p>
        </w:tc>
        <w:tc>
          <w:tcPr>
            <w:tcW w:w="6914" w:type="dxa"/>
            <w:vAlign w:val="center"/>
          </w:tcPr>
          <w:p w14:paraId="16BDA49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1.基材：食品级环保 PET 透明薄膜，无异味、无甲醛，无重金属、荧光剂等有害物质。​</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2.着色层：环保水性染料，无刺激性气味，色彩鲜艳均匀，透光性好（透光率≥85%），不易掉色、无色素迁移。​</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3.尺寸：单张规格 200mm×300mm，边缘整齐无毛边，裁剪精准，适配幼儿手工操作与教学展示。​</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4.厚度：0.03-0.05mm，质地轻薄有韧性，易折叠、易剪裁、不易撕裂，便于幼儿独立操作。​</w:t>
            </w:r>
          </w:p>
        </w:tc>
        <w:tc>
          <w:tcPr>
            <w:tcW w:w="685" w:type="dxa"/>
            <w:vAlign w:val="center"/>
          </w:tcPr>
          <w:p w14:paraId="27C67A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2E807C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卷</w:t>
            </w:r>
          </w:p>
        </w:tc>
      </w:tr>
      <w:tr w14:paraId="55A8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35CD28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161</w:t>
            </w:r>
          </w:p>
        </w:tc>
        <w:tc>
          <w:tcPr>
            <w:tcW w:w="1176" w:type="dxa"/>
            <w:vAlign w:val="center"/>
          </w:tcPr>
          <w:p w14:paraId="28EC9C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水培种子混装</w:t>
            </w:r>
          </w:p>
        </w:tc>
        <w:tc>
          <w:tcPr>
            <w:tcW w:w="6914" w:type="dxa"/>
            <w:vAlign w:val="center"/>
          </w:tcPr>
          <w:p w14:paraId="3680C6E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1.品种组合：≥4 种必选品种（绿豆、豌豆、小麦草、萝卜籽）+≥2 种可选品种（向日葵、小白菜等），每套≥200g。</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2.核心质量：非转基因、无化学包衣，发芽率≥85%，水分≤10%。</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3.教学适配：种子大小适中、易操作，芽苗无毒、观赏性强，7 天内发芽率≥80%。</w:t>
            </w:r>
          </w:p>
        </w:tc>
        <w:tc>
          <w:tcPr>
            <w:tcW w:w="685" w:type="dxa"/>
            <w:vAlign w:val="center"/>
          </w:tcPr>
          <w:p w14:paraId="00DB7C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5BA609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4F7F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59D885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162</w:t>
            </w:r>
          </w:p>
        </w:tc>
        <w:tc>
          <w:tcPr>
            <w:tcW w:w="1176" w:type="dxa"/>
            <w:vAlign w:val="center"/>
          </w:tcPr>
          <w:p w14:paraId="15C192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创意编织积木</w:t>
            </w:r>
          </w:p>
        </w:tc>
        <w:tc>
          <w:tcPr>
            <w:tcW w:w="6914" w:type="dxa"/>
            <w:vAlign w:val="center"/>
          </w:tcPr>
          <w:p w14:paraId="705C9D9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1.积木主体：优质环保 ABS 工程塑料，无异味、无甲醛，质地坚韧不易碎裂，无重金属、荧光剂等有害物质。</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2.编织连接件：同材质一体注塑成型，无额外粘接剂，柔软有韧性，不易断裂，无毒无害，接触皮肤无刺激。</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3.规格与套装配置</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3.1基础积木尺寸：长条形：150mm×20mm×20mm（适配编织穿插）；</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方形：50mm×50mm×20mm（辅助拼接固定）；</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3.2圆形穿插柱：直径 20mm× 高度 80mm（编织支撑）。</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3.3套装配置：单套含长条形≥30 根、方形≥20 块、圆形穿插柱≥10 根，颜色含红、黄、蓝、绿、橙等基础色系（≥6 种），色彩均匀鲜艳，满足多样化编织造型。</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3.4重量：单块 / 单根重量≤30g，轻便易操作，适配 3-6 岁幼儿抓握与穿插力度。</w:t>
            </w:r>
          </w:p>
        </w:tc>
        <w:tc>
          <w:tcPr>
            <w:tcW w:w="685" w:type="dxa"/>
            <w:vAlign w:val="center"/>
          </w:tcPr>
          <w:p w14:paraId="21405E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000592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盒</w:t>
            </w:r>
          </w:p>
        </w:tc>
      </w:tr>
      <w:tr w14:paraId="4B5B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22690B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163</w:t>
            </w:r>
          </w:p>
        </w:tc>
        <w:tc>
          <w:tcPr>
            <w:tcW w:w="1176" w:type="dxa"/>
            <w:vAlign w:val="center"/>
          </w:tcPr>
          <w:p w14:paraId="523011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护士服</w:t>
            </w:r>
          </w:p>
        </w:tc>
        <w:tc>
          <w:tcPr>
            <w:tcW w:w="6914" w:type="dxa"/>
            <w:vAlign w:val="center"/>
          </w:tcPr>
          <w:p w14:paraId="6AD71D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1.面料： 棉涤混纺（棉含量≥65%），柔软亲肤、透气吸汗，无异味、无甲醛，无荧光剂、重金属等有害物质。​</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2.辅料：纽扣为环保 ABS 塑料圆扣（直径≥15mm），无尖锐边缘；拉链为树脂隐形拉链（若有），顺滑不卡顿，拉头无棱角；缝线为环保涤纶线，结实耐磨，无刺激性气味。​</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3.规格与尺码：（1100-1200mm）：衣长 450-550mm、胸围 780-820mm、袖长380- 410mm；宽松版型，便于幼儿穿脱与活动。</w:t>
            </w:r>
          </w:p>
        </w:tc>
        <w:tc>
          <w:tcPr>
            <w:tcW w:w="685" w:type="dxa"/>
            <w:vAlign w:val="center"/>
          </w:tcPr>
          <w:p w14:paraId="6B31B5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12" w:type="dxa"/>
            <w:vAlign w:val="center"/>
          </w:tcPr>
          <w:p w14:paraId="1FEA96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28EB4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154236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164</w:t>
            </w:r>
          </w:p>
        </w:tc>
        <w:tc>
          <w:tcPr>
            <w:tcW w:w="1176" w:type="dxa"/>
            <w:vAlign w:val="center"/>
          </w:tcPr>
          <w:p w14:paraId="17B0B0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医生服</w:t>
            </w:r>
          </w:p>
        </w:tc>
        <w:tc>
          <w:tcPr>
            <w:tcW w:w="6914" w:type="dxa"/>
            <w:vAlign w:val="center"/>
          </w:tcPr>
          <w:p w14:paraId="546F144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1.面料：棉涤混纺（棉含量≥65%），柔软亲肤、透气吸汗，无异味、无甲醛，无荧光剂、重金属等有害物质。​</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2.辅料：纽扣为环保 ABS 塑料圆扣（直径≥15mm），无尖锐边缘；拉链为树脂隐形拉链（若有），顺滑不卡顿，拉头无棱角；缝线为环保涤纶线，结实耐磨，无刺激性气味。​</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3.规格与尺码:（1100-1200mm）：衣长450- 550mm、胸围780-820mm、袖长380- 410mm；宽松版型，便于幼儿穿脱与活动。</w:t>
            </w:r>
          </w:p>
        </w:tc>
        <w:tc>
          <w:tcPr>
            <w:tcW w:w="685" w:type="dxa"/>
            <w:vAlign w:val="center"/>
          </w:tcPr>
          <w:p w14:paraId="08379B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29EC3C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0E95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02FD81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165</w:t>
            </w:r>
          </w:p>
        </w:tc>
        <w:tc>
          <w:tcPr>
            <w:tcW w:w="1176" w:type="dxa"/>
            <w:vAlign w:val="center"/>
          </w:tcPr>
          <w:p w14:paraId="0AB270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厨师服</w:t>
            </w:r>
          </w:p>
        </w:tc>
        <w:tc>
          <w:tcPr>
            <w:tcW w:w="6914" w:type="dxa"/>
            <w:vAlign w:val="center"/>
          </w:tcPr>
          <w:p w14:paraId="6234BCF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1.面料：棉涤混纺（棉含量≥65%），柔软亲肤、透气吸汗，无异味、无甲醛，无荧光剂、重金属等有害物质。​</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2.辅料：纽扣为环保 ABS 塑料圆扣（直径≥15mm），无尖锐边缘；拉链为树脂隐形拉链（若有），顺滑不卡顿，拉头无棱角；缝线为环保涤纶线，结实耐磨，无刺激性气味。​</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3.规格与尺码：（1100-1200mm）：衣长450-550mm、胸围780-820mm、袖长380-410mm；宽松版型，便于幼儿穿脱与活动。</w:t>
            </w:r>
          </w:p>
        </w:tc>
        <w:tc>
          <w:tcPr>
            <w:tcW w:w="685" w:type="dxa"/>
            <w:vAlign w:val="center"/>
          </w:tcPr>
          <w:p w14:paraId="5D3106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67D20D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7BF9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579264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166</w:t>
            </w:r>
          </w:p>
        </w:tc>
        <w:tc>
          <w:tcPr>
            <w:tcW w:w="1176" w:type="dxa"/>
            <w:vAlign w:val="center"/>
          </w:tcPr>
          <w:p w14:paraId="5819CD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美发</w:t>
            </w:r>
          </w:p>
        </w:tc>
        <w:tc>
          <w:tcPr>
            <w:tcW w:w="6914" w:type="dxa"/>
            <w:vAlign w:val="center"/>
          </w:tcPr>
          <w:p w14:paraId="24373F5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1.面料：棉涤混纺（棉含量≥65%），柔软亲肤、透气吸汗，无异味、无甲醛，无荧光剂、重金属等有害物质。​</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2.辅料：纽扣为环保 ABS 塑料圆扣（直径≥15mm），无尖锐边缘；拉链为树脂隐形拉链（若有），顺滑不卡顿，拉头无棱角；缝线为环保涤纶线，结实耐磨，无刺激性气味。​</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3.规格与尺码：（1100-1200mm）：衣长450-550mm、胸围780-820mm、袖长380-410mm；宽松版型，便于幼儿穿脱与活动。</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4.套装配置：单套含假发套 1 顶 + 梳子 1 把 + 剪刀模型 1 把 + 卷发棒模型 1 个 + 发夹 5-8 个 + 头绳 / 发带 3-5 条，满足角色扮演完整需求。</w:t>
            </w:r>
          </w:p>
        </w:tc>
        <w:tc>
          <w:tcPr>
            <w:tcW w:w="685" w:type="dxa"/>
            <w:vAlign w:val="center"/>
          </w:tcPr>
          <w:p w14:paraId="5576D4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008C23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3A72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3B3A4D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167</w:t>
            </w:r>
          </w:p>
        </w:tc>
        <w:tc>
          <w:tcPr>
            <w:tcW w:w="1176" w:type="dxa"/>
            <w:vAlign w:val="center"/>
          </w:tcPr>
          <w:p w14:paraId="5BE00E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药剂师</w:t>
            </w:r>
          </w:p>
        </w:tc>
        <w:tc>
          <w:tcPr>
            <w:tcW w:w="6914" w:type="dxa"/>
            <w:vAlign w:val="center"/>
          </w:tcPr>
          <w:p w14:paraId="30C824B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1.面料：棉涤混纺（棉含量≥65%），柔软亲肤、透气吸汗，无异味、无甲醛，无荧光剂、重金属等有害物质。​</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2.辅料：纽扣为环保 ABS 塑料圆扣（直径≥15mm），无尖锐边缘；拉链为树脂隐形拉链（若有），顺滑不卡顿，拉头无棱角；缝线为环保涤纶线，结实耐磨，无刺激性气味。​</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3.规格与尺码：（1100-1200mm）：衣长450-550mm、胸围780-820mm、袖长380-410mm；宽松版型，便于幼儿穿脱与活动。</w:t>
            </w:r>
          </w:p>
        </w:tc>
        <w:tc>
          <w:tcPr>
            <w:tcW w:w="685" w:type="dxa"/>
            <w:vAlign w:val="center"/>
          </w:tcPr>
          <w:p w14:paraId="590323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098E93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0696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3BD016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168</w:t>
            </w:r>
          </w:p>
        </w:tc>
        <w:tc>
          <w:tcPr>
            <w:tcW w:w="1176" w:type="dxa"/>
            <w:vAlign w:val="center"/>
          </w:tcPr>
          <w:p w14:paraId="65E8EF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输液架子</w:t>
            </w:r>
          </w:p>
        </w:tc>
        <w:tc>
          <w:tcPr>
            <w:tcW w:w="6914" w:type="dxa"/>
            <w:vAlign w:val="center"/>
          </w:tcPr>
          <w:p w14:paraId="3D94A81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1.主体框架：优质环保 ABS 工程塑料 + 轻量化铝合金（连接处），无异味、无甲醛，质地坚韧不易变形，无重金属析出。​</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2.辅助部件：​挂钩：ABS 塑料一体成型（无金属裸露），边缘圆滑无棱角；​</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3.底座配重：环保塑料包裹实心砂（无渗漏风险），重量适中不压脚；​</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4.调节旋钮：防滑塑料材质，无尖锐凸起，便于幼儿操作。​</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5.尺寸参数：​</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5.1可调节高度：800-1200mm（适配 3-6 岁幼儿角色扮演场景，调节步长 50mm）；​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5.2底座直径：300-350mm（圆形稳固设计），底座高度 50-80mm；5.3挂钩数量：2-3 个（间距 100-150mm），挂钩开口宽度 30-40mm，5.4承重≤500g（适配玩具输液袋）；​</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5.5整体重量：1.5-2kg，轻便易挪动，幼儿可独立调整位置。​</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6.结构设计：​单杆伸缩式，节数 2-3 节，伸缩顺畅不卡顿，调节后旋钮固定牢固不松动；底座防滑设计（底部贴环保橡胶垫），放置平稳不倾倒（倾斜 15° 无翻倒风险）；​无细小可拆卸零件，所有连接处注塑 / 螺纹固定，无脱落隐患。</w:t>
            </w:r>
          </w:p>
        </w:tc>
        <w:tc>
          <w:tcPr>
            <w:tcW w:w="685" w:type="dxa"/>
            <w:vAlign w:val="center"/>
          </w:tcPr>
          <w:p w14:paraId="60F702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4CFF21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6E1D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4DB98A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169</w:t>
            </w:r>
          </w:p>
        </w:tc>
        <w:tc>
          <w:tcPr>
            <w:tcW w:w="1176" w:type="dxa"/>
            <w:vAlign w:val="center"/>
          </w:tcPr>
          <w:p w14:paraId="1FED93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一次性流带</w:t>
            </w:r>
          </w:p>
        </w:tc>
        <w:tc>
          <w:tcPr>
            <w:tcW w:w="6914" w:type="dxa"/>
            <w:vAlign w:val="center"/>
          </w:tcPr>
          <w:p w14:paraId="1E6B3E0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1.管体材质：食品级环保 PE/PP 塑料，无异味、无甲醛，无重金属、荧光剂等有害物质，质地柔软有韧性，不易断裂。</w:t>
            </w:r>
          </w:p>
          <w:p w14:paraId="211996D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2.辅助部件（滴壶、接头、针头模型）：同材质一体注塑成型，无额外粘接剂，无毒无害，无金属部件裸露，针头为钝化圆头模型（无尖锐尖端）。</w:t>
            </w:r>
          </w:p>
          <w:p w14:paraId="1243047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3.尺寸参数：</w:t>
            </w:r>
          </w:p>
          <w:p w14:paraId="17F568C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3.1管体总长 800-1000mm，管径 5-8mm，粗细适中便于幼儿抓握；</w:t>
            </w:r>
          </w:p>
          <w:p w14:paraId="0B65620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3.2滴壶：直径 20-30mm，高度 30-40mm，透明可视（无液体填充，仅作造型）；</w:t>
            </w:r>
          </w:p>
          <w:p w14:paraId="4598EF4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3.3针头模型：长度 20-30mm，顶端圆润倒角（半径≥3mm），无穿刺功能；</w:t>
            </w:r>
          </w:p>
          <w:p w14:paraId="59B40E4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3.4接头：适配玩具输液袋 / 输液瓶接口（直径 15-20mm），插拔顺畅不松动。</w:t>
            </w:r>
          </w:p>
          <w:p w14:paraId="5390E2E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4.结构设计：管体无分支、无阀门（简化结构，避免缠绕），表面光滑无凸起；滴壶与管体一体成型，无脱落风险，整体无细小可拆卸零件。</w:t>
            </w:r>
          </w:p>
        </w:tc>
        <w:tc>
          <w:tcPr>
            <w:tcW w:w="685" w:type="dxa"/>
            <w:vAlign w:val="center"/>
          </w:tcPr>
          <w:p w14:paraId="34AFA1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281F71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682E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6D5D73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170</w:t>
            </w:r>
          </w:p>
        </w:tc>
        <w:tc>
          <w:tcPr>
            <w:tcW w:w="1176" w:type="dxa"/>
            <w:vAlign w:val="center"/>
          </w:tcPr>
          <w:p w14:paraId="042B6B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青蛙</w:t>
            </w:r>
          </w:p>
        </w:tc>
        <w:tc>
          <w:tcPr>
            <w:tcW w:w="6914" w:type="dxa"/>
            <w:vAlign w:val="center"/>
          </w:tcPr>
          <w:p w14:paraId="3A0538C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1.主体面料：优质环保棉布 ，柔软亲肤、透气吸汗，无异味、无甲醛，无荧光剂、重金属等有害物质。</w:t>
            </w:r>
          </w:p>
          <w:p w14:paraId="2AD2D17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辅助材质：</w:t>
            </w:r>
          </w:p>
          <w:p w14:paraId="12E0E5E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2.内衬：纯棉纱布（透气不闷热），接触皮肤无刺激；</w:t>
            </w:r>
          </w:p>
          <w:p w14:paraId="3D2EF7B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3.装饰部件（眼睛、斑纹）：环保 EVA 泡沫（柔软无硬度）、水性油墨印刷（无异味、不掉色），无细小可拆卸零件；</w:t>
            </w:r>
          </w:p>
          <w:p w14:paraId="7EA30D1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4.固定带：高弹力尼龙带（弹性适中，拉伸后不易断裂），无乳胶成分，避免过敏。</w:t>
            </w:r>
          </w:p>
          <w:p w14:paraId="437C7FB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5.尺寸参数：</w:t>
            </w:r>
          </w:p>
          <w:p w14:paraId="04109D0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5.1头围适配：480-540mm（可调节，适配 3-6 岁幼儿），固定带长度可调节范围 100-150mm；</w:t>
            </w:r>
          </w:p>
          <w:p w14:paraId="5C0B130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5.2头饰尺寸：宽度 150-200mm，高度 80-120mm（造型饱满不遮挡视线），重量≤50g，轻便无压迫感；</w:t>
            </w:r>
          </w:p>
          <w:p w14:paraId="7B99F38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5.3装饰细节：眼睛直径 30-40mm（柔软凸起，无坚硬质感），斑纹色彩为绿色、黑色等自然色系，贴合青蛙特征，一套5个。</w:t>
            </w:r>
          </w:p>
        </w:tc>
        <w:tc>
          <w:tcPr>
            <w:tcW w:w="685" w:type="dxa"/>
            <w:vAlign w:val="center"/>
          </w:tcPr>
          <w:p w14:paraId="7A9B24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4B634B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4B33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7A08A2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171</w:t>
            </w:r>
          </w:p>
        </w:tc>
        <w:tc>
          <w:tcPr>
            <w:tcW w:w="1176" w:type="dxa"/>
            <w:vAlign w:val="center"/>
          </w:tcPr>
          <w:p w14:paraId="1CDD2E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白羊</w:t>
            </w:r>
          </w:p>
        </w:tc>
        <w:tc>
          <w:tcPr>
            <w:tcW w:w="6914" w:type="dxa"/>
            <w:vAlign w:val="center"/>
          </w:tcPr>
          <w:p w14:paraId="2901349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1.主体面料：优质环保棉布 ，柔软亲肤、透气吸汗，无异味、无甲醛，无荧光剂、重金属等有害物质。</w:t>
            </w:r>
          </w:p>
          <w:p w14:paraId="631EACF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辅助材质：</w:t>
            </w:r>
          </w:p>
          <w:p w14:paraId="2A97429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2.内衬：纯棉纱布（透气不闷热），接触皮肤无刺激；</w:t>
            </w:r>
          </w:p>
          <w:p w14:paraId="1C1EEF7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3.装饰部件（眼睛、斑纹）：环保 EVA 泡沫（柔软无硬度）、水性油墨印刷（无异味、不掉色），无细小可拆卸零件；</w:t>
            </w:r>
          </w:p>
          <w:p w14:paraId="4F962F9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4.固定带：高弹力尼龙带（弹性适中，拉伸后不易断裂），无乳胶成分，避免过敏。</w:t>
            </w:r>
          </w:p>
          <w:p w14:paraId="3ADADE3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5.尺寸参数：</w:t>
            </w:r>
          </w:p>
          <w:p w14:paraId="392E61A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5.1头围适配：480-540mm（可调节，适配 3-6 岁幼儿），固定带长度可调节范围 100-150mm；</w:t>
            </w:r>
          </w:p>
          <w:p w14:paraId="1A34125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5.2头饰尺寸：宽度 150-200mm，高度 80-120mm（造型饱满不遮挡视线），重量≤50g，轻便无压迫感；</w:t>
            </w:r>
          </w:p>
          <w:p w14:paraId="45396EA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装饰细节：眼睛直径 30-40mm（柔软凸起，无坚硬质感），斑纹色彩为绿色、黑色等自然色系，贴合白羊特征，一套5个。</w:t>
            </w:r>
          </w:p>
        </w:tc>
        <w:tc>
          <w:tcPr>
            <w:tcW w:w="685" w:type="dxa"/>
            <w:vAlign w:val="center"/>
          </w:tcPr>
          <w:p w14:paraId="531306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2F05A1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1293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5F3ED2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172</w:t>
            </w:r>
          </w:p>
        </w:tc>
        <w:tc>
          <w:tcPr>
            <w:tcW w:w="1176" w:type="dxa"/>
            <w:vAlign w:val="center"/>
          </w:tcPr>
          <w:p w14:paraId="4DA8B3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大灰狼</w:t>
            </w:r>
          </w:p>
        </w:tc>
        <w:tc>
          <w:tcPr>
            <w:tcW w:w="6914" w:type="dxa"/>
            <w:vAlign w:val="center"/>
          </w:tcPr>
          <w:p w14:paraId="0312BBE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1.主体面料：优质环保棉布 ，柔软亲肤、透气吸汗，无异味、无甲醛，无荧光剂、重金属等有害物质。</w:t>
            </w:r>
          </w:p>
          <w:p w14:paraId="30AF4EB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辅助材质：</w:t>
            </w:r>
          </w:p>
          <w:p w14:paraId="3E83F19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2.内衬：纯棉纱布（透气不闷热），接触皮肤无刺激；</w:t>
            </w:r>
          </w:p>
          <w:p w14:paraId="09A2C4D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3.装饰部件（眼睛、斑纹）：环保 EVA 泡沫（柔软无硬度）、水性油墨印刷（无异味、不掉色），无细小可拆卸零件；</w:t>
            </w:r>
          </w:p>
          <w:p w14:paraId="6FAC568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4.固定带：高弹力尼龙带（弹性适中，拉伸后不易断裂），无乳胶成分，避免过敏。</w:t>
            </w:r>
          </w:p>
          <w:p w14:paraId="1616174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5.尺寸参数：</w:t>
            </w:r>
          </w:p>
          <w:p w14:paraId="54AA665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5.1头围适配：480-540mm（可调节，适配 3-6 岁幼儿），固定带长度可调节范围 100-150mm；</w:t>
            </w:r>
          </w:p>
          <w:p w14:paraId="33F62C0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5.2头饰尺寸：宽度 150-200mm，高度 80-120mm（造型饱满不遮挡视线），重量≤50g，轻便无压迫感；</w:t>
            </w:r>
          </w:p>
          <w:p w14:paraId="1AFB1F6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装饰细节：眼睛直径 30-40mm（柔软凸起，无坚硬质感），斑纹色彩为绿色、黑色等自然色系，贴合大灰狼特征。</w:t>
            </w:r>
          </w:p>
        </w:tc>
        <w:tc>
          <w:tcPr>
            <w:tcW w:w="685" w:type="dxa"/>
            <w:vAlign w:val="center"/>
          </w:tcPr>
          <w:p w14:paraId="204863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12D263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2521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25755B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173</w:t>
            </w:r>
          </w:p>
        </w:tc>
        <w:tc>
          <w:tcPr>
            <w:tcW w:w="1176" w:type="dxa"/>
            <w:vAlign w:val="center"/>
          </w:tcPr>
          <w:p w14:paraId="6F5A15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粉兔</w:t>
            </w:r>
          </w:p>
        </w:tc>
        <w:tc>
          <w:tcPr>
            <w:tcW w:w="6914" w:type="dxa"/>
            <w:vAlign w:val="center"/>
          </w:tcPr>
          <w:p w14:paraId="027665C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1.主体面料：优质环保棉布 ，柔软亲肤、透气吸汗，无异味、无甲醛，无荧光剂、重金属等有害物质。</w:t>
            </w:r>
          </w:p>
          <w:p w14:paraId="2EF40A8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辅助材质：</w:t>
            </w:r>
          </w:p>
          <w:p w14:paraId="78C7451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2.内衬：纯棉纱布（透气不闷热），接触皮肤无刺激；</w:t>
            </w:r>
          </w:p>
          <w:p w14:paraId="100ED1F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3.装饰部件（眼睛、斑纹）：环保 EVA 泡沫（柔软无硬度）、水性油墨印刷（无异味、不掉色），无细小可拆卸零件；</w:t>
            </w:r>
          </w:p>
          <w:p w14:paraId="293DE20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4.固定带：高弹力尼龙带（弹性适中，拉伸后不易断裂），无乳胶成分，避免过敏。</w:t>
            </w:r>
          </w:p>
          <w:p w14:paraId="40BF83F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5.尺寸参数：</w:t>
            </w:r>
          </w:p>
          <w:p w14:paraId="713A213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5.1头围适配：480-540mm（可调节，适配 3-6 岁幼儿），固定带长度可调节范围 100-150mm；</w:t>
            </w:r>
          </w:p>
          <w:p w14:paraId="52B192F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5.2头饰尺寸：宽度 150-200mm，高度 80-120mm（造型饱满不遮挡视线），重量≤50g，轻便无压迫感；</w:t>
            </w:r>
          </w:p>
          <w:p w14:paraId="26C4184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装饰细节：眼睛直径 30-40mm（柔软凸起，无坚硬质感），斑纹色彩为绿色、黑色等自然色系，贴合粉兔特征，一套5个。</w:t>
            </w:r>
          </w:p>
        </w:tc>
        <w:tc>
          <w:tcPr>
            <w:tcW w:w="685" w:type="dxa"/>
            <w:vAlign w:val="center"/>
          </w:tcPr>
          <w:p w14:paraId="22EA0E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6C6745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7D00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511C4A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174</w:t>
            </w:r>
          </w:p>
        </w:tc>
        <w:tc>
          <w:tcPr>
            <w:tcW w:w="1176" w:type="dxa"/>
            <w:vAlign w:val="center"/>
          </w:tcPr>
          <w:p w14:paraId="54735A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狐狸</w:t>
            </w:r>
          </w:p>
        </w:tc>
        <w:tc>
          <w:tcPr>
            <w:tcW w:w="6914" w:type="dxa"/>
            <w:vAlign w:val="center"/>
          </w:tcPr>
          <w:p w14:paraId="2CBD3CD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1.主体面料：优质环保棉布 ，柔软亲肤、透气吸汗，无异味、无甲醛，无荧光剂、重金属等有害物质。</w:t>
            </w:r>
          </w:p>
          <w:p w14:paraId="41EBD7E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辅助材质：</w:t>
            </w:r>
          </w:p>
          <w:p w14:paraId="18D0F43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2.内衬：纯棉纱布（透气不闷热），接触皮肤无刺激；</w:t>
            </w:r>
          </w:p>
          <w:p w14:paraId="0320CD9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3.装饰部件（眼睛、斑纹）：环保 EVA 泡沫（柔软无硬度）、水性油墨印刷（无异味、不掉色），无细小可拆卸零件；</w:t>
            </w:r>
          </w:p>
          <w:p w14:paraId="3DAC18F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4.固定带：高弹力尼龙带（弹性适中，拉伸后不易断裂），无乳胶成分，避免过敏。</w:t>
            </w:r>
          </w:p>
          <w:p w14:paraId="00BDEF4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5.尺寸参数：</w:t>
            </w:r>
          </w:p>
          <w:p w14:paraId="45BA793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5.1头围适配：480-540mm（可调节，适配 3-6 岁幼儿），固定带长度可调节范围 100-150mm；</w:t>
            </w:r>
          </w:p>
          <w:p w14:paraId="476E116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5.2头饰尺寸：宽度 150-200mm，高度 80-120mm（造型饱满不遮挡视线），重量≤50g，轻便无压迫感；</w:t>
            </w:r>
          </w:p>
          <w:p w14:paraId="6503656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装饰细节：眼睛直径 30-40mm（柔软凸起，无坚硬质感），斑纹色彩为绿色、黑色等自然色系，贴合狐狸特征，一套5个。</w:t>
            </w:r>
          </w:p>
        </w:tc>
        <w:tc>
          <w:tcPr>
            <w:tcW w:w="685" w:type="dxa"/>
            <w:vAlign w:val="center"/>
          </w:tcPr>
          <w:p w14:paraId="617E07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14FE57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07D7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177473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175</w:t>
            </w:r>
          </w:p>
        </w:tc>
        <w:tc>
          <w:tcPr>
            <w:tcW w:w="1176" w:type="dxa"/>
            <w:vAlign w:val="center"/>
          </w:tcPr>
          <w:p w14:paraId="2A3643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猪</w:t>
            </w:r>
          </w:p>
        </w:tc>
        <w:tc>
          <w:tcPr>
            <w:tcW w:w="6914" w:type="dxa"/>
            <w:vAlign w:val="center"/>
          </w:tcPr>
          <w:p w14:paraId="3BCB654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1.主体面料：优质环保棉布 ，柔软亲肤、透气吸汗，无异味、无甲醛，符合 GB 31701-2015 A 类（婴幼儿用品）标准，无荧光剂、重金属等有害物质。</w:t>
            </w:r>
          </w:p>
          <w:p w14:paraId="5AF3304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辅助材质：</w:t>
            </w:r>
          </w:p>
          <w:p w14:paraId="1DA2857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2.内衬：纯棉纱布（透气不闷热），接触皮肤无刺激；</w:t>
            </w:r>
          </w:p>
          <w:p w14:paraId="446D57A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3.装饰部件（眼睛、斑纹）：环保 EVA 泡沫（柔软无硬度）、水性油墨印刷（无异味、不掉色），无细小可拆卸零件；</w:t>
            </w:r>
          </w:p>
          <w:p w14:paraId="5972762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4.固定带：高弹力尼龙带（弹性适中，拉伸后不易断裂），无乳胶成分，避免过敏。</w:t>
            </w:r>
          </w:p>
          <w:p w14:paraId="53DE656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5.尺寸参数：</w:t>
            </w:r>
          </w:p>
          <w:p w14:paraId="6697202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5.1头围适配：480-540mm（可调节，适配 3-6 岁幼儿），固定带长度可调节范围 100-150mm；</w:t>
            </w:r>
          </w:p>
          <w:p w14:paraId="41FAF03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5.2头饰尺寸：宽度 150-200mm，高度 80-120mm（造型饱满不遮挡视线），重量≤50g，轻便无压迫感；</w:t>
            </w:r>
          </w:p>
          <w:p w14:paraId="0FCEB48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装饰细节：眼睛直径 30-40mm（柔软凸起，无坚硬质感），斑纹色彩为绿色、黑色等自然色系，贴合小猪特征，一套5个。</w:t>
            </w:r>
          </w:p>
        </w:tc>
        <w:tc>
          <w:tcPr>
            <w:tcW w:w="685" w:type="dxa"/>
            <w:vAlign w:val="center"/>
          </w:tcPr>
          <w:p w14:paraId="19F2DF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726401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461A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6C2D2F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176</w:t>
            </w:r>
          </w:p>
        </w:tc>
        <w:tc>
          <w:tcPr>
            <w:tcW w:w="1176" w:type="dxa"/>
            <w:vAlign w:val="center"/>
          </w:tcPr>
          <w:p w14:paraId="2E2E1E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白兔</w:t>
            </w:r>
          </w:p>
        </w:tc>
        <w:tc>
          <w:tcPr>
            <w:tcW w:w="6914" w:type="dxa"/>
            <w:vAlign w:val="center"/>
          </w:tcPr>
          <w:p w14:paraId="494657A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1.主体面料：优质环保棉布 ，柔软亲肤、透气吸汗，无异味、无甲醛，无荧光剂、重金属等有害物质。</w:t>
            </w:r>
          </w:p>
          <w:p w14:paraId="5CC07EE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辅助材质：</w:t>
            </w:r>
          </w:p>
          <w:p w14:paraId="5D08B5B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2.内衬：纯棉纱布（透气不闷热），接触皮肤无刺激；</w:t>
            </w:r>
          </w:p>
          <w:p w14:paraId="3659F9F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3.装饰部件（眼睛、斑纹）：环保 EVA 泡沫（柔软无硬度）、水性油墨印刷（无异味、不掉色），无细小可拆卸零件；</w:t>
            </w:r>
          </w:p>
          <w:p w14:paraId="34BA78D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4.固定带：高弹力尼龙带（弹性适中，拉伸后不易断裂），无乳胶成分，避免过敏。</w:t>
            </w:r>
          </w:p>
          <w:p w14:paraId="2A306A0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5.尺寸参数：</w:t>
            </w:r>
          </w:p>
          <w:p w14:paraId="736415F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5.1头围适配：480-540mm（可调节，适配 3-6 岁幼儿），固定带长度可调节范围 100-150mm；</w:t>
            </w:r>
          </w:p>
          <w:p w14:paraId="50E60E6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5.2头饰尺寸：宽度 150-200mm，高度 80-120mm（造型饱满不遮挡视线），重量≤50g，轻便无压迫感；</w:t>
            </w:r>
          </w:p>
          <w:p w14:paraId="7355428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装饰细节：眼睛直径 30-40mm（柔软凸起，无坚硬质感），斑纹色彩为绿色、黑色等自然色系，贴合白兔特征，一套5个。</w:t>
            </w:r>
          </w:p>
        </w:tc>
        <w:tc>
          <w:tcPr>
            <w:tcW w:w="685" w:type="dxa"/>
            <w:vAlign w:val="center"/>
          </w:tcPr>
          <w:p w14:paraId="19DFC2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1F9F90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0DE7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0D6CF8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177</w:t>
            </w:r>
          </w:p>
        </w:tc>
        <w:tc>
          <w:tcPr>
            <w:tcW w:w="1176" w:type="dxa"/>
            <w:vAlign w:val="center"/>
          </w:tcPr>
          <w:p w14:paraId="32499D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猴子</w:t>
            </w:r>
          </w:p>
        </w:tc>
        <w:tc>
          <w:tcPr>
            <w:tcW w:w="6914" w:type="dxa"/>
            <w:vAlign w:val="center"/>
          </w:tcPr>
          <w:p w14:paraId="3B77C9A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1.主体面料：优质环保棉布 ，柔软亲肤、透气吸汗，无异味、无甲醛，无荧光剂、重金属等有害物质。</w:t>
            </w:r>
          </w:p>
          <w:p w14:paraId="51F4B1B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辅助材质：</w:t>
            </w:r>
          </w:p>
          <w:p w14:paraId="3AF68CC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2.内衬：纯棉纱布（透气不闷热），接触皮肤无刺激；</w:t>
            </w:r>
          </w:p>
          <w:p w14:paraId="78602CB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3.装饰部件（眼睛、斑纹）：环保 EVA 泡沫（柔软无硬度）、水性油墨印刷（无异味、不掉色），无细小可拆卸零件；</w:t>
            </w:r>
          </w:p>
          <w:p w14:paraId="2E378E5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4.固定带：高弹力尼龙带（弹性适中，拉伸后不易断裂），无乳胶成分，避免过敏。</w:t>
            </w:r>
          </w:p>
          <w:p w14:paraId="2080431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5.尺寸参数：</w:t>
            </w:r>
          </w:p>
          <w:p w14:paraId="2E0EC92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5.1头围适配：480-540mm（可调节，适配 3-6 岁幼儿），固定带长度可调节范围 100-150mm；</w:t>
            </w:r>
          </w:p>
          <w:p w14:paraId="019207B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5.2头饰尺寸：宽度 150-200mm，高度 80-120mm（造型饱满不遮挡视线），重量≤50g，轻便无压迫感；</w:t>
            </w:r>
          </w:p>
          <w:p w14:paraId="0C3F364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装饰细节：眼睛直径 30-40mm（柔软凸起，无坚硬质感），斑纹色彩为绿色、黑色等自然色系，贴合猴子特征，一套5个。</w:t>
            </w:r>
          </w:p>
        </w:tc>
        <w:tc>
          <w:tcPr>
            <w:tcW w:w="685" w:type="dxa"/>
            <w:vAlign w:val="center"/>
          </w:tcPr>
          <w:p w14:paraId="3CE6C5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3422EF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0C01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3BB103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178</w:t>
            </w:r>
          </w:p>
        </w:tc>
        <w:tc>
          <w:tcPr>
            <w:tcW w:w="1176" w:type="dxa"/>
            <w:vAlign w:val="center"/>
          </w:tcPr>
          <w:p w14:paraId="32DBAC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木色纸杯</w:t>
            </w:r>
          </w:p>
        </w:tc>
        <w:tc>
          <w:tcPr>
            <w:tcW w:w="6914" w:type="dxa"/>
            <w:vAlign w:val="center"/>
          </w:tcPr>
          <w:p w14:paraId="18B0771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1.杯身材质：食品级原生木浆纸（无回收废纸成分），克重 200-250g，厚实坚韧，无异味、无甲醛，无荧光剂、重金属、增白剂等有害物质。​</w:t>
            </w:r>
          </w:p>
          <w:p w14:paraId="0AD9764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2.涂层材质（若有）：食品级水性 PE 涂层（内壁），无异味、无刺激性，耐高温≤90℃，不渗漏、不迁移有害物质，接触水 / 食物无异味析出。​</w:t>
            </w:r>
          </w:p>
          <w:p w14:paraId="636884C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3.印刷材质：木色为纸张本色（无额外染色）或环保水性油墨印刷（仿木色纹理），无异味、不掉色，符合食品接触用油墨安全标准。​</w:t>
            </w:r>
          </w:p>
          <w:p w14:paraId="6582603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4.尺寸规格：​</w:t>
            </w:r>
          </w:p>
          <w:p w14:paraId="5B4ED4C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小号：上口直径 70-80mm，下口直径 50-60mm，高度 80-100mm，容量 150-200ml（适配幼儿小手抓握、手工裁剪）；​</w:t>
            </w:r>
          </w:p>
          <w:p w14:paraId="1BAC9B0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尺寸误差≤±3mm，杯口圆润无变形，杯身挺直不塌陷。​</w:t>
            </w:r>
          </w:p>
          <w:p w14:paraId="021ADBE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5.厚度与重量：杯壁厚度≥0.3mm，单只重量 10-15g，轻便易操作，幼儿可独立拿取、裁剪、粘贴。</w:t>
            </w:r>
          </w:p>
        </w:tc>
        <w:tc>
          <w:tcPr>
            <w:tcW w:w="685" w:type="dxa"/>
            <w:vAlign w:val="center"/>
          </w:tcPr>
          <w:p w14:paraId="59B9E4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712" w:type="dxa"/>
            <w:vAlign w:val="center"/>
          </w:tcPr>
          <w:p w14:paraId="25C887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7F05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4926C1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179</w:t>
            </w:r>
          </w:p>
        </w:tc>
        <w:tc>
          <w:tcPr>
            <w:tcW w:w="1176" w:type="dxa"/>
            <w:vAlign w:val="center"/>
          </w:tcPr>
          <w:p w14:paraId="6573DC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雪糕片彩色/木色格</w:t>
            </w:r>
          </w:p>
        </w:tc>
        <w:tc>
          <w:tcPr>
            <w:tcW w:w="6914" w:type="dxa"/>
            <w:vAlign w:val="center"/>
          </w:tcPr>
          <w:p w14:paraId="0155798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1.主体材质：彩色款：同木材质基础上，采用环保水性漆上色（无重金属、无荧光剂），漆层无异味、不脱落。​</w:t>
            </w:r>
          </w:p>
          <w:p w14:paraId="28662BD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2.辅助处理：无额外粘接剂，表面无蜡、无油，纯物理打磨 + 环保上色（彩色款），无毒无害，接触皮肤无刺激。​</w:t>
            </w:r>
          </w:p>
          <w:p w14:paraId="6BDF8FE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3.尺寸参数（统一规格，适配幼儿操作）：​</w:t>
            </w:r>
          </w:p>
          <w:p w14:paraId="7328E74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3.1长度 100-120mm，宽度 15-20mm，厚度 2-3mm，尺寸误差≤±0.1cm；​</w:t>
            </w:r>
          </w:p>
          <w:p w14:paraId="5332E51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3.2边缘圆角打磨（倒角半径≥0.2cm），无尖锐棱角，单片重量≤3g，轻便易抓握、易拼搭。​</w:t>
            </w:r>
          </w:p>
          <w:p w14:paraId="68E5444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4.套装配置：彩色款：单套≥100 片，含红、黄、蓝、绿、橙、紫等基础色系（≥6 种），每种颜色数量均匀（±5 片），色彩鲜艳不刺眼；</w:t>
            </w:r>
          </w:p>
        </w:tc>
        <w:tc>
          <w:tcPr>
            <w:tcW w:w="685" w:type="dxa"/>
            <w:vAlign w:val="center"/>
          </w:tcPr>
          <w:p w14:paraId="78A817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5421F0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07ED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3D5033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180</w:t>
            </w:r>
          </w:p>
        </w:tc>
        <w:tc>
          <w:tcPr>
            <w:tcW w:w="1176" w:type="dxa"/>
            <w:vAlign w:val="center"/>
          </w:tcPr>
          <w:p w14:paraId="7749EB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纸筒（大小不同）</w:t>
            </w:r>
          </w:p>
        </w:tc>
        <w:tc>
          <w:tcPr>
            <w:tcW w:w="6914" w:type="dxa"/>
            <w:vAlign w:val="center"/>
          </w:tcPr>
          <w:p w14:paraId="1F93161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1.筒身材质：食品级原生木浆纸（无回收废纸成分），克重 180-220g，厚实坚韧，无异味、无甲醛，无荧光剂、重金属、增白剂等有害物质。​</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2.粘合材质：环保玉米淀粉胶（无化学合成胶水），无异味、无刺激性，粘合牢固，无开胶风险，不析出有害物质。​</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3.表面处理：无涂层、无印刷（原木色，便于幼儿涂鸦、装饰），或环保水性油墨印刷（简单图案可选），无掉色、无油墨异味。4.尺寸参数（3 种核心规格）：​</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小号：直径 ≥30mm，高度≥ 80mm，壁厚≥2mm；​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中号：直径 ≥50mm，高度 ≥120mm，壁厚≥2.5mm；​</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大号：直径 ≥70mm，高度 ≥180mm，壁厚≥3mm；</w:t>
            </w:r>
          </w:p>
        </w:tc>
        <w:tc>
          <w:tcPr>
            <w:tcW w:w="685" w:type="dxa"/>
            <w:vAlign w:val="center"/>
          </w:tcPr>
          <w:p w14:paraId="314F3A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60</w:t>
            </w:r>
          </w:p>
        </w:tc>
        <w:tc>
          <w:tcPr>
            <w:tcW w:w="712" w:type="dxa"/>
            <w:vAlign w:val="center"/>
          </w:tcPr>
          <w:p w14:paraId="1ACBDB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55FB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7C2C6A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181</w:t>
            </w:r>
          </w:p>
        </w:tc>
        <w:tc>
          <w:tcPr>
            <w:tcW w:w="1176" w:type="dxa"/>
            <w:vAlign w:val="center"/>
          </w:tcPr>
          <w:p w14:paraId="1710A4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阿基米德积木</w:t>
            </w:r>
          </w:p>
        </w:tc>
        <w:tc>
          <w:tcPr>
            <w:tcW w:w="6914" w:type="dxa"/>
            <w:vAlign w:val="center"/>
          </w:tcPr>
          <w:p w14:paraId="3B55EBA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1.主体材质：松木（无节疤、无虫蛀），干燥度达标（含水率 8%-12%），无异味、无甲醛，触感温润有自然木纹香气。​</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2.辅助处理：无化学涂层、无蜡无油，纯物理打磨，避免刺激幼儿皮肤；​</w:t>
            </w:r>
          </w:p>
          <w:p w14:paraId="13FAC54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3.结构要求：一体成型无拼接，无胶水粘接，避免脱落风险，材质密度≥0.6g/cm³，确保搭建稳定性。​</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4.标准比例：严格遵循 1：3：15（厚度：宽度：长度）黄金比例，或 1：3：5：15 进阶比例，确保搭建时的自然平衡感与结构稳定性；​</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5.尺寸参数（适配 3-6 岁幼儿抓握与搭建）：长度≥150mm× 宽度≥24mm× 厚度≥8mm；单块重量：≤30g，轻便易操作，幼儿可独立搬运堆叠。​</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6.套装配置：≥200 片，色泽均匀为浅黄；​</w:t>
            </w:r>
          </w:p>
        </w:tc>
        <w:tc>
          <w:tcPr>
            <w:tcW w:w="685" w:type="dxa"/>
            <w:vAlign w:val="center"/>
          </w:tcPr>
          <w:p w14:paraId="42886F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0643BA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363E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2BA351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182</w:t>
            </w:r>
          </w:p>
        </w:tc>
        <w:tc>
          <w:tcPr>
            <w:tcW w:w="1176" w:type="dxa"/>
            <w:vAlign w:val="center"/>
          </w:tcPr>
          <w:p w14:paraId="69E8F2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水管道积木</w:t>
            </w:r>
          </w:p>
        </w:tc>
        <w:tc>
          <w:tcPr>
            <w:tcW w:w="6914" w:type="dxa"/>
            <w:vAlign w:val="center"/>
          </w:tcPr>
          <w:p w14:paraId="231ED36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1.主体材质：优质环保 ABS 工程塑料，无异味、无甲醛，无重金属、荧光剂、邻苯二甲酸酯等有害物质，材质韧性强（抗冲击强度≥15kJ/m²），不易碎裂。密封部件：食品级硅胶密封圈（若含），无异味、无刺激性，耐水耐温（-10℃~80℃），不老化、不渗漏。</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2.辅助处理：无涂层、无喷漆，表面原生材质打磨，或环保水性油墨印刷（标识性图案），无掉色、无油墨迁移风险。</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3.基础管道规格：直管道：长度≥100mm，内径≥30mm，壁厚≥ 5mm，适配幼儿抓握与水流通过；弯管道：90° 弯头、45° 弯头，内径 / 外径与直管道一致，弯曲弧度圆润，无死角；三通 / 四通接头：接口内径与管道匹配，3/4 个接口均匀分布，角度精准（90°/180°）；</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4.套装配置：直管道≥20 根、90° 弯头≥10 个、45° 弯头≥6 个、三通≥5 个、四通≥3 个、阀门≥2 个、储水盒≥1 个，总计≥47 件；</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5.颜色：基础色（蓝、绿、白）或多色系（≥4 种柔和色彩），同一规格颜色统一，便于分类拼接。</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6.重量：单根直管道≤50g，接头≤30g，轻便易操作，幼儿可独立拼接、搬运。</w:t>
            </w:r>
          </w:p>
        </w:tc>
        <w:tc>
          <w:tcPr>
            <w:tcW w:w="685" w:type="dxa"/>
            <w:vAlign w:val="center"/>
          </w:tcPr>
          <w:p w14:paraId="57A13C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12" w:type="dxa"/>
            <w:vAlign w:val="center"/>
          </w:tcPr>
          <w:p w14:paraId="0BC172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0D49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4E84EB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183</w:t>
            </w:r>
          </w:p>
        </w:tc>
        <w:tc>
          <w:tcPr>
            <w:tcW w:w="1176" w:type="dxa"/>
            <w:vAlign w:val="center"/>
          </w:tcPr>
          <w:p w14:paraId="7828F0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木质轨道积木</w:t>
            </w:r>
          </w:p>
        </w:tc>
        <w:tc>
          <w:tcPr>
            <w:tcW w:w="6914" w:type="dxa"/>
            <w:vAlign w:val="center"/>
          </w:tcPr>
          <w:p w14:paraId="23FBDA8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1.主体材质：天然榉木 （无节疤、无虫蛀、无腐朽），干燥度达标（含水率 8%-12%），无异味、无甲醛，材质密度≥0.6g/cm³，坚韧耐摔。</w:t>
            </w:r>
          </w:p>
          <w:p w14:paraId="665B4E9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2.辅助处理：无化学涂层、无蜡无油，纯物理精细打磨，触感温润；</w:t>
            </w:r>
          </w:p>
          <w:p w14:paraId="6CB257C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3.基础轨道规格：直轨道：长度≥300mm，宽度≥60mm，厚度≥20mm，轨道凹槽宽度≥20mm（适配木质玩具车车轮）；弯轨道：90° 弯道、180° 弯道，半径 15-20cm，宽度 / 厚度与直轨道一致，弯曲弧度圆润，无卡顿；特殊轨道：交叉轨道（十字 / 丁字）、爬坡轨道（坡度≤30°）、桥梁轨道（高度 8-10cm），接口尺寸与基础轨道统一；配件：轨道支撑柱（高度 5-10cm）、停车台、树木 / 路标装饰件（无细小零件）。</w:t>
            </w:r>
          </w:p>
          <w:p w14:paraId="015E2A8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4.套装配置：直轨道≥8 根、90° 弯轨道≥6 根、交叉轨道≥2 个、支撑柱≥4 根，总计≥20 件；</w:t>
            </w:r>
          </w:p>
          <w:p w14:paraId="44A153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5.颜色：原木色（自然木纹）。</w:t>
            </w:r>
          </w:p>
          <w:p w14:paraId="3351E69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6.重量：单根直轨道≤200g，弯轨道≤250g，轻便易搬运，幼儿可独立拼接搭建。</w:t>
            </w:r>
          </w:p>
        </w:tc>
        <w:tc>
          <w:tcPr>
            <w:tcW w:w="685" w:type="dxa"/>
            <w:vAlign w:val="center"/>
          </w:tcPr>
          <w:p w14:paraId="04A59B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12" w:type="dxa"/>
            <w:vAlign w:val="center"/>
          </w:tcPr>
          <w:p w14:paraId="0CF44B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1CBA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0A2214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184</w:t>
            </w:r>
          </w:p>
        </w:tc>
        <w:tc>
          <w:tcPr>
            <w:tcW w:w="1176" w:type="dxa"/>
            <w:vAlign w:val="center"/>
          </w:tcPr>
          <w:p w14:paraId="7B1280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各种形状的木片</w:t>
            </w:r>
          </w:p>
        </w:tc>
        <w:tc>
          <w:tcPr>
            <w:tcW w:w="6914" w:type="dxa"/>
            <w:vAlign w:val="center"/>
          </w:tcPr>
          <w:p w14:paraId="55DD00A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1.主体材质：天然松木 （无节疤、无虫蛀、无腐朽），干燥度达标（含水率 8%-12%），无异味、无甲醛，质地坚韧不易断裂，触感温润。​</w:t>
            </w:r>
          </w:p>
          <w:p w14:paraId="5961F17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2.辅助处理：无化学涂层、无蜡无油，纯物理精细打磨，保留木材自然纹理；​</w:t>
            </w:r>
          </w:p>
          <w:p w14:paraId="04BD254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3.材质密度：≥0.55g/cm³，确保木片挺括不易变形，拼搭时稳定性强。​​</w:t>
            </w:r>
          </w:p>
          <w:p w14:paraId="40BD234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4.基础形状：几何基础形：圆形（直径≥ 80mm）、正方形（边长 ≥80mm）、长方形（100mm×60mm）、三角形（边长 80-100mm）、半圆形（直径≥80mm）、椭圆形（长轴 100mm× 短轴 60mm）；拓展形状：梯形（上底 60mm× 下底100mm× 高 60mm）、菱形（边长 80mm）、五角星（外接圆直径 100mm）、心形（最大宽度 80mm）、月牙形（长度 100m）；​所有形状边缘均为圆角设计（倒角半径≥30mm），无尖锐棱角。</w:t>
            </w:r>
          </w:p>
          <w:p w14:paraId="080CF55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5.尺寸与厚度：厚度≥8mm，适配幼儿抓握与粘贴；单块木片尺寸适中（最大边长≤120mm，最小边长≥60mm），避免幼儿吞咽风险，重量≤30g / 块，轻便易操作。​</w:t>
            </w:r>
          </w:p>
          <w:p w14:paraId="1F01614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6.套装配置：含 10 种以上形状，每种形状≥4 片，总计≥50 片；</w:t>
            </w:r>
          </w:p>
        </w:tc>
        <w:tc>
          <w:tcPr>
            <w:tcW w:w="685" w:type="dxa"/>
            <w:vAlign w:val="center"/>
          </w:tcPr>
          <w:p w14:paraId="53E5A6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712" w:type="dxa"/>
            <w:vAlign w:val="center"/>
          </w:tcPr>
          <w:p w14:paraId="46BC61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6731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7864CD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185</w:t>
            </w:r>
          </w:p>
        </w:tc>
        <w:tc>
          <w:tcPr>
            <w:tcW w:w="1176" w:type="dxa"/>
            <w:vAlign w:val="center"/>
          </w:tcPr>
          <w:p w14:paraId="4AAD07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木棍 </w:t>
            </w:r>
          </w:p>
        </w:tc>
        <w:tc>
          <w:tcPr>
            <w:tcW w:w="6914" w:type="dxa"/>
            <w:vAlign w:val="center"/>
          </w:tcPr>
          <w:p w14:paraId="77AC324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1.主体材质：天然松木 （无节疤、无虫蛀、无腐朽），干燥度达标（含水率 8%-12%），无异味、无甲醛，质地坚韧不易断裂，触感温润。​</w:t>
            </w:r>
          </w:p>
          <w:p w14:paraId="4171AAC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2.辅助处理：无化学涂层、无蜡无油，纯物理精细打磨，保留木材自然纹理；​​</w:t>
            </w:r>
          </w:p>
          <w:p w14:paraId="2706D3F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3.材质密度：≥0.55g/cm³，确保木棍挺括不易弯曲，拼搭时稳定性强。​</w:t>
            </w:r>
          </w:p>
          <w:p w14:paraId="0C9E77D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4.尺寸参数</w:t>
            </w:r>
          </w:p>
          <w:p w14:paraId="03DBCDC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4.1短款：长度 ≥80mm，直径≥ 6mm，单根重量≤5g（适配精细手工、计数）；中款：长度 ≥120mm，直径 ≥8mm，单根重量≤8g（适配拼搭造型、框架搭建）；长款：长度 ≥180mm，直径 ≥1mm，单根重量≤12g（适配大型建构、桥梁搭建）；​</w:t>
            </w:r>
          </w:p>
          <w:p w14:paraId="491BEF4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4.2所有木棍两端均为圆角打磨（倒角半径≥0.3cm），无尖锐端面。</w:t>
            </w:r>
          </w:p>
          <w:p w14:paraId="575BBDA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5.套装配置：短款≥30 根、中款≥20 根、长款≥10 根，总计≥60 根（原木色）</w:t>
            </w:r>
          </w:p>
        </w:tc>
        <w:tc>
          <w:tcPr>
            <w:tcW w:w="685" w:type="dxa"/>
            <w:vAlign w:val="center"/>
          </w:tcPr>
          <w:p w14:paraId="364639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712" w:type="dxa"/>
            <w:vAlign w:val="center"/>
          </w:tcPr>
          <w:p w14:paraId="1BA6C2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17D3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40F061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186</w:t>
            </w:r>
          </w:p>
        </w:tc>
        <w:tc>
          <w:tcPr>
            <w:tcW w:w="1176" w:type="dxa"/>
            <w:vAlign w:val="center"/>
          </w:tcPr>
          <w:p w14:paraId="5D83A1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胶枪（两大两小）</w:t>
            </w:r>
          </w:p>
        </w:tc>
        <w:tc>
          <w:tcPr>
            <w:tcW w:w="6914" w:type="dxa"/>
            <w:vAlign w:val="center"/>
          </w:tcPr>
          <w:p w14:paraId="78CABB6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1.枪体材质：环保 ABS 工程塑料（外壳）+ 陶瓷发热芯（加热组件），无异味、塑料部件邻苯二甲酸酯含量≤0.1%。绝缘保护：双重绝缘设计，外壳绝缘电阻≥10MΩ，防漏电风险。配套胶棒：7mm 直径环保 EVA 材质，无重金属、无刺激性气味，熔融温度 85-120℃，单根长度 150mm。</w:t>
            </w:r>
          </w:p>
          <w:p w14:paraId="50DAEBB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2.大号胶枪：额定功率：30-40W，工作电压 220V（带三脚插头，接地保护）；尺寸：总长 ≥200mm，手柄宽度 ≥60mm，重量 250-300g，握持舒适不费力；预热时间：≤3 分钟，工作温度稳定在 120-150℃，出胶流畅无卡顿；出胶量：≥0.3g / 秒，适配木材、塑料等较硬材质粘接。</w:t>
            </w:r>
          </w:p>
          <w:p w14:paraId="4FD066D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3.小号胶枪：额定功率：20-25W，工作电压 220V（带防误插插头保护）；尺寸：总长 160-180mm，手柄宽度 ≥50mm，重量 180-220g，适配 3-6 岁幼儿抓握力度；预热时间：≤4 分钟，工作温度≤120℃（低温防烫设计），出胶量柔和可控（≥0.15g / 秒）；</w:t>
            </w:r>
          </w:p>
          <w:p w14:paraId="1614EFF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手柄设计：人体工学防滑橡胶包裹，贴合幼儿小手，按压阻力≤3N。</w:t>
            </w:r>
          </w:p>
        </w:tc>
        <w:tc>
          <w:tcPr>
            <w:tcW w:w="685" w:type="dxa"/>
            <w:vAlign w:val="center"/>
          </w:tcPr>
          <w:p w14:paraId="56B427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712" w:type="dxa"/>
            <w:vAlign w:val="center"/>
          </w:tcPr>
          <w:p w14:paraId="07F489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2F15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396EF5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187</w:t>
            </w:r>
          </w:p>
        </w:tc>
        <w:tc>
          <w:tcPr>
            <w:tcW w:w="1176" w:type="dxa"/>
            <w:vAlign w:val="center"/>
          </w:tcPr>
          <w:p w14:paraId="425800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小剪刀 </w:t>
            </w:r>
          </w:p>
        </w:tc>
        <w:tc>
          <w:tcPr>
            <w:tcW w:w="6914" w:type="dxa"/>
            <w:vAlign w:val="center"/>
          </w:tcPr>
          <w:p w14:paraId="7F22C8A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1.刀刃材质：食品级 304 不锈钢（无锋利切削刃），防锈耐腐蚀，硬度适中（HRC 40），无重金属析出。​</w:t>
            </w:r>
          </w:p>
          <w:p w14:paraId="158682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2.手柄材质：环保 ABS 工程塑料 + TPE 软胶防滑层，无异味、无甲醛，邻苯二甲酸酯含量≤0.1%，触感柔软亲肤。​</w:t>
            </w:r>
          </w:p>
          <w:p w14:paraId="1EDD8B0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3.弹簧部件（若有）：不锈钢弹簧，弹性适中，无断裂风险，表面光滑无锈蚀。​</w:t>
            </w:r>
          </w:p>
          <w:p w14:paraId="351B126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4.尺寸参数（误差≤±0.2cm）：总长 ≥120mm，刀刃长度 ≥30mm（有效剪切长度≤35mm），手柄宽度 ≥50mm，单把重量≤50g，适配 3-6 岁幼儿小手抓握；刀刃开度：最大张开角度≤30°，剪切力度≤2N，幼儿可轻松闭合，不费力。​</w:t>
            </w:r>
          </w:p>
          <w:p w14:paraId="19783AD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刀刃设计：钝化处理：刀刃无锋利刃口，尖端圆润倒角（半径≥0.5cm），仅能剪切纸张、彩泥、软布等幼儿手工材料，无法剪切布料、金属等硬质物品；​防夹手结构：刀刃连接处间隙≤0.3cm，避免夹伤幼儿手指；闭合限位：内置限位块，防止刀刃完全闭合挤压手指。</w:t>
            </w:r>
          </w:p>
        </w:tc>
        <w:tc>
          <w:tcPr>
            <w:tcW w:w="685" w:type="dxa"/>
            <w:vAlign w:val="center"/>
          </w:tcPr>
          <w:p w14:paraId="3EBEC6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w:t>
            </w:r>
          </w:p>
        </w:tc>
        <w:tc>
          <w:tcPr>
            <w:tcW w:w="712" w:type="dxa"/>
            <w:vAlign w:val="center"/>
          </w:tcPr>
          <w:p w14:paraId="178EF0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把</w:t>
            </w:r>
          </w:p>
        </w:tc>
      </w:tr>
      <w:tr w14:paraId="68B9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56D3F2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188</w:t>
            </w:r>
          </w:p>
        </w:tc>
        <w:tc>
          <w:tcPr>
            <w:tcW w:w="1176" w:type="dxa"/>
            <w:vAlign w:val="center"/>
          </w:tcPr>
          <w:p w14:paraId="6BEE46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长卷绘画纸</w:t>
            </w:r>
          </w:p>
        </w:tc>
        <w:tc>
          <w:tcPr>
            <w:tcW w:w="6914" w:type="dxa"/>
            <w:vAlign w:val="center"/>
          </w:tcPr>
          <w:p w14:paraId="332FA24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1.纸张材质：原生木浆纸（无回收废纸成分），无荧光剂、无甲醛、无增白剂，环保无毒。​</w:t>
            </w:r>
          </w:p>
          <w:p w14:paraId="23A7570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2.纸张特性：纤维均匀、质地柔韧，吸墨性好（吸墨速度≤3 秒，无晕染），显色清晰，无掉粉、无纸屑脱落，接触皮肤无刺激。</w:t>
            </w:r>
          </w:p>
          <w:p w14:paraId="55A81C7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3.克重规格：80-100g/㎡，厚度适中（≥0.1mm），不易撕裂、不易破损，适配幼儿绘画力度与多种创作工具。​</w:t>
            </w:r>
          </w:p>
          <w:p w14:paraId="4B8CBBE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4.尺寸参数：宽度：≥500mm；长度：≥10000mm；​</w:t>
            </w:r>
          </w:p>
          <w:p w14:paraId="7DFFF7B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5.单卷重量：500mm×10000mm≤1kg，轻便易搬运、易裁剪。​</w:t>
            </w:r>
          </w:p>
          <w:p w14:paraId="53FB826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6.边缘处理：卷装边缘整齐无毛刺、无毛边，裁剪后不易散纸，避免割伤幼儿手指。​</w:t>
            </w:r>
          </w:p>
          <w:p w14:paraId="460760A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7.包装配置：外层：防潮牛皮纸筒包装（两端封堵，防压、防污、防潮）；​内置：食品级 PE 薄膜包裹（防尘、防破损）；​</w:t>
            </w:r>
          </w:p>
        </w:tc>
        <w:tc>
          <w:tcPr>
            <w:tcW w:w="685" w:type="dxa"/>
            <w:vAlign w:val="center"/>
          </w:tcPr>
          <w:p w14:paraId="69C65E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06DFC9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卷</w:t>
            </w:r>
          </w:p>
        </w:tc>
      </w:tr>
      <w:tr w14:paraId="520C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3606B8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189</w:t>
            </w:r>
          </w:p>
        </w:tc>
        <w:tc>
          <w:tcPr>
            <w:tcW w:w="1176" w:type="dxa"/>
            <w:vAlign w:val="center"/>
          </w:tcPr>
          <w:p w14:paraId="45DDB1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丙烯颜料按压式 </w:t>
            </w:r>
          </w:p>
        </w:tc>
        <w:tc>
          <w:tcPr>
            <w:tcW w:w="6914" w:type="dxa"/>
            <w:vAlign w:val="center"/>
          </w:tcPr>
          <w:p w14:paraId="76B4B62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颜料本体：环保水性丙烯乳液，无甲醛、无重金属、无荧光剂，重金属迁移量：铅≤90mg/kg、镉≤75mg/kg、汞≤60mg/kg、砷≤25mg/kg；挥发性有机物（VOC）含量≤30g/L，无刺激性气味，接触皮肤无过敏、无刺激；颜料细腻（粒径≤45μm），遮盖力强、显色均匀，干燥后不易龟裂、脱落。​</w:t>
            </w:r>
          </w:p>
          <w:p w14:paraId="76AE3B3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2.包装与按压泵：瓶身：食品级 HDPE 塑料，无异味、耐冲击；</w:t>
            </w:r>
          </w:p>
          <w:p w14:paraId="3868515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按压泵：采用空气补偿型乳液泵，泵体为环保 ABS 塑料，无邻苯二甲酸酯增塑剂（含量≤0.1%）；密封垫圈：食品级硅胶，无渗漏风险。​</w:t>
            </w:r>
          </w:p>
          <w:p w14:paraId="0C7F41E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3.规格与套装配置：单瓶参数：容量：150ml，瓶身直径≤6cm，高度≤12cm，单瓶重量≤200g，适配幼儿抓握；​按压泵规格：螺口式锁瓶盖（φ20mm 规格），按头行程 5-8mm，单次按压出液量 0.3-0.5g（可控防浪费）；​防儿童开启设计：按压旋转式锁瓶盖，5 岁以下幼儿独立开启难度≥5 分钟，符合防误食安全要求。​</w:t>
            </w:r>
          </w:p>
          <w:p w14:paraId="1CBE88B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4.套装配置：色彩：基础色系（红、黄、蓝、绿、白、黑）+ 拓展色系（橙、紫、粉、青）≥12 种，每种颜色 1 瓶；​颜色标识：瓶身 / 按压头标注对应色彩名称，采用环保水性油墨印刷，无掉色。</w:t>
            </w:r>
          </w:p>
        </w:tc>
        <w:tc>
          <w:tcPr>
            <w:tcW w:w="685" w:type="dxa"/>
            <w:vAlign w:val="center"/>
          </w:tcPr>
          <w:p w14:paraId="1C20D9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w:t>
            </w:r>
          </w:p>
        </w:tc>
        <w:tc>
          <w:tcPr>
            <w:tcW w:w="712" w:type="dxa"/>
            <w:vAlign w:val="center"/>
          </w:tcPr>
          <w:p w14:paraId="7D662F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色</w:t>
            </w:r>
          </w:p>
        </w:tc>
      </w:tr>
      <w:tr w14:paraId="37AD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1400AF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190</w:t>
            </w:r>
          </w:p>
        </w:tc>
        <w:tc>
          <w:tcPr>
            <w:tcW w:w="1176" w:type="dxa"/>
            <w:vAlign w:val="center"/>
          </w:tcPr>
          <w:p w14:paraId="7FE191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毛根混色</w:t>
            </w:r>
          </w:p>
        </w:tc>
        <w:tc>
          <w:tcPr>
            <w:tcW w:w="6914" w:type="dxa"/>
            <w:vAlign w:val="center"/>
          </w:tcPr>
          <w:p w14:paraId="18D97F3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1.主体材质：内部铁芯：低碳钢丝（直径 0.4-0.5mm），柔软易弯折、可塑形（反复弯折≥50 次不断裂），表面镀锌防锈处理，无尖锐端点；外部绒毛：优质尼龙纤维 / 聚酯纤维，绒毛长度 0.8-1cm，柔软亲肤、无掉毛风险。​</w:t>
            </w:r>
          </w:p>
          <w:p w14:paraId="70EE258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2.辅助处理：染色工艺：环保水性染料，无甲醛、无重金属、无荧光剂，色牢度≥3 级；粘合工艺：绒毛与铁芯粘合牢固，无脱胶、无露芯现象，无刺激性气味。​</w:t>
            </w:r>
          </w:p>
          <w:p w14:paraId="1CE9210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3.尺寸参数：长度：≥100mm（可选，适配幼儿抓握与精细操作）；</w:t>
            </w:r>
          </w:p>
          <w:p w14:paraId="2B13B18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直径：≥8mm（蓬松度适中，便于缠绕、拼接）；单根重量：≤2g，轻便易操作，幼儿可独立弯折、组合。​</w:t>
            </w:r>
          </w:p>
          <w:p w14:paraId="48A48F5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4.混色配置：基础色系：红、黄、蓝、绿、白、黑.​</w:t>
            </w:r>
          </w:p>
        </w:tc>
        <w:tc>
          <w:tcPr>
            <w:tcW w:w="685" w:type="dxa"/>
            <w:vAlign w:val="center"/>
          </w:tcPr>
          <w:p w14:paraId="74EADA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1000</w:t>
            </w:r>
          </w:p>
        </w:tc>
        <w:tc>
          <w:tcPr>
            <w:tcW w:w="712" w:type="dxa"/>
            <w:vAlign w:val="center"/>
          </w:tcPr>
          <w:p w14:paraId="38A8B5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根</w:t>
            </w:r>
          </w:p>
        </w:tc>
      </w:tr>
      <w:tr w14:paraId="02D8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0D4228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191</w:t>
            </w:r>
          </w:p>
        </w:tc>
        <w:tc>
          <w:tcPr>
            <w:tcW w:w="1176" w:type="dxa"/>
            <w:vAlign w:val="center"/>
          </w:tcPr>
          <w:p w14:paraId="320DAA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吸管</w:t>
            </w:r>
          </w:p>
        </w:tc>
        <w:tc>
          <w:tcPr>
            <w:tcW w:w="6914" w:type="dxa"/>
            <w:vAlign w:val="center"/>
          </w:tcPr>
          <w:p w14:paraId="56A1B53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1.主体材质：食品级 PP 环保塑料（无 BPA、无邻苯二甲酸酯），无异味、无甲醛，材质柔韧不易脆裂。</w:t>
            </w:r>
          </w:p>
          <w:p w14:paraId="5B17FC5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2.辅助处理：无涂层、无印刷，无重金属、荧光剂，印刷图案无掉色风险；边缘钝化处理，无锋利切口，接触皮肤无刺激。​</w:t>
            </w:r>
          </w:p>
          <w:p w14:paraId="3D71A3A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3.尺寸参数：直径：≥6mm；长度：≥200mm，单根重量≤2g，轻便易操作；壁厚：≥1mm，挺括不易弯折（可塑形款除外），拼搭时稳定性强。混色装：含红、黄、蓝、绿、橙、紫等≥6 种柔和色彩；​</w:t>
            </w:r>
          </w:p>
        </w:tc>
        <w:tc>
          <w:tcPr>
            <w:tcW w:w="685" w:type="dxa"/>
            <w:vAlign w:val="center"/>
          </w:tcPr>
          <w:p w14:paraId="1F508E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1000</w:t>
            </w:r>
          </w:p>
        </w:tc>
        <w:tc>
          <w:tcPr>
            <w:tcW w:w="712" w:type="dxa"/>
            <w:vAlign w:val="center"/>
          </w:tcPr>
          <w:p w14:paraId="2D0CEA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只</w:t>
            </w:r>
          </w:p>
        </w:tc>
      </w:tr>
      <w:tr w14:paraId="18CE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428EFD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192</w:t>
            </w:r>
          </w:p>
        </w:tc>
        <w:tc>
          <w:tcPr>
            <w:tcW w:w="1176" w:type="dxa"/>
            <w:vAlign w:val="center"/>
          </w:tcPr>
          <w:p w14:paraId="51F91E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对称控笔训练</w:t>
            </w:r>
          </w:p>
        </w:tc>
        <w:tc>
          <w:tcPr>
            <w:tcW w:w="6914" w:type="dxa"/>
            <w:vAlign w:val="center"/>
          </w:tcPr>
          <w:p w14:paraId="6AE593B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1.载体材质：纸张：原生木浆纸，克重 120-150g/㎡，厚实坚韧、不易破损，无荧光剂、无甲醛；</w:t>
            </w:r>
          </w:p>
          <w:p w14:paraId="7F9FB5C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2.配套工具（控笔笔具）：笔杆：环保 ABS 塑料 + TPE 软胶握柄，符合人体工学设计，无邻苯二甲酸酯，握感舒适不打滑；笔尖：硅胶 / 软塑料材质（无墨水，仅作描摹），圆润无尖锐，防戳伤、防划伤，符合幼儿书写力度（按压阻力≤1N）。​</w:t>
            </w:r>
          </w:p>
          <w:p w14:paraId="1A42826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3.印刷材质：环保水性油墨，无重金属、无掉色，色彩柔和不刺眼，符合儿童视觉发育特点，反复擦拭（湿抹布）≥50 次无油墨脱落。​</w:t>
            </w:r>
          </w:p>
          <w:p w14:paraId="5D0DE1B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4.载体规格：练习册：单册尺寸 210mm×148mm（A5），内页≥30 页，装订牢固无脱页，边缘圆角打磨（倒角半径≥0.3cm）；重量：练习册≤300g，适配幼儿手持操作。​​</w:t>
            </w:r>
          </w:p>
          <w:p w14:paraId="3B049DC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5.设计细节：对称线标注：红色虚线（醒目不刺眼），宽度 1mm，清晰指引对称基准；图形大小：单个练习图形尺寸 50mm，适配幼儿控笔范围，避免过度疲劳；留白设计：每页练习量≤4 题，预留足够书写空间，无拥挤感。</w:t>
            </w:r>
          </w:p>
        </w:tc>
        <w:tc>
          <w:tcPr>
            <w:tcW w:w="685" w:type="dxa"/>
            <w:vAlign w:val="center"/>
          </w:tcPr>
          <w:p w14:paraId="7F3007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w:t>
            </w:r>
          </w:p>
        </w:tc>
        <w:tc>
          <w:tcPr>
            <w:tcW w:w="712" w:type="dxa"/>
            <w:vAlign w:val="center"/>
          </w:tcPr>
          <w:p w14:paraId="7E4A0B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53C2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7CFFD8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193</w:t>
            </w:r>
          </w:p>
        </w:tc>
        <w:tc>
          <w:tcPr>
            <w:tcW w:w="1176" w:type="dxa"/>
            <w:vAlign w:val="center"/>
          </w:tcPr>
          <w:p w14:paraId="507660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编辫子</w:t>
            </w:r>
          </w:p>
        </w:tc>
        <w:tc>
          <w:tcPr>
            <w:tcW w:w="6914" w:type="dxa"/>
            <w:vAlign w:val="center"/>
          </w:tcPr>
          <w:p w14:paraId="04512A2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1.主体操作底板：材质要求：采用高密度毛毡板 ，厚度≥5mm，边缘做圆角打磨（R≥3mm），无毛刺、无尖锐棱角</w:t>
            </w:r>
          </w:p>
          <w:p w14:paraId="7C0EA4B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2.尺寸规格：成品尺寸≥ 410mm（长）×400mm（宽），板面平整，无变形、开裂，表面工艺：采用毛毡裁剪工艺，色彩牢固不脱落，无异味、无甲醛残留；结构设计：板面预留人物固定位、编发组件安装位，结构牢固，可承受儿童反复操作</w:t>
            </w:r>
          </w:p>
          <w:p w14:paraId="52C0C23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3.编发组件：材质要求：采用高韧性涤纶 ，手感柔软、无刺激性气味，绳体结实耐磨，不易断裂、起球；规格要求：单根绳长≥600mm，直径≥8mm，适配儿童抓握与编发操作；绳体颜色区分清晰（如粉紫混色、深棕色），辨识度高</w:t>
            </w:r>
          </w:p>
        </w:tc>
        <w:tc>
          <w:tcPr>
            <w:tcW w:w="685" w:type="dxa"/>
            <w:vAlign w:val="center"/>
          </w:tcPr>
          <w:p w14:paraId="4973E6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34C56A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2353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0E1D56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194</w:t>
            </w:r>
          </w:p>
        </w:tc>
        <w:tc>
          <w:tcPr>
            <w:tcW w:w="1176" w:type="dxa"/>
            <w:vAlign w:val="center"/>
          </w:tcPr>
          <w:p w14:paraId="649A1C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水雾磨珠水粘珠</w:t>
            </w:r>
          </w:p>
        </w:tc>
        <w:tc>
          <w:tcPr>
            <w:tcW w:w="6914" w:type="dxa"/>
            <w:vAlign w:val="center"/>
          </w:tcPr>
          <w:p w14:paraId="6595D58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1.规格：15色1500粒，珠子≥4.5mm，15格透明盒，1套配件；</w:t>
            </w:r>
          </w:p>
          <w:p w14:paraId="661C8DD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2.材质：核心成分：食品级聚乙烯醇（PVA）+ 环保吸水树脂（SAP），无甲醛、无邻苯二甲酸酯；安全防护：表面添加可食用级苦味剂，误食后触发味觉排斥，降低吞咽风险。</w:t>
            </w:r>
          </w:p>
        </w:tc>
        <w:tc>
          <w:tcPr>
            <w:tcW w:w="685" w:type="dxa"/>
            <w:vAlign w:val="center"/>
          </w:tcPr>
          <w:p w14:paraId="58BBEB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6D0B48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1A45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37DB90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195</w:t>
            </w:r>
          </w:p>
        </w:tc>
        <w:tc>
          <w:tcPr>
            <w:tcW w:w="1176" w:type="dxa"/>
            <w:vAlign w:val="center"/>
          </w:tcPr>
          <w:p w14:paraId="65775C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百变波普串珠 </w:t>
            </w:r>
          </w:p>
        </w:tc>
        <w:tc>
          <w:tcPr>
            <w:tcW w:w="6914" w:type="dxa"/>
            <w:vAlign w:val="center"/>
          </w:tcPr>
          <w:p w14:paraId="2003B23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1.规格：包含1个收纳盒、180粒串珠</w:t>
            </w:r>
          </w:p>
          <w:p w14:paraId="35EA84C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2.材质：核心材质：食品级 ABS 树脂 / 环保 PP 塑料，无甲醛、无 BPA、无邻苯二甲酸酯（DEHP/DBP/BBP 总含量≤0.1%）；</w:t>
            </w:r>
          </w:p>
          <w:p w14:paraId="04C7279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材质特性：质地坚韧耐摔，抗冲击强度≥12kJ/m²，不易断裂产生碎屑，触感光滑温润无毛刺。</w:t>
            </w:r>
          </w:p>
        </w:tc>
        <w:tc>
          <w:tcPr>
            <w:tcW w:w="685" w:type="dxa"/>
            <w:vAlign w:val="center"/>
          </w:tcPr>
          <w:p w14:paraId="636826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2899F6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1782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6E8E06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196</w:t>
            </w:r>
          </w:p>
        </w:tc>
        <w:tc>
          <w:tcPr>
            <w:tcW w:w="1176" w:type="dxa"/>
            <w:vAlign w:val="center"/>
          </w:tcPr>
          <w:p w14:paraId="026279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DIY发箍 </w:t>
            </w:r>
          </w:p>
        </w:tc>
        <w:tc>
          <w:tcPr>
            <w:tcW w:w="6914" w:type="dxa"/>
            <w:vAlign w:val="center"/>
          </w:tcPr>
          <w:p w14:paraId="6C0E291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1.规格：一套包含6个发箍，36个蝴蝶花朵配饰  尺寸：展开宽度 ≥140mm，佩戴直径 ≥120mm（可调节），高度≥ 30mm，适配 3-6 岁幼儿头围；重量：单只发箍≤30g，轻便无压迫感，佩戴舒适不滑落；</w:t>
            </w:r>
          </w:p>
          <w:p w14:paraId="5AEFD12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2.骨架：高弹性镀锌铁丝（直径 1.2-1.5mm），柔软可弯折（反复弯折≥50 次不断裂），表面包裹环保 PVC 软胶，无锈蚀、无尖锐端点；</w:t>
            </w:r>
          </w:p>
          <w:p w14:paraId="0C996AF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3.外层包裹：优质绒布 / 棉布（绒长≤0.8cm，无掉毛风险），无甲醛、无荧光剂，触感柔软亲肤。</w:t>
            </w:r>
          </w:p>
        </w:tc>
        <w:tc>
          <w:tcPr>
            <w:tcW w:w="685" w:type="dxa"/>
            <w:vAlign w:val="center"/>
          </w:tcPr>
          <w:p w14:paraId="25D424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712" w:type="dxa"/>
            <w:vAlign w:val="center"/>
          </w:tcPr>
          <w:p w14:paraId="4E052C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2E84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1085EA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197</w:t>
            </w:r>
          </w:p>
        </w:tc>
        <w:tc>
          <w:tcPr>
            <w:tcW w:w="1176" w:type="dxa"/>
            <w:vAlign w:val="center"/>
          </w:tcPr>
          <w:p w14:paraId="268C32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奶油胶发夹  </w:t>
            </w:r>
          </w:p>
        </w:tc>
        <w:tc>
          <w:tcPr>
            <w:tcW w:w="6914" w:type="dxa"/>
            <w:vAlign w:val="center"/>
          </w:tcPr>
          <w:p w14:paraId="7851F09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1.发夹主体材质：骨架：金属弹簧夹（铁镀锌材质，防锈处理），表面包裹环保 ABS 塑料 / 软质 TPE，无尖锐边缘、无金属外露，弹簧弹性适中（开合阻力≤2N，幼儿可轻松操作）；基底：环保 PP 塑料片（厚度 1mm），无异味、无甲醛，韧性强不易断裂。</w:t>
            </w:r>
          </w:p>
          <w:p w14:paraId="78DCE98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2.奶油胶与装饰配件：奶油胶：环保水性 PU 材质（无甲醛、无邻苯二甲酸酯），VOC 含量≤30g/L，无刺激性气味，干燥后柔软有弹性（硬度邵氏 A 30-40），不粘手、不易开裂；装饰配件：EVA 泡沫颗粒（直径≥5mm）、毛绒球（直径≥3cm）、树脂贴片（无细小零件）、亮片（尺寸≥2mm，无尖锐边角），均无重金属、无荧光剂。</w:t>
            </w:r>
          </w:p>
          <w:p w14:paraId="62D6128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3.尺寸：长度≥ 60mm（适配幼，宽度 ≥15mm，重量≤10g，佩戴轻便无拉扯感；</w:t>
            </w:r>
          </w:p>
          <w:p w14:paraId="4FA7DFC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4.夹力：夹合力度≤3N，不拉扯幼儿头发，佩戴后不易滑落，取下无疼痛感；</w:t>
            </w:r>
          </w:p>
          <w:p w14:paraId="37D99D7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5.安全设计：夹口内置硅胶防滑垫，边缘圆角打磨，无夹手风险。</w:t>
            </w:r>
          </w:p>
        </w:tc>
        <w:tc>
          <w:tcPr>
            <w:tcW w:w="685" w:type="dxa"/>
            <w:vAlign w:val="center"/>
          </w:tcPr>
          <w:p w14:paraId="6B94BC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426</w:t>
            </w:r>
          </w:p>
        </w:tc>
        <w:tc>
          <w:tcPr>
            <w:tcW w:w="712" w:type="dxa"/>
            <w:vAlign w:val="center"/>
          </w:tcPr>
          <w:p w14:paraId="3E258D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件</w:t>
            </w:r>
          </w:p>
        </w:tc>
      </w:tr>
      <w:tr w14:paraId="2DFC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52DDDC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198</w:t>
            </w:r>
          </w:p>
        </w:tc>
        <w:tc>
          <w:tcPr>
            <w:tcW w:w="1176" w:type="dxa"/>
            <w:vAlign w:val="center"/>
          </w:tcPr>
          <w:p w14:paraId="0BE8F2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丝带</w:t>
            </w:r>
          </w:p>
        </w:tc>
        <w:tc>
          <w:tcPr>
            <w:tcW w:w="6914" w:type="dxa"/>
            <w:vAlign w:val="center"/>
          </w:tcPr>
          <w:p w14:paraId="7A3F410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1.规格：多种颜色，重500g 长度10000mm</w:t>
            </w:r>
          </w:p>
          <w:p w14:paraId="3B79356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2.材质：聚酯纤维（涤纶）材质，柔软亲肤、无毛刺、无刺激性气味；</w:t>
            </w:r>
          </w:p>
        </w:tc>
        <w:tc>
          <w:tcPr>
            <w:tcW w:w="685" w:type="dxa"/>
            <w:vAlign w:val="center"/>
          </w:tcPr>
          <w:p w14:paraId="52F916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1567F1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570D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79A947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199</w:t>
            </w:r>
          </w:p>
        </w:tc>
        <w:tc>
          <w:tcPr>
            <w:tcW w:w="1176" w:type="dxa"/>
            <w:vAlign w:val="center"/>
          </w:tcPr>
          <w:p w14:paraId="7A57DE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空白PP塑料扇</w:t>
            </w:r>
          </w:p>
        </w:tc>
        <w:tc>
          <w:tcPr>
            <w:tcW w:w="6914" w:type="dxa"/>
            <w:vAlign w:val="center"/>
          </w:tcPr>
          <w:p w14:paraId="3D87806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1.扇面材质：食品级 PP 环保塑料（无 BPA、无邻苯二甲酸酯），厚度 0.2-0.3mm，柔韧不易脆裂；表面无涂层、无印刷（纯空白，便于涂鸦），无甲醛、无荧光剂、无重金属，触感光滑无毛刺，接触皮肤无刺激。​</w:t>
            </w:r>
          </w:p>
          <w:p w14:paraId="7DEFAE2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2.扇柄材质：同 PP 塑料一体成型，或环保 ABS 塑料（与扇面牢固拼接），无尖锐边缘；无额外粘胶，拼接处采用超声波焊接工艺，无胶水残留、无异味。</w:t>
            </w:r>
          </w:p>
          <w:p w14:paraId="1F48D79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3.扇面：圆形（直径 ≥150mm）轮廓，最大宽度 160mm），适配幼儿抓握与创作范围；</w:t>
            </w:r>
          </w:p>
          <w:p w14:paraId="267EA2D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4.扇柄：≥长度 80mm，宽度 ≥15mm，厚度 ≥5mm，握持舒适不打滑；</w:t>
            </w:r>
          </w:p>
          <w:p w14:paraId="402E164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5.整体重量：单把≤30g，轻便易挥舞，幼儿可长时间操作无疲劳感。</w:t>
            </w:r>
          </w:p>
        </w:tc>
        <w:tc>
          <w:tcPr>
            <w:tcW w:w="685" w:type="dxa"/>
            <w:vAlign w:val="center"/>
          </w:tcPr>
          <w:p w14:paraId="00616D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30</w:t>
            </w:r>
          </w:p>
        </w:tc>
        <w:tc>
          <w:tcPr>
            <w:tcW w:w="712" w:type="dxa"/>
            <w:vAlign w:val="center"/>
          </w:tcPr>
          <w:p w14:paraId="52C5B0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把</w:t>
            </w:r>
          </w:p>
        </w:tc>
      </w:tr>
      <w:tr w14:paraId="684A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0862C2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200</w:t>
            </w:r>
          </w:p>
        </w:tc>
        <w:tc>
          <w:tcPr>
            <w:tcW w:w="1176" w:type="dxa"/>
            <w:vAlign w:val="center"/>
          </w:tcPr>
          <w:p w14:paraId="6F1605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蒙氏缝工板 </w:t>
            </w:r>
          </w:p>
        </w:tc>
        <w:tc>
          <w:tcPr>
            <w:tcW w:w="6914" w:type="dxa"/>
            <w:vAlign w:val="center"/>
          </w:tcPr>
          <w:p w14:paraId="3770459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1.规格：≥160*160mm，包含针、彩色毛线的名号工具</w:t>
            </w:r>
          </w:p>
          <w:p w14:paraId="6C7E00B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2.材质：优质聚酯纤维（无纺布）毛毡，柔软亲肤无毛刺，克重 150g/㎡（适配手工裁剪与粘贴）</w:t>
            </w:r>
          </w:p>
        </w:tc>
        <w:tc>
          <w:tcPr>
            <w:tcW w:w="685" w:type="dxa"/>
            <w:vAlign w:val="center"/>
          </w:tcPr>
          <w:p w14:paraId="749886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36</w:t>
            </w:r>
          </w:p>
        </w:tc>
        <w:tc>
          <w:tcPr>
            <w:tcW w:w="712" w:type="dxa"/>
            <w:vAlign w:val="center"/>
          </w:tcPr>
          <w:p w14:paraId="6FB2F4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5554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0BB98E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201</w:t>
            </w:r>
          </w:p>
        </w:tc>
        <w:tc>
          <w:tcPr>
            <w:tcW w:w="1176" w:type="dxa"/>
            <w:vAlign w:val="center"/>
          </w:tcPr>
          <w:p w14:paraId="608897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手链编织器</w:t>
            </w:r>
          </w:p>
        </w:tc>
        <w:tc>
          <w:tcPr>
            <w:tcW w:w="6914" w:type="dxa"/>
            <w:vAlign w:val="center"/>
          </w:tcPr>
          <w:p w14:paraId="311F143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1.规格：≥210*90mm</w:t>
            </w:r>
          </w:p>
          <w:p w14:paraId="5CB6DEC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2.材质：框架：天然榉木 ，干燥度达标（含水率 8%-12%），材质密度≥0.6g/cm³，坚韧耐摔；表面处理：原木款无化学涂层，纯物理精细打磨；彩色款采用环保水性漆（无重金属、无荧光剂），漆层薄而均匀（厚度≤0.1mm），无异味、不脱落。</w:t>
            </w:r>
          </w:p>
        </w:tc>
        <w:tc>
          <w:tcPr>
            <w:tcW w:w="685" w:type="dxa"/>
            <w:vAlign w:val="center"/>
          </w:tcPr>
          <w:p w14:paraId="11085C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12" w:type="dxa"/>
            <w:vAlign w:val="center"/>
          </w:tcPr>
          <w:p w14:paraId="5661F6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3D72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4AA373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202</w:t>
            </w:r>
          </w:p>
        </w:tc>
        <w:tc>
          <w:tcPr>
            <w:tcW w:w="1176" w:type="dxa"/>
            <w:vAlign w:val="center"/>
          </w:tcPr>
          <w:p w14:paraId="7BEB13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水培植物 </w:t>
            </w:r>
          </w:p>
        </w:tc>
        <w:tc>
          <w:tcPr>
            <w:tcW w:w="6914" w:type="dxa"/>
            <w:vAlign w:val="center"/>
          </w:tcPr>
          <w:p w14:paraId="13507C7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1.品种组合：≥4 （绿豆、豌豆、小麦草、萝卜籽），每套≥200g。</w:t>
            </w:r>
          </w:p>
          <w:p w14:paraId="5AC9678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2.核心质量：非转基因、无化学包衣，发芽率≥85%，水分≤10%。</w:t>
            </w:r>
          </w:p>
          <w:p w14:paraId="70AF1E7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3.教学适配：种子大小适中、易操作，芽苗无毒、观赏性强，7 天内发芽率≥80%。</w:t>
            </w:r>
          </w:p>
        </w:tc>
        <w:tc>
          <w:tcPr>
            <w:tcW w:w="685" w:type="dxa"/>
            <w:vAlign w:val="center"/>
          </w:tcPr>
          <w:p w14:paraId="515A88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w:t>
            </w:r>
          </w:p>
        </w:tc>
        <w:tc>
          <w:tcPr>
            <w:tcW w:w="712" w:type="dxa"/>
            <w:vAlign w:val="center"/>
          </w:tcPr>
          <w:p w14:paraId="1145E8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7450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5E7306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203</w:t>
            </w:r>
          </w:p>
        </w:tc>
        <w:tc>
          <w:tcPr>
            <w:tcW w:w="1176" w:type="dxa"/>
            <w:vAlign w:val="center"/>
          </w:tcPr>
          <w:p w14:paraId="61E30B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水培植物（种子）</w:t>
            </w:r>
          </w:p>
        </w:tc>
        <w:tc>
          <w:tcPr>
            <w:tcW w:w="6914" w:type="dxa"/>
            <w:vAlign w:val="center"/>
          </w:tcPr>
          <w:p w14:paraId="32D34A3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1.规格：包括四九菜心、四九小香芹、四季大叶香菜、奶油生菜、红苋菜、花叶茼蒿、娃娃菜、四季上海青、四季油菠菜、鸡蛋黄白菜10种种子</w:t>
            </w:r>
          </w:p>
        </w:tc>
        <w:tc>
          <w:tcPr>
            <w:tcW w:w="685" w:type="dxa"/>
            <w:vAlign w:val="center"/>
          </w:tcPr>
          <w:p w14:paraId="639CB3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50</w:t>
            </w:r>
          </w:p>
        </w:tc>
        <w:tc>
          <w:tcPr>
            <w:tcW w:w="712" w:type="dxa"/>
            <w:vAlign w:val="center"/>
          </w:tcPr>
          <w:p w14:paraId="4DEF19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包</w:t>
            </w:r>
          </w:p>
        </w:tc>
      </w:tr>
      <w:tr w14:paraId="4C11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3824D2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204</w:t>
            </w:r>
          </w:p>
        </w:tc>
        <w:tc>
          <w:tcPr>
            <w:tcW w:w="1176" w:type="dxa"/>
            <w:vAlign w:val="center"/>
          </w:tcPr>
          <w:p w14:paraId="176DBC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混色碗莲种子</w:t>
            </w:r>
          </w:p>
        </w:tc>
        <w:tc>
          <w:tcPr>
            <w:tcW w:w="6914" w:type="dxa"/>
            <w:vAlign w:val="center"/>
          </w:tcPr>
          <w:p w14:paraId="72C5CC3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1.品种组合：碗莲，每套≥200g。</w:t>
            </w:r>
          </w:p>
          <w:p w14:paraId="1E8B3D4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2.核心质量：非转基因、无化学包衣，发芽率≥85%，水分≤10%。</w:t>
            </w:r>
          </w:p>
          <w:p w14:paraId="75FB530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3.教学适配：种子大小适中、易操作，芽苗无毒、观赏性强，7 天内发芽率≥80%。</w:t>
            </w:r>
          </w:p>
        </w:tc>
        <w:tc>
          <w:tcPr>
            <w:tcW w:w="685" w:type="dxa"/>
            <w:vAlign w:val="center"/>
          </w:tcPr>
          <w:p w14:paraId="3E194B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28</w:t>
            </w:r>
          </w:p>
        </w:tc>
        <w:tc>
          <w:tcPr>
            <w:tcW w:w="712" w:type="dxa"/>
            <w:vAlign w:val="center"/>
          </w:tcPr>
          <w:p w14:paraId="213E56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粒</w:t>
            </w:r>
          </w:p>
        </w:tc>
      </w:tr>
      <w:tr w14:paraId="4CDD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491602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205</w:t>
            </w:r>
          </w:p>
        </w:tc>
        <w:tc>
          <w:tcPr>
            <w:tcW w:w="1176" w:type="dxa"/>
            <w:vAlign w:val="center"/>
          </w:tcPr>
          <w:p w14:paraId="262435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户外收纳盒</w:t>
            </w:r>
          </w:p>
        </w:tc>
        <w:tc>
          <w:tcPr>
            <w:tcW w:w="6914" w:type="dxa"/>
            <w:vAlign w:val="center"/>
          </w:tcPr>
          <w:p w14:paraId="6DBA328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1.规格：≥1200*700*1580mm</w:t>
            </w:r>
          </w:p>
          <w:p w14:paraId="54C04A6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2.颜色：橙色/黄色/灰色/迷彩色可选</w:t>
            </w:r>
          </w:p>
          <w:p w14:paraId="164948B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3.材质：金属蜂窝板+铝型材</w:t>
            </w:r>
          </w:p>
          <w:p w14:paraId="73E31FF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工艺：整体框架为铝型材，底板和内置隔板采用≥15mm金属蜂窝板，顶板、外围横板和竖板采用≥10mm金属蜂窝板，板材整体除锈、除油、酸洗、磷化工艺后，采用热转印技术不褪色，耐磨度高。配件采用304不锈钢。柜子整体组装便捷，易于操作，内置隔板上下轨道式调节，可拆卸。膜结构帘子，体育场专用。三面帘子，帘子四色可选，黄，橙，灰，迷彩色。无异味，稳定性高，防水，可任意连接1.2m倍数的长度，方便牢固， 适合童车、攀爬架等中大型玩具收纳，完美解决各类户外玩具收纳问题。</w:t>
            </w:r>
          </w:p>
        </w:tc>
        <w:tc>
          <w:tcPr>
            <w:tcW w:w="685" w:type="dxa"/>
            <w:vAlign w:val="center"/>
          </w:tcPr>
          <w:p w14:paraId="1B6E51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712" w:type="dxa"/>
            <w:vAlign w:val="center"/>
          </w:tcPr>
          <w:p w14:paraId="0A703E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节</w:t>
            </w:r>
          </w:p>
        </w:tc>
      </w:tr>
      <w:tr w14:paraId="6E92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3A6801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206</w:t>
            </w:r>
          </w:p>
        </w:tc>
        <w:tc>
          <w:tcPr>
            <w:tcW w:w="1176" w:type="dxa"/>
            <w:vAlign w:val="center"/>
          </w:tcPr>
          <w:p w14:paraId="7D2444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户外自行车车厢</w:t>
            </w:r>
          </w:p>
        </w:tc>
        <w:tc>
          <w:tcPr>
            <w:tcW w:w="6914" w:type="dxa"/>
            <w:vAlign w:val="center"/>
          </w:tcPr>
          <w:p w14:paraId="3BE0661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1.规格：≥1200*1200*1580mm</w:t>
            </w:r>
          </w:p>
          <w:p w14:paraId="498A52F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2.颜色：橙色/黄色/灰色/迷彩色可选</w:t>
            </w:r>
          </w:p>
          <w:p w14:paraId="578AACB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3.材质：金属蜂窝板+铝型材</w:t>
            </w:r>
          </w:p>
          <w:p w14:paraId="6EDFD00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工艺：整体框架为铝型材，底板和内置隔板采用≥15mm金属蜂窝板，顶板、外围横板和竖板采用≥10mm金属蜂窝板，板材整体除锈、除油、酸洗、磷化工艺后，采用热转印技术不褪色，耐磨度高。配件采用304不锈钢。柜子整体组装便捷，易于操作，内置隔板上下轨道式调节，可拆卸。膜结构帘子，体育场专用。一面帘子，三面金属蜂窝侧板，一面帘子。无异味，稳定性高，防水，可任意连接1.2m倍数的长度，方便牢固， 适合童车、攀爬架等中大型玩具收纳，完美解决各类户外玩具收纳问题。</w:t>
            </w:r>
          </w:p>
        </w:tc>
        <w:tc>
          <w:tcPr>
            <w:tcW w:w="685" w:type="dxa"/>
            <w:vAlign w:val="center"/>
          </w:tcPr>
          <w:p w14:paraId="5F8BB6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712" w:type="dxa"/>
            <w:vAlign w:val="center"/>
          </w:tcPr>
          <w:p w14:paraId="06FE9B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组</w:t>
            </w:r>
          </w:p>
        </w:tc>
      </w:tr>
      <w:tr w14:paraId="5BA3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0205" w:type="dxa"/>
            <w:gridSpan w:val="5"/>
            <w:vAlign w:val="center"/>
          </w:tcPr>
          <w:p w14:paraId="1E7947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第三幼儿园</w:t>
            </w:r>
          </w:p>
        </w:tc>
      </w:tr>
      <w:tr w14:paraId="70E2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404F0C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207</w:t>
            </w:r>
          </w:p>
        </w:tc>
        <w:tc>
          <w:tcPr>
            <w:tcW w:w="1176" w:type="dxa"/>
            <w:vAlign w:val="center"/>
          </w:tcPr>
          <w:p w14:paraId="75AF6D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百变磁性积木</w:t>
            </w:r>
          </w:p>
        </w:tc>
        <w:tc>
          <w:tcPr>
            <w:tcW w:w="6914" w:type="dxa"/>
            <w:vAlign w:val="center"/>
          </w:tcPr>
          <w:p w14:paraId="7FABCC1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配件名称：磁力板，材质：蜂窝铁皮板/榉木框架/工字型铁隔条（铁皮尺寸：2片1.2*1.2米），尺寸≥2460*1255*16mm，数量1；配件名称：中古收纳盒，材质：椴木夹板，尺寸≥385*245*150mm，数量10；配件名称：藕粉色窗模块，材质：松木，尺寸≥70*70*100mm，数量6；配件名称：淡绿色窗模块，材质：松木，尺寸≥70*70*100mm，数量6；配件名称：绿色窗模块，材质：松木，尺寸≥70*70*100mm，数量6；配件名称：湖蓝色窗模块，材质：松木，尺寸≥70*70*100mm，数量6；配件名称：橄榄绿窗模块，材质：松木，尺寸≥70*70*100mm，数量6；配件名称：褐色窗模块，材质：松木，尺寸≥70*70*100mm，数量6；配件名称：棕色窗模块，材质：松木，尺寸≥70*70*100mm，数量6；配件名称：藕粉色门模块，材质：松木，尺寸≥70*70*100mm，数量3；配件名称：淡绿色门模块，材质：松木，尺寸≥70*70*100mm，数量3；配件名称：绿色门模块，材质：松木，尺寸≥70*70*100mm，数量3；配件名称：湖蓝色门模块，材质：松木，尺寸≥70*70*100mm，数量3；配件名称：橄榄绿门模块，材质：松木，尺寸≥70*70*100mm，数量3；配件名称：褐色门模块，材质：松木，尺寸≥70*70*100mm，数量3；配件名称：棕色门模块，材质：松木，尺寸≥70*70*100mm，数量3；配件名称：钟楼模块，材质：松木，尺寸≥70*70*100mm，数量1；配件名称：十字架模块，材质：松木，尺寸≥70*70*100mm，数量1；配件名称：藕粉色尖屋顶模块，材质：椴木夹板，尺寸≥68*68*61mm，数量2；配件名称：绿色尖屋顶模块，材质：椴木夹板，尺寸≥68*68*61mm，数量2；配件名称：湖蓝色尖屋顶模块，材质：椴木夹板，尺寸≥68*68*61mm，数量2；配件名称：褐色尖屋顶模块，材质：椴木夹板，尺寸≥68*68*61mm，数量2；配件名称：棕色尖屋顶模块，材质：椴木夹板，尺寸≥68*68*61mm，数量2；配件名称：藕粉色梯形屋顶模块，材质：椴木夹板，尺寸≥68*68*35mm，数量2；配件名称：绿色梯形屋顶模块，材质：椴木夹板，尺寸≥68*68*35mm，数量2；配件名称：湖蓝色梯形屋顶模块，材质：椴木夹板，尺寸≥68*68*35mm，数量2；配件名称：褐色梯形屋顶模块，材质：椴木夹板，尺寸≥68*68*35mm，数量2；配件名称：棕色梯形屋顶模块，材质：椴木夹板，尺寸≥68*68*35mm，数量2；配件名称：餐厅标识，材质：松木，尺寸≥70*70*52mm，数量1；配件名称：烘焙店标识，材质：松木，尺寸≥70*70*52mm，数量1；配件名称：酒馆标识，材质：松木，尺寸≥70*70*52mm，数量1；配件名称：咖啡店标识，材质：松木，尺寸≥70*70*52mm，数量1；配件名称：水果店标识，材质：松木，尺寸≥70*70*52mm，数量1；配件名称：医院标识，材质：松木，尺寸≥70*70*52mm，数量1；配件名称：短直轨道，材质：椴木夹板/榉木，尺寸≥204*47*33mm，数量6；配件名称：长直轨道，材质：椴木夹板/榉木，尺寸≥344*47*33mm，数量10；配件名称：坡度轨道，材质：椴木夹板/榉木，尺寸≥204*47*128mm，数量10；配件名称：弯轨道，材质：椴木夹板/榉木，尺寸≥125*125*40mm，数量6；配件名称：波浪轨道，材质：椴木夹板/榉木，尺寸≥204*47*53mm，数量2；配件名称：滚球，材质：榉木，尺寸≥Φ46mm，数量6；配件名称：风车，材质：松木，尺寸≥134*70*179mm，数量2；配件名称：接球器，材质：松木，尺寸≥140*47*48mm，数量1；配件名称：太阳，材质：MDF，尺寸≥82*81*6mm，数量1；配件名称：月亮，材质：MDF，尺寸≥59*80*6mm，数量1；配件名称：白云，材质：MDF，尺寸≥144*84*12mm，数量4；配件名称：乌云，材质：MDF，尺寸≥144*84*12mm，数量1；配件名称：彩虹，材质：MDF，尺寸≥140*65*6mm，数量1；配件名称：雷电，材质：MDF，尺寸≥37*74*6mm，数量1；配件名称：下雨，材质：MDF，尺寸≥88*90*6mm，数量1；配件名称：下雪，材质：MDF，尺寸≥88*90*6mm，数量1；配件名称：鱼摊，材质：MDF，尺寸≥70*100*6mm，数量1；配件名称：水果摊，材质：MDF，尺寸≥70*100*6mm，数量1；配件名称：陶器摊，材质：MDF，尺寸≥70*100*6mm，数量1；配件名称：肉摊，材质：MDF，尺寸≥70*100*6mm，数量1；配件名称：花店，材质：MDF，尺寸≥70*100*6mm，数量1；配件名称：木桶，材质：MDF，尺寸≥35*45*6mm，数量4；配件名称：火盆，材质：MDF，尺寸≥35*83.5*6mm，数量4；配件名称：篱笆，材质：MDF，尺寸≥80*54*6mm，数量8；配件名称：围栏，材质：松木/榉木，尺寸≥200*20*80mm，数量5；配件名称：挂旗（红），材质：MDF，尺寸≥59*83*6mm，数量2；配件名称：挂旗（绿），材质：MDF，尺寸≥59*83*6mm，数量2；配件名称：马车（右），材质：MDF，尺寸≥141*21*58mm，数量1；配件名称：马车（左），材质：MDF，尺寸≥141*21*58mm，数量1；配件名称：指向箭头（右），材质：MDF/榉木，尺寸≥49*63*8mm，数量2；配件名称：指向箭头（左），材质：MDF/榉木，尺寸≥49*63*8mm，数量2；配件名称：旗帜（绿），材质：MDF/榉木，尺寸≥54*109*8mm，数量2；配件名称：旗帜（红），材质：MDF/榉木，尺寸≥54*109*8mm，数量2；配件名称：草垛，材质：MDF，尺寸≥70*45*6mm，数量4；配件名称：盆栽1号，材质：MDF，尺寸≥31*47*6mm，数量2；配件名称：盆栽2号，材质：MDF，尺寸≥31*47*6mm，数量2；配件名称：盆栽3号，材质：MDF，尺寸≥31*47*6mm，数量2；配件名称：神父，材质：MDF，尺寸≥42*72*6mm，数量1；配件名称：居民（红），材质：MDF，尺寸≥42*72*6mm，数量1；配件名称：居民（绿），材质：MDF，尺寸≥42*72*6mm，数量1；配件名称：居民（棕），材质：MDF，尺寸≥42*72*6mm，数量1；配件名称：居民（蓝），材质：MDF，尺寸≥42*72*6mm，数量1；配件名称：伙计（红），材质：MDF，尺寸≥42*72*6mm，数量1；配件名称：伙计（绿），材质：MDF，尺寸≥42*72*6mm，数量1；配件名称：伙计（棕），材质：MDF，尺寸≥42*72*6mm，数量1；配件名称：伙计（蓝），材质：MDF，尺寸≥42*72*6mm，数量1；配件名称：妇女（红），材质：MDF，尺寸≥42*72*6mm，数量1；配件名称：妇女（绿），材质：MDF，尺寸≥42*72*6mm，数量1；配件名称：妇女（棕），材质：MDF，尺寸≥42*72*6mm，数量1；配件名称：妇女（蓝），材质：MDF，尺寸≥42*72*6mm，数量1；配件名称：大树，材质：MDF，尺寸≥127*150*6mm，数量3；配件名称：松树（大），材质：MDF，尺寸≥85*162.5*6mm，数量3；配件名称：松树（小），材质：MDF，尺寸≥70*135*6mm，数量3；配件名称：小麦，材质：MDF，尺寸≥100*63*6mm，数量4；配件名称：卷心菜地，材质：MDF，尺寸≥114*31*6mm，数量1；配件名称：胡萝卜地，材质：MDF，尺寸≥114*28*6mm，数量1；配件名称：南瓜，材质：MDF，尺寸≥54*42*6mm，数量1；配件名称：大雁1，材质：MDF，尺寸≥69*50*6mm，数量2；配件名称：大雁2，材质：MDF，尺寸≥58*35*6mm，数量2；配件名称：马（右），材质：MDF，尺寸≥92*88*6mm，数量1；配件名称：马（左），材质：MDF，尺寸≥92*88*6mm，数量1；配件名称：奶牛（右），材质：MDF，尺寸≥102*58*6mm，数量1；配件名称：奶牛（左），材质：MDF，尺寸≥102*58*6mm，数量1；配件名称：绵羊（右），材质：MDF，尺寸≥62*38*6mm，数量1；配件名称：绵羊（左），材质：MDF，尺寸≥62*38*6mm，数量1；配件名称：猪，材质：MDF，尺寸≥80*44*6mm，数量1；配件名称：边境牧羊犬，材质：MDF，尺寸≥52*40*6mm，数量1；</w:t>
            </w:r>
          </w:p>
        </w:tc>
        <w:tc>
          <w:tcPr>
            <w:tcW w:w="685" w:type="dxa"/>
            <w:vAlign w:val="center"/>
          </w:tcPr>
          <w:p w14:paraId="0049BE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37871E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4C5D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2C54C2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208</w:t>
            </w:r>
          </w:p>
        </w:tc>
        <w:tc>
          <w:tcPr>
            <w:tcW w:w="1176" w:type="dxa"/>
            <w:vAlign w:val="center"/>
          </w:tcPr>
          <w:p w14:paraId="0CAEB3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安吉游戏器械</w:t>
            </w:r>
          </w:p>
        </w:tc>
        <w:tc>
          <w:tcPr>
            <w:tcW w:w="6914" w:type="dxa"/>
            <w:vAlign w:val="center"/>
          </w:tcPr>
          <w:p w14:paraId="78F0102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每套包含30样物品共34件</w:t>
            </w:r>
          </w:p>
          <w:p w14:paraId="4197743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个攀爬箱1规格尺寸：L600*W600*H600mm（±5mm）材质：塑木、铝合金、ABS，详细描述：整体采用环保塑木面板，结实耐用，防潮防晒。边条采用铝合金材质，连接稳固不生锈。边角采用ABS材质，圆角设计，防撞安全。周面板设计了两面攀爬、两面可钻，攀爬面可搭梯板，满足幼儿不同的游戏及动作发展需求。</w:t>
            </w:r>
          </w:p>
          <w:p w14:paraId="57CD0E7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2.1个攀爬箱2规格尺寸：L800*W800*H800mm（±5mm）材质：塑木、铝合金、ABS，详细描述：整体采用环保塑木面板，结实耐用，防潮防晒。边条采用铝合金材质，连接稳固不生锈。边角采用ABS材质，圆角设计，防撞安全。四周面板设计了攀爬横撑及不同形状的孔洞，可满足幼儿攀爬、钻、图形认知等能力发展，四面均可搭梯板，搭建丰富的游戏场景。</w:t>
            </w:r>
          </w:p>
          <w:p w14:paraId="55FB7C7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3.1个攀爬箱3规格尺寸：L1000*W1000*H1000mm（±5mm）材质：塑木、铝合金、ABS，详细描述：整体采用环保塑木面板，结实耐用，防潮防晒。边条采用铝合金材质，连接稳固不生锈。边角采用ABS材质，圆角设计，防撞安全。四周面板设计了攀爬横撑及不同形状的孔洞，可满足幼儿攀爬、钻、图形认知等能力发展，四面均可搭梯板，搭建丰富的游戏场景。</w:t>
            </w:r>
          </w:p>
          <w:p w14:paraId="6C8339D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4.1个人字梯1规格尺寸：L600*W500*H140mm（±5mm）材质：新西兰无节疤松木，详细描述：整体采用优质的无节疤松木，表面光滑无毛刺；内嵌合页、螺丝工艺，更安全，打开后顶部平整，幼儿翻越人字梯时可以有力支撑，梯子收纳时梯腿质检留有空隙，防止夹手。炭烧工艺，户外防腐耐用。</w:t>
            </w:r>
          </w:p>
          <w:p w14:paraId="274ECA2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5.1个人字梯2规格尺寸：L1000*W500*H140mm（±5mm）材质：新西兰无节疤松木，详细描述：整体采用优质的无节疤松木，表面光滑无毛刺；内嵌合页、螺丝工艺，更安全，打开后顶部平整，幼儿翻越人字梯时可以有力支撑，梯子收纳时梯腿质检留有空隙，防止夹手。炭烧工艺，户外防腐耐用。</w:t>
            </w:r>
          </w:p>
          <w:p w14:paraId="7F1D7C7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6.1个人字梯3规格尺寸：L1200*W500*H140mm（±5mm）材质：新西兰无节疤松木，详细描述：整体采用优质的无节疤松木，表面光滑无毛刺；内嵌合页、螺丝工艺，更安全，打开后顶部平整，幼儿翻越人字梯时可以有力支撑，梯子收纳时梯腿质检留有空隙，防止夹手。炭烧工艺，户外防腐耐用。</w:t>
            </w:r>
          </w:p>
          <w:p w14:paraId="4147D4F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7.1个人字梯4规格尺寸：L1500*W500*H140mm（±5mm）材质：新西兰无节疤松木，详细描述：整体采用优质的无节疤松木，表面光滑无毛刺；内嵌合页、螺丝工艺，更安全，打开后顶部平整，幼儿翻越人字梯时可以有力支撑，梯子收纳时梯腿质检留有空隙，防止夹手。炭烧工艺，户外防腐耐用。</w:t>
            </w:r>
          </w:p>
          <w:p w14:paraId="749E5AD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8.1个人字梯5规格尺寸：L1800*W500*H140mm（±5mm）材质：新西兰无节疤松木，详细描述：整体采用优质的无节疤松木，表面光滑无毛刺；内嵌合页、螺丝工艺，更安全，打开后顶部平整，幼儿翻越人字梯时可以有力支撑，梯子收纳时梯腿质检留有空隙，防止夹手。炭烧工艺，户外防腐耐用。</w:t>
            </w:r>
          </w:p>
          <w:p w14:paraId="747A0B3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9.1个单梯1规格尺寸：L600*W400*H60mm（±5mm）材质：新西兰无节疤松木，详细描述：整体采用优质的无节疤松木，表面光滑无毛刺，螺丝内嵌，安全不划手；两端有凹槽，可以稳固的卡在攀爬箱及人字梯上，幼儿使用更安全。炭烧工艺，户外防腐耐用。</w:t>
            </w:r>
          </w:p>
          <w:p w14:paraId="276E889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10.1个单梯2规格尺寸：L1000*W400*H60mm（±5mm）材质：新西兰无节疤松木，详细描述：整体采用优质的无节疤松木，表面光滑无毛刺，螺丝内嵌，安全不划手；两端有凹槽，可以稳固的卡在攀爬箱及人字梯上，幼儿使用更安全。炭烧工艺，户外防腐耐用。</w:t>
            </w:r>
          </w:p>
          <w:p w14:paraId="07D2DCE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11.1个单梯3规格尺寸：L1500*W400*H60mm（±5mm）材质：新西兰无节疤松木，详细描述：整体采用优质的无节疤松木，表面光滑无毛刺，螺丝内嵌，安全不划手；两端有凹槽，可以稳固的卡在攀爬箱及人字梯上，幼儿使用更安全。炭烧工艺，户外防腐耐用。</w:t>
            </w:r>
          </w:p>
          <w:p w14:paraId="027A6DD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12.1个单梯4规格尺寸：L1800*W400*H60mm（±5mm）材质：新西兰无节疤松木，详细描述：整体采用优质的无节疤松木，表面光滑无毛刺，螺丝内嵌，安全不划手；两端有凹槽，可以稳固的卡在攀爬箱及人字梯上，幼儿使用更安全。炭烧工艺，户外防腐耐用。</w:t>
            </w:r>
          </w:p>
          <w:p w14:paraId="4B33901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13.1个单梯5规格尺寸：L2000*W400*H60mm（±5mm）材质：新西兰无节疤松木，详细描述：整体采用优质的无节疤松木，表面光滑无毛刺，螺丝内嵌，安全不划手；两端有凹槽，可以稳固的卡在攀爬箱及人字梯上，幼儿使用更安全。炭烧工艺，户外防腐耐用。</w:t>
            </w:r>
          </w:p>
          <w:p w14:paraId="4374F41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14.1个木板1规格尺寸：L1000*W200*H25mm（±5mm）材质：新西兰无节疤松木，详细描述：整体采用优质的无节疤松木，表面光滑无毛刺，螺丝内嵌，安全不划手；两端钉有挡板，可卡在攀爬箱及人字梯等材料上，稳固安全。炭烧工艺，户外防腐耐用。</w:t>
            </w:r>
          </w:p>
          <w:p w14:paraId="0EB1013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15.1个木板2规格尺寸：L1200*W200*H25mm（±5mm）材质：新西兰无节疤松木，详细描述：整体采用优质的无节疤松木，表面光滑无毛刺，螺丝内嵌，安全不划手；两端钉有挡板，可卡在攀爬箱及人字梯等材料上，稳固安全。炭烧工艺，户外防腐耐用。</w:t>
            </w:r>
          </w:p>
          <w:p w14:paraId="654FCF9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16.1个木板3规格尺寸：L1500*W200*H25mm（±5mm）材质：新西兰无节疤松木，详细描述：整体采用优质的无节疤松木，表面光滑无毛刺，螺丝内嵌，安全不划手；两端钉有挡板，可卡在攀爬箱及人字梯等材料上，稳固安全。炭烧工艺，户外防腐耐用。</w:t>
            </w:r>
          </w:p>
          <w:p w14:paraId="745E8A4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17.1个木板4规格尺寸：L1800*W200*H25mm（±5mm）材质：新西兰无节疤松木，详细描述：整体采用优质的无节疤松木，表面光滑无毛刺，螺丝内嵌，安全不划手；两端钉有挡板，可卡在攀爬箱及人字梯等材料上，稳固安全。炭烧工艺，户外防腐耐用。</w:t>
            </w:r>
          </w:p>
          <w:p w14:paraId="504BAC5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18.1个木板5规格尺寸：L2000*W200*H25mm（±5mm）材质：新西兰无节疤松木，详细描述：整体采用优质的无节疤松木，表面光滑无毛刺，螺丝内嵌，安全不划手；两端钉有挡板，可卡在攀爬箱及人字梯等材料上，稳固安全。</w:t>
            </w:r>
          </w:p>
          <w:p w14:paraId="2B51E64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19.1个支架1规格尺寸：L600*W450*H250mm（±5mm）材质：新西兰无节疤松木，详细描述：整体采用优质的无节疤松木，表面光滑无毛刺，螺丝内嵌，安全不划手。炭烧工艺，户外防腐耐用。</w:t>
            </w:r>
          </w:p>
          <w:p w14:paraId="25D94E2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20.1个支架2规格尺寸：L600*W450*H450mm（±5mm）材质：新西兰无节疤松木，详细描述：整体采用优质的无节疤松木，表面光滑无毛刺，螺丝内嵌，安全不划手。炭烧工艺，户外防腐耐用。</w:t>
            </w:r>
          </w:p>
          <w:p w14:paraId="086A568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21.1个板车1规格尺寸：L800*W800*H50mm（±5mm）材质：新西兰无节疤松木，详细描述：整体采用优质的无节疤松木，表面光滑无毛刺，螺丝内嵌，安全不划手。底部两个定向轮、两个带锁万向轮。炭烧工艺，户外防腐耐用。</w:t>
            </w:r>
          </w:p>
          <w:p w14:paraId="1FDB9DF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22.1个板车2规格尺寸：L1000*W1000*H50mm（±5mm）材质：新西兰无节疤松木，详细描述：整体采用优质的无节疤松木，表面光滑无毛刺，螺丝内嵌，安全不划手。底部两个定向轮、两个带锁万向轮。炭烧工艺，户外防腐耐用。</w:t>
            </w:r>
          </w:p>
          <w:p w14:paraId="2D00327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23.1个滚筒1规格尺寸：L560*W560*H600（±5mm）,壁厚12mm材质：PP，详细描述：PP材质，环保耐用；承重大，耐抗压，圆滑打磨无毛刺。玩法多样，可钻爬，可站在上面平衡走，也可和方箱空洞连接，形成较长的钻爬通道。</w:t>
            </w:r>
          </w:p>
          <w:p w14:paraId="27978C3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24.1个滚筒2规格尺寸：L560*W560*H900（±5mm）,壁厚12mm材质：PP，详细描述：PP材质，环保耐用；承重大，耐抗压，圆滑打磨无毛刺。玩法多样，可钻爬，可站在上面平衡走，也可和方箱空洞连接，形成较长的钻爬通道。</w:t>
            </w:r>
          </w:p>
          <w:p w14:paraId="7EC876D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25.1个滚筒3规格尺寸：L630*W630*H600（±5mm）,壁厚12mm材质：PP，详细描述：PP材质，环保耐用；承重大，耐抗压，圆滑打磨无毛刺。玩法多样，可钻爬，可站在上面平衡走，也可和方箱空洞连接，形成较长的钻爬通道。</w:t>
            </w:r>
          </w:p>
          <w:p w14:paraId="4DCE627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26.1个滚筒4规格尺寸：L630*W630*H900（±5mm）,壁厚12mm材质：PP，详细描述：PP材质，环保耐用；承重大，耐抗压，圆滑打磨无毛刺。玩法多样，可钻爬，可站在上面平衡走，也可和方箱空洞连接，形成较长的钻爬通道。</w:t>
            </w:r>
          </w:p>
          <w:p w14:paraId="6705FF8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27.2套车轮1规格尺寸：L800*W300*H300mm（±5mm）材质：螺纹钢、橡胶，详细描述：双轴承，钢制骨架，实心橡胶轮，承重力大，结实耐用。可单独做滚轮游戏，可组合梯板进行游戏。还可以协助材料的运输。</w:t>
            </w:r>
          </w:p>
          <w:p w14:paraId="0E3712F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28.2套车轮2规格尺寸：L800*W600*H600mm（±5mm）材质：螺纹钢、橡胶，详细描述：双轴承，钢制骨架，实心橡胶轮，承重力大，结实耐用。可单独做滚轮游戏，可组合梯板进行游戏。还可以协助材料的运输。</w:t>
            </w:r>
          </w:p>
          <w:p w14:paraId="6321908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29.2个垫子1规格尺寸：L1600*W800*H100mm（±5mm）材质：牛津布+EPE，详细描述：表面为牛津布，耐磨损；内衬为环保EPE材质，高强缓冲、抗震能力强，保护幼儿不受伤害。</w:t>
            </w:r>
          </w:p>
          <w:p w14:paraId="4BCCA4E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30.2个垫子2规格尺寸：L2000*W1000*H100mm（±5mm）材质：牛津布+EPE，详细描述：表面为牛津布，耐磨损；内衬为环保EPE材质，高强缓冲、抗震能力强，保护幼儿不受伤害。</w:t>
            </w:r>
          </w:p>
          <w:p w14:paraId="79AAFFF4">
            <w:pPr>
              <w:pStyle w:val="10"/>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包括织合玛幼儿园1套</w:t>
            </w:r>
          </w:p>
        </w:tc>
        <w:tc>
          <w:tcPr>
            <w:tcW w:w="685" w:type="dxa"/>
            <w:vAlign w:val="center"/>
          </w:tcPr>
          <w:p w14:paraId="0F2BD3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12" w:type="dxa"/>
            <w:vAlign w:val="center"/>
          </w:tcPr>
          <w:p w14:paraId="4662AE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1DB7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0205" w:type="dxa"/>
            <w:gridSpan w:val="5"/>
            <w:vAlign w:val="center"/>
          </w:tcPr>
          <w:p w14:paraId="5BB7CE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龙门乡幼儿园</w:t>
            </w:r>
          </w:p>
        </w:tc>
      </w:tr>
      <w:tr w14:paraId="1DF7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50" w:hRule="atLeast"/>
          <w:jc w:val="center"/>
        </w:trPr>
        <w:tc>
          <w:tcPr>
            <w:tcW w:w="718" w:type="dxa"/>
            <w:vAlign w:val="center"/>
          </w:tcPr>
          <w:p w14:paraId="302121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209</w:t>
            </w:r>
          </w:p>
        </w:tc>
        <w:tc>
          <w:tcPr>
            <w:tcW w:w="1176" w:type="dxa"/>
            <w:vAlign w:val="center"/>
          </w:tcPr>
          <w:p w14:paraId="462370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户外收纳柜</w:t>
            </w:r>
          </w:p>
        </w:tc>
        <w:tc>
          <w:tcPr>
            <w:tcW w:w="6914" w:type="dxa"/>
            <w:vAlign w:val="center"/>
          </w:tcPr>
          <w:p w14:paraId="02EF382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1.规格：≥1400mm*700mm*1300mm（一层隔板）</w:t>
            </w:r>
          </w:p>
          <w:p w14:paraId="7FB2252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2.材质：金属蜂窝板+铝型材。</w:t>
            </w:r>
          </w:p>
          <w:p w14:paraId="74E3472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工艺：整体框架为铝型材，底板和内置隔板采用≥15mm金属蜂窝板，顶板、外围横板和竖板采用≥10mm金属蜂窝板，配件采用304不锈钢。板材整体经过除锈、除油、酸洗、磷化工艺后，采用热转印技术不褪色，耐磨度高。柜门为涂鸦板，表面油漆静电喷涂户外涂鸦漆。三角顶，需组装，带轮子。柜子整体组装便捷易于操作，内置隔板上下轨道式调节可拆卸。无异味，稳定性高，防水。柜门可涂鸦，可用普通粉笔、水性粉笔涂鸦。适合炭烧积木、游戏材料等小型玩具收纳。</w:t>
            </w:r>
          </w:p>
        </w:tc>
        <w:tc>
          <w:tcPr>
            <w:tcW w:w="685" w:type="dxa"/>
            <w:vAlign w:val="center"/>
          </w:tcPr>
          <w:p w14:paraId="23BE10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712" w:type="dxa"/>
            <w:vAlign w:val="center"/>
          </w:tcPr>
          <w:p w14:paraId="7B057D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676F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4" w:hRule="atLeast"/>
          <w:jc w:val="center"/>
        </w:trPr>
        <w:tc>
          <w:tcPr>
            <w:tcW w:w="718" w:type="dxa"/>
            <w:vAlign w:val="center"/>
          </w:tcPr>
          <w:p w14:paraId="5699D5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210</w:t>
            </w:r>
          </w:p>
        </w:tc>
        <w:tc>
          <w:tcPr>
            <w:tcW w:w="1176" w:type="dxa"/>
            <w:vAlign w:val="center"/>
          </w:tcPr>
          <w:p w14:paraId="221C49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室内洞洞板玩具</w:t>
            </w:r>
          </w:p>
        </w:tc>
        <w:tc>
          <w:tcPr>
            <w:tcW w:w="6914" w:type="dxa"/>
            <w:vAlign w:val="center"/>
          </w:tcPr>
          <w:p w14:paraId="63252F2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尺寸规格：墙面尺寸长≥6200mm× 高 1233mm​</w:t>
            </w:r>
          </w:p>
          <w:p w14:paraId="3C06BAC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一、积木墙板（4 款）​</w:t>
            </w:r>
          </w:p>
          <w:p w14:paraId="0B0017E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1.材质：密度板 + 安全塑料（2 款）、密度板 + 松木 + 安全塑料（2 款）​</w:t>
            </w:r>
          </w:p>
          <w:p w14:paraId="3624CF9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2.尺寸 &amp; 孔位：​</w:t>
            </w:r>
          </w:p>
          <w:p w14:paraId="606DA3D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a.384×384×8mm，576 个凸点（高 6mm）、144 个凹洞（直径 12mm）</w:t>
            </w:r>
          </w:p>
          <w:p w14:paraId="23D8364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b.384×192×8mm，288 个凸点、72 个凹洞（凸点 / 凹洞规格同上）​</w:t>
            </w:r>
          </w:p>
          <w:p w14:paraId="0C53F1E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c.1182×768×8mm，3456 个凸点、864 个凹洞（规格同上）​</w:t>
            </w:r>
          </w:p>
          <w:p w14:paraId="215ED4D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d.1152×768×8mm，3456 个凸点、864 个凹洞（规格同上）​</w:t>
            </w:r>
          </w:p>
          <w:p w14:paraId="2664D0A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3.功能：可灵活搭配墙面，一孔多玩（兼容乐高积木、洞洞板插件、螺丝等）​</w:t>
            </w:r>
          </w:p>
          <w:p w14:paraId="18EAF4F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二、积木收纳盒​</w:t>
            </w:r>
          </w:p>
          <w:p w14:paraId="4F839DF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1.尺寸：≥764×135×160mm​</w:t>
            </w:r>
          </w:p>
          <w:p w14:paraId="20AD5CA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2.材质：≥12mm 枫木纹双贴面胶合板（甲醛符合 GB/T39600-2021），木蜡油封边（符合 GB/T27811-2021）​</w:t>
            </w:r>
          </w:p>
          <w:p w14:paraId="57BDE03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配置：环保五金（符合 GB/T26572-2021），4mm 透明亚克力外挡板（符合 GB/T2410-2008）</w:t>
            </w:r>
          </w:p>
          <w:p w14:paraId="0B1164A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三、ABS 积木套装​</w:t>
            </w:r>
          </w:p>
          <w:p w14:paraId="5FB6DD0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1.核心配件：2 孔 / 4 孔 / 6 孔 / 8 孔积木、几何块、管道、滑道、螺丝、装饰件等​</w:t>
            </w:r>
          </w:p>
          <w:p w14:paraId="6E13E6B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2.主题包（各 8 款）：​</w:t>
            </w:r>
          </w:p>
          <w:p w14:paraId="27EC79A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快乐交通行、家庭生活、美丽公园、警察叔叔、不一样的建筑、海洋世界、趣味游乐园、赛龙舟​</w:t>
            </w:r>
          </w:p>
          <w:p w14:paraId="0CD598A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备注：含螺丝配件，建议搭配电动工具组（另购）​</w:t>
            </w:r>
          </w:p>
          <w:p w14:paraId="29EF410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四、电动工具组​</w:t>
            </w:r>
          </w:p>
          <w:p w14:paraId="2B2908D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1.材质：ABS​</w:t>
            </w:r>
          </w:p>
          <w:p w14:paraId="3917862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内含：十字 / 一字 / 内六角 / 外六角批头各 1 个、手柄 1 个、扳手 1 个、电枪 1 个</w:t>
            </w:r>
          </w:p>
          <w:p w14:paraId="7DFD72F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2.尺寸：批头≥16-18×52mm，手柄 φ≥30×72mm，扳手≥134×42×20mm​</w:t>
            </w:r>
          </w:p>
          <w:p w14:paraId="6928E54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五、卡通火车车厢（5 款）​</w:t>
            </w:r>
          </w:p>
          <w:p w14:paraId="5EB546D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1.材质：5mm 三聚氰胺贴面胶合板（甲醛符合 GB/T39600-2021）</w:t>
            </w:r>
          </w:p>
          <w:p w14:paraId="373E34E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2.工艺：UV 环保打印（符合 QB/T5603-2021），图案分别为水果、木材、砖块、蔬菜、动物</w:t>
            </w:r>
          </w:p>
          <w:p w14:paraId="3787627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3.尺寸：货箱≥1140×420-546×9mm，车轮≥1140×95×9mm</w:t>
            </w:r>
          </w:p>
        </w:tc>
        <w:tc>
          <w:tcPr>
            <w:tcW w:w="685" w:type="dxa"/>
            <w:vAlign w:val="center"/>
          </w:tcPr>
          <w:p w14:paraId="4C4964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05A007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45CA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8" w:hRule="atLeast"/>
          <w:jc w:val="center"/>
        </w:trPr>
        <w:tc>
          <w:tcPr>
            <w:tcW w:w="718" w:type="dxa"/>
            <w:vAlign w:val="center"/>
          </w:tcPr>
          <w:p w14:paraId="64B94C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211</w:t>
            </w:r>
          </w:p>
        </w:tc>
        <w:tc>
          <w:tcPr>
            <w:tcW w:w="1176" w:type="dxa"/>
            <w:vAlign w:val="center"/>
          </w:tcPr>
          <w:p w14:paraId="473C84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户外磁力片</w:t>
            </w:r>
          </w:p>
        </w:tc>
        <w:tc>
          <w:tcPr>
            <w:tcW w:w="6914" w:type="dxa"/>
            <w:vAlign w:val="center"/>
          </w:tcPr>
          <w:p w14:paraId="2E72212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 20 件/套；吹塑工艺搭配强磁吸力，材质：ABS+PE 塑料，颜色包括米色、咖色、灰色、透明蓝、透明绿、透明粉等颜色；至少包括以下配件：</w:t>
            </w:r>
          </w:p>
          <w:p w14:paraId="1563211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 正方形（空心）6件规格：≥360*360*22mm</w:t>
            </w:r>
          </w:p>
          <w:p w14:paraId="782F0CA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 正方形（带窗）6件规格：≥360*360*22mm</w:t>
            </w:r>
          </w:p>
          <w:p w14:paraId="7D51D8D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 三角形 4件 规格：≥290*330*22mm</w:t>
            </w:r>
          </w:p>
          <w:p w14:paraId="395D5FA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（4）大梯形 2件 规格：≥690*310*22mm</w:t>
            </w:r>
          </w:p>
          <w:p w14:paraId="7E0B771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（5）小车车身 2件规格：≥460*360*22mm</w:t>
            </w:r>
          </w:p>
          <w:p w14:paraId="6D7C192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（6）小车车轮 4件规格：直径≥150mm</w:t>
            </w:r>
          </w:p>
        </w:tc>
        <w:tc>
          <w:tcPr>
            <w:tcW w:w="685" w:type="dxa"/>
            <w:vAlign w:val="center"/>
          </w:tcPr>
          <w:p w14:paraId="53F915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12" w:type="dxa"/>
            <w:vAlign w:val="center"/>
          </w:tcPr>
          <w:p w14:paraId="59B558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495A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0205" w:type="dxa"/>
            <w:gridSpan w:val="5"/>
            <w:vAlign w:val="center"/>
          </w:tcPr>
          <w:p w14:paraId="1E9C38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织合玛幼儿园</w:t>
            </w:r>
          </w:p>
        </w:tc>
      </w:tr>
      <w:tr w14:paraId="0B7D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0E15CC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212</w:t>
            </w:r>
          </w:p>
        </w:tc>
        <w:tc>
          <w:tcPr>
            <w:tcW w:w="1176" w:type="dxa"/>
            <w:vAlign w:val="center"/>
          </w:tcPr>
          <w:p w14:paraId="1659E2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户外收纳柜</w:t>
            </w:r>
          </w:p>
        </w:tc>
        <w:tc>
          <w:tcPr>
            <w:tcW w:w="6914" w:type="dxa"/>
            <w:vAlign w:val="center"/>
          </w:tcPr>
          <w:p w14:paraId="3C2EB7F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1.规格：1400mm*700mm*1300mm（一层隔板）</w:t>
            </w:r>
          </w:p>
          <w:p w14:paraId="30CBDF7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2.材质：金属蜂窝板+铝型材。</w:t>
            </w:r>
          </w:p>
          <w:p w14:paraId="357FD22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3.工艺：整体框架为铝型材方柱：≥30×30mm，壁厚 ≥1.2mm，底板和内置隔板采用≥15mm金属蜂窝板，顶板、外围横板和竖板采用≥10mm金属蜂窝板，配件采用304不锈钢。板材整体经过除锈、除油、酸洗、磷化工艺后，采用热转印技术不褪色，耐磨度高。柜门为涂鸦板，表面油漆静电喷涂户外涂鸦漆。三角顶，需组装，带轮子。柜子整体组装便捷易于操作，内置隔板上下轨道式调节可拆卸。无异味，稳定性高，防水。柜门可涂鸦，可用普通粉笔、水性粉笔涂鸦。适合炭烧积木、游戏材料等小型玩具收纳。</w:t>
            </w:r>
          </w:p>
        </w:tc>
        <w:tc>
          <w:tcPr>
            <w:tcW w:w="685" w:type="dxa"/>
            <w:vAlign w:val="center"/>
          </w:tcPr>
          <w:p w14:paraId="73B17D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55450D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r w14:paraId="311F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749120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213</w:t>
            </w:r>
          </w:p>
        </w:tc>
        <w:tc>
          <w:tcPr>
            <w:tcW w:w="1176" w:type="dxa"/>
            <w:vAlign w:val="center"/>
          </w:tcPr>
          <w:p w14:paraId="4C4A6C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户外自行车</w:t>
            </w:r>
          </w:p>
        </w:tc>
        <w:tc>
          <w:tcPr>
            <w:tcW w:w="6914" w:type="dxa"/>
            <w:vAlign w:val="center"/>
          </w:tcPr>
          <w:p w14:paraId="21BFAC2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规格：≥1060*520*660mm,焊接采用氩弧焊及CO2气体保护焊。整体加工成型后经除油、除锈、中和、磷化、钝化、抛丸等前处理,表面经酸洗、除油、磷化、抛光后用塑粉进行双层喷涂处理。喷涂经过电脑烤房高温固化后，使其表面光滑、抗紫外线、抗锈能力、色彩鲜艳、不易脱落。</w:t>
            </w:r>
          </w:p>
        </w:tc>
        <w:tc>
          <w:tcPr>
            <w:tcW w:w="685" w:type="dxa"/>
            <w:vAlign w:val="center"/>
          </w:tcPr>
          <w:p w14:paraId="758581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24901E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r>
      <w:tr w14:paraId="6113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718" w:type="dxa"/>
            <w:vAlign w:val="center"/>
          </w:tcPr>
          <w:p w14:paraId="3962A0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214</w:t>
            </w:r>
          </w:p>
        </w:tc>
        <w:tc>
          <w:tcPr>
            <w:tcW w:w="1176" w:type="dxa"/>
            <w:vAlign w:val="center"/>
          </w:tcPr>
          <w:p w14:paraId="253AE0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儿童跨栏</w:t>
            </w:r>
          </w:p>
        </w:tc>
        <w:tc>
          <w:tcPr>
            <w:tcW w:w="6914" w:type="dxa"/>
            <w:vAlign w:val="center"/>
          </w:tcPr>
          <w:p w14:paraId="1852E05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1.调节高度：50mm-400mm 多档位可调</w:t>
            </w:r>
          </w:p>
          <w:p w14:paraId="2F81BF8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2.栏架宽度：≥800mm</w:t>
            </w:r>
          </w:p>
          <w:p w14:paraId="14EF263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3.底座尺寸：长≥50cm，宽≥30cm横杆规格：长度≥80cm，直径 3-5cm；</w:t>
            </w:r>
          </w:p>
          <w:p w14:paraId="4A2D46D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4.支架主体：优质环保 ABS 工程塑料 + 加厚 PVC 管，管壁厚度≥1.2mm，坚固耐用、抗冲击、不易碎裂，表面哑光磨砂处理，无反光、无异味、无毒无害；横杆（跨栏）：高密度 EVA 泡沫 </w:t>
            </w:r>
          </w:p>
        </w:tc>
        <w:tc>
          <w:tcPr>
            <w:tcW w:w="685" w:type="dxa"/>
            <w:vAlign w:val="center"/>
          </w:tcPr>
          <w:p w14:paraId="51EAA0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12" w:type="dxa"/>
            <w:vAlign w:val="center"/>
          </w:tcPr>
          <w:p w14:paraId="6ACBE5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r>
    </w:tbl>
    <w:p w14:paraId="5EC939DD">
      <w:pPr>
        <w:rPr>
          <w:rFonts w:hint="eastAsia" w:ascii="宋体" w:hAnsi="宋体" w:eastAsia="宋体" w:cs="宋体"/>
          <w:color w:val="auto"/>
        </w:rPr>
      </w:pPr>
    </w:p>
    <w:p w14:paraId="51609418">
      <w:pPr>
        <w:ind w:left="0" w:leftChars="0" w:firstLine="0" w:firstLineChars="0"/>
        <w:rPr>
          <w:rFonts w:hint="eastAsia" w:ascii="宋体" w:hAnsi="宋体" w:eastAsia="宋体" w:cs="宋体"/>
          <w:color w:val="auto"/>
          <w:lang w:val="en-US" w:eastAsia="zh-CN"/>
        </w:rPr>
      </w:pPr>
    </w:p>
    <w:sectPr>
      <w:footerReference r:id="rId11"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Himalaya0">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F76A0">
    <w:pPr>
      <w:pStyle w:val="16"/>
      <w:ind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4AFEA">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44AFEA">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09709">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2D05B">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60A3C">
    <w:pPr>
      <w:pStyle w:val="16"/>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E7A222">
                          <w:pPr>
                            <w:snapToGrid w:val="0"/>
                            <w:ind w:firstLine="36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53</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6E7A222">
                    <w:pPr>
                      <w:snapToGrid w:val="0"/>
                      <w:ind w:firstLine="36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53</w:t>
                    </w:r>
                    <w:r>
                      <w:rPr>
                        <w:sz w:val="18"/>
                      </w:rPr>
                      <w:fldChar w:fldCharType="end"/>
                    </w:r>
                    <w:r>
                      <w:rPr>
                        <w:sz w:val="18"/>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06BB2">
    <w:pPr>
      <w:pStyle w:val="17"/>
      <w:pBdr>
        <w:bottom w:val="none" w:color="auto" w:sz="0" w:space="1"/>
      </w:pBdr>
      <w:ind w:firstLine="0" w:firstLineChars="0"/>
      <w:rPr>
        <w:rFonts w:hint="eastAsia" w:eastAsia="宋体"/>
        <w:b/>
        <w:bCs/>
        <w:lang w:eastAsia="zh-CN"/>
      </w:rPr>
    </w:pPr>
    <w:r>
      <w:rPr>
        <w:rFonts w:hint="eastAsia" w:ascii="宋体" w:hAnsi="宋体" w:eastAsia="宋体" w:cs="宋体"/>
        <w:b/>
        <w:bCs/>
        <w:sz w:val="21"/>
        <w:szCs w:val="21"/>
        <w:u w:val="single"/>
        <w:lang w:eastAsia="zh-CN"/>
      </w:rPr>
      <w:t>青海鼎钊招标代理有限公司</w:t>
    </w:r>
    <w:r>
      <w:rPr>
        <w:rFonts w:hint="eastAsia" w:ascii="宋体" w:hAnsi="宋体" w:eastAsia="宋体" w:cs="宋体"/>
        <w:b/>
        <w:bCs/>
        <w:sz w:val="21"/>
        <w:szCs w:val="21"/>
        <w:u w:val="single"/>
      </w:rPr>
      <w:t xml:space="preserve">磋商文件 </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u w:val="single"/>
      </w:rPr>
      <w:t xml:space="preserve">   </w:t>
    </w:r>
    <w:r>
      <w:rPr>
        <w:rFonts w:hint="eastAsia" w:ascii="宋体" w:hAnsi="宋体" w:eastAsia="宋体" w:cs="宋体"/>
        <w:b/>
        <w:bCs/>
        <w:sz w:val="21"/>
        <w:szCs w:val="21"/>
        <w:u w:val="single"/>
        <w:lang w:eastAsia="zh-CN"/>
      </w:rPr>
      <w:t>青海鼎钊竞磋（货物）2026-023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5A727">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98804">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lvlText w:val="（%3）"/>
      <w:lvlJc w:val="left"/>
      <w:pPr>
        <w:ind w:left="850" w:firstLine="0"/>
      </w:pPr>
      <w:rPr>
        <w:rFonts w:hint="eastAsia"/>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66"/>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561F52B1"/>
    <w:multiLevelType w:val="singleLevel"/>
    <w:tmpl w:val="561F52B1"/>
    <w:lvl w:ilvl="0" w:tentative="0">
      <w:start w:val="1"/>
      <w:numFmt w:val="decimal"/>
      <w:suff w:val="nothing"/>
      <w:lvlText w:val="%1"/>
      <w:lvlJc w:val="left"/>
      <w:pPr>
        <w:tabs>
          <w:tab w:val="left" w:pos="0"/>
        </w:tabs>
        <w:ind w:left="0" w:firstLine="0"/>
      </w:pPr>
      <w:rPr>
        <w:rFonts w:hint="default"/>
      </w:rPr>
    </w:lvl>
  </w:abstractNum>
  <w:abstractNum w:abstractNumId="2">
    <w:nsid w:val="5CBE2E39"/>
    <w:multiLevelType w:val="multilevel"/>
    <w:tmpl w:val="5CBE2E3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3">
    <w:nsid w:val="7E280B9B"/>
    <w:multiLevelType w:val="multilevel"/>
    <w:tmpl w:val="7E280B9B"/>
    <w:lvl w:ilvl="0" w:tentative="0">
      <w:start w:val="1"/>
      <w:numFmt w:val="chineseCountingThousand"/>
      <w:pStyle w:val="65"/>
      <w:suff w:val="space"/>
      <w:lvlText w:val="第%1章 "/>
      <w:lvlJc w:val="left"/>
      <w:pPr>
        <w:ind w:left="0" w:firstLine="0"/>
      </w:pPr>
      <w:rPr>
        <w:rFonts w:hint="eastAsia"/>
        <w:b/>
        <w:sz w:val="44"/>
      </w:rPr>
    </w:lvl>
    <w:lvl w:ilvl="1" w:tentative="0">
      <w:start w:val="1"/>
      <w:numFmt w:val="decimal"/>
      <w:isLgl/>
      <w:suff w:val="space"/>
      <w:lvlText w:val="%1.%2 "/>
      <w:lvlJc w:val="left"/>
      <w:pPr>
        <w:ind w:left="0" w:firstLine="0"/>
      </w:pPr>
      <w:rPr>
        <w:rFonts w:hint="default" w:ascii="Times New Roman" w:hAnsi="Times New Roman"/>
      </w:rPr>
    </w:lvl>
    <w:lvl w:ilvl="2" w:tentative="0">
      <w:start w:val="1"/>
      <w:numFmt w:val="decimal"/>
      <w:pStyle w:val="62"/>
      <w:isLgl/>
      <w:suff w:val="space"/>
      <w:lvlText w:val="%1.%2.%3 "/>
      <w:lvlJc w:val="left"/>
      <w:pPr>
        <w:ind w:left="0" w:firstLine="0"/>
      </w:pPr>
      <w:rPr>
        <w:rFonts w:hint="eastAsia"/>
      </w:rPr>
    </w:lvl>
    <w:lvl w:ilvl="3" w:tentative="0">
      <w:start w:val="1"/>
      <w:numFmt w:val="decimal"/>
      <w:isLgl/>
      <w:suff w:val="space"/>
      <w:lvlText w:val="%1.%2.%3.%4 "/>
      <w:lvlJc w:val="left"/>
      <w:pPr>
        <w:ind w:left="0" w:firstLine="0"/>
      </w:pPr>
      <w:rPr>
        <w:rFonts w:hint="eastAsia" w:ascii="Times New Roman" w:hAnsi="Times New Roman" w:cs="Times New Roman"/>
        <w:b/>
        <w:i w:val="0"/>
        <w:iCs w:val="0"/>
        <w:caps w:val="0"/>
        <w:smallCaps w:val="0"/>
        <w:strike w:val="0"/>
        <w:dstrike w:val="0"/>
        <w:vanish w:val="0"/>
        <w:color w:val="000000"/>
        <w:spacing w:val="0"/>
        <w:position w:val="0"/>
        <w:u w:val="none"/>
        <w:vertAlign w:val="baseline"/>
      </w:rPr>
    </w:lvl>
    <w:lvl w:ilvl="4" w:tentative="0">
      <w:start w:val="1"/>
      <w:numFmt w:val="decimal"/>
      <w:isLgl/>
      <w:suff w:val="space"/>
      <w:lvlText w:val="%1.%2.%3.%4.%5 "/>
      <w:lvlJc w:val="left"/>
      <w:pPr>
        <w:ind w:left="0" w:firstLine="0"/>
      </w:pPr>
      <w:rPr>
        <w:rFonts w:hint="eastAsia"/>
      </w:rPr>
    </w:lvl>
    <w:lvl w:ilvl="5" w:tentative="0">
      <w:start w:val="1"/>
      <w:numFmt w:val="decimal"/>
      <w:suff w:val="space"/>
      <w:lvlText w:val="%1.%2.%3.%4.%5.%6"/>
      <w:lvlJc w:val="left"/>
      <w:pPr>
        <w:ind w:left="0" w:firstLine="0"/>
      </w:pPr>
      <w:rPr>
        <w:rFonts w:hint="default" w:ascii="Times New Roman" w:hAnsi="Times New Roman" w:cs="Times New Roman"/>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default" w:ascii="Times New Roman" w:hAnsi="Times New Roman" w:cs="Times New Roman"/>
      </w:rPr>
    </w:lvl>
    <w:lvl w:ilvl="8" w:tentative="0">
      <w:start w:val="1"/>
      <w:numFmt w:val="decimal"/>
      <w:suff w:val="space"/>
      <w:lvlText w:val="%1.%2.%3.%4.%5.%6.%7.%8.%9"/>
      <w:lvlJc w:val="left"/>
      <w:pPr>
        <w:ind w:left="0" w:firstLine="0"/>
      </w:pPr>
      <w:rPr>
        <w:rFonts w:hint="default" w:ascii="Times New Roman" w:hAnsi="Times New Roman"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jYTkzMTk0NmI0ODFjNGUxMGVmYTUwNmZkODlkMzcifQ=="/>
  </w:docVars>
  <w:rsids>
    <w:rsidRoot w:val="6F3A01D0"/>
    <w:rsid w:val="000118A6"/>
    <w:rsid w:val="00013654"/>
    <w:rsid w:val="0002117A"/>
    <w:rsid w:val="0002561E"/>
    <w:rsid w:val="00052A18"/>
    <w:rsid w:val="00072C34"/>
    <w:rsid w:val="00084997"/>
    <w:rsid w:val="000C024B"/>
    <w:rsid w:val="000E5D71"/>
    <w:rsid w:val="000E7B1F"/>
    <w:rsid w:val="0011729F"/>
    <w:rsid w:val="0012307D"/>
    <w:rsid w:val="001315D9"/>
    <w:rsid w:val="00133387"/>
    <w:rsid w:val="001377A9"/>
    <w:rsid w:val="00150EAD"/>
    <w:rsid w:val="00155351"/>
    <w:rsid w:val="001629C6"/>
    <w:rsid w:val="00182E6C"/>
    <w:rsid w:val="001A2968"/>
    <w:rsid w:val="001A4716"/>
    <w:rsid w:val="001C66E0"/>
    <w:rsid w:val="001D4206"/>
    <w:rsid w:val="001D5FB4"/>
    <w:rsid w:val="001F0F21"/>
    <w:rsid w:val="001F1D2C"/>
    <w:rsid w:val="00215AA4"/>
    <w:rsid w:val="002235CA"/>
    <w:rsid w:val="00225378"/>
    <w:rsid w:val="00240F35"/>
    <w:rsid w:val="00245594"/>
    <w:rsid w:val="00250239"/>
    <w:rsid w:val="00270BE1"/>
    <w:rsid w:val="00292BAB"/>
    <w:rsid w:val="00296707"/>
    <w:rsid w:val="002974FD"/>
    <w:rsid w:val="002C5D0F"/>
    <w:rsid w:val="002F47FF"/>
    <w:rsid w:val="0031380D"/>
    <w:rsid w:val="003471E1"/>
    <w:rsid w:val="00384B9C"/>
    <w:rsid w:val="003A4DB8"/>
    <w:rsid w:val="003B2DA2"/>
    <w:rsid w:val="003D3384"/>
    <w:rsid w:val="003E2E64"/>
    <w:rsid w:val="003F417C"/>
    <w:rsid w:val="003F5F2A"/>
    <w:rsid w:val="00411CA3"/>
    <w:rsid w:val="00423C6D"/>
    <w:rsid w:val="004479E5"/>
    <w:rsid w:val="0046375D"/>
    <w:rsid w:val="004672B9"/>
    <w:rsid w:val="00485657"/>
    <w:rsid w:val="004953A6"/>
    <w:rsid w:val="004B48CF"/>
    <w:rsid w:val="004D6899"/>
    <w:rsid w:val="004E2959"/>
    <w:rsid w:val="005214EA"/>
    <w:rsid w:val="00535E7A"/>
    <w:rsid w:val="005539A0"/>
    <w:rsid w:val="005714C6"/>
    <w:rsid w:val="005A7208"/>
    <w:rsid w:val="00612345"/>
    <w:rsid w:val="00615EA1"/>
    <w:rsid w:val="00627E6B"/>
    <w:rsid w:val="00641E35"/>
    <w:rsid w:val="00643BE3"/>
    <w:rsid w:val="00672070"/>
    <w:rsid w:val="0067722F"/>
    <w:rsid w:val="00692FA7"/>
    <w:rsid w:val="0069744B"/>
    <w:rsid w:val="006A72B0"/>
    <w:rsid w:val="006D0CE9"/>
    <w:rsid w:val="00702588"/>
    <w:rsid w:val="00703122"/>
    <w:rsid w:val="007076D2"/>
    <w:rsid w:val="00724552"/>
    <w:rsid w:val="00726300"/>
    <w:rsid w:val="00732078"/>
    <w:rsid w:val="00733E26"/>
    <w:rsid w:val="00755DF0"/>
    <w:rsid w:val="00766F94"/>
    <w:rsid w:val="00773916"/>
    <w:rsid w:val="007756C4"/>
    <w:rsid w:val="007810B8"/>
    <w:rsid w:val="0078143C"/>
    <w:rsid w:val="0078768E"/>
    <w:rsid w:val="007958E0"/>
    <w:rsid w:val="00796EA1"/>
    <w:rsid w:val="007A1658"/>
    <w:rsid w:val="007A3406"/>
    <w:rsid w:val="007C717F"/>
    <w:rsid w:val="007D4296"/>
    <w:rsid w:val="007E4CA5"/>
    <w:rsid w:val="007F6BB6"/>
    <w:rsid w:val="008102F1"/>
    <w:rsid w:val="00816543"/>
    <w:rsid w:val="00844285"/>
    <w:rsid w:val="00852A28"/>
    <w:rsid w:val="008555F9"/>
    <w:rsid w:val="00883F7A"/>
    <w:rsid w:val="0089540A"/>
    <w:rsid w:val="008B1170"/>
    <w:rsid w:val="008D4EE8"/>
    <w:rsid w:val="008E2A0E"/>
    <w:rsid w:val="008F6EB2"/>
    <w:rsid w:val="009224FE"/>
    <w:rsid w:val="00977B14"/>
    <w:rsid w:val="0098388D"/>
    <w:rsid w:val="009A13B3"/>
    <w:rsid w:val="009B76F9"/>
    <w:rsid w:val="009E70F5"/>
    <w:rsid w:val="009F2E6D"/>
    <w:rsid w:val="00A16BE5"/>
    <w:rsid w:val="00A22D1A"/>
    <w:rsid w:val="00A32A0F"/>
    <w:rsid w:val="00A43B3E"/>
    <w:rsid w:val="00A566D5"/>
    <w:rsid w:val="00A91E23"/>
    <w:rsid w:val="00A97848"/>
    <w:rsid w:val="00AA5E84"/>
    <w:rsid w:val="00AD10E6"/>
    <w:rsid w:val="00AD558A"/>
    <w:rsid w:val="00AE4E5E"/>
    <w:rsid w:val="00AE5A2B"/>
    <w:rsid w:val="00B06E28"/>
    <w:rsid w:val="00B102E6"/>
    <w:rsid w:val="00B11A45"/>
    <w:rsid w:val="00B206C6"/>
    <w:rsid w:val="00B20DF2"/>
    <w:rsid w:val="00B22BA0"/>
    <w:rsid w:val="00B46918"/>
    <w:rsid w:val="00B52690"/>
    <w:rsid w:val="00B87A8B"/>
    <w:rsid w:val="00B92181"/>
    <w:rsid w:val="00BC757B"/>
    <w:rsid w:val="00BF38EA"/>
    <w:rsid w:val="00BF52BD"/>
    <w:rsid w:val="00BF706B"/>
    <w:rsid w:val="00C12DE3"/>
    <w:rsid w:val="00C36B5B"/>
    <w:rsid w:val="00C9289D"/>
    <w:rsid w:val="00CA6102"/>
    <w:rsid w:val="00CB2BF0"/>
    <w:rsid w:val="00CC0711"/>
    <w:rsid w:val="00CD79DA"/>
    <w:rsid w:val="00D01278"/>
    <w:rsid w:val="00D14A56"/>
    <w:rsid w:val="00D348C5"/>
    <w:rsid w:val="00D36480"/>
    <w:rsid w:val="00D40D69"/>
    <w:rsid w:val="00D656C9"/>
    <w:rsid w:val="00D728E7"/>
    <w:rsid w:val="00D743B5"/>
    <w:rsid w:val="00DA5C53"/>
    <w:rsid w:val="00DB20F7"/>
    <w:rsid w:val="00DC7C1D"/>
    <w:rsid w:val="00DE3995"/>
    <w:rsid w:val="00E0770D"/>
    <w:rsid w:val="00E13486"/>
    <w:rsid w:val="00E22C49"/>
    <w:rsid w:val="00E24720"/>
    <w:rsid w:val="00E30687"/>
    <w:rsid w:val="00E3393D"/>
    <w:rsid w:val="00E61DC5"/>
    <w:rsid w:val="00EB1BD5"/>
    <w:rsid w:val="00EB4D82"/>
    <w:rsid w:val="00EB60B2"/>
    <w:rsid w:val="00EC00DE"/>
    <w:rsid w:val="00EF5BA2"/>
    <w:rsid w:val="00F10486"/>
    <w:rsid w:val="00F117C3"/>
    <w:rsid w:val="00F1191B"/>
    <w:rsid w:val="00F211EF"/>
    <w:rsid w:val="00F431B9"/>
    <w:rsid w:val="00F51708"/>
    <w:rsid w:val="00F55858"/>
    <w:rsid w:val="00F618B9"/>
    <w:rsid w:val="00F66F31"/>
    <w:rsid w:val="00F9257D"/>
    <w:rsid w:val="00FB4547"/>
    <w:rsid w:val="00FC6311"/>
    <w:rsid w:val="00FE1942"/>
    <w:rsid w:val="01011432"/>
    <w:rsid w:val="010230D8"/>
    <w:rsid w:val="01057174"/>
    <w:rsid w:val="010A6538"/>
    <w:rsid w:val="01116B14"/>
    <w:rsid w:val="01145609"/>
    <w:rsid w:val="01154EDD"/>
    <w:rsid w:val="0116312F"/>
    <w:rsid w:val="011B0745"/>
    <w:rsid w:val="011B6997"/>
    <w:rsid w:val="011E1FE4"/>
    <w:rsid w:val="01225D05"/>
    <w:rsid w:val="01227D26"/>
    <w:rsid w:val="012375FA"/>
    <w:rsid w:val="012670EA"/>
    <w:rsid w:val="0127533C"/>
    <w:rsid w:val="012C04F8"/>
    <w:rsid w:val="012C71CA"/>
    <w:rsid w:val="012D2227"/>
    <w:rsid w:val="012D5BC8"/>
    <w:rsid w:val="01301DA6"/>
    <w:rsid w:val="01303AC5"/>
    <w:rsid w:val="01317F69"/>
    <w:rsid w:val="01320281"/>
    <w:rsid w:val="01336206"/>
    <w:rsid w:val="013435B5"/>
    <w:rsid w:val="013637D1"/>
    <w:rsid w:val="013730A5"/>
    <w:rsid w:val="01396E1E"/>
    <w:rsid w:val="013A605E"/>
    <w:rsid w:val="013B0DE8"/>
    <w:rsid w:val="013C147D"/>
    <w:rsid w:val="013C246A"/>
    <w:rsid w:val="013D4B60"/>
    <w:rsid w:val="013E2686"/>
    <w:rsid w:val="013E4434"/>
    <w:rsid w:val="013F696E"/>
    <w:rsid w:val="01401F5A"/>
    <w:rsid w:val="01437C9C"/>
    <w:rsid w:val="014527E0"/>
    <w:rsid w:val="014622CC"/>
    <w:rsid w:val="014632E9"/>
    <w:rsid w:val="0147778C"/>
    <w:rsid w:val="014B08FF"/>
    <w:rsid w:val="014D4677"/>
    <w:rsid w:val="014F219D"/>
    <w:rsid w:val="01510BEF"/>
    <w:rsid w:val="01510D83"/>
    <w:rsid w:val="015123B9"/>
    <w:rsid w:val="01521C8D"/>
    <w:rsid w:val="01527EDF"/>
    <w:rsid w:val="01527FF8"/>
    <w:rsid w:val="01536978"/>
    <w:rsid w:val="01543C57"/>
    <w:rsid w:val="01545A05"/>
    <w:rsid w:val="0156177E"/>
    <w:rsid w:val="01583748"/>
    <w:rsid w:val="015E6884"/>
    <w:rsid w:val="0160084E"/>
    <w:rsid w:val="016320EC"/>
    <w:rsid w:val="016519C1"/>
    <w:rsid w:val="01652246"/>
    <w:rsid w:val="01655E65"/>
    <w:rsid w:val="016814B1"/>
    <w:rsid w:val="016A6FD7"/>
    <w:rsid w:val="016C2D4F"/>
    <w:rsid w:val="016D6AC7"/>
    <w:rsid w:val="01710365"/>
    <w:rsid w:val="01761E20"/>
    <w:rsid w:val="01785B98"/>
    <w:rsid w:val="01787946"/>
    <w:rsid w:val="017936BE"/>
    <w:rsid w:val="017B2F92"/>
    <w:rsid w:val="017D4F5C"/>
    <w:rsid w:val="017E0CD4"/>
    <w:rsid w:val="017E2A82"/>
    <w:rsid w:val="017E6F26"/>
    <w:rsid w:val="0180098F"/>
    <w:rsid w:val="018067FB"/>
    <w:rsid w:val="01814321"/>
    <w:rsid w:val="01822573"/>
    <w:rsid w:val="01826A17"/>
    <w:rsid w:val="0183453D"/>
    <w:rsid w:val="018C1895"/>
    <w:rsid w:val="018C33F1"/>
    <w:rsid w:val="018D702F"/>
    <w:rsid w:val="018E53BB"/>
    <w:rsid w:val="018E7169"/>
    <w:rsid w:val="018F2EE2"/>
    <w:rsid w:val="0192652E"/>
    <w:rsid w:val="01973B44"/>
    <w:rsid w:val="01987FE8"/>
    <w:rsid w:val="019B3634"/>
    <w:rsid w:val="019E3125"/>
    <w:rsid w:val="01A22C15"/>
    <w:rsid w:val="01A3073B"/>
    <w:rsid w:val="01A52705"/>
    <w:rsid w:val="01A544B3"/>
    <w:rsid w:val="01A56261"/>
    <w:rsid w:val="01A7022B"/>
    <w:rsid w:val="01A7647D"/>
    <w:rsid w:val="01AA1AC9"/>
    <w:rsid w:val="01AA7D1B"/>
    <w:rsid w:val="01AC27C5"/>
    <w:rsid w:val="01AC75F0"/>
    <w:rsid w:val="01AD5116"/>
    <w:rsid w:val="01AE3368"/>
    <w:rsid w:val="01B15800"/>
    <w:rsid w:val="01B16C90"/>
    <w:rsid w:val="01B34E22"/>
    <w:rsid w:val="01B42948"/>
    <w:rsid w:val="01B42A40"/>
    <w:rsid w:val="01B464A4"/>
    <w:rsid w:val="01B6046E"/>
    <w:rsid w:val="01B666C0"/>
    <w:rsid w:val="01B85F94"/>
    <w:rsid w:val="01B91D0C"/>
    <w:rsid w:val="01BB3CD7"/>
    <w:rsid w:val="01BB5A85"/>
    <w:rsid w:val="01BC2907"/>
    <w:rsid w:val="01BC2913"/>
    <w:rsid w:val="01BD2358"/>
    <w:rsid w:val="01BD35AB"/>
    <w:rsid w:val="01BD7A4F"/>
    <w:rsid w:val="01BE7323"/>
    <w:rsid w:val="01BE7E04"/>
    <w:rsid w:val="01C052F5"/>
    <w:rsid w:val="01C26E13"/>
    <w:rsid w:val="01C40DDD"/>
    <w:rsid w:val="01C42B8B"/>
    <w:rsid w:val="01C506B1"/>
    <w:rsid w:val="01C761D7"/>
    <w:rsid w:val="01C80EB6"/>
    <w:rsid w:val="01C81F50"/>
    <w:rsid w:val="01C82346"/>
    <w:rsid w:val="01C901A1"/>
    <w:rsid w:val="01CA216C"/>
    <w:rsid w:val="01CA5CC8"/>
    <w:rsid w:val="01CC5EE4"/>
    <w:rsid w:val="01CD0ADA"/>
    <w:rsid w:val="01CE57B8"/>
    <w:rsid w:val="01CF1530"/>
    <w:rsid w:val="01CF32DE"/>
    <w:rsid w:val="01D036F5"/>
    <w:rsid w:val="01D134FA"/>
    <w:rsid w:val="01D534BA"/>
    <w:rsid w:val="01D60B10"/>
    <w:rsid w:val="01D6494A"/>
    <w:rsid w:val="01D86637"/>
    <w:rsid w:val="01D95F0B"/>
    <w:rsid w:val="01DA5A10"/>
    <w:rsid w:val="01DB7ED5"/>
    <w:rsid w:val="01DD1E9F"/>
    <w:rsid w:val="01E0373D"/>
    <w:rsid w:val="01E054EB"/>
    <w:rsid w:val="01E07299"/>
    <w:rsid w:val="01E21263"/>
    <w:rsid w:val="01E2462E"/>
    <w:rsid w:val="01E31806"/>
    <w:rsid w:val="01E4322D"/>
    <w:rsid w:val="01E52B01"/>
    <w:rsid w:val="01E66FA5"/>
    <w:rsid w:val="01E758CF"/>
    <w:rsid w:val="01E90844"/>
    <w:rsid w:val="01EB45BC"/>
    <w:rsid w:val="01EC20E2"/>
    <w:rsid w:val="01EC3E90"/>
    <w:rsid w:val="01EF572E"/>
    <w:rsid w:val="01F25C02"/>
    <w:rsid w:val="01F3521E"/>
    <w:rsid w:val="01F63F34"/>
    <w:rsid w:val="01F64D0F"/>
    <w:rsid w:val="01F80A87"/>
    <w:rsid w:val="01F9035B"/>
    <w:rsid w:val="01FA47FF"/>
    <w:rsid w:val="01FA65AD"/>
    <w:rsid w:val="01FB40D3"/>
    <w:rsid w:val="01FD7E4B"/>
    <w:rsid w:val="01FE5971"/>
    <w:rsid w:val="01FF0067"/>
    <w:rsid w:val="01FF3BC3"/>
    <w:rsid w:val="02005B8D"/>
    <w:rsid w:val="02016EA2"/>
    <w:rsid w:val="02021905"/>
    <w:rsid w:val="02025461"/>
    <w:rsid w:val="0204567E"/>
    <w:rsid w:val="0204742C"/>
    <w:rsid w:val="02056778"/>
    <w:rsid w:val="02056D00"/>
    <w:rsid w:val="02067366"/>
    <w:rsid w:val="02070CCA"/>
    <w:rsid w:val="02083813"/>
    <w:rsid w:val="02091B6C"/>
    <w:rsid w:val="020A4567"/>
    <w:rsid w:val="020B6A0C"/>
    <w:rsid w:val="020C62E0"/>
    <w:rsid w:val="02104022"/>
    <w:rsid w:val="02111B48"/>
    <w:rsid w:val="021555D4"/>
    <w:rsid w:val="02161284"/>
    <w:rsid w:val="02182ED7"/>
    <w:rsid w:val="021C29C7"/>
    <w:rsid w:val="021D04ED"/>
    <w:rsid w:val="02201D8C"/>
    <w:rsid w:val="0224187C"/>
    <w:rsid w:val="022655F4"/>
    <w:rsid w:val="02271EF3"/>
    <w:rsid w:val="02296E92"/>
    <w:rsid w:val="022A49B8"/>
    <w:rsid w:val="022A4D1F"/>
    <w:rsid w:val="022C6982"/>
    <w:rsid w:val="022D6BD4"/>
    <w:rsid w:val="022E26FA"/>
    <w:rsid w:val="022E65D5"/>
    <w:rsid w:val="0236335D"/>
    <w:rsid w:val="023A109F"/>
    <w:rsid w:val="023C4E17"/>
    <w:rsid w:val="023D46EC"/>
    <w:rsid w:val="023F0464"/>
    <w:rsid w:val="024141DC"/>
    <w:rsid w:val="02421D02"/>
    <w:rsid w:val="02427F54"/>
    <w:rsid w:val="02443CCC"/>
    <w:rsid w:val="02467A44"/>
    <w:rsid w:val="0247556A"/>
    <w:rsid w:val="02477318"/>
    <w:rsid w:val="024912E2"/>
    <w:rsid w:val="02493090"/>
    <w:rsid w:val="024B505A"/>
    <w:rsid w:val="024B6E08"/>
    <w:rsid w:val="024C0DD3"/>
    <w:rsid w:val="024C492F"/>
    <w:rsid w:val="024D764E"/>
    <w:rsid w:val="025161A5"/>
    <w:rsid w:val="025263E9"/>
    <w:rsid w:val="02533F0F"/>
    <w:rsid w:val="02555DE0"/>
    <w:rsid w:val="0256755B"/>
    <w:rsid w:val="025832D3"/>
    <w:rsid w:val="02587777"/>
    <w:rsid w:val="02594608"/>
    <w:rsid w:val="025A529E"/>
    <w:rsid w:val="025B5D93"/>
    <w:rsid w:val="025C1016"/>
    <w:rsid w:val="026003DA"/>
    <w:rsid w:val="02624152"/>
    <w:rsid w:val="02647ECA"/>
    <w:rsid w:val="026659F0"/>
    <w:rsid w:val="02671768"/>
    <w:rsid w:val="02685C0C"/>
    <w:rsid w:val="02694478"/>
    <w:rsid w:val="026B3007"/>
    <w:rsid w:val="026B74AB"/>
    <w:rsid w:val="026C6D7F"/>
    <w:rsid w:val="026D3223"/>
    <w:rsid w:val="026E6F9B"/>
    <w:rsid w:val="02753E85"/>
    <w:rsid w:val="027A5940"/>
    <w:rsid w:val="027A76EE"/>
    <w:rsid w:val="027C5214"/>
    <w:rsid w:val="02804CA5"/>
    <w:rsid w:val="02810A7C"/>
    <w:rsid w:val="028400AC"/>
    <w:rsid w:val="0285730E"/>
    <w:rsid w:val="0288005D"/>
    <w:rsid w:val="028916DF"/>
    <w:rsid w:val="02895B83"/>
    <w:rsid w:val="028C11CF"/>
    <w:rsid w:val="028E3199"/>
    <w:rsid w:val="028E4F47"/>
    <w:rsid w:val="029167E5"/>
    <w:rsid w:val="02963DFC"/>
    <w:rsid w:val="0297204E"/>
    <w:rsid w:val="02985DC6"/>
    <w:rsid w:val="029A7D90"/>
    <w:rsid w:val="029C7664"/>
    <w:rsid w:val="029D1A04"/>
    <w:rsid w:val="029F20F0"/>
    <w:rsid w:val="029F7154"/>
    <w:rsid w:val="02A14C7A"/>
    <w:rsid w:val="02A429BD"/>
    <w:rsid w:val="02A4476B"/>
    <w:rsid w:val="02A468E7"/>
    <w:rsid w:val="02A62291"/>
    <w:rsid w:val="02A76009"/>
    <w:rsid w:val="02A8425B"/>
    <w:rsid w:val="02AB3D4B"/>
    <w:rsid w:val="02AB5AF9"/>
    <w:rsid w:val="02AD7AC3"/>
    <w:rsid w:val="02B0310F"/>
    <w:rsid w:val="02B250DA"/>
    <w:rsid w:val="02B349AE"/>
    <w:rsid w:val="02B413CC"/>
    <w:rsid w:val="02B7624C"/>
    <w:rsid w:val="02B80216"/>
    <w:rsid w:val="02B81FC4"/>
    <w:rsid w:val="02B90933"/>
    <w:rsid w:val="02BA3AFD"/>
    <w:rsid w:val="02BD75DA"/>
    <w:rsid w:val="02BE3A7E"/>
    <w:rsid w:val="02BE582C"/>
    <w:rsid w:val="02BF3353"/>
    <w:rsid w:val="02BF390E"/>
    <w:rsid w:val="02C10E79"/>
    <w:rsid w:val="02C170CB"/>
    <w:rsid w:val="02C32E43"/>
    <w:rsid w:val="02C40969"/>
    <w:rsid w:val="02C46BBB"/>
    <w:rsid w:val="02C60B85"/>
    <w:rsid w:val="02C7057E"/>
    <w:rsid w:val="02C866AB"/>
    <w:rsid w:val="02C92162"/>
    <w:rsid w:val="02C95F7F"/>
    <w:rsid w:val="02CB1CF7"/>
    <w:rsid w:val="02CB7F49"/>
    <w:rsid w:val="02CC4A94"/>
    <w:rsid w:val="02CD5A6F"/>
    <w:rsid w:val="02D037B2"/>
    <w:rsid w:val="02D0730E"/>
    <w:rsid w:val="02D23086"/>
    <w:rsid w:val="02D50DC8"/>
    <w:rsid w:val="02D52B76"/>
    <w:rsid w:val="02D63F9B"/>
    <w:rsid w:val="02D7069C"/>
    <w:rsid w:val="02D775F9"/>
    <w:rsid w:val="02D92666"/>
    <w:rsid w:val="02DA1F3A"/>
    <w:rsid w:val="02DA63DE"/>
    <w:rsid w:val="02DC2156"/>
    <w:rsid w:val="02DD1A2B"/>
    <w:rsid w:val="02DE7C7D"/>
    <w:rsid w:val="02E01C47"/>
    <w:rsid w:val="02E334E5"/>
    <w:rsid w:val="02E35293"/>
    <w:rsid w:val="02E5725D"/>
    <w:rsid w:val="02E828A9"/>
    <w:rsid w:val="02EB239A"/>
    <w:rsid w:val="02ED1C6E"/>
    <w:rsid w:val="02EE3C38"/>
    <w:rsid w:val="02EF1E8A"/>
    <w:rsid w:val="02F05C02"/>
    <w:rsid w:val="02F30994"/>
    <w:rsid w:val="02F474A0"/>
    <w:rsid w:val="02F53218"/>
    <w:rsid w:val="02F54FC6"/>
    <w:rsid w:val="02FA25DD"/>
    <w:rsid w:val="02FB6B16"/>
    <w:rsid w:val="02FC0103"/>
    <w:rsid w:val="02FC45A7"/>
    <w:rsid w:val="02FE20CD"/>
    <w:rsid w:val="02FE3E7B"/>
    <w:rsid w:val="02FF7BF3"/>
    <w:rsid w:val="030516AD"/>
    <w:rsid w:val="0305345B"/>
    <w:rsid w:val="03060F17"/>
    <w:rsid w:val="03060F81"/>
    <w:rsid w:val="03062D2F"/>
    <w:rsid w:val="03087568"/>
    <w:rsid w:val="03092820"/>
    <w:rsid w:val="030E7E36"/>
    <w:rsid w:val="030F6088"/>
    <w:rsid w:val="03101E00"/>
    <w:rsid w:val="03127926"/>
    <w:rsid w:val="031356B6"/>
    <w:rsid w:val="0314369E"/>
    <w:rsid w:val="03165668"/>
    <w:rsid w:val="03192A63"/>
    <w:rsid w:val="03194519"/>
    <w:rsid w:val="031C2553"/>
    <w:rsid w:val="031E276F"/>
    <w:rsid w:val="031E62CB"/>
    <w:rsid w:val="031F3DF1"/>
    <w:rsid w:val="0321413B"/>
    <w:rsid w:val="03217B69"/>
    <w:rsid w:val="03237D85"/>
    <w:rsid w:val="0324162C"/>
    <w:rsid w:val="03247659"/>
    <w:rsid w:val="03252ABC"/>
    <w:rsid w:val="03261624"/>
    <w:rsid w:val="032633D2"/>
    <w:rsid w:val="0328143D"/>
    <w:rsid w:val="032928CD"/>
    <w:rsid w:val="032B09E8"/>
    <w:rsid w:val="033124A2"/>
    <w:rsid w:val="03315320"/>
    <w:rsid w:val="03323B24"/>
    <w:rsid w:val="0334789D"/>
    <w:rsid w:val="03373831"/>
    <w:rsid w:val="03391357"/>
    <w:rsid w:val="03393105"/>
    <w:rsid w:val="033A0C2B"/>
    <w:rsid w:val="033B50CF"/>
    <w:rsid w:val="033B6E7D"/>
    <w:rsid w:val="033D3914"/>
    <w:rsid w:val="0341020B"/>
    <w:rsid w:val="03457CFC"/>
    <w:rsid w:val="034D6BB0"/>
    <w:rsid w:val="034F2928"/>
    <w:rsid w:val="0351139A"/>
    <w:rsid w:val="0351626D"/>
    <w:rsid w:val="035166A0"/>
    <w:rsid w:val="035241C7"/>
    <w:rsid w:val="03561459"/>
    <w:rsid w:val="03563CB7"/>
    <w:rsid w:val="035A307B"/>
    <w:rsid w:val="035B12CD"/>
    <w:rsid w:val="035C5045"/>
    <w:rsid w:val="035C6FE2"/>
    <w:rsid w:val="036068E4"/>
    <w:rsid w:val="0361440A"/>
    <w:rsid w:val="03630182"/>
    <w:rsid w:val="03634626"/>
    <w:rsid w:val="0365214C"/>
    <w:rsid w:val="03655CA8"/>
    <w:rsid w:val="036C34DA"/>
    <w:rsid w:val="036F2FCB"/>
    <w:rsid w:val="0370464D"/>
    <w:rsid w:val="037140C7"/>
    <w:rsid w:val="03726617"/>
    <w:rsid w:val="0374238F"/>
    <w:rsid w:val="037A0CE5"/>
    <w:rsid w:val="037B196F"/>
    <w:rsid w:val="037C7496"/>
    <w:rsid w:val="037E6D6A"/>
    <w:rsid w:val="0381685A"/>
    <w:rsid w:val="0383077C"/>
    <w:rsid w:val="038500F8"/>
    <w:rsid w:val="038721C4"/>
    <w:rsid w:val="03875E1C"/>
    <w:rsid w:val="038976A5"/>
    <w:rsid w:val="038A1BB2"/>
    <w:rsid w:val="038B270C"/>
    <w:rsid w:val="038C76D9"/>
    <w:rsid w:val="038D16A3"/>
    <w:rsid w:val="038D51FF"/>
    <w:rsid w:val="03914CEF"/>
    <w:rsid w:val="03920A67"/>
    <w:rsid w:val="03921B3D"/>
    <w:rsid w:val="03962305"/>
    <w:rsid w:val="03966D7D"/>
    <w:rsid w:val="03994855"/>
    <w:rsid w:val="039D18E6"/>
    <w:rsid w:val="039E565E"/>
    <w:rsid w:val="039E57AB"/>
    <w:rsid w:val="03A013D6"/>
    <w:rsid w:val="03A21632"/>
    <w:rsid w:val="03A32AC2"/>
    <w:rsid w:val="03A74512"/>
    <w:rsid w:val="03A8028B"/>
    <w:rsid w:val="03AB26E4"/>
    <w:rsid w:val="03AC1C47"/>
    <w:rsid w:val="03AD58A1"/>
    <w:rsid w:val="03AD764F"/>
    <w:rsid w:val="03AE3AF3"/>
    <w:rsid w:val="03AF33C7"/>
    <w:rsid w:val="03B10EED"/>
    <w:rsid w:val="03B15391"/>
    <w:rsid w:val="03B1713F"/>
    <w:rsid w:val="03B629A7"/>
    <w:rsid w:val="03B7227C"/>
    <w:rsid w:val="03B804CE"/>
    <w:rsid w:val="03BA5E36"/>
    <w:rsid w:val="03BD5AE4"/>
    <w:rsid w:val="03BE185C"/>
    <w:rsid w:val="03C07382"/>
    <w:rsid w:val="03C2759E"/>
    <w:rsid w:val="03C30C20"/>
    <w:rsid w:val="03C70711"/>
    <w:rsid w:val="03CC5D27"/>
    <w:rsid w:val="03CD1A9F"/>
    <w:rsid w:val="03CE5F43"/>
    <w:rsid w:val="03D270B5"/>
    <w:rsid w:val="03D418F0"/>
    <w:rsid w:val="03D42E2E"/>
    <w:rsid w:val="03D472D2"/>
    <w:rsid w:val="03D52D80"/>
    <w:rsid w:val="03D64DF8"/>
    <w:rsid w:val="03D66BA6"/>
    <w:rsid w:val="03D746CC"/>
    <w:rsid w:val="03D92B91"/>
    <w:rsid w:val="03D96696"/>
    <w:rsid w:val="03DB0660"/>
    <w:rsid w:val="03DE5572"/>
    <w:rsid w:val="03E05C76"/>
    <w:rsid w:val="03E11322"/>
    <w:rsid w:val="03E219EE"/>
    <w:rsid w:val="03E2379C"/>
    <w:rsid w:val="03E33071"/>
    <w:rsid w:val="03E4284F"/>
    <w:rsid w:val="03E47515"/>
    <w:rsid w:val="03E5328D"/>
    <w:rsid w:val="03E80687"/>
    <w:rsid w:val="03E94B2B"/>
    <w:rsid w:val="03EA08A3"/>
    <w:rsid w:val="03EC461B"/>
    <w:rsid w:val="03EE2141"/>
    <w:rsid w:val="03EE251F"/>
    <w:rsid w:val="03EE3EEF"/>
    <w:rsid w:val="03EF1A15"/>
    <w:rsid w:val="03F02558"/>
    <w:rsid w:val="03F139E8"/>
    <w:rsid w:val="03F37758"/>
    <w:rsid w:val="03F41C04"/>
    <w:rsid w:val="03F434D0"/>
    <w:rsid w:val="03F4702C"/>
    <w:rsid w:val="03F60FF6"/>
    <w:rsid w:val="03F86B1C"/>
    <w:rsid w:val="03FD4132"/>
    <w:rsid w:val="03FE4B5C"/>
    <w:rsid w:val="04001E75"/>
    <w:rsid w:val="04021749"/>
    <w:rsid w:val="0402799B"/>
    <w:rsid w:val="04036024"/>
    <w:rsid w:val="04041965"/>
    <w:rsid w:val="04051239"/>
    <w:rsid w:val="04074FB1"/>
    <w:rsid w:val="04082AD7"/>
    <w:rsid w:val="040D00EE"/>
    <w:rsid w:val="040D7310"/>
    <w:rsid w:val="04114510"/>
    <w:rsid w:val="04114C92"/>
    <w:rsid w:val="041616A2"/>
    <w:rsid w:val="041D47D5"/>
    <w:rsid w:val="041F6A66"/>
    <w:rsid w:val="04237D48"/>
    <w:rsid w:val="04247911"/>
    <w:rsid w:val="04253689"/>
    <w:rsid w:val="042711AF"/>
    <w:rsid w:val="04277401"/>
    <w:rsid w:val="04283AB7"/>
    <w:rsid w:val="042954EE"/>
    <w:rsid w:val="042A6EF2"/>
    <w:rsid w:val="042C0EBC"/>
    <w:rsid w:val="042E69E2"/>
    <w:rsid w:val="042F4508"/>
    <w:rsid w:val="042F62B6"/>
    <w:rsid w:val="04310E7B"/>
    <w:rsid w:val="0431202E"/>
    <w:rsid w:val="043164D2"/>
    <w:rsid w:val="0433379B"/>
    <w:rsid w:val="04333FF8"/>
    <w:rsid w:val="04336868"/>
    <w:rsid w:val="04351B1E"/>
    <w:rsid w:val="04365896"/>
    <w:rsid w:val="04374A3F"/>
    <w:rsid w:val="043833BC"/>
    <w:rsid w:val="04385E02"/>
    <w:rsid w:val="0438617D"/>
    <w:rsid w:val="04387860"/>
    <w:rsid w:val="04390EE3"/>
    <w:rsid w:val="043A125E"/>
    <w:rsid w:val="043A35D9"/>
    <w:rsid w:val="043B4C5B"/>
    <w:rsid w:val="043D4E77"/>
    <w:rsid w:val="043D741E"/>
    <w:rsid w:val="04406715"/>
    <w:rsid w:val="0442423B"/>
    <w:rsid w:val="04425FE9"/>
    <w:rsid w:val="04446205"/>
    <w:rsid w:val="04447FB3"/>
    <w:rsid w:val="0445187F"/>
    <w:rsid w:val="04455AD9"/>
    <w:rsid w:val="044862E4"/>
    <w:rsid w:val="044B7594"/>
    <w:rsid w:val="044C2EB2"/>
    <w:rsid w:val="044C330C"/>
    <w:rsid w:val="044E0E32"/>
    <w:rsid w:val="0451447E"/>
    <w:rsid w:val="045301F6"/>
    <w:rsid w:val="04531FA4"/>
    <w:rsid w:val="04536448"/>
    <w:rsid w:val="04545D1C"/>
    <w:rsid w:val="04561A95"/>
    <w:rsid w:val="04567CE7"/>
    <w:rsid w:val="045A0087"/>
    <w:rsid w:val="045A1585"/>
    <w:rsid w:val="045A6946"/>
    <w:rsid w:val="045C354F"/>
    <w:rsid w:val="045F4DED"/>
    <w:rsid w:val="045F6B9B"/>
    <w:rsid w:val="04610B65"/>
    <w:rsid w:val="04620439"/>
    <w:rsid w:val="046248DD"/>
    <w:rsid w:val="046264FB"/>
    <w:rsid w:val="0466662A"/>
    <w:rsid w:val="04673CA2"/>
    <w:rsid w:val="04675A50"/>
    <w:rsid w:val="0468068C"/>
    <w:rsid w:val="04695C6C"/>
    <w:rsid w:val="046A1F3F"/>
    <w:rsid w:val="046B19E4"/>
    <w:rsid w:val="046C12B8"/>
    <w:rsid w:val="046E3282"/>
    <w:rsid w:val="046E6DDE"/>
    <w:rsid w:val="04702B56"/>
    <w:rsid w:val="04706FFA"/>
    <w:rsid w:val="04714B20"/>
    <w:rsid w:val="047311A6"/>
    <w:rsid w:val="04732647"/>
    <w:rsid w:val="04762137"/>
    <w:rsid w:val="04763EE5"/>
    <w:rsid w:val="04770A3F"/>
    <w:rsid w:val="047A1C27"/>
    <w:rsid w:val="047C599F"/>
    <w:rsid w:val="047D34C5"/>
    <w:rsid w:val="047F71D1"/>
    <w:rsid w:val="04812FB5"/>
    <w:rsid w:val="0482288A"/>
    <w:rsid w:val="04835B52"/>
    <w:rsid w:val="04842AA6"/>
    <w:rsid w:val="04844854"/>
    <w:rsid w:val="04853043"/>
    <w:rsid w:val="04874344"/>
    <w:rsid w:val="048900BC"/>
    <w:rsid w:val="048B5BE2"/>
    <w:rsid w:val="048D17D5"/>
    <w:rsid w:val="048D195A"/>
    <w:rsid w:val="048E122E"/>
    <w:rsid w:val="048E7480"/>
    <w:rsid w:val="049251C3"/>
    <w:rsid w:val="04932CE9"/>
    <w:rsid w:val="0495080F"/>
    <w:rsid w:val="04956A61"/>
    <w:rsid w:val="04965641"/>
    <w:rsid w:val="049727D9"/>
    <w:rsid w:val="04977050"/>
    <w:rsid w:val="049802FF"/>
    <w:rsid w:val="04985EBF"/>
    <w:rsid w:val="049A07F0"/>
    <w:rsid w:val="049C1B9D"/>
    <w:rsid w:val="049D76C3"/>
    <w:rsid w:val="049F168E"/>
    <w:rsid w:val="049F343C"/>
    <w:rsid w:val="04A10F62"/>
    <w:rsid w:val="04A15406"/>
    <w:rsid w:val="04A70542"/>
    <w:rsid w:val="04A9250C"/>
    <w:rsid w:val="04A942BA"/>
    <w:rsid w:val="04A96068"/>
    <w:rsid w:val="04AC792F"/>
    <w:rsid w:val="04AE18D1"/>
    <w:rsid w:val="04AE7B23"/>
    <w:rsid w:val="04B05649"/>
    <w:rsid w:val="04B2316F"/>
    <w:rsid w:val="04B35139"/>
    <w:rsid w:val="04B62533"/>
    <w:rsid w:val="04B844FD"/>
    <w:rsid w:val="04B96B96"/>
    <w:rsid w:val="04BA5343"/>
    <w:rsid w:val="04BC223F"/>
    <w:rsid w:val="04BC3FEE"/>
    <w:rsid w:val="04BD1B14"/>
    <w:rsid w:val="04C048E2"/>
    <w:rsid w:val="04C11604"/>
    <w:rsid w:val="04C2712A"/>
    <w:rsid w:val="04C335CE"/>
    <w:rsid w:val="04CA354D"/>
    <w:rsid w:val="04CC57D8"/>
    <w:rsid w:val="04CD61FB"/>
    <w:rsid w:val="04CE5ACF"/>
    <w:rsid w:val="04D01847"/>
    <w:rsid w:val="04D05CEB"/>
    <w:rsid w:val="04D330E5"/>
    <w:rsid w:val="04D550AF"/>
    <w:rsid w:val="04D56E5D"/>
    <w:rsid w:val="04D94B9F"/>
    <w:rsid w:val="04DD5D12"/>
    <w:rsid w:val="04E2157A"/>
    <w:rsid w:val="04E238DD"/>
    <w:rsid w:val="04E43544"/>
    <w:rsid w:val="04E452F2"/>
    <w:rsid w:val="04E60F50"/>
    <w:rsid w:val="04E70360"/>
    <w:rsid w:val="04E946B7"/>
    <w:rsid w:val="04EA6DAD"/>
    <w:rsid w:val="04ED064B"/>
    <w:rsid w:val="04F03492"/>
    <w:rsid w:val="04F217BD"/>
    <w:rsid w:val="04F33787"/>
    <w:rsid w:val="04F449E4"/>
    <w:rsid w:val="04F512AE"/>
    <w:rsid w:val="04F76DD4"/>
    <w:rsid w:val="04F82B4C"/>
    <w:rsid w:val="04F96FF0"/>
    <w:rsid w:val="04FA68C4"/>
    <w:rsid w:val="04FE45A9"/>
    <w:rsid w:val="04FE4606"/>
    <w:rsid w:val="05017C52"/>
    <w:rsid w:val="050242AD"/>
    <w:rsid w:val="05031C1C"/>
    <w:rsid w:val="05033049"/>
    <w:rsid w:val="050339CA"/>
    <w:rsid w:val="050444D9"/>
    <w:rsid w:val="05047743"/>
    <w:rsid w:val="0506170D"/>
    <w:rsid w:val="050634BB"/>
    <w:rsid w:val="05080FE1"/>
    <w:rsid w:val="050B17DB"/>
    <w:rsid w:val="050E411D"/>
    <w:rsid w:val="050F05C1"/>
    <w:rsid w:val="051060E7"/>
    <w:rsid w:val="0511784E"/>
    <w:rsid w:val="05123C0E"/>
    <w:rsid w:val="051313FD"/>
    <w:rsid w:val="05137986"/>
    <w:rsid w:val="05143E2A"/>
    <w:rsid w:val="05145BD8"/>
    <w:rsid w:val="05191440"/>
    <w:rsid w:val="0519269E"/>
    <w:rsid w:val="051A0D14"/>
    <w:rsid w:val="051A51B8"/>
    <w:rsid w:val="051E6A56"/>
    <w:rsid w:val="052027CE"/>
    <w:rsid w:val="052120A3"/>
    <w:rsid w:val="05216546"/>
    <w:rsid w:val="05263B5D"/>
    <w:rsid w:val="0526590B"/>
    <w:rsid w:val="05294D64"/>
    <w:rsid w:val="052971A9"/>
    <w:rsid w:val="052D4EEB"/>
    <w:rsid w:val="052D6C99"/>
    <w:rsid w:val="053176DB"/>
    <w:rsid w:val="053242B0"/>
    <w:rsid w:val="05340028"/>
    <w:rsid w:val="05341E77"/>
    <w:rsid w:val="053472A6"/>
    <w:rsid w:val="05355B4E"/>
    <w:rsid w:val="053860C7"/>
    <w:rsid w:val="05391C88"/>
    <w:rsid w:val="05393890"/>
    <w:rsid w:val="053973EC"/>
    <w:rsid w:val="053C512E"/>
    <w:rsid w:val="053E0EA6"/>
    <w:rsid w:val="053E1F1A"/>
    <w:rsid w:val="053F69CD"/>
    <w:rsid w:val="05404C1F"/>
    <w:rsid w:val="05412FEB"/>
    <w:rsid w:val="054162A1"/>
    <w:rsid w:val="0543026B"/>
    <w:rsid w:val="05432019"/>
    <w:rsid w:val="05453FE3"/>
    <w:rsid w:val="05465FAD"/>
    <w:rsid w:val="05467D5B"/>
    <w:rsid w:val="054A66AA"/>
    <w:rsid w:val="054B5371"/>
    <w:rsid w:val="054B711F"/>
    <w:rsid w:val="054D2E98"/>
    <w:rsid w:val="054D733B"/>
    <w:rsid w:val="054E09BE"/>
    <w:rsid w:val="054F3EAE"/>
    <w:rsid w:val="05502988"/>
    <w:rsid w:val="05504736"/>
    <w:rsid w:val="055204AE"/>
    <w:rsid w:val="05545FD4"/>
    <w:rsid w:val="05551D4C"/>
    <w:rsid w:val="05557F9E"/>
    <w:rsid w:val="05575AC4"/>
    <w:rsid w:val="0558322B"/>
    <w:rsid w:val="055A7363"/>
    <w:rsid w:val="055B3806"/>
    <w:rsid w:val="055C132D"/>
    <w:rsid w:val="055C30DB"/>
    <w:rsid w:val="055E32F7"/>
    <w:rsid w:val="055F2BCB"/>
    <w:rsid w:val="05636384"/>
    <w:rsid w:val="05656433"/>
    <w:rsid w:val="056703FD"/>
    <w:rsid w:val="05687CD1"/>
    <w:rsid w:val="056A57F8"/>
    <w:rsid w:val="056C7424"/>
    <w:rsid w:val="056D353A"/>
    <w:rsid w:val="056D52E8"/>
    <w:rsid w:val="056F1060"/>
    <w:rsid w:val="057051D0"/>
    <w:rsid w:val="05706B86"/>
    <w:rsid w:val="057219FE"/>
    <w:rsid w:val="05726DA2"/>
    <w:rsid w:val="05747309"/>
    <w:rsid w:val="0575419C"/>
    <w:rsid w:val="05777F14"/>
    <w:rsid w:val="057B5C57"/>
    <w:rsid w:val="057B7A05"/>
    <w:rsid w:val="057F6DC9"/>
    <w:rsid w:val="058014BF"/>
    <w:rsid w:val="0580501B"/>
    <w:rsid w:val="0581047D"/>
    <w:rsid w:val="05832D5D"/>
    <w:rsid w:val="05852631"/>
    <w:rsid w:val="05864661"/>
    <w:rsid w:val="05882122"/>
    <w:rsid w:val="058A7C48"/>
    <w:rsid w:val="058B39C0"/>
    <w:rsid w:val="058D14E6"/>
    <w:rsid w:val="058D598A"/>
    <w:rsid w:val="058D7738"/>
    <w:rsid w:val="05900FD6"/>
    <w:rsid w:val="05920F04"/>
    <w:rsid w:val="05924D4E"/>
    <w:rsid w:val="059377A0"/>
    <w:rsid w:val="05941421"/>
    <w:rsid w:val="05946D18"/>
    <w:rsid w:val="05962A91"/>
    <w:rsid w:val="05997E8B"/>
    <w:rsid w:val="059C797B"/>
    <w:rsid w:val="059E7B97"/>
    <w:rsid w:val="05A056BD"/>
    <w:rsid w:val="05A0746B"/>
    <w:rsid w:val="05A54A82"/>
    <w:rsid w:val="05A56137"/>
    <w:rsid w:val="05A827C4"/>
    <w:rsid w:val="05A86320"/>
    <w:rsid w:val="05AA02EA"/>
    <w:rsid w:val="05AB5E10"/>
    <w:rsid w:val="05AB7BBE"/>
    <w:rsid w:val="05AC4062"/>
    <w:rsid w:val="05AF2BC5"/>
    <w:rsid w:val="05AF5900"/>
    <w:rsid w:val="05B146DA"/>
    <w:rsid w:val="05B20F4D"/>
    <w:rsid w:val="05B253F0"/>
    <w:rsid w:val="05B60A3D"/>
    <w:rsid w:val="05B64EE1"/>
    <w:rsid w:val="05B84FE4"/>
    <w:rsid w:val="05BB24F7"/>
    <w:rsid w:val="05BC1DCB"/>
    <w:rsid w:val="05BD220F"/>
    <w:rsid w:val="05BE3D95"/>
    <w:rsid w:val="05C07B0D"/>
    <w:rsid w:val="05C173E2"/>
    <w:rsid w:val="05C25634"/>
    <w:rsid w:val="05C34B4B"/>
    <w:rsid w:val="05C355B4"/>
    <w:rsid w:val="05C35A7E"/>
    <w:rsid w:val="05C50C80"/>
    <w:rsid w:val="05C72C4A"/>
    <w:rsid w:val="05CC0260"/>
    <w:rsid w:val="05CD5D86"/>
    <w:rsid w:val="05CF1AFF"/>
    <w:rsid w:val="05CF5FA2"/>
    <w:rsid w:val="05D15877"/>
    <w:rsid w:val="05D215EF"/>
    <w:rsid w:val="05D26895"/>
    <w:rsid w:val="05D45367"/>
    <w:rsid w:val="05D62E8D"/>
    <w:rsid w:val="05D84E57"/>
    <w:rsid w:val="05DC421B"/>
    <w:rsid w:val="05DE1D42"/>
    <w:rsid w:val="05E01F5E"/>
    <w:rsid w:val="05E05ABA"/>
    <w:rsid w:val="05E25CD6"/>
    <w:rsid w:val="05E337FC"/>
    <w:rsid w:val="05E7509A"/>
    <w:rsid w:val="05E80ABB"/>
    <w:rsid w:val="05E82BC0"/>
    <w:rsid w:val="05EA2DDC"/>
    <w:rsid w:val="05EA4B8A"/>
    <w:rsid w:val="05EC0902"/>
    <w:rsid w:val="05ED01D7"/>
    <w:rsid w:val="05EF21A1"/>
    <w:rsid w:val="05EF48CA"/>
    <w:rsid w:val="05F17CC7"/>
    <w:rsid w:val="05F438D3"/>
    <w:rsid w:val="05F6454F"/>
    <w:rsid w:val="05F81055"/>
    <w:rsid w:val="05FB28F4"/>
    <w:rsid w:val="05FD2B10"/>
    <w:rsid w:val="05FD48BE"/>
    <w:rsid w:val="05FD666C"/>
    <w:rsid w:val="05FE0636"/>
    <w:rsid w:val="06007F0A"/>
    <w:rsid w:val="06016913"/>
    <w:rsid w:val="06020126"/>
    <w:rsid w:val="06023C82"/>
    <w:rsid w:val="060317A8"/>
    <w:rsid w:val="06033F82"/>
    <w:rsid w:val="06035C4C"/>
    <w:rsid w:val="060379FA"/>
    <w:rsid w:val="06045CA9"/>
    <w:rsid w:val="060519C4"/>
    <w:rsid w:val="06053772"/>
    <w:rsid w:val="0607573C"/>
    <w:rsid w:val="060914B4"/>
    <w:rsid w:val="060C6775"/>
    <w:rsid w:val="060D1346"/>
    <w:rsid w:val="060E7803"/>
    <w:rsid w:val="06110369"/>
    <w:rsid w:val="061351B8"/>
    <w:rsid w:val="061439B5"/>
    <w:rsid w:val="06147E59"/>
    <w:rsid w:val="061614DB"/>
    <w:rsid w:val="06163BD1"/>
    <w:rsid w:val="061648DA"/>
    <w:rsid w:val="06172BAF"/>
    <w:rsid w:val="061816F7"/>
    <w:rsid w:val="06183793"/>
    <w:rsid w:val="061A5470"/>
    <w:rsid w:val="061D286A"/>
    <w:rsid w:val="061E4834"/>
    <w:rsid w:val="061E65E2"/>
    <w:rsid w:val="061F2A86"/>
    <w:rsid w:val="062005AC"/>
    <w:rsid w:val="062067FE"/>
    <w:rsid w:val="06231E4A"/>
    <w:rsid w:val="0624521C"/>
    <w:rsid w:val="062642F5"/>
    <w:rsid w:val="0628480D"/>
    <w:rsid w:val="06287461"/>
    <w:rsid w:val="062C0CFF"/>
    <w:rsid w:val="062C51A3"/>
    <w:rsid w:val="062C6F51"/>
    <w:rsid w:val="062E067F"/>
    <w:rsid w:val="062E21C6"/>
    <w:rsid w:val="062E2CC9"/>
    <w:rsid w:val="062E46EC"/>
    <w:rsid w:val="06316315"/>
    <w:rsid w:val="06320490"/>
    <w:rsid w:val="06344057"/>
    <w:rsid w:val="06345E06"/>
    <w:rsid w:val="0636392C"/>
    <w:rsid w:val="063876A4"/>
    <w:rsid w:val="0639166E"/>
    <w:rsid w:val="063B3638"/>
    <w:rsid w:val="063F4ED6"/>
    <w:rsid w:val="064029FC"/>
    <w:rsid w:val="06423681"/>
    <w:rsid w:val="06432B56"/>
    <w:rsid w:val="0644429B"/>
    <w:rsid w:val="06450013"/>
    <w:rsid w:val="06497B03"/>
    <w:rsid w:val="064A5629"/>
    <w:rsid w:val="064C13A1"/>
    <w:rsid w:val="064C75F3"/>
    <w:rsid w:val="064D67D9"/>
    <w:rsid w:val="064F2C3F"/>
    <w:rsid w:val="06500E91"/>
    <w:rsid w:val="06530982"/>
    <w:rsid w:val="065564A8"/>
    <w:rsid w:val="065B3392"/>
    <w:rsid w:val="065D35AE"/>
    <w:rsid w:val="06620BC5"/>
    <w:rsid w:val="06622973"/>
    <w:rsid w:val="0664493D"/>
    <w:rsid w:val="066606B5"/>
    <w:rsid w:val="0667442D"/>
    <w:rsid w:val="066C1A43"/>
    <w:rsid w:val="066D1AB1"/>
    <w:rsid w:val="066E5B12"/>
    <w:rsid w:val="066E7451"/>
    <w:rsid w:val="066F5090"/>
    <w:rsid w:val="06736DB3"/>
    <w:rsid w:val="067508F8"/>
    <w:rsid w:val="067526A6"/>
    <w:rsid w:val="06764670"/>
    <w:rsid w:val="0676641E"/>
    <w:rsid w:val="067B3A34"/>
    <w:rsid w:val="067B57E2"/>
    <w:rsid w:val="067D2A36"/>
    <w:rsid w:val="0680104B"/>
    <w:rsid w:val="06823015"/>
    <w:rsid w:val="06824DC3"/>
    <w:rsid w:val="06826B71"/>
    <w:rsid w:val="06847D38"/>
    <w:rsid w:val="06856661"/>
    <w:rsid w:val="06874187"/>
    <w:rsid w:val="068766B9"/>
    <w:rsid w:val="068943A3"/>
    <w:rsid w:val="068B011B"/>
    <w:rsid w:val="068B1EC9"/>
    <w:rsid w:val="068E3768"/>
    <w:rsid w:val="068F128E"/>
    <w:rsid w:val="06905732"/>
    <w:rsid w:val="069074E0"/>
    <w:rsid w:val="06910EAC"/>
    <w:rsid w:val="069114AA"/>
    <w:rsid w:val="06935222"/>
    <w:rsid w:val="069845E6"/>
    <w:rsid w:val="069A035E"/>
    <w:rsid w:val="069D39AB"/>
    <w:rsid w:val="06A05249"/>
    <w:rsid w:val="06A07511"/>
    <w:rsid w:val="06A20FC1"/>
    <w:rsid w:val="06A5009F"/>
    <w:rsid w:val="06A905A2"/>
    <w:rsid w:val="06AC1E40"/>
    <w:rsid w:val="06B17456"/>
    <w:rsid w:val="06B238FA"/>
    <w:rsid w:val="06B502A7"/>
    <w:rsid w:val="06B50CF4"/>
    <w:rsid w:val="06B56F46"/>
    <w:rsid w:val="06B84C89"/>
    <w:rsid w:val="06BC4E35"/>
    <w:rsid w:val="06BC55A9"/>
    <w:rsid w:val="06BD229F"/>
    <w:rsid w:val="06BF6017"/>
    <w:rsid w:val="06C13B3D"/>
    <w:rsid w:val="06C158EB"/>
    <w:rsid w:val="06C21663"/>
    <w:rsid w:val="06C453DB"/>
    <w:rsid w:val="06C61153"/>
    <w:rsid w:val="06C618DB"/>
    <w:rsid w:val="06C62285"/>
    <w:rsid w:val="06C76C7A"/>
    <w:rsid w:val="06C84AC8"/>
    <w:rsid w:val="06C929F2"/>
    <w:rsid w:val="06CA103D"/>
    <w:rsid w:val="06CB49BC"/>
    <w:rsid w:val="06CC603E"/>
    <w:rsid w:val="06CF7A92"/>
    <w:rsid w:val="06D3561E"/>
    <w:rsid w:val="06D600B1"/>
    <w:rsid w:val="06D870D9"/>
    <w:rsid w:val="06D95240"/>
    <w:rsid w:val="06DA075B"/>
    <w:rsid w:val="06DB44D3"/>
    <w:rsid w:val="06DC3451"/>
    <w:rsid w:val="06DF2215"/>
    <w:rsid w:val="06DF5D71"/>
    <w:rsid w:val="06E11AE9"/>
    <w:rsid w:val="06E23AB3"/>
    <w:rsid w:val="06E33324"/>
    <w:rsid w:val="06E45A7E"/>
    <w:rsid w:val="06E4782C"/>
    <w:rsid w:val="06E53EE3"/>
    <w:rsid w:val="06E60815"/>
    <w:rsid w:val="06E635A4"/>
    <w:rsid w:val="06E67100"/>
    <w:rsid w:val="06E72E78"/>
    <w:rsid w:val="06E93094"/>
    <w:rsid w:val="06E96BF0"/>
    <w:rsid w:val="06EC048E"/>
    <w:rsid w:val="06ED4932"/>
    <w:rsid w:val="06EE030C"/>
    <w:rsid w:val="06EE06AA"/>
    <w:rsid w:val="06F3181D"/>
    <w:rsid w:val="06F55595"/>
    <w:rsid w:val="06F56A16"/>
    <w:rsid w:val="06F7755F"/>
    <w:rsid w:val="06FB073A"/>
    <w:rsid w:val="0701257B"/>
    <w:rsid w:val="070457D8"/>
    <w:rsid w:val="07047ECE"/>
    <w:rsid w:val="070677A2"/>
    <w:rsid w:val="070752C8"/>
    <w:rsid w:val="07077B4E"/>
    <w:rsid w:val="0708351A"/>
    <w:rsid w:val="07083BAF"/>
    <w:rsid w:val="07091040"/>
    <w:rsid w:val="070B4DB8"/>
    <w:rsid w:val="070B6B66"/>
    <w:rsid w:val="070C39C0"/>
    <w:rsid w:val="070D4E50"/>
    <w:rsid w:val="070E6657"/>
    <w:rsid w:val="071023CF"/>
    <w:rsid w:val="071137D1"/>
    <w:rsid w:val="07117EF5"/>
    <w:rsid w:val="07124399"/>
    <w:rsid w:val="07155C37"/>
    <w:rsid w:val="07177C01"/>
    <w:rsid w:val="071874D5"/>
    <w:rsid w:val="071E2D3E"/>
    <w:rsid w:val="071F0864"/>
    <w:rsid w:val="071F2612"/>
    <w:rsid w:val="071F6AB6"/>
    <w:rsid w:val="072145DC"/>
    <w:rsid w:val="07226195"/>
    <w:rsid w:val="07245E7A"/>
    <w:rsid w:val="072639A0"/>
    <w:rsid w:val="07283BBC"/>
    <w:rsid w:val="07287718"/>
    <w:rsid w:val="072916E2"/>
    <w:rsid w:val="07293490"/>
    <w:rsid w:val="072D11D3"/>
    <w:rsid w:val="07302A71"/>
    <w:rsid w:val="073065CD"/>
    <w:rsid w:val="073360BD"/>
    <w:rsid w:val="07342561"/>
    <w:rsid w:val="07350087"/>
    <w:rsid w:val="07351E35"/>
    <w:rsid w:val="07375BAD"/>
    <w:rsid w:val="0737795B"/>
    <w:rsid w:val="07385325"/>
    <w:rsid w:val="073A3E6D"/>
    <w:rsid w:val="073C1416"/>
    <w:rsid w:val="073C3413"/>
    <w:rsid w:val="073C7668"/>
    <w:rsid w:val="073E518E"/>
    <w:rsid w:val="073F4A62"/>
    <w:rsid w:val="074107DA"/>
    <w:rsid w:val="074309F6"/>
    <w:rsid w:val="07442078"/>
    <w:rsid w:val="0744651C"/>
    <w:rsid w:val="07465DF0"/>
    <w:rsid w:val="0748600C"/>
    <w:rsid w:val="07487DBA"/>
    <w:rsid w:val="074958E1"/>
    <w:rsid w:val="074A3962"/>
    <w:rsid w:val="074A3B33"/>
    <w:rsid w:val="074B1659"/>
    <w:rsid w:val="074B3407"/>
    <w:rsid w:val="074B78AB"/>
    <w:rsid w:val="074D53D1"/>
    <w:rsid w:val="074E252D"/>
    <w:rsid w:val="07554285"/>
    <w:rsid w:val="07561F05"/>
    <w:rsid w:val="0757624F"/>
    <w:rsid w:val="075853A7"/>
    <w:rsid w:val="07585B24"/>
    <w:rsid w:val="075B74B8"/>
    <w:rsid w:val="075C73C2"/>
    <w:rsid w:val="075F5104"/>
    <w:rsid w:val="07603356"/>
    <w:rsid w:val="07610E7C"/>
    <w:rsid w:val="07612C2A"/>
    <w:rsid w:val="07630750"/>
    <w:rsid w:val="07632E46"/>
    <w:rsid w:val="0768045D"/>
    <w:rsid w:val="0768220B"/>
    <w:rsid w:val="076A2F4C"/>
    <w:rsid w:val="076B5857"/>
    <w:rsid w:val="076C043D"/>
    <w:rsid w:val="07724E37"/>
    <w:rsid w:val="07726BE5"/>
    <w:rsid w:val="07742F55"/>
    <w:rsid w:val="07747507"/>
    <w:rsid w:val="07754928"/>
    <w:rsid w:val="077566D6"/>
    <w:rsid w:val="077706A0"/>
    <w:rsid w:val="0777244E"/>
    <w:rsid w:val="077741FC"/>
    <w:rsid w:val="077961C6"/>
    <w:rsid w:val="07797F74"/>
    <w:rsid w:val="077A3CEC"/>
    <w:rsid w:val="077A7270"/>
    <w:rsid w:val="077B0190"/>
    <w:rsid w:val="077C5CB6"/>
    <w:rsid w:val="077C6B34"/>
    <w:rsid w:val="077E7C81"/>
    <w:rsid w:val="07832BA1"/>
    <w:rsid w:val="078801B7"/>
    <w:rsid w:val="07886409"/>
    <w:rsid w:val="07893F2F"/>
    <w:rsid w:val="078A03D3"/>
    <w:rsid w:val="078B7CA7"/>
    <w:rsid w:val="078D7EC3"/>
    <w:rsid w:val="078E1545"/>
    <w:rsid w:val="078F7797"/>
    <w:rsid w:val="07927288"/>
    <w:rsid w:val="07941252"/>
    <w:rsid w:val="07950B26"/>
    <w:rsid w:val="07966D78"/>
    <w:rsid w:val="07990616"/>
    <w:rsid w:val="079B25E0"/>
    <w:rsid w:val="079E79DA"/>
    <w:rsid w:val="079F3753"/>
    <w:rsid w:val="07A04702"/>
    <w:rsid w:val="07A50D69"/>
    <w:rsid w:val="07A56FBB"/>
    <w:rsid w:val="07A86AAB"/>
    <w:rsid w:val="07AA3587"/>
    <w:rsid w:val="07AA45D1"/>
    <w:rsid w:val="07AB20F7"/>
    <w:rsid w:val="07AD40C1"/>
    <w:rsid w:val="07AF6AAF"/>
    <w:rsid w:val="07AF7E3A"/>
    <w:rsid w:val="07B05960"/>
    <w:rsid w:val="07B216D8"/>
    <w:rsid w:val="07B40FAC"/>
    <w:rsid w:val="07B46976"/>
    <w:rsid w:val="07B471FE"/>
    <w:rsid w:val="07B611C8"/>
    <w:rsid w:val="07B729E3"/>
    <w:rsid w:val="07B76CEE"/>
    <w:rsid w:val="07BA4E3B"/>
    <w:rsid w:val="07BB67DE"/>
    <w:rsid w:val="07BC4304"/>
    <w:rsid w:val="07BC60B3"/>
    <w:rsid w:val="07BE62CF"/>
    <w:rsid w:val="07C02047"/>
    <w:rsid w:val="07C1191B"/>
    <w:rsid w:val="07C5140B"/>
    <w:rsid w:val="07C531B9"/>
    <w:rsid w:val="07C54232"/>
    <w:rsid w:val="07C5765D"/>
    <w:rsid w:val="07C66F31"/>
    <w:rsid w:val="07C75183"/>
    <w:rsid w:val="07C82CA9"/>
    <w:rsid w:val="07CA07CF"/>
    <w:rsid w:val="07CA4C73"/>
    <w:rsid w:val="07CC279A"/>
    <w:rsid w:val="07CE34E9"/>
    <w:rsid w:val="07D15ABF"/>
    <w:rsid w:val="07D16222"/>
    <w:rsid w:val="07D17DB0"/>
    <w:rsid w:val="07D433FC"/>
    <w:rsid w:val="07D63618"/>
    <w:rsid w:val="07D653C6"/>
    <w:rsid w:val="07D77390"/>
    <w:rsid w:val="07DB0C2F"/>
    <w:rsid w:val="07DB478B"/>
    <w:rsid w:val="07DD46FE"/>
    <w:rsid w:val="07DE24CD"/>
    <w:rsid w:val="07E013A5"/>
    <w:rsid w:val="07E01DA1"/>
    <w:rsid w:val="07E13D6B"/>
    <w:rsid w:val="07E21FBD"/>
    <w:rsid w:val="07E31891"/>
    <w:rsid w:val="07E3578E"/>
    <w:rsid w:val="07E37AE3"/>
    <w:rsid w:val="07E502BF"/>
    <w:rsid w:val="07E51AAD"/>
    <w:rsid w:val="07E55609"/>
    <w:rsid w:val="07E61381"/>
    <w:rsid w:val="07E775D3"/>
    <w:rsid w:val="07EC2E3C"/>
    <w:rsid w:val="07EC4BEA"/>
    <w:rsid w:val="07ED0962"/>
    <w:rsid w:val="07EF6488"/>
    <w:rsid w:val="07F10452"/>
    <w:rsid w:val="07F1509C"/>
    <w:rsid w:val="07F24004"/>
    <w:rsid w:val="07F25F78"/>
    <w:rsid w:val="07F341CA"/>
    <w:rsid w:val="07F41CF0"/>
    <w:rsid w:val="07F43A9E"/>
    <w:rsid w:val="07F4584C"/>
    <w:rsid w:val="07F66C9F"/>
    <w:rsid w:val="07F910B5"/>
    <w:rsid w:val="07F92F02"/>
    <w:rsid w:val="07FB67F7"/>
    <w:rsid w:val="07FC0BA5"/>
    <w:rsid w:val="07FC2953"/>
    <w:rsid w:val="07FC4F9A"/>
    <w:rsid w:val="07FD6DF7"/>
    <w:rsid w:val="07FF3A37"/>
    <w:rsid w:val="08017F69"/>
    <w:rsid w:val="080261BB"/>
    <w:rsid w:val="08036419"/>
    <w:rsid w:val="080737D2"/>
    <w:rsid w:val="0808579C"/>
    <w:rsid w:val="080A1514"/>
    <w:rsid w:val="080B4BAB"/>
    <w:rsid w:val="080C0DE8"/>
    <w:rsid w:val="080C528C"/>
    <w:rsid w:val="08161C67"/>
    <w:rsid w:val="0817488F"/>
    <w:rsid w:val="08183C31"/>
    <w:rsid w:val="081859DF"/>
    <w:rsid w:val="08193505"/>
    <w:rsid w:val="081C4913"/>
    <w:rsid w:val="081D2FF5"/>
    <w:rsid w:val="081E0450"/>
    <w:rsid w:val="08202AE5"/>
    <w:rsid w:val="08210B42"/>
    <w:rsid w:val="082223BA"/>
    <w:rsid w:val="082425D6"/>
    <w:rsid w:val="082500FC"/>
    <w:rsid w:val="08251EAA"/>
    <w:rsid w:val="0825634E"/>
    <w:rsid w:val="082746FF"/>
    <w:rsid w:val="08275C22"/>
    <w:rsid w:val="082779D0"/>
    <w:rsid w:val="082B2A54"/>
    <w:rsid w:val="08314CF2"/>
    <w:rsid w:val="083245C7"/>
    <w:rsid w:val="08326375"/>
    <w:rsid w:val="0834033F"/>
    <w:rsid w:val="083420ED"/>
    <w:rsid w:val="08346591"/>
    <w:rsid w:val="083640B7"/>
    <w:rsid w:val="08386081"/>
    <w:rsid w:val="08387E2F"/>
    <w:rsid w:val="08393BA7"/>
    <w:rsid w:val="083B347B"/>
    <w:rsid w:val="083C7992"/>
    <w:rsid w:val="083D3697"/>
    <w:rsid w:val="083E11BD"/>
    <w:rsid w:val="083E4D1A"/>
    <w:rsid w:val="0840235A"/>
    <w:rsid w:val="084044DD"/>
    <w:rsid w:val="08404F36"/>
    <w:rsid w:val="08420CAE"/>
    <w:rsid w:val="0842480A"/>
    <w:rsid w:val="08430582"/>
    <w:rsid w:val="08432C65"/>
    <w:rsid w:val="08460D9C"/>
    <w:rsid w:val="08493DEA"/>
    <w:rsid w:val="084C5688"/>
    <w:rsid w:val="084E1401"/>
    <w:rsid w:val="084E7652"/>
    <w:rsid w:val="084F5179"/>
    <w:rsid w:val="08514A4D"/>
    <w:rsid w:val="085207C5"/>
    <w:rsid w:val="0854278F"/>
    <w:rsid w:val="085556F0"/>
    <w:rsid w:val="0858227F"/>
    <w:rsid w:val="08585DDB"/>
    <w:rsid w:val="08591B53"/>
    <w:rsid w:val="085B3B1D"/>
    <w:rsid w:val="085D0A47"/>
    <w:rsid w:val="085D1644"/>
    <w:rsid w:val="08602DD3"/>
    <w:rsid w:val="08626C5A"/>
    <w:rsid w:val="08640C24"/>
    <w:rsid w:val="08674270"/>
    <w:rsid w:val="086929F5"/>
    <w:rsid w:val="086A1FB2"/>
    <w:rsid w:val="086B7965"/>
    <w:rsid w:val="086C1887"/>
    <w:rsid w:val="086C5D2B"/>
    <w:rsid w:val="086D11A9"/>
    <w:rsid w:val="086E55FF"/>
    <w:rsid w:val="086F75C9"/>
    <w:rsid w:val="0870581B"/>
    <w:rsid w:val="08713341"/>
    <w:rsid w:val="087370B9"/>
    <w:rsid w:val="08762705"/>
    <w:rsid w:val="08766BA9"/>
    <w:rsid w:val="0879136E"/>
    <w:rsid w:val="087A7F39"/>
    <w:rsid w:val="087B41C0"/>
    <w:rsid w:val="087B79DB"/>
    <w:rsid w:val="087D1CE6"/>
    <w:rsid w:val="087D5842"/>
    <w:rsid w:val="087E4ECC"/>
    <w:rsid w:val="088023BD"/>
    <w:rsid w:val="08840D3E"/>
    <w:rsid w:val="08844F9C"/>
    <w:rsid w:val="08846903"/>
    <w:rsid w:val="08852948"/>
    <w:rsid w:val="08874912"/>
    <w:rsid w:val="088A4403"/>
    <w:rsid w:val="088A6040"/>
    <w:rsid w:val="088A61B1"/>
    <w:rsid w:val="088C3CD7"/>
    <w:rsid w:val="088D31AF"/>
    <w:rsid w:val="088E3280"/>
    <w:rsid w:val="088F37C7"/>
    <w:rsid w:val="08915791"/>
    <w:rsid w:val="08916DA6"/>
    <w:rsid w:val="0891753F"/>
    <w:rsid w:val="089332B7"/>
    <w:rsid w:val="08940DDD"/>
    <w:rsid w:val="08951775"/>
    <w:rsid w:val="0895702F"/>
    <w:rsid w:val="0898267C"/>
    <w:rsid w:val="08986B20"/>
    <w:rsid w:val="08990393"/>
    <w:rsid w:val="08991B01"/>
    <w:rsid w:val="089963F4"/>
    <w:rsid w:val="089A2898"/>
    <w:rsid w:val="089B216C"/>
    <w:rsid w:val="089B5884"/>
    <w:rsid w:val="089D4136"/>
    <w:rsid w:val="089E3A0A"/>
    <w:rsid w:val="089F4205"/>
    <w:rsid w:val="08A059D4"/>
    <w:rsid w:val="08A07782"/>
    <w:rsid w:val="08A2174C"/>
    <w:rsid w:val="08A454C4"/>
    <w:rsid w:val="08A6123D"/>
    <w:rsid w:val="08A70B11"/>
    <w:rsid w:val="08A76D63"/>
    <w:rsid w:val="08A81E50"/>
    <w:rsid w:val="08A869F8"/>
    <w:rsid w:val="08A92ADB"/>
    <w:rsid w:val="08AA23AF"/>
    <w:rsid w:val="08AA3EE9"/>
    <w:rsid w:val="08AC25CB"/>
    <w:rsid w:val="08AE00F1"/>
    <w:rsid w:val="08B140F2"/>
    <w:rsid w:val="08B17BE1"/>
    <w:rsid w:val="08B5322E"/>
    <w:rsid w:val="08BA4CE8"/>
    <w:rsid w:val="08BA69F7"/>
    <w:rsid w:val="08BC0A60"/>
    <w:rsid w:val="08BD6586"/>
    <w:rsid w:val="08BD778E"/>
    <w:rsid w:val="08C01BD2"/>
    <w:rsid w:val="08C12DDB"/>
    <w:rsid w:val="08C16076"/>
    <w:rsid w:val="08C276F9"/>
    <w:rsid w:val="08C3672A"/>
    <w:rsid w:val="08C416C3"/>
    <w:rsid w:val="08C47661"/>
    <w:rsid w:val="08C50AF1"/>
    <w:rsid w:val="08CB2A51"/>
    <w:rsid w:val="08CE42EF"/>
    <w:rsid w:val="08CF60DD"/>
    <w:rsid w:val="08D37B58"/>
    <w:rsid w:val="08D51B22"/>
    <w:rsid w:val="08D5567E"/>
    <w:rsid w:val="08D613F6"/>
    <w:rsid w:val="08D631A4"/>
    <w:rsid w:val="08D85AD7"/>
    <w:rsid w:val="08DA2C94"/>
    <w:rsid w:val="08DB07BA"/>
    <w:rsid w:val="08DB6A0C"/>
    <w:rsid w:val="08DD7243"/>
    <w:rsid w:val="08DF474E"/>
    <w:rsid w:val="08DF64FD"/>
    <w:rsid w:val="08E12275"/>
    <w:rsid w:val="08E142A8"/>
    <w:rsid w:val="08E25FED"/>
    <w:rsid w:val="08E458C1"/>
    <w:rsid w:val="08E729FB"/>
    <w:rsid w:val="08E753B1"/>
    <w:rsid w:val="08E7715F"/>
    <w:rsid w:val="08E9737B"/>
    <w:rsid w:val="08EB30F3"/>
    <w:rsid w:val="08EB4EA1"/>
    <w:rsid w:val="08EB6C4F"/>
    <w:rsid w:val="08EC0C19"/>
    <w:rsid w:val="08ED6E6B"/>
    <w:rsid w:val="08EE04EE"/>
    <w:rsid w:val="08EE4992"/>
    <w:rsid w:val="08F01AAC"/>
    <w:rsid w:val="08F024B8"/>
    <w:rsid w:val="08F04266"/>
    <w:rsid w:val="08F17FDE"/>
    <w:rsid w:val="08F40EEB"/>
    <w:rsid w:val="08F4192C"/>
    <w:rsid w:val="08F875BE"/>
    <w:rsid w:val="08FA1588"/>
    <w:rsid w:val="08FC0E5C"/>
    <w:rsid w:val="08FC70AE"/>
    <w:rsid w:val="08FD2E27"/>
    <w:rsid w:val="08FD4BD5"/>
    <w:rsid w:val="08FF094D"/>
    <w:rsid w:val="08FF26FB"/>
    <w:rsid w:val="09000221"/>
    <w:rsid w:val="090146C5"/>
    <w:rsid w:val="0902043D"/>
    <w:rsid w:val="090B10A0"/>
    <w:rsid w:val="090C3C32"/>
    <w:rsid w:val="090D12BC"/>
    <w:rsid w:val="090D306A"/>
    <w:rsid w:val="090E0487"/>
    <w:rsid w:val="09104908"/>
    <w:rsid w:val="091066B6"/>
    <w:rsid w:val="0911242E"/>
    <w:rsid w:val="091153EC"/>
    <w:rsid w:val="091343F8"/>
    <w:rsid w:val="09137F54"/>
    <w:rsid w:val="091518EB"/>
    <w:rsid w:val="09151F1E"/>
    <w:rsid w:val="09153CCC"/>
    <w:rsid w:val="09167A44"/>
    <w:rsid w:val="09175C96"/>
    <w:rsid w:val="09181A0E"/>
    <w:rsid w:val="09187C60"/>
    <w:rsid w:val="09192CB9"/>
    <w:rsid w:val="091C1203"/>
    <w:rsid w:val="091C14FF"/>
    <w:rsid w:val="091D7025"/>
    <w:rsid w:val="091F602F"/>
    <w:rsid w:val="091F6FA3"/>
    <w:rsid w:val="09267C87"/>
    <w:rsid w:val="092752BD"/>
    <w:rsid w:val="09287EA3"/>
    <w:rsid w:val="092C4EB6"/>
    <w:rsid w:val="09304FAA"/>
    <w:rsid w:val="09324FA1"/>
    <w:rsid w:val="09336848"/>
    <w:rsid w:val="093525C0"/>
    <w:rsid w:val="0935611C"/>
    <w:rsid w:val="093700E7"/>
    <w:rsid w:val="093724E7"/>
    <w:rsid w:val="093A1985"/>
    <w:rsid w:val="093A7BD7"/>
    <w:rsid w:val="093F49D4"/>
    <w:rsid w:val="09410F65"/>
    <w:rsid w:val="09434CDD"/>
    <w:rsid w:val="09436A8B"/>
    <w:rsid w:val="09440A55"/>
    <w:rsid w:val="09442803"/>
    <w:rsid w:val="094445B2"/>
    <w:rsid w:val="094620D8"/>
    <w:rsid w:val="09475E50"/>
    <w:rsid w:val="09491BC8"/>
    <w:rsid w:val="094A3228"/>
    <w:rsid w:val="094E3039"/>
    <w:rsid w:val="095119BA"/>
    <w:rsid w:val="09523BC3"/>
    <w:rsid w:val="09540C99"/>
    <w:rsid w:val="09554A11"/>
    <w:rsid w:val="0955682A"/>
    <w:rsid w:val="095617CB"/>
    <w:rsid w:val="09572537"/>
    <w:rsid w:val="09590F21"/>
    <w:rsid w:val="095D5673"/>
    <w:rsid w:val="095F28AF"/>
    <w:rsid w:val="09637B88"/>
    <w:rsid w:val="09684744"/>
    <w:rsid w:val="096864F2"/>
    <w:rsid w:val="0969226A"/>
    <w:rsid w:val="096B1B3E"/>
    <w:rsid w:val="096B4234"/>
    <w:rsid w:val="096B7D90"/>
    <w:rsid w:val="096D1D5A"/>
    <w:rsid w:val="096E2623"/>
    <w:rsid w:val="0970184A"/>
    <w:rsid w:val="09704F43"/>
    <w:rsid w:val="097053A7"/>
    <w:rsid w:val="09727211"/>
    <w:rsid w:val="09736C45"/>
    <w:rsid w:val="09742843"/>
    <w:rsid w:val="0978425B"/>
    <w:rsid w:val="097A4477"/>
    <w:rsid w:val="097C1F9D"/>
    <w:rsid w:val="097F1A8E"/>
    <w:rsid w:val="09806D6E"/>
    <w:rsid w:val="09811362"/>
    <w:rsid w:val="09815806"/>
    <w:rsid w:val="098470A4"/>
    <w:rsid w:val="09864BCA"/>
    <w:rsid w:val="098731CA"/>
    <w:rsid w:val="098826F0"/>
    <w:rsid w:val="09886B94"/>
    <w:rsid w:val="09896468"/>
    <w:rsid w:val="098A46BA"/>
    <w:rsid w:val="098D41AA"/>
    <w:rsid w:val="098F21B0"/>
    <w:rsid w:val="099059BB"/>
    <w:rsid w:val="099217C1"/>
    <w:rsid w:val="0992356F"/>
    <w:rsid w:val="09931095"/>
    <w:rsid w:val="099472E7"/>
    <w:rsid w:val="0995305F"/>
    <w:rsid w:val="09954E0D"/>
    <w:rsid w:val="099557CE"/>
    <w:rsid w:val="09970B85"/>
    <w:rsid w:val="09972933"/>
    <w:rsid w:val="09976DD7"/>
    <w:rsid w:val="099A0675"/>
    <w:rsid w:val="099A5DD9"/>
    <w:rsid w:val="099B1640"/>
    <w:rsid w:val="099C619C"/>
    <w:rsid w:val="099E1F14"/>
    <w:rsid w:val="099F5C8C"/>
    <w:rsid w:val="099F7A3A"/>
    <w:rsid w:val="09A03EDE"/>
    <w:rsid w:val="09A17C56"/>
    <w:rsid w:val="09A82D92"/>
    <w:rsid w:val="09AA0829"/>
    <w:rsid w:val="09AA6B0A"/>
    <w:rsid w:val="09AD03A9"/>
    <w:rsid w:val="09B174F4"/>
    <w:rsid w:val="09B23C11"/>
    <w:rsid w:val="09B2776D"/>
    <w:rsid w:val="09B278C7"/>
    <w:rsid w:val="09B54DB8"/>
    <w:rsid w:val="09B715D6"/>
    <w:rsid w:val="09B74D83"/>
    <w:rsid w:val="09B76BD4"/>
    <w:rsid w:val="09B869F3"/>
    <w:rsid w:val="09B90AFC"/>
    <w:rsid w:val="09BC354A"/>
    <w:rsid w:val="09C000DC"/>
    <w:rsid w:val="09C0632E"/>
    <w:rsid w:val="09C13E54"/>
    <w:rsid w:val="09C15C02"/>
    <w:rsid w:val="09C20F79"/>
    <w:rsid w:val="09C37BCC"/>
    <w:rsid w:val="09C53944"/>
    <w:rsid w:val="09C556F2"/>
    <w:rsid w:val="09C6146A"/>
    <w:rsid w:val="09C63218"/>
    <w:rsid w:val="09C735AB"/>
    <w:rsid w:val="09C81AEC"/>
    <w:rsid w:val="09C851E3"/>
    <w:rsid w:val="09CA2D09"/>
    <w:rsid w:val="09CF6571"/>
    <w:rsid w:val="09D122E9"/>
    <w:rsid w:val="09D21BBD"/>
    <w:rsid w:val="09D27E0F"/>
    <w:rsid w:val="09D43B87"/>
    <w:rsid w:val="09D45935"/>
    <w:rsid w:val="09D516AE"/>
    <w:rsid w:val="09D75426"/>
    <w:rsid w:val="09DB4F16"/>
    <w:rsid w:val="09DC0C8E"/>
    <w:rsid w:val="09DE4A06"/>
    <w:rsid w:val="09DF42DA"/>
    <w:rsid w:val="09E110D4"/>
    <w:rsid w:val="09E244F6"/>
    <w:rsid w:val="09E25264"/>
    <w:rsid w:val="09E33DCA"/>
    <w:rsid w:val="09E47B84"/>
    <w:rsid w:val="09E518F1"/>
    <w:rsid w:val="09E71B0D"/>
    <w:rsid w:val="09E813E1"/>
    <w:rsid w:val="09EA5816"/>
    <w:rsid w:val="09EB4E86"/>
    <w:rsid w:val="09EF276F"/>
    <w:rsid w:val="09EF6C13"/>
    <w:rsid w:val="09F00295"/>
    <w:rsid w:val="09F16693"/>
    <w:rsid w:val="09F22188"/>
    <w:rsid w:val="09F558AC"/>
    <w:rsid w:val="09F63AFE"/>
    <w:rsid w:val="09F74B6A"/>
    <w:rsid w:val="09F93DAC"/>
    <w:rsid w:val="09FB1114"/>
    <w:rsid w:val="09FC6C3A"/>
    <w:rsid w:val="09FE7278"/>
    <w:rsid w:val="09FF478C"/>
    <w:rsid w:val="0A002BCE"/>
    <w:rsid w:val="0A00497C"/>
    <w:rsid w:val="0A03446D"/>
    <w:rsid w:val="0A0501E5"/>
    <w:rsid w:val="0A051F93"/>
    <w:rsid w:val="0A053D41"/>
    <w:rsid w:val="0A07465F"/>
    <w:rsid w:val="0A083831"/>
    <w:rsid w:val="0A0A1357"/>
    <w:rsid w:val="0A0A57FB"/>
    <w:rsid w:val="0A0D52EB"/>
    <w:rsid w:val="0A0D7099"/>
    <w:rsid w:val="0A0E79D8"/>
    <w:rsid w:val="0A1246B0"/>
    <w:rsid w:val="0A145F49"/>
    <w:rsid w:val="0A14667A"/>
    <w:rsid w:val="0A172A13"/>
    <w:rsid w:val="0A173A74"/>
    <w:rsid w:val="0A183EA3"/>
    <w:rsid w:val="0A193C90"/>
    <w:rsid w:val="0A1B3564"/>
    <w:rsid w:val="0A1B5312"/>
    <w:rsid w:val="0A1B7A08"/>
    <w:rsid w:val="0A200B7B"/>
    <w:rsid w:val="0A2368BD"/>
    <w:rsid w:val="0A252635"/>
    <w:rsid w:val="0A294E28"/>
    <w:rsid w:val="0A2A0E89"/>
    <w:rsid w:val="0A32324C"/>
    <w:rsid w:val="0A334D52"/>
    <w:rsid w:val="0A342878"/>
    <w:rsid w:val="0A344626"/>
    <w:rsid w:val="0A3665F0"/>
    <w:rsid w:val="0A397E8E"/>
    <w:rsid w:val="0A3D172D"/>
    <w:rsid w:val="0A3D72FF"/>
    <w:rsid w:val="0A402FCB"/>
    <w:rsid w:val="0A410AF1"/>
    <w:rsid w:val="0A426D43"/>
    <w:rsid w:val="0A434869"/>
    <w:rsid w:val="0A441F5F"/>
    <w:rsid w:val="0A454A85"/>
    <w:rsid w:val="0A466F21"/>
    <w:rsid w:val="0A4707FD"/>
    <w:rsid w:val="0A4800D1"/>
    <w:rsid w:val="0A481E7F"/>
    <w:rsid w:val="0A4C1970"/>
    <w:rsid w:val="0A4E393A"/>
    <w:rsid w:val="0A530F50"/>
    <w:rsid w:val="0A540824"/>
    <w:rsid w:val="0A5627EE"/>
    <w:rsid w:val="0A56459C"/>
    <w:rsid w:val="0A570314"/>
    <w:rsid w:val="0A577EA6"/>
    <w:rsid w:val="0A586566"/>
    <w:rsid w:val="0A594DEF"/>
    <w:rsid w:val="0A5A324B"/>
    <w:rsid w:val="0A5B7E05"/>
    <w:rsid w:val="0A5C592B"/>
    <w:rsid w:val="0A60541B"/>
    <w:rsid w:val="0A613B29"/>
    <w:rsid w:val="0A621193"/>
    <w:rsid w:val="0A6273E5"/>
    <w:rsid w:val="0A636CB9"/>
    <w:rsid w:val="0A682522"/>
    <w:rsid w:val="0A690774"/>
    <w:rsid w:val="0A6F38B0"/>
    <w:rsid w:val="0A70061F"/>
    <w:rsid w:val="0A726EFC"/>
    <w:rsid w:val="0A740EC6"/>
    <w:rsid w:val="0A742C74"/>
    <w:rsid w:val="0A747118"/>
    <w:rsid w:val="0A762E91"/>
    <w:rsid w:val="0A764C3F"/>
    <w:rsid w:val="0A786C09"/>
    <w:rsid w:val="0A79028B"/>
    <w:rsid w:val="0A7945D4"/>
    <w:rsid w:val="0A79472F"/>
    <w:rsid w:val="0A7D4792"/>
    <w:rsid w:val="0A7E1D45"/>
    <w:rsid w:val="0A7F46C9"/>
    <w:rsid w:val="0A7F7F97"/>
    <w:rsid w:val="0A80786B"/>
    <w:rsid w:val="0A825391"/>
    <w:rsid w:val="0A8643B4"/>
    <w:rsid w:val="0A8729A8"/>
    <w:rsid w:val="0A881610"/>
    <w:rsid w:val="0A89037C"/>
    <w:rsid w:val="0A8A2498"/>
    <w:rsid w:val="0A8A5906"/>
    <w:rsid w:val="0A8B76DE"/>
    <w:rsid w:val="0A8C0226"/>
    <w:rsid w:val="0A8E5717"/>
    <w:rsid w:val="0A913826"/>
    <w:rsid w:val="0A922957"/>
    <w:rsid w:val="0A9469B8"/>
    <w:rsid w:val="0A9652E1"/>
    <w:rsid w:val="0A9926DB"/>
    <w:rsid w:val="0A9A6B7F"/>
    <w:rsid w:val="0A9D041D"/>
    <w:rsid w:val="0A9D21CB"/>
    <w:rsid w:val="0AA07F0D"/>
    <w:rsid w:val="0AA51080"/>
    <w:rsid w:val="0AA572D2"/>
    <w:rsid w:val="0AA7129C"/>
    <w:rsid w:val="0AA96DC2"/>
    <w:rsid w:val="0AAE60B0"/>
    <w:rsid w:val="0AB1211B"/>
    <w:rsid w:val="0AB47432"/>
    <w:rsid w:val="0AB47515"/>
    <w:rsid w:val="0AB614DF"/>
    <w:rsid w:val="0AB6328D"/>
    <w:rsid w:val="0AB84753"/>
    <w:rsid w:val="0AB87005"/>
    <w:rsid w:val="0AB94B2B"/>
    <w:rsid w:val="0ABB6AF5"/>
    <w:rsid w:val="0AC21C32"/>
    <w:rsid w:val="0AC260D6"/>
    <w:rsid w:val="0AC34FF8"/>
    <w:rsid w:val="0AC432E4"/>
    <w:rsid w:val="0AC459AA"/>
    <w:rsid w:val="0AC736EC"/>
    <w:rsid w:val="0ACB1DE5"/>
    <w:rsid w:val="0ACC2AB1"/>
    <w:rsid w:val="0ACE6829"/>
    <w:rsid w:val="0ACE743A"/>
    <w:rsid w:val="0ACF1469"/>
    <w:rsid w:val="0AD100C7"/>
    <w:rsid w:val="0AD33E3F"/>
    <w:rsid w:val="0AD41965"/>
    <w:rsid w:val="0AD6392F"/>
    <w:rsid w:val="0AD656DD"/>
    <w:rsid w:val="0AD81455"/>
    <w:rsid w:val="0AD96F7B"/>
    <w:rsid w:val="0ADA51CD"/>
    <w:rsid w:val="0ADB0F46"/>
    <w:rsid w:val="0ADB7197"/>
    <w:rsid w:val="0ADF27E4"/>
    <w:rsid w:val="0AE0030A"/>
    <w:rsid w:val="0AE07925"/>
    <w:rsid w:val="0AE4604C"/>
    <w:rsid w:val="0AE53B72"/>
    <w:rsid w:val="0AE71698"/>
    <w:rsid w:val="0AEA0FA2"/>
    <w:rsid w:val="0AEC3153"/>
    <w:rsid w:val="0AEE0C79"/>
    <w:rsid w:val="0AEE6ECB"/>
    <w:rsid w:val="0AF206C9"/>
    <w:rsid w:val="0AF3003D"/>
    <w:rsid w:val="0AF344E1"/>
    <w:rsid w:val="0AF357C2"/>
    <w:rsid w:val="0AF3628F"/>
    <w:rsid w:val="0AF52007"/>
    <w:rsid w:val="0AF81AF7"/>
    <w:rsid w:val="0AF838A6"/>
    <w:rsid w:val="0AFA13CC"/>
    <w:rsid w:val="0AFA3738"/>
    <w:rsid w:val="0AFD0EBC"/>
    <w:rsid w:val="0AFF4C34"/>
    <w:rsid w:val="0B002E68"/>
    <w:rsid w:val="0B04224A"/>
    <w:rsid w:val="0B043FF8"/>
    <w:rsid w:val="0B083E8F"/>
    <w:rsid w:val="0B0B35D9"/>
    <w:rsid w:val="0B0E30C9"/>
    <w:rsid w:val="0B0E4E77"/>
    <w:rsid w:val="0B114967"/>
    <w:rsid w:val="0B13248D"/>
    <w:rsid w:val="0B136931"/>
    <w:rsid w:val="0B1701D0"/>
    <w:rsid w:val="0B185CF6"/>
    <w:rsid w:val="0B187AA4"/>
    <w:rsid w:val="0B1A1A6E"/>
    <w:rsid w:val="0B1B7594"/>
    <w:rsid w:val="0B1D155E"/>
    <w:rsid w:val="0B1F52D6"/>
    <w:rsid w:val="0B204882"/>
    <w:rsid w:val="0B212DFC"/>
    <w:rsid w:val="0B226B74"/>
    <w:rsid w:val="0B246449"/>
    <w:rsid w:val="0B261602"/>
    <w:rsid w:val="0B2621C1"/>
    <w:rsid w:val="0B27418B"/>
    <w:rsid w:val="0B275F39"/>
    <w:rsid w:val="0B291CB1"/>
    <w:rsid w:val="0B293A5F"/>
    <w:rsid w:val="0B297182"/>
    <w:rsid w:val="0B2B3C7B"/>
    <w:rsid w:val="0B2C354F"/>
    <w:rsid w:val="0B2D79F3"/>
    <w:rsid w:val="0B301291"/>
    <w:rsid w:val="0B315E5D"/>
    <w:rsid w:val="0B350656"/>
    <w:rsid w:val="0B3568A8"/>
    <w:rsid w:val="0B361AA6"/>
    <w:rsid w:val="0B381EF4"/>
    <w:rsid w:val="0B3A3EBE"/>
    <w:rsid w:val="0B3B4488"/>
    <w:rsid w:val="0B3D39AE"/>
    <w:rsid w:val="0B41178A"/>
    <w:rsid w:val="0B41349E"/>
    <w:rsid w:val="0B420FC5"/>
    <w:rsid w:val="0B494101"/>
    <w:rsid w:val="0B4C6803"/>
    <w:rsid w:val="0B4D1E43"/>
    <w:rsid w:val="0B4F7158"/>
    <w:rsid w:val="0B534F80"/>
    <w:rsid w:val="0B536D2E"/>
    <w:rsid w:val="0B552AA6"/>
    <w:rsid w:val="0B5605CC"/>
    <w:rsid w:val="0B5807E8"/>
    <w:rsid w:val="0B581FD8"/>
    <w:rsid w:val="0B597A11"/>
    <w:rsid w:val="0B5B32CC"/>
    <w:rsid w:val="0B5E5DFE"/>
    <w:rsid w:val="0B5F1B77"/>
    <w:rsid w:val="0B5F3925"/>
    <w:rsid w:val="0B604D13"/>
    <w:rsid w:val="0B610D74"/>
    <w:rsid w:val="0B61144B"/>
    <w:rsid w:val="0B6158EF"/>
    <w:rsid w:val="0B6251C3"/>
    <w:rsid w:val="0B64718D"/>
    <w:rsid w:val="0B655FB4"/>
    <w:rsid w:val="0B662F05"/>
    <w:rsid w:val="0B664CB3"/>
    <w:rsid w:val="0B6727D9"/>
    <w:rsid w:val="0B674587"/>
    <w:rsid w:val="0B680A2B"/>
    <w:rsid w:val="0B6902FF"/>
    <w:rsid w:val="0B6C09CE"/>
    <w:rsid w:val="0B6D4294"/>
    <w:rsid w:val="0B6D6042"/>
    <w:rsid w:val="0B6E5916"/>
    <w:rsid w:val="0B70168E"/>
    <w:rsid w:val="0B733189"/>
    <w:rsid w:val="0B753148"/>
    <w:rsid w:val="0B754EF6"/>
    <w:rsid w:val="0B756CA4"/>
    <w:rsid w:val="0B770C6E"/>
    <w:rsid w:val="0B772A1C"/>
    <w:rsid w:val="0B7F172C"/>
    <w:rsid w:val="0B7F7B23"/>
    <w:rsid w:val="0B80578D"/>
    <w:rsid w:val="0B81389B"/>
    <w:rsid w:val="0B8213C1"/>
    <w:rsid w:val="0B835865"/>
    <w:rsid w:val="0B884C29"/>
    <w:rsid w:val="0B8B471A"/>
    <w:rsid w:val="0B8B6225"/>
    <w:rsid w:val="0B8E420A"/>
    <w:rsid w:val="0B8E7D91"/>
    <w:rsid w:val="0B901D30"/>
    <w:rsid w:val="0B916712"/>
    <w:rsid w:val="0B923CFA"/>
    <w:rsid w:val="0B955093"/>
    <w:rsid w:val="0B955598"/>
    <w:rsid w:val="0B9679B3"/>
    <w:rsid w:val="0B973AC4"/>
    <w:rsid w:val="0B983A14"/>
    <w:rsid w:val="0B9A7A75"/>
    <w:rsid w:val="0B9E444D"/>
    <w:rsid w:val="0B9F01C5"/>
    <w:rsid w:val="0B9F0D16"/>
    <w:rsid w:val="0B9F1F73"/>
    <w:rsid w:val="0BA13F3D"/>
    <w:rsid w:val="0BA457DB"/>
    <w:rsid w:val="0BA47589"/>
    <w:rsid w:val="0BA63302"/>
    <w:rsid w:val="0BAC1B13"/>
    <w:rsid w:val="0BAD4AC7"/>
    <w:rsid w:val="0BAD643E"/>
    <w:rsid w:val="0BAE0408"/>
    <w:rsid w:val="0BAF0250"/>
    <w:rsid w:val="0BB023D2"/>
    <w:rsid w:val="0BB35A1E"/>
    <w:rsid w:val="0BB377CC"/>
    <w:rsid w:val="0BB974D9"/>
    <w:rsid w:val="0BBC2B25"/>
    <w:rsid w:val="0BC1013B"/>
    <w:rsid w:val="0BC15DEC"/>
    <w:rsid w:val="0BC25540"/>
    <w:rsid w:val="0BC33EB3"/>
    <w:rsid w:val="0BC63EC1"/>
    <w:rsid w:val="0BC83278"/>
    <w:rsid w:val="0BC8771C"/>
    <w:rsid w:val="0BCA670A"/>
    <w:rsid w:val="0BCB2D68"/>
    <w:rsid w:val="0BCB720C"/>
    <w:rsid w:val="0BCD088E"/>
    <w:rsid w:val="0BCE4606"/>
    <w:rsid w:val="0BCF0AAA"/>
    <w:rsid w:val="0BD0037E"/>
    <w:rsid w:val="0BD02715"/>
    <w:rsid w:val="0BD133ED"/>
    <w:rsid w:val="0BD31C1D"/>
    <w:rsid w:val="0BD460C1"/>
    <w:rsid w:val="0BD47E6F"/>
    <w:rsid w:val="0BD53BE7"/>
    <w:rsid w:val="0BD7170D"/>
    <w:rsid w:val="0BDA11FD"/>
    <w:rsid w:val="0BDE6F3F"/>
    <w:rsid w:val="0BE107DE"/>
    <w:rsid w:val="0BE1369A"/>
    <w:rsid w:val="0BE34556"/>
    <w:rsid w:val="0BE34BEE"/>
    <w:rsid w:val="0BE65DF4"/>
    <w:rsid w:val="0BE67BA2"/>
    <w:rsid w:val="0BE9773A"/>
    <w:rsid w:val="0BEB340A"/>
    <w:rsid w:val="0BEB6F66"/>
    <w:rsid w:val="0BEC5BDC"/>
    <w:rsid w:val="0BED2CDE"/>
    <w:rsid w:val="0BEF2EFA"/>
    <w:rsid w:val="0BEF4CA9"/>
    <w:rsid w:val="0BEF6A57"/>
    <w:rsid w:val="0BF00A21"/>
    <w:rsid w:val="0BF0712E"/>
    <w:rsid w:val="0BF2461F"/>
    <w:rsid w:val="0BF4340D"/>
    <w:rsid w:val="0BF503CF"/>
    <w:rsid w:val="0BF7590B"/>
    <w:rsid w:val="0BF901E0"/>
    <w:rsid w:val="0BFC56D1"/>
    <w:rsid w:val="0BFD1732"/>
    <w:rsid w:val="0C000C64"/>
    <w:rsid w:val="0C0369A6"/>
    <w:rsid w:val="0C040028"/>
    <w:rsid w:val="0C046A34"/>
    <w:rsid w:val="0C05627A"/>
    <w:rsid w:val="0C063DA0"/>
    <w:rsid w:val="0C0727E4"/>
    <w:rsid w:val="0C085D6A"/>
    <w:rsid w:val="0C0B13B7"/>
    <w:rsid w:val="0C0B4651"/>
    <w:rsid w:val="0C0C6656"/>
    <w:rsid w:val="0C0D512F"/>
    <w:rsid w:val="0C0E26B7"/>
    <w:rsid w:val="0C0F0EA7"/>
    <w:rsid w:val="0C1069CD"/>
    <w:rsid w:val="0C107D48"/>
    <w:rsid w:val="0C120997"/>
    <w:rsid w:val="0C142961"/>
    <w:rsid w:val="0C1464BD"/>
    <w:rsid w:val="0C1741FF"/>
    <w:rsid w:val="0C175FAD"/>
    <w:rsid w:val="0C191D25"/>
    <w:rsid w:val="0C197F77"/>
    <w:rsid w:val="0C1B4CBB"/>
    <w:rsid w:val="0C1B5A9E"/>
    <w:rsid w:val="0C1C7A68"/>
    <w:rsid w:val="0C1F4E62"/>
    <w:rsid w:val="0C216E2C"/>
    <w:rsid w:val="0C22507E"/>
    <w:rsid w:val="0C230DF6"/>
    <w:rsid w:val="0C232BA4"/>
    <w:rsid w:val="0C234952"/>
    <w:rsid w:val="0C236700"/>
    <w:rsid w:val="0C2506CA"/>
    <w:rsid w:val="0C27325E"/>
    <w:rsid w:val="0C2A3F33"/>
    <w:rsid w:val="0C2B3807"/>
    <w:rsid w:val="0C2C5C40"/>
    <w:rsid w:val="0C2D757F"/>
    <w:rsid w:val="0C2F19F0"/>
    <w:rsid w:val="0C2F32F7"/>
    <w:rsid w:val="0C2F779B"/>
    <w:rsid w:val="0C324B95"/>
    <w:rsid w:val="0C35159A"/>
    <w:rsid w:val="0C364685"/>
    <w:rsid w:val="0C3721AC"/>
    <w:rsid w:val="0C372D53"/>
    <w:rsid w:val="0C395F24"/>
    <w:rsid w:val="0C3C5A14"/>
    <w:rsid w:val="0C3E5484"/>
    <w:rsid w:val="0C41302A"/>
    <w:rsid w:val="0C434FF4"/>
    <w:rsid w:val="0C450D6C"/>
    <w:rsid w:val="0C452B1A"/>
    <w:rsid w:val="0C4548C9"/>
    <w:rsid w:val="0C4B5C57"/>
    <w:rsid w:val="0C4F0584"/>
    <w:rsid w:val="0C4F74F5"/>
    <w:rsid w:val="0C50326D"/>
    <w:rsid w:val="0C5114BF"/>
    <w:rsid w:val="0C523489"/>
    <w:rsid w:val="0C524D8A"/>
    <w:rsid w:val="0C547201"/>
    <w:rsid w:val="0C550884"/>
    <w:rsid w:val="0C583924"/>
    <w:rsid w:val="0C5965C6"/>
    <w:rsid w:val="0C5C1C12"/>
    <w:rsid w:val="0C5D60B6"/>
    <w:rsid w:val="0C5E3BDC"/>
    <w:rsid w:val="0C654F6B"/>
    <w:rsid w:val="0C656D19"/>
    <w:rsid w:val="0C662A91"/>
    <w:rsid w:val="0C664935"/>
    <w:rsid w:val="0C686809"/>
    <w:rsid w:val="0C6A07D3"/>
    <w:rsid w:val="0C6C62F9"/>
    <w:rsid w:val="0C6E2C7C"/>
    <w:rsid w:val="0C6F7B97"/>
    <w:rsid w:val="0C725932"/>
    <w:rsid w:val="0C741652"/>
    <w:rsid w:val="0C767178"/>
    <w:rsid w:val="0C774C9E"/>
    <w:rsid w:val="0C781676"/>
    <w:rsid w:val="0C782EF0"/>
    <w:rsid w:val="0C7927C4"/>
    <w:rsid w:val="0C7A358D"/>
    <w:rsid w:val="0C7B653C"/>
    <w:rsid w:val="0C7C4062"/>
    <w:rsid w:val="0C7E602C"/>
    <w:rsid w:val="0C7E7DDA"/>
    <w:rsid w:val="0C801DA5"/>
    <w:rsid w:val="0C803B53"/>
    <w:rsid w:val="0C807FF6"/>
    <w:rsid w:val="0C811679"/>
    <w:rsid w:val="0C824047"/>
    <w:rsid w:val="0C833643"/>
    <w:rsid w:val="0C836789"/>
    <w:rsid w:val="0C846CD5"/>
    <w:rsid w:val="0C85560D"/>
    <w:rsid w:val="0C86437E"/>
    <w:rsid w:val="0C874EE1"/>
    <w:rsid w:val="0C8A3A8B"/>
    <w:rsid w:val="0C8A48CB"/>
    <w:rsid w:val="0C8D16BA"/>
    <w:rsid w:val="0C8E44C1"/>
    <w:rsid w:val="0C8F1FE8"/>
    <w:rsid w:val="0C8F45CB"/>
    <w:rsid w:val="0C913FB2"/>
    <w:rsid w:val="0C931AD8"/>
    <w:rsid w:val="0C9419AE"/>
    <w:rsid w:val="0C943AA2"/>
    <w:rsid w:val="0C945850"/>
    <w:rsid w:val="0C9475FE"/>
    <w:rsid w:val="0C9557AC"/>
    <w:rsid w:val="0C963376"/>
    <w:rsid w:val="0C9B098C"/>
    <w:rsid w:val="0C9E047D"/>
    <w:rsid w:val="0CA21D1B"/>
    <w:rsid w:val="0CA535B9"/>
    <w:rsid w:val="0CA55DC2"/>
    <w:rsid w:val="0CA737D5"/>
    <w:rsid w:val="0CA84E57"/>
    <w:rsid w:val="0CAA5073"/>
    <w:rsid w:val="0CAA6E21"/>
    <w:rsid w:val="0CAC0DEC"/>
    <w:rsid w:val="0CAC4948"/>
    <w:rsid w:val="0CAF268A"/>
    <w:rsid w:val="0CAF4315"/>
    <w:rsid w:val="0CB14328"/>
    <w:rsid w:val="0CB218DD"/>
    <w:rsid w:val="0CB3217A"/>
    <w:rsid w:val="0CB35CD6"/>
    <w:rsid w:val="0CB63A18"/>
    <w:rsid w:val="0CB67574"/>
    <w:rsid w:val="0CB8153E"/>
    <w:rsid w:val="0CBB2DDD"/>
    <w:rsid w:val="0CBD0903"/>
    <w:rsid w:val="0CBD14EA"/>
    <w:rsid w:val="0CBE38F4"/>
    <w:rsid w:val="0CBE467B"/>
    <w:rsid w:val="0CC021A1"/>
    <w:rsid w:val="0CC9374C"/>
    <w:rsid w:val="0CCA0F1D"/>
    <w:rsid w:val="0CCA3020"/>
    <w:rsid w:val="0CCA74C4"/>
    <w:rsid w:val="0CCE0D62"/>
    <w:rsid w:val="0CD300A2"/>
    <w:rsid w:val="0CD36378"/>
    <w:rsid w:val="0CD65E68"/>
    <w:rsid w:val="0CD914B5"/>
    <w:rsid w:val="0CD95E41"/>
    <w:rsid w:val="0CDA7707"/>
    <w:rsid w:val="0CDD0FA5"/>
    <w:rsid w:val="0CE02843"/>
    <w:rsid w:val="0CE045F1"/>
    <w:rsid w:val="0CE20369"/>
    <w:rsid w:val="0CE44695"/>
    <w:rsid w:val="0CE560AB"/>
    <w:rsid w:val="0CE73BD2"/>
    <w:rsid w:val="0CEA36C2"/>
    <w:rsid w:val="0CEA5470"/>
    <w:rsid w:val="0CEB1914"/>
    <w:rsid w:val="0CEC2F96"/>
    <w:rsid w:val="0CEE4F60"/>
    <w:rsid w:val="0CEE7FC8"/>
    <w:rsid w:val="0CF06F2A"/>
    <w:rsid w:val="0CF12CA2"/>
    <w:rsid w:val="0CF14A50"/>
    <w:rsid w:val="0CF21543"/>
    <w:rsid w:val="0CF307C8"/>
    <w:rsid w:val="0CF32576"/>
    <w:rsid w:val="0CF40FDA"/>
    <w:rsid w:val="0CF54541"/>
    <w:rsid w:val="0CF76D88"/>
    <w:rsid w:val="0CF77F3A"/>
    <w:rsid w:val="0CF84031"/>
    <w:rsid w:val="0CF87B8D"/>
    <w:rsid w:val="0CFA1B57"/>
    <w:rsid w:val="0CFB142B"/>
    <w:rsid w:val="0CFD1647"/>
    <w:rsid w:val="0CFD33F5"/>
    <w:rsid w:val="0CFD51A3"/>
    <w:rsid w:val="0CFE2CC9"/>
    <w:rsid w:val="0D0504FC"/>
    <w:rsid w:val="0D0522AA"/>
    <w:rsid w:val="0D074274"/>
    <w:rsid w:val="0D080EBF"/>
    <w:rsid w:val="0D09234F"/>
    <w:rsid w:val="0D097FEC"/>
    <w:rsid w:val="0D0B5B12"/>
    <w:rsid w:val="0D0E115E"/>
    <w:rsid w:val="0D0E73B0"/>
    <w:rsid w:val="0D0F0D92"/>
    <w:rsid w:val="0D0F4ED6"/>
    <w:rsid w:val="0D10137A"/>
    <w:rsid w:val="0D110C4F"/>
    <w:rsid w:val="0D1150F2"/>
    <w:rsid w:val="0D1357D1"/>
    <w:rsid w:val="0D15073F"/>
    <w:rsid w:val="0D15252B"/>
    <w:rsid w:val="0D157BAE"/>
    <w:rsid w:val="0D183D8B"/>
    <w:rsid w:val="0D186481"/>
    <w:rsid w:val="0D1A5D55"/>
    <w:rsid w:val="0D1C7D1F"/>
    <w:rsid w:val="0D1D5845"/>
    <w:rsid w:val="0D1F15BD"/>
    <w:rsid w:val="0D1F511A"/>
    <w:rsid w:val="0D215336"/>
    <w:rsid w:val="0D2170E6"/>
    <w:rsid w:val="0D222E5C"/>
    <w:rsid w:val="0D224C0A"/>
    <w:rsid w:val="0D240982"/>
    <w:rsid w:val="0D246BD4"/>
    <w:rsid w:val="0D2564A8"/>
    <w:rsid w:val="0D2A3ABE"/>
    <w:rsid w:val="0D2B61B4"/>
    <w:rsid w:val="0D2C5A88"/>
    <w:rsid w:val="0D2E1801"/>
    <w:rsid w:val="0D2E57AB"/>
    <w:rsid w:val="0D31309F"/>
    <w:rsid w:val="0D330BC5"/>
    <w:rsid w:val="0D335069"/>
    <w:rsid w:val="0D35493D"/>
    <w:rsid w:val="0D3606B5"/>
    <w:rsid w:val="0D374B59"/>
    <w:rsid w:val="0D387F9E"/>
    <w:rsid w:val="0D3A01A5"/>
    <w:rsid w:val="0D3A63F7"/>
    <w:rsid w:val="0D3D37F2"/>
    <w:rsid w:val="0D3E6942"/>
    <w:rsid w:val="0D3F57BC"/>
    <w:rsid w:val="0D3F756A"/>
    <w:rsid w:val="0D433970"/>
    <w:rsid w:val="0D442DD2"/>
    <w:rsid w:val="0D4508F8"/>
    <w:rsid w:val="0D474670"/>
    <w:rsid w:val="0D49663A"/>
    <w:rsid w:val="0D4C7ED9"/>
    <w:rsid w:val="0D4D75F3"/>
    <w:rsid w:val="0D4E1EA3"/>
    <w:rsid w:val="0D4E3C51"/>
    <w:rsid w:val="0D4E59FF"/>
    <w:rsid w:val="0D5154EF"/>
    <w:rsid w:val="0D5374B9"/>
    <w:rsid w:val="0D554FDF"/>
    <w:rsid w:val="0D562B05"/>
    <w:rsid w:val="0D5648B3"/>
    <w:rsid w:val="0D584706"/>
    <w:rsid w:val="0D5B011C"/>
    <w:rsid w:val="0D5D1090"/>
    <w:rsid w:val="0D5E2352"/>
    <w:rsid w:val="0D6130AB"/>
    <w:rsid w:val="0D613984"/>
    <w:rsid w:val="0D63594E"/>
    <w:rsid w:val="0D646FBB"/>
    <w:rsid w:val="0D6472D1"/>
    <w:rsid w:val="0D660F9A"/>
    <w:rsid w:val="0D6618DB"/>
    <w:rsid w:val="0D662D48"/>
    <w:rsid w:val="0D682F64"/>
    <w:rsid w:val="0D6E42F3"/>
    <w:rsid w:val="0D6F14FD"/>
    <w:rsid w:val="0D6F21A5"/>
    <w:rsid w:val="0D7169EE"/>
    <w:rsid w:val="0D7336B7"/>
    <w:rsid w:val="0D7501A0"/>
    <w:rsid w:val="0D75742F"/>
    <w:rsid w:val="0D767C8F"/>
    <w:rsid w:val="0D774F56"/>
    <w:rsid w:val="0D786F20"/>
    <w:rsid w:val="0D7A1CDB"/>
    <w:rsid w:val="0D7A3A35"/>
    <w:rsid w:val="0D7B2671"/>
    <w:rsid w:val="0D7C07BE"/>
    <w:rsid w:val="0D7D0092"/>
    <w:rsid w:val="0D7F205C"/>
    <w:rsid w:val="0D815DD4"/>
    <w:rsid w:val="0D821B4C"/>
    <w:rsid w:val="0D823885"/>
    <w:rsid w:val="0D8458C4"/>
    <w:rsid w:val="0D847672"/>
    <w:rsid w:val="0D8628FB"/>
    <w:rsid w:val="0D8633EB"/>
    <w:rsid w:val="0D870F11"/>
    <w:rsid w:val="0D872355"/>
    <w:rsid w:val="0D892EDB"/>
    <w:rsid w:val="0D894C89"/>
    <w:rsid w:val="0D8B758F"/>
    <w:rsid w:val="0D8C6527"/>
    <w:rsid w:val="0D8D29CB"/>
    <w:rsid w:val="0D8E6743"/>
    <w:rsid w:val="0D915FD8"/>
    <w:rsid w:val="0D935B07"/>
    <w:rsid w:val="0D9378B6"/>
    <w:rsid w:val="0D941D88"/>
    <w:rsid w:val="0D953218"/>
    <w:rsid w:val="0D95362E"/>
    <w:rsid w:val="0D9553DC"/>
    <w:rsid w:val="0D957AD2"/>
    <w:rsid w:val="0D961154"/>
    <w:rsid w:val="0D984ECC"/>
    <w:rsid w:val="0D9951C3"/>
    <w:rsid w:val="0D9C2C0E"/>
    <w:rsid w:val="0D9C676A"/>
    <w:rsid w:val="0D9D0734"/>
    <w:rsid w:val="0D9F26FE"/>
    <w:rsid w:val="0D9F2DE0"/>
    <w:rsid w:val="0DA10224"/>
    <w:rsid w:val="0DA16476"/>
    <w:rsid w:val="0DA25D4B"/>
    <w:rsid w:val="0DA64C70"/>
    <w:rsid w:val="0DA6583B"/>
    <w:rsid w:val="0DA701FE"/>
    <w:rsid w:val="0DA73361"/>
    <w:rsid w:val="0DA815B3"/>
    <w:rsid w:val="0DA9425F"/>
    <w:rsid w:val="0DAB2E51"/>
    <w:rsid w:val="0DAD6BC9"/>
    <w:rsid w:val="0DAF0B93"/>
    <w:rsid w:val="0DAF1561"/>
    <w:rsid w:val="0DAF6990"/>
    <w:rsid w:val="0DB22432"/>
    <w:rsid w:val="0DB241E0"/>
    <w:rsid w:val="0DB24763"/>
    <w:rsid w:val="0DB31D06"/>
    <w:rsid w:val="0DB37F58"/>
    <w:rsid w:val="0DB55A7E"/>
    <w:rsid w:val="0DB638C9"/>
    <w:rsid w:val="0DB81183"/>
    <w:rsid w:val="0DB8556E"/>
    <w:rsid w:val="0DB90567"/>
    <w:rsid w:val="0DBA12E6"/>
    <w:rsid w:val="0DBA7538"/>
    <w:rsid w:val="0DBC0F94"/>
    <w:rsid w:val="0DBC6E0C"/>
    <w:rsid w:val="0DBF4B4E"/>
    <w:rsid w:val="0DBF68FD"/>
    <w:rsid w:val="0DC12675"/>
    <w:rsid w:val="0DC42165"/>
    <w:rsid w:val="0DC43F13"/>
    <w:rsid w:val="0DC52D99"/>
    <w:rsid w:val="0DC65EDD"/>
    <w:rsid w:val="0DCD1019"/>
    <w:rsid w:val="0DCD2DC7"/>
    <w:rsid w:val="0DCD3E65"/>
    <w:rsid w:val="0DCD726B"/>
    <w:rsid w:val="0DCF2D63"/>
    <w:rsid w:val="0DD00B0A"/>
    <w:rsid w:val="0DD028B8"/>
    <w:rsid w:val="0DD1622F"/>
    <w:rsid w:val="0DD423A8"/>
    <w:rsid w:val="0DD4721B"/>
    <w:rsid w:val="0DD51C7C"/>
    <w:rsid w:val="0DD57ECE"/>
    <w:rsid w:val="0DD626BD"/>
    <w:rsid w:val="0DD75B9C"/>
    <w:rsid w:val="0DD979BE"/>
    <w:rsid w:val="0DDA1988"/>
    <w:rsid w:val="0DDA7292"/>
    <w:rsid w:val="0DDC300B"/>
    <w:rsid w:val="0DDD6D83"/>
    <w:rsid w:val="0DDF0D4D"/>
    <w:rsid w:val="0DDF6F9F"/>
    <w:rsid w:val="0DE10621"/>
    <w:rsid w:val="0DE14AC5"/>
    <w:rsid w:val="0DE16873"/>
    <w:rsid w:val="0DE440BD"/>
    <w:rsid w:val="0DE545B5"/>
    <w:rsid w:val="0DE63E89"/>
    <w:rsid w:val="0DE65F6F"/>
    <w:rsid w:val="0DE819AF"/>
    <w:rsid w:val="0DE93979"/>
    <w:rsid w:val="0DE95727"/>
    <w:rsid w:val="0DEB14A0"/>
    <w:rsid w:val="0DEC6932"/>
    <w:rsid w:val="0DED16BC"/>
    <w:rsid w:val="0DED503C"/>
    <w:rsid w:val="0DEE0F90"/>
    <w:rsid w:val="0DF20A80"/>
    <w:rsid w:val="0DF2282E"/>
    <w:rsid w:val="0DF26CD2"/>
    <w:rsid w:val="0DF35375"/>
    <w:rsid w:val="0DF540CC"/>
    <w:rsid w:val="0DF742E8"/>
    <w:rsid w:val="0DF76096"/>
    <w:rsid w:val="0DF90060"/>
    <w:rsid w:val="0DFA7935"/>
    <w:rsid w:val="0DFE11D3"/>
    <w:rsid w:val="0E012A71"/>
    <w:rsid w:val="0E043EA9"/>
    <w:rsid w:val="0E050C1A"/>
    <w:rsid w:val="0E06277D"/>
    <w:rsid w:val="0E097B78"/>
    <w:rsid w:val="0E0A401C"/>
    <w:rsid w:val="0E0B1044"/>
    <w:rsid w:val="0E0B1B42"/>
    <w:rsid w:val="0E0D58BA"/>
    <w:rsid w:val="0E0D7668"/>
    <w:rsid w:val="0E1409F6"/>
    <w:rsid w:val="0E1529C0"/>
    <w:rsid w:val="0E1539BC"/>
    <w:rsid w:val="0E15476E"/>
    <w:rsid w:val="0E15651D"/>
    <w:rsid w:val="0E16227B"/>
    <w:rsid w:val="0E176739"/>
    <w:rsid w:val="0E19425F"/>
    <w:rsid w:val="0E1B7FD7"/>
    <w:rsid w:val="0E1C3D4F"/>
    <w:rsid w:val="0E1D59E6"/>
    <w:rsid w:val="0E1E3623"/>
    <w:rsid w:val="0E2034BD"/>
    <w:rsid w:val="0E213113"/>
    <w:rsid w:val="0E217D0D"/>
    <w:rsid w:val="0E2449B2"/>
    <w:rsid w:val="0E250E55"/>
    <w:rsid w:val="0E255633"/>
    <w:rsid w:val="0E2826F4"/>
    <w:rsid w:val="0E2A021A"/>
    <w:rsid w:val="0E2A646C"/>
    <w:rsid w:val="0E2B5D40"/>
    <w:rsid w:val="0E301A0A"/>
    <w:rsid w:val="0E302379"/>
    <w:rsid w:val="0E303356"/>
    <w:rsid w:val="0E341099"/>
    <w:rsid w:val="0E3410C8"/>
    <w:rsid w:val="0E356BBF"/>
    <w:rsid w:val="0E364E11"/>
    <w:rsid w:val="0E39220B"/>
    <w:rsid w:val="0E3966AF"/>
    <w:rsid w:val="0E3A5F83"/>
    <w:rsid w:val="0E3C7F4D"/>
    <w:rsid w:val="0E3E5A73"/>
    <w:rsid w:val="0E3E7B9F"/>
    <w:rsid w:val="0E4136CA"/>
    <w:rsid w:val="0E43308A"/>
    <w:rsid w:val="0E462193"/>
    <w:rsid w:val="0E46753C"/>
    <w:rsid w:val="0E472F86"/>
    <w:rsid w:val="0E484B44"/>
    <w:rsid w:val="0E4A4418"/>
    <w:rsid w:val="0E4B1F3E"/>
    <w:rsid w:val="0E4D215A"/>
    <w:rsid w:val="0E4F5ED2"/>
    <w:rsid w:val="0E4F715E"/>
    <w:rsid w:val="0E5057A7"/>
    <w:rsid w:val="0E5203C3"/>
    <w:rsid w:val="0E526B59"/>
    <w:rsid w:val="0E5434E9"/>
    <w:rsid w:val="0E545297"/>
    <w:rsid w:val="0E552DBD"/>
    <w:rsid w:val="0E576B35"/>
    <w:rsid w:val="0E59465B"/>
    <w:rsid w:val="0E5A776A"/>
    <w:rsid w:val="0E5C414B"/>
    <w:rsid w:val="0E5D2BF2"/>
    <w:rsid w:val="0E5E1C72"/>
    <w:rsid w:val="0E5F21F1"/>
    <w:rsid w:val="0E5F606F"/>
    <w:rsid w:val="0E6059EA"/>
    <w:rsid w:val="0E6179B4"/>
    <w:rsid w:val="0E63197E"/>
    <w:rsid w:val="0E63372C"/>
    <w:rsid w:val="0E6354DA"/>
    <w:rsid w:val="0E6574A4"/>
    <w:rsid w:val="0E664FCA"/>
    <w:rsid w:val="0E666D78"/>
    <w:rsid w:val="0E681446"/>
    <w:rsid w:val="0E682AF0"/>
    <w:rsid w:val="0E6D3E28"/>
    <w:rsid w:val="0E6D45AA"/>
    <w:rsid w:val="0E6F0323"/>
    <w:rsid w:val="0E6F3E7F"/>
    <w:rsid w:val="0E715E49"/>
    <w:rsid w:val="0E72396F"/>
    <w:rsid w:val="0E741495"/>
    <w:rsid w:val="0E745939"/>
    <w:rsid w:val="0E762D7D"/>
    <w:rsid w:val="0E770F85"/>
    <w:rsid w:val="0E7D2A40"/>
    <w:rsid w:val="0E80608C"/>
    <w:rsid w:val="0E807E3A"/>
    <w:rsid w:val="0E810B5D"/>
    <w:rsid w:val="0E813BB2"/>
    <w:rsid w:val="0E8301B2"/>
    <w:rsid w:val="0E833DCE"/>
    <w:rsid w:val="0E83792A"/>
    <w:rsid w:val="0E8611C8"/>
    <w:rsid w:val="0E8649CF"/>
    <w:rsid w:val="0E87566C"/>
    <w:rsid w:val="0E87741A"/>
    <w:rsid w:val="0E884F40"/>
    <w:rsid w:val="0E8A2A67"/>
    <w:rsid w:val="0E8A515C"/>
    <w:rsid w:val="0E8D07A9"/>
    <w:rsid w:val="0E8D69FB"/>
    <w:rsid w:val="0E8E5690"/>
    <w:rsid w:val="0E8E69E2"/>
    <w:rsid w:val="0E8F45F1"/>
    <w:rsid w:val="0E8F5D32"/>
    <w:rsid w:val="0E8F62CF"/>
    <w:rsid w:val="0E916535"/>
    <w:rsid w:val="0E941B37"/>
    <w:rsid w:val="0E9438E5"/>
    <w:rsid w:val="0E963B01"/>
    <w:rsid w:val="0E975183"/>
    <w:rsid w:val="0E9B1118"/>
    <w:rsid w:val="0E9C279A"/>
    <w:rsid w:val="0E9E29B6"/>
    <w:rsid w:val="0EA05576"/>
    <w:rsid w:val="0EA16002"/>
    <w:rsid w:val="0EA224A6"/>
    <w:rsid w:val="0EA24254"/>
    <w:rsid w:val="0EAA135B"/>
    <w:rsid w:val="0EAA4EB7"/>
    <w:rsid w:val="0EAC50D3"/>
    <w:rsid w:val="0EAF071F"/>
    <w:rsid w:val="0EAF24CD"/>
    <w:rsid w:val="0EAF6971"/>
    <w:rsid w:val="0EB126E9"/>
    <w:rsid w:val="0EB36461"/>
    <w:rsid w:val="0EB60EDD"/>
    <w:rsid w:val="0EB6385C"/>
    <w:rsid w:val="0EB75826"/>
    <w:rsid w:val="0EB9334C"/>
    <w:rsid w:val="0EBD108E"/>
    <w:rsid w:val="0EBD2E3C"/>
    <w:rsid w:val="0EBE0962"/>
    <w:rsid w:val="0EC00B7E"/>
    <w:rsid w:val="0EC20452"/>
    <w:rsid w:val="0EC35F79"/>
    <w:rsid w:val="0EC51CF1"/>
    <w:rsid w:val="0EC64A54"/>
    <w:rsid w:val="0EC75A69"/>
    <w:rsid w:val="0EC87A33"/>
    <w:rsid w:val="0ECA37AB"/>
    <w:rsid w:val="0ECA5069"/>
    <w:rsid w:val="0ECC307F"/>
    <w:rsid w:val="0ECC7523"/>
    <w:rsid w:val="0ECD6DF7"/>
    <w:rsid w:val="0ECE329B"/>
    <w:rsid w:val="0ECF29CC"/>
    <w:rsid w:val="0ECF2B6F"/>
    <w:rsid w:val="0ED02F14"/>
    <w:rsid w:val="0ED14B39"/>
    <w:rsid w:val="0ED31895"/>
    <w:rsid w:val="0ED32FD6"/>
    <w:rsid w:val="0ED40186"/>
    <w:rsid w:val="0ED463D8"/>
    <w:rsid w:val="0ED80DB2"/>
    <w:rsid w:val="0ED87C76"/>
    <w:rsid w:val="0ED939EE"/>
    <w:rsid w:val="0ED9579C"/>
    <w:rsid w:val="0EDC703A"/>
    <w:rsid w:val="0EE06B2A"/>
    <w:rsid w:val="0EE16A6A"/>
    <w:rsid w:val="0EE20AF5"/>
    <w:rsid w:val="0EE228A3"/>
    <w:rsid w:val="0EE24651"/>
    <w:rsid w:val="0EE303C9"/>
    <w:rsid w:val="0EE52393"/>
    <w:rsid w:val="0EE74802"/>
    <w:rsid w:val="0EE7610B"/>
    <w:rsid w:val="0EE8119B"/>
    <w:rsid w:val="0EE859DF"/>
    <w:rsid w:val="0EE91E83"/>
    <w:rsid w:val="0EEA79A9"/>
    <w:rsid w:val="0EEB1201"/>
    <w:rsid w:val="0EF16F8A"/>
    <w:rsid w:val="0EF279EF"/>
    <w:rsid w:val="0EF3685E"/>
    <w:rsid w:val="0EF66370"/>
    <w:rsid w:val="0EF820C6"/>
    <w:rsid w:val="0EF83861"/>
    <w:rsid w:val="0EF95E3E"/>
    <w:rsid w:val="0EFA4090"/>
    <w:rsid w:val="0EFA6181"/>
    <w:rsid w:val="0EFB3964"/>
    <w:rsid w:val="0EFD148A"/>
    <w:rsid w:val="0EFD76DC"/>
    <w:rsid w:val="0EFE3455"/>
    <w:rsid w:val="0EFE5F92"/>
    <w:rsid w:val="0EFF2622"/>
    <w:rsid w:val="0F0071CD"/>
    <w:rsid w:val="0F013483"/>
    <w:rsid w:val="0F013807"/>
    <w:rsid w:val="0F022F45"/>
    <w:rsid w:val="0F046CBD"/>
    <w:rsid w:val="0F053294"/>
    <w:rsid w:val="0F056591"/>
    <w:rsid w:val="0F087E2F"/>
    <w:rsid w:val="0F0A4535"/>
    <w:rsid w:val="0F0D000E"/>
    <w:rsid w:val="0F0D45F7"/>
    <w:rsid w:val="0F0E18EA"/>
    <w:rsid w:val="0F0F5662"/>
    <w:rsid w:val="0F0F7410"/>
    <w:rsid w:val="0F1019B9"/>
    <w:rsid w:val="0F114F36"/>
    <w:rsid w:val="0F135152"/>
    <w:rsid w:val="0F144A26"/>
    <w:rsid w:val="0F152F0C"/>
    <w:rsid w:val="0F16254C"/>
    <w:rsid w:val="0F19203C"/>
    <w:rsid w:val="0F1B54BA"/>
    <w:rsid w:val="0F1B5DB5"/>
    <w:rsid w:val="0F1D1B2D"/>
    <w:rsid w:val="0F1D38DB"/>
    <w:rsid w:val="0F1D7D7F"/>
    <w:rsid w:val="0F205179"/>
    <w:rsid w:val="0F22538D"/>
    <w:rsid w:val="0F227143"/>
    <w:rsid w:val="0F234C69"/>
    <w:rsid w:val="0F237DDC"/>
    <w:rsid w:val="0F242EBB"/>
    <w:rsid w:val="0F2509E1"/>
    <w:rsid w:val="0F256C33"/>
    <w:rsid w:val="0F264E85"/>
    <w:rsid w:val="0F28662E"/>
    <w:rsid w:val="0F2904D1"/>
    <w:rsid w:val="0F294770"/>
    <w:rsid w:val="0F301B45"/>
    <w:rsid w:val="0F305FFD"/>
    <w:rsid w:val="0F307AB2"/>
    <w:rsid w:val="0F317386"/>
    <w:rsid w:val="0F3550C8"/>
    <w:rsid w:val="0F360E40"/>
    <w:rsid w:val="0F36499C"/>
    <w:rsid w:val="0F38025F"/>
    <w:rsid w:val="0F384BB8"/>
    <w:rsid w:val="0F386966"/>
    <w:rsid w:val="0F3B6457"/>
    <w:rsid w:val="0F3D3F7D"/>
    <w:rsid w:val="0F3F7CF5"/>
    <w:rsid w:val="0F421593"/>
    <w:rsid w:val="0F44355D"/>
    <w:rsid w:val="0F4946D0"/>
    <w:rsid w:val="0F4B669A"/>
    <w:rsid w:val="0F4C0664"/>
    <w:rsid w:val="0F4C41C0"/>
    <w:rsid w:val="0F4C5F6E"/>
    <w:rsid w:val="0F4F2B9F"/>
    <w:rsid w:val="0F4F363C"/>
    <w:rsid w:val="0F503CB0"/>
    <w:rsid w:val="0F511965"/>
    <w:rsid w:val="0F556ADB"/>
    <w:rsid w:val="0F557518"/>
    <w:rsid w:val="0F5616AC"/>
    <w:rsid w:val="0F5716F5"/>
    <w:rsid w:val="0F580DB7"/>
    <w:rsid w:val="0F582B65"/>
    <w:rsid w:val="0F59068B"/>
    <w:rsid w:val="0F59545C"/>
    <w:rsid w:val="0F5A68DD"/>
    <w:rsid w:val="0F5D017B"/>
    <w:rsid w:val="0F5D461F"/>
    <w:rsid w:val="0F5E2A0F"/>
    <w:rsid w:val="0F601A19"/>
    <w:rsid w:val="0F607A2E"/>
    <w:rsid w:val="0F6239E3"/>
    <w:rsid w:val="0F625791"/>
    <w:rsid w:val="0F655282"/>
    <w:rsid w:val="0F67724C"/>
    <w:rsid w:val="0F696B20"/>
    <w:rsid w:val="0F6C4862"/>
    <w:rsid w:val="0F706100"/>
    <w:rsid w:val="0F711E78"/>
    <w:rsid w:val="0F7200CA"/>
    <w:rsid w:val="0F76748F"/>
    <w:rsid w:val="0F7756E1"/>
    <w:rsid w:val="0F7A2ADB"/>
    <w:rsid w:val="0F7E5CE7"/>
    <w:rsid w:val="0F7F4595"/>
    <w:rsid w:val="0F81030D"/>
    <w:rsid w:val="0F8120BC"/>
    <w:rsid w:val="0F84395A"/>
    <w:rsid w:val="0F84472A"/>
    <w:rsid w:val="0F856462"/>
    <w:rsid w:val="0F8676D2"/>
    <w:rsid w:val="0F87344A"/>
    <w:rsid w:val="0F8B2F3A"/>
    <w:rsid w:val="0F8B4CE8"/>
    <w:rsid w:val="0F8B53FA"/>
    <w:rsid w:val="0F8E47D8"/>
    <w:rsid w:val="0F917E25"/>
    <w:rsid w:val="0F930041"/>
    <w:rsid w:val="0F933B9D"/>
    <w:rsid w:val="0F955B67"/>
    <w:rsid w:val="0F976602"/>
    <w:rsid w:val="0F9811B3"/>
    <w:rsid w:val="0F9A075F"/>
    <w:rsid w:val="0F9A4F2B"/>
    <w:rsid w:val="0F9F0794"/>
    <w:rsid w:val="0FA364D6"/>
    <w:rsid w:val="0FA45DAA"/>
    <w:rsid w:val="0FA47B58"/>
    <w:rsid w:val="0FA66633"/>
    <w:rsid w:val="0FA83AEC"/>
    <w:rsid w:val="0FA933C0"/>
    <w:rsid w:val="0FA97864"/>
    <w:rsid w:val="0FAB4813"/>
    <w:rsid w:val="0FAB538A"/>
    <w:rsid w:val="0FAC0D64"/>
    <w:rsid w:val="0FAC2EB1"/>
    <w:rsid w:val="0FAE09D7"/>
    <w:rsid w:val="0FAE6C29"/>
    <w:rsid w:val="0FAF76E5"/>
    <w:rsid w:val="0FB32491"/>
    <w:rsid w:val="0FB3423F"/>
    <w:rsid w:val="0FB474F6"/>
    <w:rsid w:val="0FB75ADD"/>
    <w:rsid w:val="0FBA55CD"/>
    <w:rsid w:val="0FBB0798"/>
    <w:rsid w:val="0FBD6E6C"/>
    <w:rsid w:val="0FBF0E36"/>
    <w:rsid w:val="0FC1070A"/>
    <w:rsid w:val="0FC14B5C"/>
    <w:rsid w:val="0FC621C4"/>
    <w:rsid w:val="0FC63F72"/>
    <w:rsid w:val="0FC71A98"/>
    <w:rsid w:val="0FC87CEA"/>
    <w:rsid w:val="0FC95811"/>
    <w:rsid w:val="0FCB3337"/>
    <w:rsid w:val="0FCD3553"/>
    <w:rsid w:val="0FCD5301"/>
    <w:rsid w:val="0FCF00E5"/>
    <w:rsid w:val="0FD06B9F"/>
    <w:rsid w:val="0FD32EC0"/>
    <w:rsid w:val="0FD50659"/>
    <w:rsid w:val="0FD672F6"/>
    <w:rsid w:val="0FD77F2D"/>
    <w:rsid w:val="0FD91EF8"/>
    <w:rsid w:val="0FD97D81"/>
    <w:rsid w:val="0FDA7A1E"/>
    <w:rsid w:val="0FDB0053"/>
    <w:rsid w:val="0FDB69B3"/>
    <w:rsid w:val="0FDD12BC"/>
    <w:rsid w:val="0FDD306A"/>
    <w:rsid w:val="0FDF5034"/>
    <w:rsid w:val="0FE110E4"/>
    <w:rsid w:val="0FE16FFE"/>
    <w:rsid w:val="0FE4089C"/>
    <w:rsid w:val="0FE60171"/>
    <w:rsid w:val="0FE663C2"/>
    <w:rsid w:val="0FE6736F"/>
    <w:rsid w:val="0FE91A0F"/>
    <w:rsid w:val="0FE97C61"/>
    <w:rsid w:val="0FEB1C2B"/>
    <w:rsid w:val="0FEB39D9"/>
    <w:rsid w:val="0FEC5E84"/>
    <w:rsid w:val="0FED0DC8"/>
    <w:rsid w:val="0FED31DB"/>
    <w:rsid w:val="0FED7687"/>
    <w:rsid w:val="0FF07241"/>
    <w:rsid w:val="0FF20C43"/>
    <w:rsid w:val="0FF22FB9"/>
    <w:rsid w:val="0FF30ADF"/>
    <w:rsid w:val="0FF3288D"/>
    <w:rsid w:val="0FF46D31"/>
    <w:rsid w:val="0FFA33CC"/>
    <w:rsid w:val="0FFC1742"/>
    <w:rsid w:val="0FFC5BE6"/>
    <w:rsid w:val="0FFC7994"/>
    <w:rsid w:val="0FFD54BA"/>
    <w:rsid w:val="0FFE087C"/>
    <w:rsid w:val="0FFE370C"/>
    <w:rsid w:val="0FFF1232"/>
    <w:rsid w:val="0FFF1A9C"/>
    <w:rsid w:val="0FFF7484"/>
    <w:rsid w:val="10014FAA"/>
    <w:rsid w:val="10021B5E"/>
    <w:rsid w:val="10022AD1"/>
    <w:rsid w:val="10042CED"/>
    <w:rsid w:val="10046849"/>
    <w:rsid w:val="100625C1"/>
    <w:rsid w:val="100827DD"/>
    <w:rsid w:val="10085F0D"/>
    <w:rsid w:val="100861F5"/>
    <w:rsid w:val="10086339"/>
    <w:rsid w:val="100920B1"/>
    <w:rsid w:val="100C2FB7"/>
    <w:rsid w:val="100E258F"/>
    <w:rsid w:val="101051ED"/>
    <w:rsid w:val="10120F66"/>
    <w:rsid w:val="10121653"/>
    <w:rsid w:val="10125409"/>
    <w:rsid w:val="101271B8"/>
    <w:rsid w:val="10141182"/>
    <w:rsid w:val="10150A56"/>
    <w:rsid w:val="10152804"/>
    <w:rsid w:val="101728F4"/>
    <w:rsid w:val="101747CE"/>
    <w:rsid w:val="101822F4"/>
    <w:rsid w:val="10183D84"/>
    <w:rsid w:val="10196798"/>
    <w:rsid w:val="101A42BE"/>
    <w:rsid w:val="101C0036"/>
    <w:rsid w:val="10207B26"/>
    <w:rsid w:val="10234F21"/>
    <w:rsid w:val="10240C99"/>
    <w:rsid w:val="10244EF8"/>
    <w:rsid w:val="10262C63"/>
    <w:rsid w:val="10264A11"/>
    <w:rsid w:val="1026710D"/>
    <w:rsid w:val="102723E9"/>
    <w:rsid w:val="10280686"/>
    <w:rsid w:val="10282537"/>
    <w:rsid w:val="102828D0"/>
    <w:rsid w:val="10284C2D"/>
    <w:rsid w:val="10294501"/>
    <w:rsid w:val="102951BC"/>
    <w:rsid w:val="102B0279"/>
    <w:rsid w:val="102B5869"/>
    <w:rsid w:val="102E1B18"/>
    <w:rsid w:val="102F7D69"/>
    <w:rsid w:val="1030200B"/>
    <w:rsid w:val="1030763E"/>
    <w:rsid w:val="10341E1C"/>
    <w:rsid w:val="10390BE8"/>
    <w:rsid w:val="103C4234"/>
    <w:rsid w:val="103D5E34"/>
    <w:rsid w:val="103F5AD3"/>
    <w:rsid w:val="104430E9"/>
    <w:rsid w:val="104533D0"/>
    <w:rsid w:val="10482BD9"/>
    <w:rsid w:val="10484987"/>
    <w:rsid w:val="104A4BA3"/>
    <w:rsid w:val="104A65C7"/>
    <w:rsid w:val="104A6951"/>
    <w:rsid w:val="104B4477"/>
    <w:rsid w:val="104B5A81"/>
    <w:rsid w:val="104D4694"/>
    <w:rsid w:val="104D6442"/>
    <w:rsid w:val="104F3F68"/>
    <w:rsid w:val="10523A58"/>
    <w:rsid w:val="10537F76"/>
    <w:rsid w:val="10545A22"/>
    <w:rsid w:val="105570A4"/>
    <w:rsid w:val="1057106E"/>
    <w:rsid w:val="10572E1C"/>
    <w:rsid w:val="105A290D"/>
    <w:rsid w:val="105A46BB"/>
    <w:rsid w:val="105B70D8"/>
    <w:rsid w:val="105C6685"/>
    <w:rsid w:val="105E064F"/>
    <w:rsid w:val="105E41AB"/>
    <w:rsid w:val="105F7F23"/>
    <w:rsid w:val="10606175"/>
    <w:rsid w:val="106612B1"/>
    <w:rsid w:val="10675755"/>
    <w:rsid w:val="106A0DA2"/>
    <w:rsid w:val="106F0166"/>
    <w:rsid w:val="106F63B8"/>
    <w:rsid w:val="10710382"/>
    <w:rsid w:val="1072498F"/>
    <w:rsid w:val="10727C56"/>
    <w:rsid w:val="10741C20"/>
    <w:rsid w:val="1075073F"/>
    <w:rsid w:val="107514F4"/>
    <w:rsid w:val="107A6B0B"/>
    <w:rsid w:val="107B2FAF"/>
    <w:rsid w:val="107B4D5D"/>
    <w:rsid w:val="107C2883"/>
    <w:rsid w:val="107E2A9F"/>
    <w:rsid w:val="107E484D"/>
    <w:rsid w:val="107E65FB"/>
    <w:rsid w:val="107F4121"/>
    <w:rsid w:val="10800423"/>
    <w:rsid w:val="108005C5"/>
    <w:rsid w:val="10802373"/>
    <w:rsid w:val="10833B67"/>
    <w:rsid w:val="10833C11"/>
    <w:rsid w:val="10863702"/>
    <w:rsid w:val="10866BAD"/>
    <w:rsid w:val="10872B54"/>
    <w:rsid w:val="10881228"/>
    <w:rsid w:val="10881DA9"/>
    <w:rsid w:val="108856CC"/>
    <w:rsid w:val="108D683E"/>
    <w:rsid w:val="1090632E"/>
    <w:rsid w:val="109113A8"/>
    <w:rsid w:val="10923E54"/>
    <w:rsid w:val="10944070"/>
    <w:rsid w:val="10945E1E"/>
    <w:rsid w:val="109764CF"/>
    <w:rsid w:val="109776BD"/>
    <w:rsid w:val="10983071"/>
    <w:rsid w:val="109B4C39"/>
    <w:rsid w:val="109D1177"/>
    <w:rsid w:val="109E251C"/>
    <w:rsid w:val="10A32F80"/>
    <w:rsid w:val="10A5002C"/>
    <w:rsid w:val="10A5627E"/>
    <w:rsid w:val="10A67900"/>
    <w:rsid w:val="10A71125"/>
    <w:rsid w:val="10A928B2"/>
    <w:rsid w:val="10AB1F4F"/>
    <w:rsid w:val="10AE4BEE"/>
    <w:rsid w:val="10B20503"/>
    <w:rsid w:val="10B244F7"/>
    <w:rsid w:val="10B74FEB"/>
    <w:rsid w:val="10B95885"/>
    <w:rsid w:val="10B97633"/>
    <w:rsid w:val="10BB15FD"/>
    <w:rsid w:val="10BB1A44"/>
    <w:rsid w:val="10BD6F35"/>
    <w:rsid w:val="10BE733F"/>
    <w:rsid w:val="10C34956"/>
    <w:rsid w:val="10C36704"/>
    <w:rsid w:val="10C5247C"/>
    <w:rsid w:val="10C761F4"/>
    <w:rsid w:val="10C77FE7"/>
    <w:rsid w:val="10C85AC8"/>
    <w:rsid w:val="10CA5CE4"/>
    <w:rsid w:val="10CF50A9"/>
    <w:rsid w:val="10D206F5"/>
    <w:rsid w:val="10D26947"/>
    <w:rsid w:val="10D40911"/>
    <w:rsid w:val="10D4446D"/>
    <w:rsid w:val="10D46BEA"/>
    <w:rsid w:val="10D601E5"/>
    <w:rsid w:val="10DA2455"/>
    <w:rsid w:val="10DB3A4D"/>
    <w:rsid w:val="10DB57FB"/>
    <w:rsid w:val="10DC1574"/>
    <w:rsid w:val="10DC394E"/>
    <w:rsid w:val="10DC5A2C"/>
    <w:rsid w:val="10DD5A17"/>
    <w:rsid w:val="10DD77C5"/>
    <w:rsid w:val="10DE61E6"/>
    <w:rsid w:val="10E01064"/>
    <w:rsid w:val="10E072B6"/>
    <w:rsid w:val="10E32902"/>
    <w:rsid w:val="10E36DA6"/>
    <w:rsid w:val="10E675D1"/>
    <w:rsid w:val="10E741A0"/>
    <w:rsid w:val="10E943BC"/>
    <w:rsid w:val="10EA0134"/>
    <w:rsid w:val="10EB7E81"/>
    <w:rsid w:val="10ED3781"/>
    <w:rsid w:val="10EE19D3"/>
    <w:rsid w:val="10EE65E0"/>
    <w:rsid w:val="10EF12A7"/>
    <w:rsid w:val="10F1501F"/>
    <w:rsid w:val="10F16568"/>
    <w:rsid w:val="10F274CA"/>
    <w:rsid w:val="10F42D61"/>
    <w:rsid w:val="10F468BD"/>
    <w:rsid w:val="10F547A6"/>
    <w:rsid w:val="10F62635"/>
    <w:rsid w:val="10F7015B"/>
    <w:rsid w:val="10F819E6"/>
    <w:rsid w:val="10F92125"/>
    <w:rsid w:val="10FE14EA"/>
    <w:rsid w:val="110411F6"/>
    <w:rsid w:val="11072A94"/>
    <w:rsid w:val="11074842"/>
    <w:rsid w:val="110A4333"/>
    <w:rsid w:val="110E3732"/>
    <w:rsid w:val="110F1949"/>
    <w:rsid w:val="110F7B9B"/>
    <w:rsid w:val="11124F95"/>
    <w:rsid w:val="11146F5F"/>
    <w:rsid w:val="11160F29"/>
    <w:rsid w:val="111725AC"/>
    <w:rsid w:val="111807FE"/>
    <w:rsid w:val="11187F74"/>
    <w:rsid w:val="111D4066"/>
    <w:rsid w:val="111D5E14"/>
    <w:rsid w:val="111D7BC2"/>
    <w:rsid w:val="11205904"/>
    <w:rsid w:val="112137C2"/>
    <w:rsid w:val="1129001A"/>
    <w:rsid w:val="11290C5D"/>
    <w:rsid w:val="112A22DF"/>
    <w:rsid w:val="112A6783"/>
    <w:rsid w:val="112C24FB"/>
    <w:rsid w:val="112D6EFE"/>
    <w:rsid w:val="112E0021"/>
    <w:rsid w:val="112F5B47"/>
    <w:rsid w:val="11317B11"/>
    <w:rsid w:val="11335BD7"/>
    <w:rsid w:val="113413B0"/>
    <w:rsid w:val="1134315E"/>
    <w:rsid w:val="11386E78"/>
    <w:rsid w:val="113A1798"/>
    <w:rsid w:val="113B0990"/>
    <w:rsid w:val="113B273E"/>
    <w:rsid w:val="113B44EC"/>
    <w:rsid w:val="113C57F9"/>
    <w:rsid w:val="113D0264"/>
    <w:rsid w:val="113D7627"/>
    <w:rsid w:val="113E0119"/>
    <w:rsid w:val="113F222E"/>
    <w:rsid w:val="11405FA6"/>
    <w:rsid w:val="114063D0"/>
    <w:rsid w:val="1142587A"/>
    <w:rsid w:val="114415F3"/>
    <w:rsid w:val="1147290C"/>
    <w:rsid w:val="114A472F"/>
    <w:rsid w:val="114D493A"/>
    <w:rsid w:val="114D7C0E"/>
    <w:rsid w:val="114F1D45"/>
    <w:rsid w:val="11513D10"/>
    <w:rsid w:val="11531836"/>
    <w:rsid w:val="11537A88"/>
    <w:rsid w:val="11567578"/>
    <w:rsid w:val="11572401"/>
    <w:rsid w:val="11581E04"/>
    <w:rsid w:val="11592426"/>
    <w:rsid w:val="115A0E16"/>
    <w:rsid w:val="115A7068"/>
    <w:rsid w:val="115B693C"/>
    <w:rsid w:val="115D26B4"/>
    <w:rsid w:val="115F642C"/>
    <w:rsid w:val="11602D5A"/>
    <w:rsid w:val="1161183B"/>
    <w:rsid w:val="11627CCB"/>
    <w:rsid w:val="11641C95"/>
    <w:rsid w:val="11665A0D"/>
    <w:rsid w:val="11673533"/>
    <w:rsid w:val="116752E1"/>
    <w:rsid w:val="11684816"/>
    <w:rsid w:val="116A6B7F"/>
    <w:rsid w:val="116C0B49"/>
    <w:rsid w:val="116E6670"/>
    <w:rsid w:val="117143B2"/>
    <w:rsid w:val="11714438"/>
    <w:rsid w:val="1173012A"/>
    <w:rsid w:val="11734152"/>
    <w:rsid w:val="11743D26"/>
    <w:rsid w:val="11750885"/>
    <w:rsid w:val="11755C50"/>
    <w:rsid w:val="1178129C"/>
    <w:rsid w:val="11785740"/>
    <w:rsid w:val="117A5014"/>
    <w:rsid w:val="117B0D8C"/>
    <w:rsid w:val="117D68B3"/>
    <w:rsid w:val="117F087D"/>
    <w:rsid w:val="117F262B"/>
    <w:rsid w:val="117F6ACF"/>
    <w:rsid w:val="11800378"/>
    <w:rsid w:val="118045F5"/>
    <w:rsid w:val="11827F8E"/>
    <w:rsid w:val="1184061B"/>
    <w:rsid w:val="11847C41"/>
    <w:rsid w:val="118539B9"/>
    <w:rsid w:val="118714DF"/>
    <w:rsid w:val="1188122F"/>
    <w:rsid w:val="118916FB"/>
    <w:rsid w:val="118934A9"/>
    <w:rsid w:val="11895257"/>
    <w:rsid w:val="118B5473"/>
    <w:rsid w:val="118B5DC3"/>
    <w:rsid w:val="118C4D48"/>
    <w:rsid w:val="118D7330"/>
    <w:rsid w:val="118E0AC0"/>
    <w:rsid w:val="11902A8A"/>
    <w:rsid w:val="119105B0"/>
    <w:rsid w:val="119177F2"/>
    <w:rsid w:val="11920773"/>
    <w:rsid w:val="11936616"/>
    <w:rsid w:val="119500A0"/>
    <w:rsid w:val="11951E4E"/>
    <w:rsid w:val="11963E18"/>
    <w:rsid w:val="11987B90"/>
    <w:rsid w:val="11991213"/>
    <w:rsid w:val="119A7465"/>
    <w:rsid w:val="119B31DD"/>
    <w:rsid w:val="11A007F3"/>
    <w:rsid w:val="11A227BD"/>
    <w:rsid w:val="11A75C48"/>
    <w:rsid w:val="11A77DD3"/>
    <w:rsid w:val="11A93B4C"/>
    <w:rsid w:val="11A976A8"/>
    <w:rsid w:val="11AA3420"/>
    <w:rsid w:val="11AB78C4"/>
    <w:rsid w:val="11AC062A"/>
    <w:rsid w:val="11AE10F7"/>
    <w:rsid w:val="11B00A36"/>
    <w:rsid w:val="11B01B7C"/>
    <w:rsid w:val="11B16C35"/>
    <w:rsid w:val="11B322D4"/>
    <w:rsid w:val="11B5604C"/>
    <w:rsid w:val="11B81FE1"/>
    <w:rsid w:val="11BA18B5"/>
    <w:rsid w:val="11BC387F"/>
    <w:rsid w:val="11BF511D"/>
    <w:rsid w:val="11C01427"/>
    <w:rsid w:val="11C12C43"/>
    <w:rsid w:val="11C20769"/>
    <w:rsid w:val="11C269BB"/>
    <w:rsid w:val="11C42733"/>
    <w:rsid w:val="11C52912"/>
    <w:rsid w:val="11C646FD"/>
    <w:rsid w:val="11C72224"/>
    <w:rsid w:val="11C75D80"/>
    <w:rsid w:val="11C95F9C"/>
    <w:rsid w:val="11CB5870"/>
    <w:rsid w:val="11CC15E8"/>
    <w:rsid w:val="11D24E50"/>
    <w:rsid w:val="11D32976"/>
    <w:rsid w:val="11D566EF"/>
    <w:rsid w:val="11DC7A7D"/>
    <w:rsid w:val="11DF131B"/>
    <w:rsid w:val="11DF30C9"/>
    <w:rsid w:val="11E06E41"/>
    <w:rsid w:val="11E132E5"/>
    <w:rsid w:val="11E15093"/>
    <w:rsid w:val="11E20E0C"/>
    <w:rsid w:val="11E22BBA"/>
    <w:rsid w:val="11E75BC7"/>
    <w:rsid w:val="11E82659"/>
    <w:rsid w:val="11E84674"/>
    <w:rsid w:val="11EE155E"/>
    <w:rsid w:val="11EE44E9"/>
    <w:rsid w:val="11F058CE"/>
    <w:rsid w:val="11F1104F"/>
    <w:rsid w:val="11F272A1"/>
    <w:rsid w:val="11F358DC"/>
    <w:rsid w:val="11F528ED"/>
    <w:rsid w:val="11F748B7"/>
    <w:rsid w:val="11F76665"/>
    <w:rsid w:val="11F823DD"/>
    <w:rsid w:val="11FC1ECD"/>
    <w:rsid w:val="12011292"/>
    <w:rsid w:val="120174E4"/>
    <w:rsid w:val="1202325C"/>
    <w:rsid w:val="12042B30"/>
    <w:rsid w:val="12045226"/>
    <w:rsid w:val="12046FD4"/>
    <w:rsid w:val="120668A8"/>
    <w:rsid w:val="12083B55"/>
    <w:rsid w:val="12096398"/>
    <w:rsid w:val="120B0362"/>
    <w:rsid w:val="120B2110"/>
    <w:rsid w:val="120D282C"/>
    <w:rsid w:val="120D40DA"/>
    <w:rsid w:val="120E1C01"/>
    <w:rsid w:val="120E39AF"/>
    <w:rsid w:val="12130FC5"/>
    <w:rsid w:val="12135469"/>
    <w:rsid w:val="121641AC"/>
    <w:rsid w:val="12192A7F"/>
    <w:rsid w:val="121A2353"/>
    <w:rsid w:val="121A56E9"/>
    <w:rsid w:val="121D3BF2"/>
    <w:rsid w:val="121D74BC"/>
    <w:rsid w:val="121E62E8"/>
    <w:rsid w:val="121F5BBC"/>
    <w:rsid w:val="1222745A"/>
    <w:rsid w:val="122338FE"/>
    <w:rsid w:val="1224252C"/>
    <w:rsid w:val="12244F80"/>
    <w:rsid w:val="1226519C"/>
    <w:rsid w:val="12296A3A"/>
    <w:rsid w:val="122A6EEF"/>
    <w:rsid w:val="122D02D9"/>
    <w:rsid w:val="122D6FB1"/>
    <w:rsid w:val="122E4051"/>
    <w:rsid w:val="122E6BD1"/>
    <w:rsid w:val="12301B77"/>
    <w:rsid w:val="12317EBD"/>
    <w:rsid w:val="1235718D"/>
    <w:rsid w:val="123A0C48"/>
    <w:rsid w:val="123A47A4"/>
    <w:rsid w:val="123C051C"/>
    <w:rsid w:val="123E0181"/>
    <w:rsid w:val="123E4294"/>
    <w:rsid w:val="123F000C"/>
    <w:rsid w:val="123F1766"/>
    <w:rsid w:val="123F625E"/>
    <w:rsid w:val="12413D84"/>
    <w:rsid w:val="124245C1"/>
    <w:rsid w:val="12437AFC"/>
    <w:rsid w:val="12443874"/>
    <w:rsid w:val="12445622"/>
    <w:rsid w:val="12471E21"/>
    <w:rsid w:val="12483364"/>
    <w:rsid w:val="12485112"/>
    <w:rsid w:val="12486EC1"/>
    <w:rsid w:val="12491BA5"/>
    <w:rsid w:val="124A70DD"/>
    <w:rsid w:val="124D2729"/>
    <w:rsid w:val="124E024F"/>
    <w:rsid w:val="125137DB"/>
    <w:rsid w:val="12520751"/>
    <w:rsid w:val="12527D3F"/>
    <w:rsid w:val="12541D09"/>
    <w:rsid w:val="12582E7C"/>
    <w:rsid w:val="125A33FD"/>
    <w:rsid w:val="125B04F3"/>
    <w:rsid w:val="125D0492"/>
    <w:rsid w:val="125E66E4"/>
    <w:rsid w:val="125F726F"/>
    <w:rsid w:val="126006AE"/>
    <w:rsid w:val="126161D4"/>
    <w:rsid w:val="126463E5"/>
    <w:rsid w:val="126637EB"/>
    <w:rsid w:val="12664571"/>
    <w:rsid w:val="12681311"/>
    <w:rsid w:val="12695089"/>
    <w:rsid w:val="126B0E01"/>
    <w:rsid w:val="126B7053"/>
    <w:rsid w:val="126D1873"/>
    <w:rsid w:val="126D2DCB"/>
    <w:rsid w:val="126D4B79"/>
    <w:rsid w:val="126F08F1"/>
    <w:rsid w:val="12717026"/>
    <w:rsid w:val="127204A3"/>
    <w:rsid w:val="1272218F"/>
    <w:rsid w:val="12725AA1"/>
    <w:rsid w:val="12745F08"/>
    <w:rsid w:val="12746B75"/>
    <w:rsid w:val="12747CB6"/>
    <w:rsid w:val="127557DC"/>
    <w:rsid w:val="12774CE3"/>
    <w:rsid w:val="127832EF"/>
    <w:rsid w:val="12791770"/>
    <w:rsid w:val="127A7296"/>
    <w:rsid w:val="127B54E8"/>
    <w:rsid w:val="127C0435"/>
    <w:rsid w:val="127E28E2"/>
    <w:rsid w:val="127F3C88"/>
    <w:rsid w:val="127F665A"/>
    <w:rsid w:val="12802AFE"/>
    <w:rsid w:val="12815E4B"/>
    <w:rsid w:val="128254B0"/>
    <w:rsid w:val="12872338"/>
    <w:rsid w:val="128819B3"/>
    <w:rsid w:val="12885620"/>
    <w:rsid w:val="12887C05"/>
    <w:rsid w:val="12891287"/>
    <w:rsid w:val="128B14A3"/>
    <w:rsid w:val="128D0E5D"/>
    <w:rsid w:val="128D521B"/>
    <w:rsid w:val="1291752C"/>
    <w:rsid w:val="12922832"/>
    <w:rsid w:val="12925110"/>
    <w:rsid w:val="1292638E"/>
    <w:rsid w:val="12940358"/>
    <w:rsid w:val="12955E7E"/>
    <w:rsid w:val="12965764"/>
    <w:rsid w:val="12977E48"/>
    <w:rsid w:val="12993BC0"/>
    <w:rsid w:val="129973FF"/>
    <w:rsid w:val="1299771C"/>
    <w:rsid w:val="129C5D80"/>
    <w:rsid w:val="129D7210"/>
    <w:rsid w:val="129F0AAB"/>
    <w:rsid w:val="129F0C93"/>
    <w:rsid w:val="12A165D1"/>
    <w:rsid w:val="12A3059B"/>
    <w:rsid w:val="12A54313"/>
    <w:rsid w:val="12A8795F"/>
    <w:rsid w:val="12AA36D7"/>
    <w:rsid w:val="12AA7B7B"/>
    <w:rsid w:val="12AC4134"/>
    <w:rsid w:val="12AD6D05"/>
    <w:rsid w:val="12AE2D66"/>
    <w:rsid w:val="12AF4297"/>
    <w:rsid w:val="12AF6F40"/>
    <w:rsid w:val="12B10F0A"/>
    <w:rsid w:val="12B24FDB"/>
    <w:rsid w:val="12B37438"/>
    <w:rsid w:val="12B44556"/>
    <w:rsid w:val="12B46304"/>
    <w:rsid w:val="12B66520"/>
    <w:rsid w:val="12B72298"/>
    <w:rsid w:val="12B91B6C"/>
    <w:rsid w:val="12B96010"/>
    <w:rsid w:val="12BC165D"/>
    <w:rsid w:val="12BC78AF"/>
    <w:rsid w:val="12BE3627"/>
    <w:rsid w:val="12C02EFB"/>
    <w:rsid w:val="12C10A21"/>
    <w:rsid w:val="12C21EBB"/>
    <w:rsid w:val="12C30C3D"/>
    <w:rsid w:val="12C34799"/>
    <w:rsid w:val="12C50511"/>
    <w:rsid w:val="12C81DAF"/>
    <w:rsid w:val="12CA3D79"/>
    <w:rsid w:val="12CA5B28"/>
    <w:rsid w:val="12CB18A0"/>
    <w:rsid w:val="12CD1ABC"/>
    <w:rsid w:val="12CD45BC"/>
    <w:rsid w:val="12D0036B"/>
    <w:rsid w:val="12D6271E"/>
    <w:rsid w:val="12D90460"/>
    <w:rsid w:val="12DA5D22"/>
    <w:rsid w:val="12DB5F87"/>
    <w:rsid w:val="12DD137E"/>
    <w:rsid w:val="12DD3132"/>
    <w:rsid w:val="12DE7825"/>
    <w:rsid w:val="12E017EF"/>
    <w:rsid w:val="12E07613"/>
    <w:rsid w:val="12E36BE9"/>
    <w:rsid w:val="12E50BB3"/>
    <w:rsid w:val="12E52E35"/>
    <w:rsid w:val="12EF1A32"/>
    <w:rsid w:val="12EF37E0"/>
    <w:rsid w:val="12EF558E"/>
    <w:rsid w:val="12F232D0"/>
    <w:rsid w:val="12F3000A"/>
    <w:rsid w:val="12F31522"/>
    <w:rsid w:val="12F42BA4"/>
    <w:rsid w:val="12F47048"/>
    <w:rsid w:val="12F64B6E"/>
    <w:rsid w:val="12F928B1"/>
    <w:rsid w:val="12FB2185"/>
    <w:rsid w:val="12FD414F"/>
    <w:rsid w:val="12FE1C75"/>
    <w:rsid w:val="12FE3A23"/>
    <w:rsid w:val="12FE7EC7"/>
    <w:rsid w:val="13001549"/>
    <w:rsid w:val="13005D5A"/>
    <w:rsid w:val="13023513"/>
    <w:rsid w:val="13031039"/>
    <w:rsid w:val="130354DD"/>
    <w:rsid w:val="1303728B"/>
    <w:rsid w:val="13051255"/>
    <w:rsid w:val="13076D7C"/>
    <w:rsid w:val="1309024B"/>
    <w:rsid w:val="130B4E1E"/>
    <w:rsid w:val="130C0BB1"/>
    <w:rsid w:val="130D1D7A"/>
    <w:rsid w:val="130F3E82"/>
    <w:rsid w:val="130F79DE"/>
    <w:rsid w:val="131119A8"/>
    <w:rsid w:val="131224C6"/>
    <w:rsid w:val="131301CD"/>
    <w:rsid w:val="13144FF5"/>
    <w:rsid w:val="13165211"/>
    <w:rsid w:val="13180F89"/>
    <w:rsid w:val="131B6383"/>
    <w:rsid w:val="131C20FB"/>
    <w:rsid w:val="131C4B06"/>
    <w:rsid w:val="131D034D"/>
    <w:rsid w:val="131E40C5"/>
    <w:rsid w:val="131E5E73"/>
    <w:rsid w:val="131F1BD0"/>
    <w:rsid w:val="132004B7"/>
    <w:rsid w:val="13203999"/>
    <w:rsid w:val="132058E6"/>
    <w:rsid w:val="13225964"/>
    <w:rsid w:val="132316DC"/>
    <w:rsid w:val="1324792E"/>
    <w:rsid w:val="132502C8"/>
    <w:rsid w:val="132536A6"/>
    <w:rsid w:val="13257202"/>
    <w:rsid w:val="13265254"/>
    <w:rsid w:val="13272F7A"/>
    <w:rsid w:val="13274D28"/>
    <w:rsid w:val="13280AA0"/>
    <w:rsid w:val="13286CF2"/>
    <w:rsid w:val="13294F44"/>
    <w:rsid w:val="132A1569"/>
    <w:rsid w:val="132B55CA"/>
    <w:rsid w:val="132C0590"/>
    <w:rsid w:val="132C233E"/>
    <w:rsid w:val="132C6AC6"/>
    <w:rsid w:val="132D4308"/>
    <w:rsid w:val="132E255A"/>
    <w:rsid w:val="13315BA7"/>
    <w:rsid w:val="1332191F"/>
    <w:rsid w:val="13337B71"/>
    <w:rsid w:val="133438E9"/>
    <w:rsid w:val="1336140F"/>
    <w:rsid w:val="133631BD"/>
    <w:rsid w:val="13367661"/>
    <w:rsid w:val="13370CE3"/>
    <w:rsid w:val="13385187"/>
    <w:rsid w:val="13386F35"/>
    <w:rsid w:val="13390EFF"/>
    <w:rsid w:val="13392CAD"/>
    <w:rsid w:val="133B07BF"/>
    <w:rsid w:val="133B6A25"/>
    <w:rsid w:val="133C6F34"/>
    <w:rsid w:val="133D02CB"/>
    <w:rsid w:val="133D279D"/>
    <w:rsid w:val="133E02C4"/>
    <w:rsid w:val="1340228E"/>
    <w:rsid w:val="1340403C"/>
    <w:rsid w:val="134255ED"/>
    <w:rsid w:val="13427DB4"/>
    <w:rsid w:val="13433B2C"/>
    <w:rsid w:val="13453400"/>
    <w:rsid w:val="1347361C"/>
    <w:rsid w:val="134C29E0"/>
    <w:rsid w:val="134F427F"/>
    <w:rsid w:val="13517FF7"/>
    <w:rsid w:val="13525B1D"/>
    <w:rsid w:val="135D699C"/>
    <w:rsid w:val="135E2714"/>
    <w:rsid w:val="135E44C2"/>
    <w:rsid w:val="135E4911"/>
    <w:rsid w:val="13602D79"/>
    <w:rsid w:val="13622204"/>
    <w:rsid w:val="136442CB"/>
    <w:rsid w:val="13645F7C"/>
    <w:rsid w:val="13651CF4"/>
    <w:rsid w:val="13653AA2"/>
    <w:rsid w:val="136715C8"/>
    <w:rsid w:val="13675A6C"/>
    <w:rsid w:val="1367781A"/>
    <w:rsid w:val="13685340"/>
    <w:rsid w:val="136C3083"/>
    <w:rsid w:val="13702B73"/>
    <w:rsid w:val="13712447"/>
    <w:rsid w:val="13727D5F"/>
    <w:rsid w:val="13734411"/>
    <w:rsid w:val="137361BF"/>
    <w:rsid w:val="13750189"/>
    <w:rsid w:val="13772741"/>
    <w:rsid w:val="137837D5"/>
    <w:rsid w:val="137912FC"/>
    <w:rsid w:val="1379754E"/>
    <w:rsid w:val="137A57A0"/>
    <w:rsid w:val="137B32C6"/>
    <w:rsid w:val="137D0DEC"/>
    <w:rsid w:val="137D65B3"/>
    <w:rsid w:val="137D703E"/>
    <w:rsid w:val="137E6597"/>
    <w:rsid w:val="138008DC"/>
    <w:rsid w:val="1380268A"/>
    <w:rsid w:val="13826402"/>
    <w:rsid w:val="13842174"/>
    <w:rsid w:val="13877EBC"/>
    <w:rsid w:val="13892036"/>
    <w:rsid w:val="138A52B7"/>
    <w:rsid w:val="138C54D3"/>
    <w:rsid w:val="138D1D96"/>
    <w:rsid w:val="138E4DA7"/>
    <w:rsid w:val="138F7287"/>
    <w:rsid w:val="13914897"/>
    <w:rsid w:val="139323BD"/>
    <w:rsid w:val="13936861"/>
    <w:rsid w:val="13961EAE"/>
    <w:rsid w:val="13963C5C"/>
    <w:rsid w:val="13972C66"/>
    <w:rsid w:val="13985199"/>
    <w:rsid w:val="13985C26"/>
    <w:rsid w:val="139879D4"/>
    <w:rsid w:val="1399464B"/>
    <w:rsid w:val="139A267A"/>
    <w:rsid w:val="139B3968"/>
    <w:rsid w:val="139B6F6B"/>
    <w:rsid w:val="139E0D62"/>
    <w:rsid w:val="13A02D2C"/>
    <w:rsid w:val="13A31C56"/>
    <w:rsid w:val="13A445CA"/>
    <w:rsid w:val="13A50343"/>
    <w:rsid w:val="13A52BEE"/>
    <w:rsid w:val="13A75E69"/>
    <w:rsid w:val="13AC347F"/>
    <w:rsid w:val="13AE369B"/>
    <w:rsid w:val="13B011C1"/>
    <w:rsid w:val="13B10A95"/>
    <w:rsid w:val="13B30CB1"/>
    <w:rsid w:val="13B32A60"/>
    <w:rsid w:val="13B3480E"/>
    <w:rsid w:val="13B50FA2"/>
    <w:rsid w:val="13B81E24"/>
    <w:rsid w:val="13BB7B66"/>
    <w:rsid w:val="13BC5DB8"/>
    <w:rsid w:val="13BC62A4"/>
    <w:rsid w:val="13BD568C"/>
    <w:rsid w:val="13BD743A"/>
    <w:rsid w:val="13BF7656"/>
    <w:rsid w:val="13C10C86"/>
    <w:rsid w:val="13C24A51"/>
    <w:rsid w:val="13C44C6D"/>
    <w:rsid w:val="13C46A1B"/>
    <w:rsid w:val="13C62793"/>
    <w:rsid w:val="13C92283"/>
    <w:rsid w:val="13C94031"/>
    <w:rsid w:val="13CC58CF"/>
    <w:rsid w:val="13D11138"/>
    <w:rsid w:val="13D33102"/>
    <w:rsid w:val="13D604FC"/>
    <w:rsid w:val="13D6674E"/>
    <w:rsid w:val="13D873F6"/>
    <w:rsid w:val="13DA2F6E"/>
    <w:rsid w:val="13DD188A"/>
    <w:rsid w:val="13DD7ADC"/>
    <w:rsid w:val="13DF3855"/>
    <w:rsid w:val="13E210F1"/>
    <w:rsid w:val="13E23345"/>
    <w:rsid w:val="13E64BE3"/>
    <w:rsid w:val="13E7095B"/>
    <w:rsid w:val="13E744B7"/>
    <w:rsid w:val="13E9022F"/>
    <w:rsid w:val="13E946D3"/>
    <w:rsid w:val="13E96481"/>
    <w:rsid w:val="13EB21F9"/>
    <w:rsid w:val="13EB3FA7"/>
    <w:rsid w:val="13EC7D20"/>
    <w:rsid w:val="13ED41C3"/>
    <w:rsid w:val="13ED4CBD"/>
    <w:rsid w:val="13EE2874"/>
    <w:rsid w:val="13F13588"/>
    <w:rsid w:val="13F15336"/>
    <w:rsid w:val="13F35552"/>
    <w:rsid w:val="13F53078"/>
    <w:rsid w:val="13F6294C"/>
    <w:rsid w:val="13F76DF0"/>
    <w:rsid w:val="13F82B68"/>
    <w:rsid w:val="13F84916"/>
    <w:rsid w:val="13FA68E0"/>
    <w:rsid w:val="13FB08AE"/>
    <w:rsid w:val="13FC61B5"/>
    <w:rsid w:val="13FD017F"/>
    <w:rsid w:val="140432BB"/>
    <w:rsid w:val="14067033"/>
    <w:rsid w:val="14071F8B"/>
    <w:rsid w:val="14072DAB"/>
    <w:rsid w:val="140A090B"/>
    <w:rsid w:val="140C2170"/>
    <w:rsid w:val="140E413A"/>
    <w:rsid w:val="14107EB2"/>
    <w:rsid w:val="14117786"/>
    <w:rsid w:val="14123C2A"/>
    <w:rsid w:val="14131750"/>
    <w:rsid w:val="141334FE"/>
    <w:rsid w:val="141554C8"/>
    <w:rsid w:val="14161A7F"/>
    <w:rsid w:val="14164D9C"/>
    <w:rsid w:val="14172FEE"/>
    <w:rsid w:val="1418439F"/>
    <w:rsid w:val="141C6857"/>
    <w:rsid w:val="141D25CF"/>
    <w:rsid w:val="141D5713"/>
    <w:rsid w:val="14213E6D"/>
    <w:rsid w:val="1424395D"/>
    <w:rsid w:val="14261483"/>
    <w:rsid w:val="142676D5"/>
    <w:rsid w:val="142B6A9A"/>
    <w:rsid w:val="142C636E"/>
    <w:rsid w:val="142E0338"/>
    <w:rsid w:val="14305E5E"/>
    <w:rsid w:val="14321BD6"/>
    <w:rsid w:val="143376FC"/>
    <w:rsid w:val="14373691"/>
    <w:rsid w:val="143811B7"/>
    <w:rsid w:val="143C0CA7"/>
    <w:rsid w:val="143D67CD"/>
    <w:rsid w:val="143F0797"/>
    <w:rsid w:val="14411E19"/>
    <w:rsid w:val="14423DE3"/>
    <w:rsid w:val="14432035"/>
    <w:rsid w:val="144329FA"/>
    <w:rsid w:val="14445DAD"/>
    <w:rsid w:val="1444735B"/>
    <w:rsid w:val="14465682"/>
    <w:rsid w:val="14467430"/>
    <w:rsid w:val="14482E89"/>
    <w:rsid w:val="14496F20"/>
    <w:rsid w:val="144A5D9E"/>
    <w:rsid w:val="144B0EEA"/>
    <w:rsid w:val="144D6A10"/>
    <w:rsid w:val="144E4536"/>
    <w:rsid w:val="14515DD5"/>
    <w:rsid w:val="14536C44"/>
    <w:rsid w:val="14537D9F"/>
    <w:rsid w:val="1457163D"/>
    <w:rsid w:val="14581832"/>
    <w:rsid w:val="14592CC2"/>
    <w:rsid w:val="14593607"/>
    <w:rsid w:val="145A112D"/>
    <w:rsid w:val="145A737F"/>
    <w:rsid w:val="145C4EA5"/>
    <w:rsid w:val="145C6C53"/>
    <w:rsid w:val="1461426A"/>
    <w:rsid w:val="14617607"/>
    <w:rsid w:val="14627FE2"/>
    <w:rsid w:val="14634486"/>
    <w:rsid w:val="146401FE"/>
    <w:rsid w:val="14667AD2"/>
    <w:rsid w:val="14681A9C"/>
    <w:rsid w:val="1468384A"/>
    <w:rsid w:val="146D0E60"/>
    <w:rsid w:val="146D3C4E"/>
    <w:rsid w:val="146E5FB5"/>
    <w:rsid w:val="14706BA3"/>
    <w:rsid w:val="14710F49"/>
    <w:rsid w:val="14726477"/>
    <w:rsid w:val="14733869"/>
    <w:rsid w:val="14733F9D"/>
    <w:rsid w:val="14740441"/>
    <w:rsid w:val="14757D15"/>
    <w:rsid w:val="147770F5"/>
    <w:rsid w:val="147F0B94"/>
    <w:rsid w:val="147F2942"/>
    <w:rsid w:val="147F49DD"/>
    <w:rsid w:val="14812B5E"/>
    <w:rsid w:val="148368D6"/>
    <w:rsid w:val="148461AA"/>
    <w:rsid w:val="14863CD0"/>
    <w:rsid w:val="148949B9"/>
    <w:rsid w:val="148B7538"/>
    <w:rsid w:val="148D32B1"/>
    <w:rsid w:val="148D505F"/>
    <w:rsid w:val="14910533"/>
    <w:rsid w:val="149363ED"/>
    <w:rsid w:val="1494463F"/>
    <w:rsid w:val="14952165"/>
    <w:rsid w:val="149617D4"/>
    <w:rsid w:val="14972381"/>
    <w:rsid w:val="14972C64"/>
    <w:rsid w:val="14983A03"/>
    <w:rsid w:val="149A777C"/>
    <w:rsid w:val="149C1746"/>
    <w:rsid w:val="149C7998"/>
    <w:rsid w:val="149D101A"/>
    <w:rsid w:val="149E54BE"/>
    <w:rsid w:val="149F4D92"/>
    <w:rsid w:val="14A01236"/>
    <w:rsid w:val="14A10B0A"/>
    <w:rsid w:val="14A34882"/>
    <w:rsid w:val="14A5642A"/>
    <w:rsid w:val="14A5684C"/>
    <w:rsid w:val="14A66120"/>
    <w:rsid w:val="14A800EA"/>
    <w:rsid w:val="14A95C11"/>
    <w:rsid w:val="14A97C4A"/>
    <w:rsid w:val="14AA7406"/>
    <w:rsid w:val="14AB3737"/>
    <w:rsid w:val="14AC39FA"/>
    <w:rsid w:val="14AD3953"/>
    <w:rsid w:val="14AD5701"/>
    <w:rsid w:val="14B051F1"/>
    <w:rsid w:val="14B20F69"/>
    <w:rsid w:val="14B22D17"/>
    <w:rsid w:val="14B44CE1"/>
    <w:rsid w:val="14B52807"/>
    <w:rsid w:val="14B7657F"/>
    <w:rsid w:val="14B95E54"/>
    <w:rsid w:val="14BB6070"/>
    <w:rsid w:val="14BE16BC"/>
    <w:rsid w:val="14C111AC"/>
    <w:rsid w:val="14C12F5A"/>
    <w:rsid w:val="14C33176"/>
    <w:rsid w:val="14C50C9C"/>
    <w:rsid w:val="14C52A4A"/>
    <w:rsid w:val="14C64A14"/>
    <w:rsid w:val="14C91E0F"/>
    <w:rsid w:val="14CA0061"/>
    <w:rsid w:val="14CA0ED3"/>
    <w:rsid w:val="14CA62B3"/>
    <w:rsid w:val="14CB5B87"/>
    <w:rsid w:val="14CD7B51"/>
    <w:rsid w:val="14D013EF"/>
    <w:rsid w:val="14D0319D"/>
    <w:rsid w:val="14D1667B"/>
    <w:rsid w:val="14D17AF9"/>
    <w:rsid w:val="14D25167"/>
    <w:rsid w:val="14D25708"/>
    <w:rsid w:val="14D3027A"/>
    <w:rsid w:val="14D40EDF"/>
    <w:rsid w:val="14D44347"/>
    <w:rsid w:val="14D62EA9"/>
    <w:rsid w:val="14D7452C"/>
    <w:rsid w:val="14D902A4"/>
    <w:rsid w:val="14D964F6"/>
    <w:rsid w:val="14DC5FE6"/>
    <w:rsid w:val="14DE58BA"/>
    <w:rsid w:val="14E3669A"/>
    <w:rsid w:val="14E530ED"/>
    <w:rsid w:val="14E6675C"/>
    <w:rsid w:val="14E76E65"/>
    <w:rsid w:val="14E8107C"/>
    <w:rsid w:val="14EA0703"/>
    <w:rsid w:val="14EB6229"/>
    <w:rsid w:val="14EB7FD7"/>
    <w:rsid w:val="14ED3D4F"/>
    <w:rsid w:val="14EF637E"/>
    <w:rsid w:val="14EF7AC7"/>
    <w:rsid w:val="14F0383F"/>
    <w:rsid w:val="14F21366"/>
    <w:rsid w:val="14F450DE"/>
    <w:rsid w:val="14F670A8"/>
    <w:rsid w:val="14F74BCE"/>
    <w:rsid w:val="14F96B98"/>
    <w:rsid w:val="14FB46BE"/>
    <w:rsid w:val="14FC0436"/>
    <w:rsid w:val="14FC3F92"/>
    <w:rsid w:val="14FE41AE"/>
    <w:rsid w:val="14FE7D0A"/>
    <w:rsid w:val="15007F26"/>
    <w:rsid w:val="15023C9F"/>
    <w:rsid w:val="15033573"/>
    <w:rsid w:val="1505553D"/>
    <w:rsid w:val="15063063"/>
    <w:rsid w:val="15086DDB"/>
    <w:rsid w:val="150A777D"/>
    <w:rsid w:val="150C68CB"/>
    <w:rsid w:val="150D43F1"/>
    <w:rsid w:val="15113EE2"/>
    <w:rsid w:val="151412DC"/>
    <w:rsid w:val="15145780"/>
    <w:rsid w:val="1514752E"/>
    <w:rsid w:val="151614F8"/>
    <w:rsid w:val="15190FE8"/>
    <w:rsid w:val="15192A7B"/>
    <w:rsid w:val="151C4634"/>
    <w:rsid w:val="151C63E2"/>
    <w:rsid w:val="151E03AD"/>
    <w:rsid w:val="151E215B"/>
    <w:rsid w:val="151E65FF"/>
    <w:rsid w:val="151E69D6"/>
    <w:rsid w:val="15204125"/>
    <w:rsid w:val="15210458"/>
    <w:rsid w:val="152359C3"/>
    <w:rsid w:val="1525173B"/>
    <w:rsid w:val="1525798D"/>
    <w:rsid w:val="152626AF"/>
    <w:rsid w:val="15263BEF"/>
    <w:rsid w:val="152754B3"/>
    <w:rsid w:val="15282FD9"/>
    <w:rsid w:val="15284D87"/>
    <w:rsid w:val="152A4FA3"/>
    <w:rsid w:val="152B4878"/>
    <w:rsid w:val="152D6842"/>
    <w:rsid w:val="152E0C40"/>
    <w:rsid w:val="15311E8E"/>
    <w:rsid w:val="1534372C"/>
    <w:rsid w:val="1537321C"/>
    <w:rsid w:val="153876C0"/>
    <w:rsid w:val="153B2D0D"/>
    <w:rsid w:val="153B4ABB"/>
    <w:rsid w:val="153D4CD7"/>
    <w:rsid w:val="154020D1"/>
    <w:rsid w:val="154047C7"/>
    <w:rsid w:val="154107F7"/>
    <w:rsid w:val="15444FB3"/>
    <w:rsid w:val="1544580C"/>
    <w:rsid w:val="15450608"/>
    <w:rsid w:val="154716B1"/>
    <w:rsid w:val="15477425"/>
    <w:rsid w:val="15477903"/>
    <w:rsid w:val="154871D8"/>
    <w:rsid w:val="154A11A2"/>
    <w:rsid w:val="154B2D39"/>
    <w:rsid w:val="154D47EE"/>
    <w:rsid w:val="154F4A0A"/>
    <w:rsid w:val="154F67B8"/>
    <w:rsid w:val="15512530"/>
    <w:rsid w:val="15520D96"/>
    <w:rsid w:val="155314CB"/>
    <w:rsid w:val="1553307A"/>
    <w:rsid w:val="15543DCE"/>
    <w:rsid w:val="155618F4"/>
    <w:rsid w:val="15571996"/>
    <w:rsid w:val="15572A1D"/>
    <w:rsid w:val="15581B10"/>
    <w:rsid w:val="15597637"/>
    <w:rsid w:val="155B515D"/>
    <w:rsid w:val="155B6F0B"/>
    <w:rsid w:val="155C2C83"/>
    <w:rsid w:val="155C7BF4"/>
    <w:rsid w:val="15604521"/>
    <w:rsid w:val="1562473D"/>
    <w:rsid w:val="156264EB"/>
    <w:rsid w:val="15634011"/>
    <w:rsid w:val="156404B5"/>
    <w:rsid w:val="15655FDB"/>
    <w:rsid w:val="156758B0"/>
    <w:rsid w:val="156A0E93"/>
    <w:rsid w:val="156A1844"/>
    <w:rsid w:val="156C55BC"/>
    <w:rsid w:val="156C736A"/>
    <w:rsid w:val="156F0C08"/>
    <w:rsid w:val="157224A6"/>
    <w:rsid w:val="157306F8"/>
    <w:rsid w:val="15741F45"/>
    <w:rsid w:val="1574621E"/>
    <w:rsid w:val="15747FCD"/>
    <w:rsid w:val="15785D0F"/>
    <w:rsid w:val="15787ABD"/>
    <w:rsid w:val="157955E3"/>
    <w:rsid w:val="157B57FF"/>
    <w:rsid w:val="157B7247"/>
    <w:rsid w:val="157B75AD"/>
    <w:rsid w:val="15802E15"/>
    <w:rsid w:val="1582093B"/>
    <w:rsid w:val="15826B8D"/>
    <w:rsid w:val="15836462"/>
    <w:rsid w:val="15842905"/>
    <w:rsid w:val="15891CCA"/>
    <w:rsid w:val="15897F1C"/>
    <w:rsid w:val="158A3C94"/>
    <w:rsid w:val="158F12AA"/>
    <w:rsid w:val="15910B7E"/>
    <w:rsid w:val="15932B49"/>
    <w:rsid w:val="15973CBB"/>
    <w:rsid w:val="1598133F"/>
    <w:rsid w:val="15997A33"/>
    <w:rsid w:val="159B7CC0"/>
    <w:rsid w:val="159E329B"/>
    <w:rsid w:val="15A00DC2"/>
    <w:rsid w:val="15A075BC"/>
    <w:rsid w:val="15A22D8C"/>
    <w:rsid w:val="15A30E9A"/>
    <w:rsid w:val="15A5287C"/>
    <w:rsid w:val="15A72150"/>
    <w:rsid w:val="15A7459D"/>
    <w:rsid w:val="15A779A4"/>
    <w:rsid w:val="15A85EC8"/>
    <w:rsid w:val="15AA3754"/>
    <w:rsid w:val="15AE3565"/>
    <w:rsid w:val="15AF54A9"/>
    <w:rsid w:val="15B11EE6"/>
    <w:rsid w:val="15B12FCF"/>
    <w:rsid w:val="15B17473"/>
    <w:rsid w:val="15B36D47"/>
    <w:rsid w:val="15B41FA8"/>
    <w:rsid w:val="15B42D91"/>
    <w:rsid w:val="15B50D11"/>
    <w:rsid w:val="15B8435D"/>
    <w:rsid w:val="15B8610B"/>
    <w:rsid w:val="15B90678"/>
    <w:rsid w:val="15BA6327"/>
    <w:rsid w:val="15BB209F"/>
    <w:rsid w:val="15BC073A"/>
    <w:rsid w:val="15BD6FF9"/>
    <w:rsid w:val="15BE749A"/>
    <w:rsid w:val="15BF393E"/>
    <w:rsid w:val="15C03212"/>
    <w:rsid w:val="15C34AB0"/>
    <w:rsid w:val="15C471A6"/>
    <w:rsid w:val="15C62CD0"/>
    <w:rsid w:val="15C727F2"/>
    <w:rsid w:val="15C90318"/>
    <w:rsid w:val="15CE3B81"/>
    <w:rsid w:val="15CF6BB0"/>
    <w:rsid w:val="15D13671"/>
    <w:rsid w:val="15D1541F"/>
    <w:rsid w:val="15D16C1B"/>
    <w:rsid w:val="15D171CD"/>
    <w:rsid w:val="15D32F45"/>
    <w:rsid w:val="15D33DF0"/>
    <w:rsid w:val="15D62A35"/>
    <w:rsid w:val="15D8055B"/>
    <w:rsid w:val="15D849FF"/>
    <w:rsid w:val="15D942D4"/>
    <w:rsid w:val="15DA0777"/>
    <w:rsid w:val="15DA2525"/>
    <w:rsid w:val="15DB004C"/>
    <w:rsid w:val="15DC2BB3"/>
    <w:rsid w:val="15DD0268"/>
    <w:rsid w:val="15DD2016"/>
    <w:rsid w:val="15DD5B72"/>
    <w:rsid w:val="15DF5D8E"/>
    <w:rsid w:val="15E11B06"/>
    <w:rsid w:val="15E433A4"/>
    <w:rsid w:val="15E44D75"/>
    <w:rsid w:val="15E45152"/>
    <w:rsid w:val="15E46F00"/>
    <w:rsid w:val="15E72E94"/>
    <w:rsid w:val="15E909BB"/>
    <w:rsid w:val="15EC04AB"/>
    <w:rsid w:val="15EE4223"/>
    <w:rsid w:val="15F3280E"/>
    <w:rsid w:val="15F630D7"/>
    <w:rsid w:val="15F731EB"/>
    <w:rsid w:val="15F80BFE"/>
    <w:rsid w:val="15FA2BC8"/>
    <w:rsid w:val="15FB202F"/>
    <w:rsid w:val="15FF1F8C"/>
    <w:rsid w:val="15FF3D3A"/>
    <w:rsid w:val="16002E0D"/>
    <w:rsid w:val="16005D04"/>
    <w:rsid w:val="1602773E"/>
    <w:rsid w:val="160457F4"/>
    <w:rsid w:val="16052588"/>
    <w:rsid w:val="16053BFC"/>
    <w:rsid w:val="16070E41"/>
    <w:rsid w:val="160752E5"/>
    <w:rsid w:val="16084170"/>
    <w:rsid w:val="16094BB9"/>
    <w:rsid w:val="16096967"/>
    <w:rsid w:val="160C28FB"/>
    <w:rsid w:val="160C6457"/>
    <w:rsid w:val="160D6B52"/>
    <w:rsid w:val="160E0421"/>
    <w:rsid w:val="16113D92"/>
    <w:rsid w:val="16117F11"/>
    <w:rsid w:val="16121E13"/>
    <w:rsid w:val="16133C89"/>
    <w:rsid w:val="161377E5"/>
    <w:rsid w:val="161407E8"/>
    <w:rsid w:val="1615355E"/>
    <w:rsid w:val="16157A01"/>
    <w:rsid w:val="161A0B74"/>
    <w:rsid w:val="161D2412"/>
    <w:rsid w:val="161F262E"/>
    <w:rsid w:val="162163A6"/>
    <w:rsid w:val="16247228"/>
    <w:rsid w:val="16257519"/>
    <w:rsid w:val="1629525B"/>
    <w:rsid w:val="162C08A7"/>
    <w:rsid w:val="162C6AF9"/>
    <w:rsid w:val="162E461F"/>
    <w:rsid w:val="16300397"/>
    <w:rsid w:val="163065E9"/>
    <w:rsid w:val="16331C36"/>
    <w:rsid w:val="1635318D"/>
    <w:rsid w:val="16353C00"/>
    <w:rsid w:val="1635775C"/>
    <w:rsid w:val="16361726"/>
    <w:rsid w:val="16377978"/>
    <w:rsid w:val="1638724C"/>
    <w:rsid w:val="16392F9E"/>
    <w:rsid w:val="163A7468"/>
    <w:rsid w:val="163C6D3C"/>
    <w:rsid w:val="163D0D06"/>
    <w:rsid w:val="164016EB"/>
    <w:rsid w:val="164019E1"/>
    <w:rsid w:val="16402413"/>
    <w:rsid w:val="164107F7"/>
    <w:rsid w:val="164125A5"/>
    <w:rsid w:val="16461969"/>
    <w:rsid w:val="16473933"/>
    <w:rsid w:val="164755A2"/>
    <w:rsid w:val="16482398"/>
    <w:rsid w:val="16487B65"/>
    <w:rsid w:val="16491459"/>
    <w:rsid w:val="164B51D1"/>
    <w:rsid w:val="164C2CF7"/>
    <w:rsid w:val="164D719B"/>
    <w:rsid w:val="16526560"/>
    <w:rsid w:val="1653052A"/>
    <w:rsid w:val="165322D8"/>
    <w:rsid w:val="16543A91"/>
    <w:rsid w:val="16577194"/>
    <w:rsid w:val="165A3666"/>
    <w:rsid w:val="165C118C"/>
    <w:rsid w:val="1663076D"/>
    <w:rsid w:val="166718DF"/>
    <w:rsid w:val="16677B31"/>
    <w:rsid w:val="16691AFB"/>
    <w:rsid w:val="166B499D"/>
    <w:rsid w:val="166D15EC"/>
    <w:rsid w:val="1672275E"/>
    <w:rsid w:val="16726C02"/>
    <w:rsid w:val="1673431E"/>
    <w:rsid w:val="16734728"/>
    <w:rsid w:val="1675224E"/>
    <w:rsid w:val="16753FFC"/>
    <w:rsid w:val="16777D74"/>
    <w:rsid w:val="16783AEC"/>
    <w:rsid w:val="16797F90"/>
    <w:rsid w:val="167C538B"/>
    <w:rsid w:val="167E55A7"/>
    <w:rsid w:val="16805733"/>
    <w:rsid w:val="16810BF3"/>
    <w:rsid w:val="1682762D"/>
    <w:rsid w:val="16842491"/>
    <w:rsid w:val="16846935"/>
    <w:rsid w:val="168801D3"/>
    <w:rsid w:val="168B1A72"/>
    <w:rsid w:val="168C441F"/>
    <w:rsid w:val="168E3310"/>
    <w:rsid w:val="16921052"/>
    <w:rsid w:val="16946B78"/>
    <w:rsid w:val="169528F0"/>
    <w:rsid w:val="1695469E"/>
    <w:rsid w:val="169721C5"/>
    <w:rsid w:val="169923E1"/>
    <w:rsid w:val="169A0EAB"/>
    <w:rsid w:val="169A10D9"/>
    <w:rsid w:val="169E23FD"/>
    <w:rsid w:val="169E79F7"/>
    <w:rsid w:val="169F376F"/>
    <w:rsid w:val="169F551D"/>
    <w:rsid w:val="16A14DF1"/>
    <w:rsid w:val="16A24F94"/>
    <w:rsid w:val="16A3500D"/>
    <w:rsid w:val="16A619B3"/>
    <w:rsid w:val="16A668AC"/>
    <w:rsid w:val="16A91EF8"/>
    <w:rsid w:val="16AA639C"/>
    <w:rsid w:val="16AB1E30"/>
    <w:rsid w:val="16AD1854"/>
    <w:rsid w:val="16AF0E7C"/>
    <w:rsid w:val="16B03286"/>
    <w:rsid w:val="16B15CA2"/>
    <w:rsid w:val="16B40FC8"/>
    <w:rsid w:val="16B5089D"/>
    <w:rsid w:val="16B54D41"/>
    <w:rsid w:val="16B70AB9"/>
    <w:rsid w:val="16B72867"/>
    <w:rsid w:val="16B965DF"/>
    <w:rsid w:val="16BA5EB3"/>
    <w:rsid w:val="16BC1C2B"/>
    <w:rsid w:val="16BC2DB5"/>
    <w:rsid w:val="16C136E5"/>
    <w:rsid w:val="16C15493"/>
    <w:rsid w:val="16C3120C"/>
    <w:rsid w:val="16C53E67"/>
    <w:rsid w:val="16C60CFC"/>
    <w:rsid w:val="16C858AD"/>
    <w:rsid w:val="16CA07EC"/>
    <w:rsid w:val="16CD3E38"/>
    <w:rsid w:val="16CE665A"/>
    <w:rsid w:val="16CF122B"/>
    <w:rsid w:val="16CF7BB0"/>
    <w:rsid w:val="16D01B7A"/>
    <w:rsid w:val="16D276A1"/>
    <w:rsid w:val="16D36F75"/>
    <w:rsid w:val="16D52CED"/>
    <w:rsid w:val="16D57191"/>
    <w:rsid w:val="16D80D31"/>
    <w:rsid w:val="16D90A2F"/>
    <w:rsid w:val="16DA6555"/>
    <w:rsid w:val="16DC22CD"/>
    <w:rsid w:val="16DD50CE"/>
    <w:rsid w:val="16DE7DF3"/>
    <w:rsid w:val="16DF0D20"/>
    <w:rsid w:val="16DF591A"/>
    <w:rsid w:val="16E11692"/>
    <w:rsid w:val="16E42F30"/>
    <w:rsid w:val="16E55626"/>
    <w:rsid w:val="16E563F3"/>
    <w:rsid w:val="16E6314C"/>
    <w:rsid w:val="16E66CA8"/>
    <w:rsid w:val="16E923AF"/>
    <w:rsid w:val="16EB72C3"/>
    <w:rsid w:val="16F21AF1"/>
    <w:rsid w:val="16F2389F"/>
    <w:rsid w:val="16F413C5"/>
    <w:rsid w:val="16F615E1"/>
    <w:rsid w:val="16F77107"/>
    <w:rsid w:val="16FA09A5"/>
    <w:rsid w:val="16FA41E7"/>
    <w:rsid w:val="16FC471D"/>
    <w:rsid w:val="16FC64CC"/>
    <w:rsid w:val="16FD4D88"/>
    <w:rsid w:val="16FE3FF2"/>
    <w:rsid w:val="1700420E"/>
    <w:rsid w:val="17013AE2"/>
    <w:rsid w:val="170535D2"/>
    <w:rsid w:val="1706559C"/>
    <w:rsid w:val="17067840"/>
    <w:rsid w:val="17077F2B"/>
    <w:rsid w:val="17086ECB"/>
    <w:rsid w:val="170B2BB3"/>
    <w:rsid w:val="170C07E2"/>
    <w:rsid w:val="170D2487"/>
    <w:rsid w:val="170D692B"/>
    <w:rsid w:val="170F4451"/>
    <w:rsid w:val="170F61FF"/>
    <w:rsid w:val="171001C9"/>
    <w:rsid w:val="17101F77"/>
    <w:rsid w:val="17123F41"/>
    <w:rsid w:val="17125CEF"/>
    <w:rsid w:val="17141A67"/>
    <w:rsid w:val="1715758D"/>
    <w:rsid w:val="171750B3"/>
    <w:rsid w:val="171C4DC0"/>
    <w:rsid w:val="17235FF5"/>
    <w:rsid w:val="17255A22"/>
    <w:rsid w:val="17274944"/>
    <w:rsid w:val="172779EC"/>
    <w:rsid w:val="17277B04"/>
    <w:rsid w:val="172D48D7"/>
    <w:rsid w:val="172F4AF3"/>
    <w:rsid w:val="173043C7"/>
    <w:rsid w:val="17312619"/>
    <w:rsid w:val="1732013F"/>
    <w:rsid w:val="17321EED"/>
    <w:rsid w:val="17345C65"/>
    <w:rsid w:val="17346245"/>
    <w:rsid w:val="173619DD"/>
    <w:rsid w:val="17377504"/>
    <w:rsid w:val="173914CE"/>
    <w:rsid w:val="1739327C"/>
    <w:rsid w:val="17397720"/>
    <w:rsid w:val="173C2D6C"/>
    <w:rsid w:val="173C4B1A"/>
    <w:rsid w:val="173E6AE4"/>
    <w:rsid w:val="173F148A"/>
    <w:rsid w:val="17400AAE"/>
    <w:rsid w:val="1740285C"/>
    <w:rsid w:val="1740460A"/>
    <w:rsid w:val="17417784"/>
    <w:rsid w:val="1743234C"/>
    <w:rsid w:val="17471E3D"/>
    <w:rsid w:val="17487963"/>
    <w:rsid w:val="174F484D"/>
    <w:rsid w:val="175336BE"/>
    <w:rsid w:val="17555BDC"/>
    <w:rsid w:val="17575DF8"/>
    <w:rsid w:val="1758228F"/>
    <w:rsid w:val="175849FA"/>
    <w:rsid w:val="175B1444"/>
    <w:rsid w:val="175C6F6A"/>
    <w:rsid w:val="175D340E"/>
    <w:rsid w:val="175D4A13"/>
    <w:rsid w:val="175D4FCA"/>
    <w:rsid w:val="17615F65"/>
    <w:rsid w:val="17626C76"/>
    <w:rsid w:val="17650515"/>
    <w:rsid w:val="17654071"/>
    <w:rsid w:val="17667DE9"/>
    <w:rsid w:val="1767428D"/>
    <w:rsid w:val="1768590F"/>
    <w:rsid w:val="176A5B2B"/>
    <w:rsid w:val="176A78D9"/>
    <w:rsid w:val="176F19F9"/>
    <w:rsid w:val="176F3141"/>
    <w:rsid w:val="176F4EEF"/>
    <w:rsid w:val="176F6C9D"/>
    <w:rsid w:val="17702E89"/>
    <w:rsid w:val="17716EB9"/>
    <w:rsid w:val="17766CFB"/>
    <w:rsid w:val="17773DA4"/>
    <w:rsid w:val="17780248"/>
    <w:rsid w:val="17786C43"/>
    <w:rsid w:val="17793FC0"/>
    <w:rsid w:val="1779567C"/>
    <w:rsid w:val="17795D6E"/>
    <w:rsid w:val="177C760C"/>
    <w:rsid w:val="177E5132"/>
    <w:rsid w:val="177F1002"/>
    <w:rsid w:val="1780297E"/>
    <w:rsid w:val="17810C39"/>
    <w:rsid w:val="178169D1"/>
    <w:rsid w:val="17824C23"/>
    <w:rsid w:val="17832749"/>
    <w:rsid w:val="1783672E"/>
    <w:rsid w:val="17855360"/>
    <w:rsid w:val="178766DD"/>
    <w:rsid w:val="178C3CF3"/>
    <w:rsid w:val="178E7A6B"/>
    <w:rsid w:val="178F6412"/>
    <w:rsid w:val="17920BDE"/>
    <w:rsid w:val="17935082"/>
    <w:rsid w:val="17942BA8"/>
    <w:rsid w:val="1796247C"/>
    <w:rsid w:val="17977775"/>
    <w:rsid w:val="17982698"/>
    <w:rsid w:val="17984446"/>
    <w:rsid w:val="17996410"/>
    <w:rsid w:val="179B7A92"/>
    <w:rsid w:val="179C12F3"/>
    <w:rsid w:val="179E3A27"/>
    <w:rsid w:val="179E57D5"/>
    <w:rsid w:val="17A032FB"/>
    <w:rsid w:val="17A20A2C"/>
    <w:rsid w:val="17A252C5"/>
    <w:rsid w:val="17A27073"/>
    <w:rsid w:val="17A32DEB"/>
    <w:rsid w:val="17A4103D"/>
    <w:rsid w:val="17A70B2D"/>
    <w:rsid w:val="17A728DB"/>
    <w:rsid w:val="17A74689"/>
    <w:rsid w:val="17AA23CB"/>
    <w:rsid w:val="17AA5F28"/>
    <w:rsid w:val="17AD5A18"/>
    <w:rsid w:val="17AD77C6"/>
    <w:rsid w:val="17AF353E"/>
    <w:rsid w:val="17B31280"/>
    <w:rsid w:val="17B40B54"/>
    <w:rsid w:val="17B60D70"/>
    <w:rsid w:val="17BB1EE3"/>
    <w:rsid w:val="17BC0000"/>
    <w:rsid w:val="17BD4979"/>
    <w:rsid w:val="17C12AA3"/>
    <w:rsid w:val="17C214C3"/>
    <w:rsid w:val="17C27715"/>
    <w:rsid w:val="17C35302"/>
    <w:rsid w:val="17C36FE9"/>
    <w:rsid w:val="17C4348D"/>
    <w:rsid w:val="17C64DEF"/>
    <w:rsid w:val="17CF598E"/>
    <w:rsid w:val="17D47448"/>
    <w:rsid w:val="17D64F6F"/>
    <w:rsid w:val="17D80CE7"/>
    <w:rsid w:val="17D82A95"/>
    <w:rsid w:val="17D87B79"/>
    <w:rsid w:val="17DA4A5F"/>
    <w:rsid w:val="17DB4333"/>
    <w:rsid w:val="17DF2075"/>
    <w:rsid w:val="17DF482A"/>
    <w:rsid w:val="17E21B65"/>
    <w:rsid w:val="17E2796B"/>
    <w:rsid w:val="17E331AB"/>
    <w:rsid w:val="17E4463B"/>
    <w:rsid w:val="17E458DD"/>
    <w:rsid w:val="17E51656"/>
    <w:rsid w:val="17E56F60"/>
    <w:rsid w:val="17E72CD8"/>
    <w:rsid w:val="17EC02EE"/>
    <w:rsid w:val="17EC4792"/>
    <w:rsid w:val="17EC6540"/>
    <w:rsid w:val="17EF6030"/>
    <w:rsid w:val="17EF7DDE"/>
    <w:rsid w:val="17F3155F"/>
    <w:rsid w:val="17F3167D"/>
    <w:rsid w:val="17F378CF"/>
    <w:rsid w:val="17F4586B"/>
    <w:rsid w:val="17F6116D"/>
    <w:rsid w:val="17FB2C27"/>
    <w:rsid w:val="17FD074D"/>
    <w:rsid w:val="17FD641A"/>
    <w:rsid w:val="17FF2717"/>
    <w:rsid w:val="1800023D"/>
    <w:rsid w:val="18001FEB"/>
    <w:rsid w:val="18003D99"/>
    <w:rsid w:val="18025D64"/>
    <w:rsid w:val="1804388A"/>
    <w:rsid w:val="18047D2E"/>
    <w:rsid w:val="180513B0"/>
    <w:rsid w:val="180557AC"/>
    <w:rsid w:val="18090EA0"/>
    <w:rsid w:val="180C273E"/>
    <w:rsid w:val="180C6BE2"/>
    <w:rsid w:val="180E295A"/>
    <w:rsid w:val="180E64B6"/>
    <w:rsid w:val="180F222F"/>
    <w:rsid w:val="181066D2"/>
    <w:rsid w:val="181141F9"/>
    <w:rsid w:val="18133ACD"/>
    <w:rsid w:val="18137F71"/>
    <w:rsid w:val="18153CE9"/>
    <w:rsid w:val="1816180F"/>
    <w:rsid w:val="18185587"/>
    <w:rsid w:val="181A5E4B"/>
    <w:rsid w:val="181B6E25"/>
    <w:rsid w:val="181D0DEF"/>
    <w:rsid w:val="181D2B9D"/>
    <w:rsid w:val="181F70EC"/>
    <w:rsid w:val="1820443C"/>
    <w:rsid w:val="1821268E"/>
    <w:rsid w:val="18226406"/>
    <w:rsid w:val="18245CDA"/>
    <w:rsid w:val="182757CA"/>
    <w:rsid w:val="18297794"/>
    <w:rsid w:val="182A7068"/>
    <w:rsid w:val="182B52BA"/>
    <w:rsid w:val="182C2E31"/>
    <w:rsid w:val="183103F7"/>
    <w:rsid w:val="1833766A"/>
    <w:rsid w:val="18352A53"/>
    <w:rsid w:val="18356139"/>
    <w:rsid w:val="18363C5F"/>
    <w:rsid w:val="18365A0D"/>
    <w:rsid w:val="18371EB1"/>
    <w:rsid w:val="18377F44"/>
    <w:rsid w:val="1839283D"/>
    <w:rsid w:val="183A374F"/>
    <w:rsid w:val="183B3195"/>
    <w:rsid w:val="183D3240"/>
    <w:rsid w:val="183D3DB6"/>
    <w:rsid w:val="183F0D66"/>
    <w:rsid w:val="183F48C2"/>
    <w:rsid w:val="1840688C"/>
    <w:rsid w:val="18425057"/>
    <w:rsid w:val="18455C50"/>
    <w:rsid w:val="18457205"/>
    <w:rsid w:val="184620F4"/>
    <w:rsid w:val="18463EA2"/>
    <w:rsid w:val="18477C1A"/>
    <w:rsid w:val="184A3267"/>
    <w:rsid w:val="184D216A"/>
    <w:rsid w:val="184E0FA9"/>
    <w:rsid w:val="184E71FB"/>
    <w:rsid w:val="18512847"/>
    <w:rsid w:val="1852340B"/>
    <w:rsid w:val="185365BF"/>
    <w:rsid w:val="18583BD5"/>
    <w:rsid w:val="185A5EAF"/>
    <w:rsid w:val="185A794E"/>
    <w:rsid w:val="185C36C6"/>
    <w:rsid w:val="185D11EC"/>
    <w:rsid w:val="185F713E"/>
    <w:rsid w:val="18623212"/>
    <w:rsid w:val="18624A54"/>
    <w:rsid w:val="18626802"/>
    <w:rsid w:val="186662F2"/>
    <w:rsid w:val="186802BC"/>
    <w:rsid w:val="186B1B5B"/>
    <w:rsid w:val="186B4E30"/>
    <w:rsid w:val="186B56B7"/>
    <w:rsid w:val="186F6C45"/>
    <w:rsid w:val="18702CCD"/>
    <w:rsid w:val="18716A45"/>
    <w:rsid w:val="187327BD"/>
    <w:rsid w:val="18736C61"/>
    <w:rsid w:val="187529D9"/>
    <w:rsid w:val="18754787"/>
    <w:rsid w:val="187622AE"/>
    <w:rsid w:val="1876405C"/>
    <w:rsid w:val="18772805"/>
    <w:rsid w:val="18787DD4"/>
    <w:rsid w:val="18797CF6"/>
    <w:rsid w:val="187A7FF0"/>
    <w:rsid w:val="18814EDA"/>
    <w:rsid w:val="18820C52"/>
    <w:rsid w:val="188411C6"/>
    <w:rsid w:val="18846779"/>
    <w:rsid w:val="18860743"/>
    <w:rsid w:val="1888270D"/>
    <w:rsid w:val="18891FE1"/>
    <w:rsid w:val="188B3FAB"/>
    <w:rsid w:val="188B4CDC"/>
    <w:rsid w:val="188B5D59"/>
    <w:rsid w:val="18925339"/>
    <w:rsid w:val="18932E60"/>
    <w:rsid w:val="18950986"/>
    <w:rsid w:val="18952734"/>
    <w:rsid w:val="18956BD8"/>
    <w:rsid w:val="18981FA4"/>
    <w:rsid w:val="189A41EE"/>
    <w:rsid w:val="189D783A"/>
    <w:rsid w:val="189F3152"/>
    <w:rsid w:val="189F35B2"/>
    <w:rsid w:val="18A137CE"/>
    <w:rsid w:val="18A40BC9"/>
    <w:rsid w:val="18A45C5D"/>
    <w:rsid w:val="18A538D2"/>
    <w:rsid w:val="18A60DE5"/>
    <w:rsid w:val="18A62B93"/>
    <w:rsid w:val="18A706B9"/>
    <w:rsid w:val="18A769B6"/>
    <w:rsid w:val="18A94431"/>
    <w:rsid w:val="18AD2173"/>
    <w:rsid w:val="18AD3F21"/>
    <w:rsid w:val="18AE37F5"/>
    <w:rsid w:val="18AF707B"/>
    <w:rsid w:val="18B05567"/>
    <w:rsid w:val="18B13E26"/>
    <w:rsid w:val="18B21538"/>
    <w:rsid w:val="18B232E6"/>
    <w:rsid w:val="18B2778A"/>
    <w:rsid w:val="18B30C10"/>
    <w:rsid w:val="18B52DD6"/>
    <w:rsid w:val="18B54B84"/>
    <w:rsid w:val="18B708FC"/>
    <w:rsid w:val="18B84674"/>
    <w:rsid w:val="18BA663E"/>
    <w:rsid w:val="18BA6C72"/>
    <w:rsid w:val="18BC5F12"/>
    <w:rsid w:val="18BD75E9"/>
    <w:rsid w:val="18BD7EDC"/>
    <w:rsid w:val="18C13529"/>
    <w:rsid w:val="18C64FE3"/>
    <w:rsid w:val="18C80D5B"/>
    <w:rsid w:val="18C837EE"/>
    <w:rsid w:val="18C9062F"/>
    <w:rsid w:val="18CB084B"/>
    <w:rsid w:val="18CB25F9"/>
    <w:rsid w:val="18CB43A7"/>
    <w:rsid w:val="18CC36CC"/>
    <w:rsid w:val="18CD45C3"/>
    <w:rsid w:val="18CE20EA"/>
    <w:rsid w:val="18D019BE"/>
    <w:rsid w:val="18D21BDA"/>
    <w:rsid w:val="18D314AE"/>
    <w:rsid w:val="18D45952"/>
    <w:rsid w:val="18D55226"/>
    <w:rsid w:val="18D65DF2"/>
    <w:rsid w:val="18D70F9E"/>
    <w:rsid w:val="18D906A0"/>
    <w:rsid w:val="18D92F68"/>
    <w:rsid w:val="18D94D16"/>
    <w:rsid w:val="18DC4807"/>
    <w:rsid w:val="18DC65B5"/>
    <w:rsid w:val="18DE057F"/>
    <w:rsid w:val="18E117C4"/>
    <w:rsid w:val="18E11E1D"/>
    <w:rsid w:val="18E5190D"/>
    <w:rsid w:val="18E91BA8"/>
    <w:rsid w:val="18E94268"/>
    <w:rsid w:val="18EB2C9C"/>
    <w:rsid w:val="18EB67F8"/>
    <w:rsid w:val="18EF453A"/>
    <w:rsid w:val="18F338FE"/>
    <w:rsid w:val="18F41158"/>
    <w:rsid w:val="18F558C8"/>
    <w:rsid w:val="18F7512B"/>
    <w:rsid w:val="18FA2EDF"/>
    <w:rsid w:val="18FA4C8D"/>
    <w:rsid w:val="18FC6C57"/>
    <w:rsid w:val="19017DC9"/>
    <w:rsid w:val="19033B41"/>
    <w:rsid w:val="19037FE5"/>
    <w:rsid w:val="19045B0B"/>
    <w:rsid w:val="19061883"/>
    <w:rsid w:val="190653E0"/>
    <w:rsid w:val="19080C81"/>
    <w:rsid w:val="19081DB0"/>
    <w:rsid w:val="19094ED0"/>
    <w:rsid w:val="190A3122"/>
    <w:rsid w:val="190B6E9A"/>
    <w:rsid w:val="190D49C0"/>
    <w:rsid w:val="190F0738"/>
    <w:rsid w:val="190F6E75"/>
    <w:rsid w:val="191044B0"/>
    <w:rsid w:val="19157D18"/>
    <w:rsid w:val="191C10A7"/>
    <w:rsid w:val="191C2E55"/>
    <w:rsid w:val="191C4C03"/>
    <w:rsid w:val="191E2EA7"/>
    <w:rsid w:val="191F64A1"/>
    <w:rsid w:val="19265A82"/>
    <w:rsid w:val="19283F59"/>
    <w:rsid w:val="19287A4C"/>
    <w:rsid w:val="192A37C4"/>
    <w:rsid w:val="192A5572"/>
    <w:rsid w:val="192B12EA"/>
    <w:rsid w:val="192C4AF0"/>
    <w:rsid w:val="192D0BBE"/>
    <w:rsid w:val="192F0DDA"/>
    <w:rsid w:val="192F3E2C"/>
    <w:rsid w:val="192F4936"/>
    <w:rsid w:val="193006AE"/>
    <w:rsid w:val="19305FBC"/>
    <w:rsid w:val="1934019F"/>
    <w:rsid w:val="19341F4D"/>
    <w:rsid w:val="193463F1"/>
    <w:rsid w:val="19353F17"/>
    <w:rsid w:val="19362BA0"/>
    <w:rsid w:val="1937087B"/>
    <w:rsid w:val="19377C8F"/>
    <w:rsid w:val="19397563"/>
    <w:rsid w:val="193C52A5"/>
    <w:rsid w:val="193E2DCB"/>
    <w:rsid w:val="193E726F"/>
    <w:rsid w:val="193F3921"/>
    <w:rsid w:val="194276D1"/>
    <w:rsid w:val="1945415A"/>
    <w:rsid w:val="19481E9C"/>
    <w:rsid w:val="194A1770"/>
    <w:rsid w:val="194B7296"/>
    <w:rsid w:val="194D300E"/>
    <w:rsid w:val="194D74B2"/>
    <w:rsid w:val="19515D36"/>
    <w:rsid w:val="19526877"/>
    <w:rsid w:val="195271C6"/>
    <w:rsid w:val="19540841"/>
    <w:rsid w:val="195425EF"/>
    <w:rsid w:val="195446B7"/>
    <w:rsid w:val="195645B9"/>
    <w:rsid w:val="19566367"/>
    <w:rsid w:val="19575C3B"/>
    <w:rsid w:val="195861EC"/>
    <w:rsid w:val="195919B3"/>
    <w:rsid w:val="195B1BCF"/>
    <w:rsid w:val="195C5DF6"/>
    <w:rsid w:val="195E16BF"/>
    <w:rsid w:val="195E521C"/>
    <w:rsid w:val="195F08E7"/>
    <w:rsid w:val="1960439B"/>
    <w:rsid w:val="196071E6"/>
    <w:rsid w:val="19614D0C"/>
    <w:rsid w:val="19622F5E"/>
    <w:rsid w:val="196319D6"/>
    <w:rsid w:val="19650358"/>
    <w:rsid w:val="19653EFB"/>
    <w:rsid w:val="196547FC"/>
    <w:rsid w:val="196565AA"/>
    <w:rsid w:val="1968609A"/>
    <w:rsid w:val="1969544D"/>
    <w:rsid w:val="196A01F1"/>
    <w:rsid w:val="196A3BC0"/>
    <w:rsid w:val="196D36B1"/>
    <w:rsid w:val="196D545F"/>
    <w:rsid w:val="196F7429"/>
    <w:rsid w:val="19706CFD"/>
    <w:rsid w:val="197113F3"/>
    <w:rsid w:val="19726F19"/>
    <w:rsid w:val="197607B7"/>
    <w:rsid w:val="19762565"/>
    <w:rsid w:val="1977008B"/>
    <w:rsid w:val="197762DD"/>
    <w:rsid w:val="197B7B7C"/>
    <w:rsid w:val="197D0525"/>
    <w:rsid w:val="197E141A"/>
    <w:rsid w:val="197E58BE"/>
    <w:rsid w:val="197F0635"/>
    <w:rsid w:val="198033E4"/>
    <w:rsid w:val="19830BC5"/>
    <w:rsid w:val="198660B6"/>
    <w:rsid w:val="19866520"/>
    <w:rsid w:val="19882298"/>
    <w:rsid w:val="198A4263"/>
    <w:rsid w:val="198F1879"/>
    <w:rsid w:val="198F3627"/>
    <w:rsid w:val="199155F1"/>
    <w:rsid w:val="1991739F"/>
    <w:rsid w:val="19921369"/>
    <w:rsid w:val="19924EC5"/>
    <w:rsid w:val="1993036C"/>
    <w:rsid w:val="1995735D"/>
    <w:rsid w:val="19960E59"/>
    <w:rsid w:val="19A1323D"/>
    <w:rsid w:val="19A1335A"/>
    <w:rsid w:val="19A370D2"/>
    <w:rsid w:val="19A40F43"/>
    <w:rsid w:val="19A5109C"/>
    <w:rsid w:val="19A76BC3"/>
    <w:rsid w:val="19AA220F"/>
    <w:rsid w:val="19AC242B"/>
    <w:rsid w:val="19AD7F51"/>
    <w:rsid w:val="19AF1F1B"/>
    <w:rsid w:val="19AF5A77"/>
    <w:rsid w:val="19B03926"/>
    <w:rsid w:val="19B0616D"/>
    <w:rsid w:val="19B22502"/>
    <w:rsid w:val="19B2495C"/>
    <w:rsid w:val="19B25567"/>
    <w:rsid w:val="19B27315"/>
    <w:rsid w:val="19B47531"/>
    <w:rsid w:val="19B65058"/>
    <w:rsid w:val="19B80DD0"/>
    <w:rsid w:val="19B906A4"/>
    <w:rsid w:val="19BC6185"/>
    <w:rsid w:val="19BD0D56"/>
    <w:rsid w:val="19BD354E"/>
    <w:rsid w:val="19C05ED6"/>
    <w:rsid w:val="19C071A3"/>
    <w:rsid w:val="19C239FC"/>
    <w:rsid w:val="19C31523"/>
    <w:rsid w:val="19C77265"/>
    <w:rsid w:val="19C86B39"/>
    <w:rsid w:val="19CC0E30"/>
    <w:rsid w:val="19D13C3F"/>
    <w:rsid w:val="19D21766"/>
    <w:rsid w:val="19D35C0A"/>
    <w:rsid w:val="19D454DE"/>
    <w:rsid w:val="19D5589C"/>
    <w:rsid w:val="19D63004"/>
    <w:rsid w:val="19D741DF"/>
    <w:rsid w:val="19D83220"/>
    <w:rsid w:val="19D90D46"/>
    <w:rsid w:val="19D92AF4"/>
    <w:rsid w:val="19DB4ABE"/>
    <w:rsid w:val="19DE010A"/>
    <w:rsid w:val="19E020D4"/>
    <w:rsid w:val="19E33973"/>
    <w:rsid w:val="19E41BC5"/>
    <w:rsid w:val="19E51499"/>
    <w:rsid w:val="19E73463"/>
    <w:rsid w:val="19E82D37"/>
    <w:rsid w:val="19E873D4"/>
    <w:rsid w:val="19EA6AAF"/>
    <w:rsid w:val="19EE2A43"/>
    <w:rsid w:val="19EF4E5E"/>
    <w:rsid w:val="19F142E2"/>
    <w:rsid w:val="19F31E08"/>
    <w:rsid w:val="19F339F5"/>
    <w:rsid w:val="19F618F8"/>
    <w:rsid w:val="19FB2A6A"/>
    <w:rsid w:val="19FD2C86"/>
    <w:rsid w:val="19FD4A34"/>
    <w:rsid w:val="1A01584A"/>
    <w:rsid w:val="1A045DC3"/>
    <w:rsid w:val="1A051B3B"/>
    <w:rsid w:val="1A07140F"/>
    <w:rsid w:val="1A0A5FA5"/>
    <w:rsid w:val="1A0E6C42"/>
    <w:rsid w:val="1A104432"/>
    <w:rsid w:val="1A1104E0"/>
    <w:rsid w:val="1A11228E"/>
    <w:rsid w:val="1A1143AD"/>
    <w:rsid w:val="1A143B2C"/>
    <w:rsid w:val="1A1573E9"/>
    <w:rsid w:val="1A163D48"/>
    <w:rsid w:val="1A1816AF"/>
    <w:rsid w:val="1A18361C"/>
    <w:rsid w:val="1A1A55E6"/>
    <w:rsid w:val="1A1D0C33"/>
    <w:rsid w:val="1A1D6E85"/>
    <w:rsid w:val="1A200723"/>
    <w:rsid w:val="1A204BC7"/>
    <w:rsid w:val="1A206975"/>
    <w:rsid w:val="1A226A73"/>
    <w:rsid w:val="1A253F8B"/>
    <w:rsid w:val="1A277D14"/>
    <w:rsid w:val="1A295829"/>
    <w:rsid w:val="1A2A15A2"/>
    <w:rsid w:val="1A2F0966"/>
    <w:rsid w:val="1A304E0A"/>
    <w:rsid w:val="1A3146DE"/>
    <w:rsid w:val="1A32637A"/>
    <w:rsid w:val="1A366198"/>
    <w:rsid w:val="1A367F46"/>
    <w:rsid w:val="1A381F10"/>
    <w:rsid w:val="1A383CBF"/>
    <w:rsid w:val="1A3907DB"/>
    <w:rsid w:val="1A3A35B9"/>
    <w:rsid w:val="1A3B4A49"/>
    <w:rsid w:val="1A3C74E6"/>
    <w:rsid w:val="1A3D3083"/>
    <w:rsid w:val="1A3D7527"/>
    <w:rsid w:val="1A420699"/>
    <w:rsid w:val="1A42491C"/>
    <w:rsid w:val="1A444411"/>
    <w:rsid w:val="1A4563DB"/>
    <w:rsid w:val="1A495ECC"/>
    <w:rsid w:val="1A4B1C44"/>
    <w:rsid w:val="1A4B39E7"/>
    <w:rsid w:val="1A4E34E2"/>
    <w:rsid w:val="1A4E5290"/>
    <w:rsid w:val="1A4E703E"/>
    <w:rsid w:val="1A50725A"/>
    <w:rsid w:val="1A534654"/>
    <w:rsid w:val="1A55661F"/>
    <w:rsid w:val="1A564145"/>
    <w:rsid w:val="1A56667A"/>
    <w:rsid w:val="1A584361"/>
    <w:rsid w:val="1A5A1E87"/>
    <w:rsid w:val="1A5A4033"/>
    <w:rsid w:val="1A5B175B"/>
    <w:rsid w:val="1A5B79AD"/>
    <w:rsid w:val="1A5C26E5"/>
    <w:rsid w:val="1A5F2FF9"/>
    <w:rsid w:val="1A5F56EF"/>
    <w:rsid w:val="1A622AE9"/>
    <w:rsid w:val="1A642D06"/>
    <w:rsid w:val="1A644AB4"/>
    <w:rsid w:val="1A654388"/>
    <w:rsid w:val="1A6B567F"/>
    <w:rsid w:val="1A6E148E"/>
    <w:rsid w:val="1A703458"/>
    <w:rsid w:val="1A7171D0"/>
    <w:rsid w:val="1A744BDA"/>
    <w:rsid w:val="1A750C3B"/>
    <w:rsid w:val="1A75281D"/>
    <w:rsid w:val="1A7B1DFD"/>
    <w:rsid w:val="1A7E1F9E"/>
    <w:rsid w:val="1A7F18ED"/>
    <w:rsid w:val="1A7F369B"/>
    <w:rsid w:val="1A7F5449"/>
    <w:rsid w:val="1A815666"/>
    <w:rsid w:val="1A840CB2"/>
    <w:rsid w:val="1A86144C"/>
    <w:rsid w:val="1A861BC0"/>
    <w:rsid w:val="1A864A2A"/>
    <w:rsid w:val="1A872550"/>
    <w:rsid w:val="1A8769F4"/>
    <w:rsid w:val="1A8962C8"/>
    <w:rsid w:val="1A8A3DEE"/>
    <w:rsid w:val="1A8E38DF"/>
    <w:rsid w:val="1A903AFB"/>
    <w:rsid w:val="1A937147"/>
    <w:rsid w:val="1A94221B"/>
    <w:rsid w:val="1A952EBF"/>
    <w:rsid w:val="1A955654"/>
    <w:rsid w:val="1A98650B"/>
    <w:rsid w:val="1A9908E0"/>
    <w:rsid w:val="1A9C424D"/>
    <w:rsid w:val="1A9D1D74"/>
    <w:rsid w:val="1A9D6217"/>
    <w:rsid w:val="1A9D7FC6"/>
    <w:rsid w:val="1A9F5AEC"/>
    <w:rsid w:val="1AA03612"/>
    <w:rsid w:val="1AA17AB6"/>
    <w:rsid w:val="1AA43102"/>
    <w:rsid w:val="1AA50C28"/>
    <w:rsid w:val="1AA9696A"/>
    <w:rsid w:val="1AAC1FB7"/>
    <w:rsid w:val="1AB05F4B"/>
    <w:rsid w:val="1AB5530F"/>
    <w:rsid w:val="1AB570BD"/>
    <w:rsid w:val="1AB772D9"/>
    <w:rsid w:val="1AB86BAD"/>
    <w:rsid w:val="1ABA2925"/>
    <w:rsid w:val="1ABD2416"/>
    <w:rsid w:val="1ABF08C1"/>
    <w:rsid w:val="1ABF618E"/>
    <w:rsid w:val="1ABF7F3C"/>
    <w:rsid w:val="1AC13CB4"/>
    <w:rsid w:val="1AC217DA"/>
    <w:rsid w:val="1AC27A2C"/>
    <w:rsid w:val="1AC437A4"/>
    <w:rsid w:val="1AC45552"/>
    <w:rsid w:val="1AC63078"/>
    <w:rsid w:val="1AC6751C"/>
    <w:rsid w:val="1AC92B69"/>
    <w:rsid w:val="1ACB68E1"/>
    <w:rsid w:val="1ACC4407"/>
    <w:rsid w:val="1ACE017F"/>
    <w:rsid w:val="1AD05CA5"/>
    <w:rsid w:val="1AD27C6F"/>
    <w:rsid w:val="1AD734D7"/>
    <w:rsid w:val="1AD75285"/>
    <w:rsid w:val="1AD80FFE"/>
    <w:rsid w:val="1AD87250"/>
    <w:rsid w:val="1ADC6D40"/>
    <w:rsid w:val="1ADD03C2"/>
    <w:rsid w:val="1ADE4866"/>
    <w:rsid w:val="1ADF238C"/>
    <w:rsid w:val="1AE13C5B"/>
    <w:rsid w:val="1AE14356"/>
    <w:rsid w:val="1AE16104"/>
    <w:rsid w:val="1AE37CBC"/>
    <w:rsid w:val="1AE4406F"/>
    <w:rsid w:val="1AE45BF4"/>
    <w:rsid w:val="1AE6196C"/>
    <w:rsid w:val="1AE6371B"/>
    <w:rsid w:val="1AE654C9"/>
    <w:rsid w:val="1AEB2ADF"/>
    <w:rsid w:val="1AEB6F83"/>
    <w:rsid w:val="1AEC6857"/>
    <w:rsid w:val="1AEF6A73"/>
    <w:rsid w:val="1AF06347"/>
    <w:rsid w:val="1AF220BF"/>
    <w:rsid w:val="1AF23E6D"/>
    <w:rsid w:val="1AF33ADE"/>
    <w:rsid w:val="1AF40C41"/>
    <w:rsid w:val="1AF51BB0"/>
    <w:rsid w:val="1AF649F1"/>
    <w:rsid w:val="1AFD1CF3"/>
    <w:rsid w:val="1AFD2812"/>
    <w:rsid w:val="1AFE6CB6"/>
    <w:rsid w:val="1AFF47DC"/>
    <w:rsid w:val="1B0167A6"/>
    <w:rsid w:val="1B02691D"/>
    <w:rsid w:val="1B027E29"/>
    <w:rsid w:val="1B0342CC"/>
    <w:rsid w:val="1B086E06"/>
    <w:rsid w:val="1B087B35"/>
    <w:rsid w:val="1B0911B7"/>
    <w:rsid w:val="1B0B13D3"/>
    <w:rsid w:val="1B0B3181"/>
    <w:rsid w:val="1B0E5E72"/>
    <w:rsid w:val="1B0E67CD"/>
    <w:rsid w:val="1B122762"/>
    <w:rsid w:val="1B12485D"/>
    <w:rsid w:val="1B177D78"/>
    <w:rsid w:val="1B183D2A"/>
    <w:rsid w:val="1B1A2D31"/>
    <w:rsid w:val="1B1C0EEA"/>
    <w:rsid w:val="1B1C713C"/>
    <w:rsid w:val="1B1C7466"/>
    <w:rsid w:val="1B1D7B9C"/>
    <w:rsid w:val="1B1E6CC0"/>
    <w:rsid w:val="1B1F6C2C"/>
    <w:rsid w:val="1B210BF7"/>
    <w:rsid w:val="1B216501"/>
    <w:rsid w:val="1B245FF1"/>
    <w:rsid w:val="1B252495"/>
    <w:rsid w:val="1B27238F"/>
    <w:rsid w:val="1B281F85"/>
    <w:rsid w:val="1B2A38E1"/>
    <w:rsid w:val="1B2A7AAB"/>
    <w:rsid w:val="1B2B737F"/>
    <w:rsid w:val="1B2E0C1E"/>
    <w:rsid w:val="1B2E2262"/>
    <w:rsid w:val="1B2E6E70"/>
    <w:rsid w:val="1B3061E5"/>
    <w:rsid w:val="1B324BB2"/>
    <w:rsid w:val="1B3501FE"/>
    <w:rsid w:val="1B391A9C"/>
    <w:rsid w:val="1B395F40"/>
    <w:rsid w:val="1B3A68FE"/>
    <w:rsid w:val="1B3B1CB8"/>
    <w:rsid w:val="1B3C3125"/>
    <w:rsid w:val="1B4072CF"/>
    <w:rsid w:val="1B446693"/>
    <w:rsid w:val="1B46240B"/>
    <w:rsid w:val="1B4A1EFB"/>
    <w:rsid w:val="1B4B17D0"/>
    <w:rsid w:val="1B4E306E"/>
    <w:rsid w:val="1B4F155D"/>
    <w:rsid w:val="1B50328A"/>
    <w:rsid w:val="1B5078DA"/>
    <w:rsid w:val="1B513EBB"/>
    <w:rsid w:val="1B527002"/>
    <w:rsid w:val="1B544B28"/>
    <w:rsid w:val="1B55264E"/>
    <w:rsid w:val="1B5623CB"/>
    <w:rsid w:val="1B574618"/>
    <w:rsid w:val="1B5C270F"/>
    <w:rsid w:val="1B610FF3"/>
    <w:rsid w:val="1B634D6B"/>
    <w:rsid w:val="1B642891"/>
    <w:rsid w:val="1B650AE3"/>
    <w:rsid w:val="1B6528E8"/>
    <w:rsid w:val="1B662AAD"/>
    <w:rsid w:val="1B676C2B"/>
    <w:rsid w:val="1B680151"/>
    <w:rsid w:val="1B6805D3"/>
    <w:rsid w:val="1B684130"/>
    <w:rsid w:val="1B6A434C"/>
    <w:rsid w:val="1B6D4B23"/>
    <w:rsid w:val="1B6D7998"/>
    <w:rsid w:val="1B6F54BE"/>
    <w:rsid w:val="1B701236"/>
    <w:rsid w:val="1B7075AD"/>
    <w:rsid w:val="1B7532B5"/>
    <w:rsid w:val="1B754A9E"/>
    <w:rsid w:val="1B770817"/>
    <w:rsid w:val="1B7927E1"/>
    <w:rsid w:val="1B79633D"/>
    <w:rsid w:val="1B7A3E63"/>
    <w:rsid w:val="1B7C5E2D"/>
    <w:rsid w:val="1B7E1BA5"/>
    <w:rsid w:val="1B7E7DF7"/>
    <w:rsid w:val="1B80591D"/>
    <w:rsid w:val="1B813D5C"/>
    <w:rsid w:val="1B8151F1"/>
    <w:rsid w:val="1B836D49"/>
    <w:rsid w:val="1B851185"/>
    <w:rsid w:val="1B8A22F8"/>
    <w:rsid w:val="1B8A679C"/>
    <w:rsid w:val="1B8F3388"/>
    <w:rsid w:val="1B916A0D"/>
    <w:rsid w:val="1B9211AC"/>
    <w:rsid w:val="1B9273FE"/>
    <w:rsid w:val="1B94140F"/>
    <w:rsid w:val="1B944F25"/>
    <w:rsid w:val="1B95115E"/>
    <w:rsid w:val="1B974A15"/>
    <w:rsid w:val="1B99253B"/>
    <w:rsid w:val="1B993A77"/>
    <w:rsid w:val="1B9969DF"/>
    <w:rsid w:val="1B9B6A8A"/>
    <w:rsid w:val="1B9F38C9"/>
    <w:rsid w:val="1BA01B1B"/>
    <w:rsid w:val="1BA15893"/>
    <w:rsid w:val="1BA23AE5"/>
    <w:rsid w:val="1BA57132"/>
    <w:rsid w:val="1BA710FC"/>
    <w:rsid w:val="1BA74CB4"/>
    <w:rsid w:val="1BA809D0"/>
    <w:rsid w:val="1BA84E74"/>
    <w:rsid w:val="1BAD248A"/>
    <w:rsid w:val="1BAE3446"/>
    <w:rsid w:val="1BAF484F"/>
    <w:rsid w:val="1BB2184F"/>
    <w:rsid w:val="1BB235FD"/>
    <w:rsid w:val="1BB47375"/>
    <w:rsid w:val="1BB67591"/>
    <w:rsid w:val="1BB750B7"/>
    <w:rsid w:val="1BB83309"/>
    <w:rsid w:val="1BB9498B"/>
    <w:rsid w:val="1BBB0703"/>
    <w:rsid w:val="1BBB4BA7"/>
    <w:rsid w:val="1BBB6955"/>
    <w:rsid w:val="1BBE01F3"/>
    <w:rsid w:val="1BC021BE"/>
    <w:rsid w:val="1BC03F6C"/>
    <w:rsid w:val="1BC1042C"/>
    <w:rsid w:val="1BC17CE4"/>
    <w:rsid w:val="1BC26017"/>
    <w:rsid w:val="1BC32313"/>
    <w:rsid w:val="1BC3580A"/>
    <w:rsid w:val="1BC53330"/>
    <w:rsid w:val="1BC670A8"/>
    <w:rsid w:val="1BC7354C"/>
    <w:rsid w:val="1BC752FA"/>
    <w:rsid w:val="1BC76A22"/>
    <w:rsid w:val="1BC82E20"/>
    <w:rsid w:val="1BC95EB9"/>
    <w:rsid w:val="1BC9697F"/>
    <w:rsid w:val="1BCA303C"/>
    <w:rsid w:val="1BCA4901"/>
    <w:rsid w:val="1BCA64B0"/>
    <w:rsid w:val="1BCD6688"/>
    <w:rsid w:val="1BCE6400"/>
    <w:rsid w:val="1BCF2401"/>
    <w:rsid w:val="1BD21EF1"/>
    <w:rsid w:val="1BD25A4D"/>
    <w:rsid w:val="1BD407DB"/>
    <w:rsid w:val="1BD73063"/>
    <w:rsid w:val="1BD87507"/>
    <w:rsid w:val="1BD9327F"/>
    <w:rsid w:val="1BDB2B53"/>
    <w:rsid w:val="1BDC68CC"/>
    <w:rsid w:val="1BDD4B1E"/>
    <w:rsid w:val="1BDE2644"/>
    <w:rsid w:val="1BE063BC"/>
    <w:rsid w:val="1BE22134"/>
    <w:rsid w:val="1BE539D2"/>
    <w:rsid w:val="1BE560E6"/>
    <w:rsid w:val="1BE57827"/>
    <w:rsid w:val="1BEA548C"/>
    <w:rsid w:val="1BEB1F58"/>
    <w:rsid w:val="1BEC6B0F"/>
    <w:rsid w:val="1BED0AD9"/>
    <w:rsid w:val="1BF21E2B"/>
    <w:rsid w:val="1BF400B9"/>
    <w:rsid w:val="1BF43C15"/>
    <w:rsid w:val="1BF55BDB"/>
    <w:rsid w:val="1BF956CF"/>
    <w:rsid w:val="1BF9747E"/>
    <w:rsid w:val="1BFB4FA4"/>
    <w:rsid w:val="1BFE4A94"/>
    <w:rsid w:val="1BFE57FD"/>
    <w:rsid w:val="1C0025BA"/>
    <w:rsid w:val="1C006A5E"/>
    <w:rsid w:val="1C024584"/>
    <w:rsid w:val="1C054074"/>
    <w:rsid w:val="1C05539A"/>
    <w:rsid w:val="1C0556D0"/>
    <w:rsid w:val="1C057BD0"/>
    <w:rsid w:val="1C073948"/>
    <w:rsid w:val="1C077DEC"/>
    <w:rsid w:val="1C0876C1"/>
    <w:rsid w:val="1C0B1542"/>
    <w:rsid w:val="1C112A19"/>
    <w:rsid w:val="1C124DF9"/>
    <w:rsid w:val="1C1442B7"/>
    <w:rsid w:val="1C1918CE"/>
    <w:rsid w:val="1C19367C"/>
    <w:rsid w:val="1C1B3898"/>
    <w:rsid w:val="1C200B97"/>
    <w:rsid w:val="1C200EAE"/>
    <w:rsid w:val="1C202C5C"/>
    <w:rsid w:val="1C224C26"/>
    <w:rsid w:val="1C2344FA"/>
    <w:rsid w:val="1C24274C"/>
    <w:rsid w:val="1C250273"/>
    <w:rsid w:val="1C2564C4"/>
    <w:rsid w:val="1C26614A"/>
    <w:rsid w:val="1C2C1601"/>
    <w:rsid w:val="1C2D7127"/>
    <w:rsid w:val="1C2F2E9F"/>
    <w:rsid w:val="1C2F3A8F"/>
    <w:rsid w:val="1C311B1C"/>
    <w:rsid w:val="1C314E69"/>
    <w:rsid w:val="1C3246ED"/>
    <w:rsid w:val="1C3334DD"/>
    <w:rsid w:val="1C33473D"/>
    <w:rsid w:val="1C3404B6"/>
    <w:rsid w:val="1C365FDC"/>
    <w:rsid w:val="1C3770CF"/>
    <w:rsid w:val="1C381D54"/>
    <w:rsid w:val="1C3861F8"/>
    <w:rsid w:val="1C387FA6"/>
    <w:rsid w:val="1C393D1E"/>
    <w:rsid w:val="1C395ACC"/>
    <w:rsid w:val="1C3B1844"/>
    <w:rsid w:val="1C3C1913"/>
    <w:rsid w:val="1C3D736A"/>
    <w:rsid w:val="1C3E1334"/>
    <w:rsid w:val="1C3E2C90"/>
    <w:rsid w:val="1C406E5A"/>
    <w:rsid w:val="1C4306F9"/>
    <w:rsid w:val="1C444B9D"/>
    <w:rsid w:val="1C44694B"/>
    <w:rsid w:val="1C4526C3"/>
    <w:rsid w:val="1C452B63"/>
    <w:rsid w:val="1C4701E9"/>
    <w:rsid w:val="1C475483"/>
    <w:rsid w:val="1C4A1A87"/>
    <w:rsid w:val="1C4A7CD9"/>
    <w:rsid w:val="1C4C57FF"/>
    <w:rsid w:val="1C4E1577"/>
    <w:rsid w:val="1C4E5A1B"/>
    <w:rsid w:val="1C4F52EF"/>
    <w:rsid w:val="1C534DE0"/>
    <w:rsid w:val="1C536B8E"/>
    <w:rsid w:val="1C556DAA"/>
    <w:rsid w:val="1C597F1C"/>
    <w:rsid w:val="1C5A43C0"/>
    <w:rsid w:val="1C5B3C94"/>
    <w:rsid w:val="1C5D110F"/>
    <w:rsid w:val="1C5F19D6"/>
    <w:rsid w:val="1C5F62DB"/>
    <w:rsid w:val="1C626DD1"/>
    <w:rsid w:val="1C632B49"/>
    <w:rsid w:val="1C66296E"/>
    <w:rsid w:val="1C694603"/>
    <w:rsid w:val="1C6963B1"/>
    <w:rsid w:val="1C6A081D"/>
    <w:rsid w:val="1C6A2129"/>
    <w:rsid w:val="1C6B037B"/>
    <w:rsid w:val="1C6C6B40"/>
    <w:rsid w:val="1C6E1C1A"/>
    <w:rsid w:val="1C6F7740"/>
    <w:rsid w:val="1C746B04"/>
    <w:rsid w:val="1C766D20"/>
    <w:rsid w:val="1C771E27"/>
    <w:rsid w:val="1C7865F4"/>
    <w:rsid w:val="1C7B2C32"/>
    <w:rsid w:val="1C7B60E4"/>
    <w:rsid w:val="1C7B7E93"/>
    <w:rsid w:val="1C7C0B92"/>
    <w:rsid w:val="1C7D3C0B"/>
    <w:rsid w:val="1C7F3E27"/>
    <w:rsid w:val="1C7F5BD5"/>
    <w:rsid w:val="1C837C6F"/>
    <w:rsid w:val="1C84143D"/>
    <w:rsid w:val="1C8431EB"/>
    <w:rsid w:val="1C850D11"/>
    <w:rsid w:val="1C870063"/>
    <w:rsid w:val="1C894C01"/>
    <w:rsid w:val="1C8B457A"/>
    <w:rsid w:val="1C8C02F2"/>
    <w:rsid w:val="1C8C20A0"/>
    <w:rsid w:val="1C8D5047"/>
    <w:rsid w:val="1C8E16BB"/>
    <w:rsid w:val="1C8E406A"/>
    <w:rsid w:val="1C907DE2"/>
    <w:rsid w:val="1C9563AA"/>
    <w:rsid w:val="1C961170"/>
    <w:rsid w:val="1C964CCC"/>
    <w:rsid w:val="1C980A44"/>
    <w:rsid w:val="1C986C96"/>
    <w:rsid w:val="1C99656B"/>
    <w:rsid w:val="1C9A0C60"/>
    <w:rsid w:val="1C9B764B"/>
    <w:rsid w:val="1C9C2C9E"/>
    <w:rsid w:val="1C9C6787"/>
    <w:rsid w:val="1C9F2C1E"/>
    <w:rsid w:val="1CA213BE"/>
    <w:rsid w:val="1CA23671"/>
    <w:rsid w:val="1CA37410"/>
    <w:rsid w:val="1CA4388D"/>
    <w:rsid w:val="1CA76C35"/>
    <w:rsid w:val="1CA90EA4"/>
    <w:rsid w:val="1CAB5593"/>
    <w:rsid w:val="1CAB69CA"/>
    <w:rsid w:val="1CAC629E"/>
    <w:rsid w:val="1CAE0268"/>
    <w:rsid w:val="1CAE2016"/>
    <w:rsid w:val="1CB021A4"/>
    <w:rsid w:val="1CB533A4"/>
    <w:rsid w:val="1CB55994"/>
    <w:rsid w:val="1CB57848"/>
    <w:rsid w:val="1CB64253"/>
    <w:rsid w:val="1CB810E7"/>
    <w:rsid w:val="1CB82E95"/>
    <w:rsid w:val="1CB83543"/>
    <w:rsid w:val="1CB87339"/>
    <w:rsid w:val="1CB94315"/>
    <w:rsid w:val="1CBD04AB"/>
    <w:rsid w:val="1CBD494F"/>
    <w:rsid w:val="1CBF2475"/>
    <w:rsid w:val="1CBF5FD1"/>
    <w:rsid w:val="1CC161ED"/>
    <w:rsid w:val="1CC23D13"/>
    <w:rsid w:val="1CC37F98"/>
    <w:rsid w:val="1CC61A56"/>
    <w:rsid w:val="1CC926C9"/>
    <w:rsid w:val="1CC96E50"/>
    <w:rsid w:val="1CCB0E1A"/>
    <w:rsid w:val="1CCB7770"/>
    <w:rsid w:val="1CCC06EE"/>
    <w:rsid w:val="1CCC6940"/>
    <w:rsid w:val="1CCE090A"/>
    <w:rsid w:val="1CCE26B8"/>
    <w:rsid w:val="1CD00E5B"/>
    <w:rsid w:val="1CD04682"/>
    <w:rsid w:val="1CD31A7D"/>
    <w:rsid w:val="1CD4275A"/>
    <w:rsid w:val="1CD557F5"/>
    <w:rsid w:val="1CD64CCD"/>
    <w:rsid w:val="1CD83537"/>
    <w:rsid w:val="1CD87093"/>
    <w:rsid w:val="1CDA72AF"/>
    <w:rsid w:val="1CDD0B4D"/>
    <w:rsid w:val="1CDF6673"/>
    <w:rsid w:val="1CE1063D"/>
    <w:rsid w:val="1CE26164"/>
    <w:rsid w:val="1CE27F12"/>
    <w:rsid w:val="1CE42B65"/>
    <w:rsid w:val="1CE43C8A"/>
    <w:rsid w:val="1CE617B0"/>
    <w:rsid w:val="1CE65C54"/>
    <w:rsid w:val="1CE76303"/>
    <w:rsid w:val="1CE974F2"/>
    <w:rsid w:val="1CED6265"/>
    <w:rsid w:val="1CEE68B6"/>
    <w:rsid w:val="1CEF21E1"/>
    <w:rsid w:val="1CF0262F"/>
    <w:rsid w:val="1CF163A7"/>
    <w:rsid w:val="1CF55E97"/>
    <w:rsid w:val="1CF616E5"/>
    <w:rsid w:val="1CF642B6"/>
    <w:rsid w:val="1CF739BD"/>
    <w:rsid w:val="1CF87735"/>
    <w:rsid w:val="1CFA443E"/>
    <w:rsid w:val="1CFA5E20"/>
    <w:rsid w:val="1CFC0FD3"/>
    <w:rsid w:val="1CFC5477"/>
    <w:rsid w:val="1CFE1968"/>
    <w:rsid w:val="1CFF0AC4"/>
    <w:rsid w:val="1D01483C"/>
    <w:rsid w:val="1D015CB6"/>
    <w:rsid w:val="1D0205B4"/>
    <w:rsid w:val="1D04432C"/>
    <w:rsid w:val="1D063DAB"/>
    <w:rsid w:val="1D091942"/>
    <w:rsid w:val="1D097B94"/>
    <w:rsid w:val="1D0C64DC"/>
    <w:rsid w:val="1D0D3BB9"/>
    <w:rsid w:val="1D0D4C79"/>
    <w:rsid w:val="1D0F2385"/>
    <w:rsid w:val="1D0F70F4"/>
    <w:rsid w:val="1D1030C8"/>
    <w:rsid w:val="1D104A7F"/>
    <w:rsid w:val="1D1207F7"/>
    <w:rsid w:val="1D13456F"/>
    <w:rsid w:val="1D13631D"/>
    <w:rsid w:val="1D153C52"/>
    <w:rsid w:val="1D16215F"/>
    <w:rsid w:val="1D1A36B1"/>
    <w:rsid w:val="1D1A7363"/>
    <w:rsid w:val="1D1A76AB"/>
    <w:rsid w:val="1D1D0F4A"/>
    <w:rsid w:val="1D1F4CC2"/>
    <w:rsid w:val="1D210A3A"/>
    <w:rsid w:val="1D216C8C"/>
    <w:rsid w:val="1D2247B2"/>
    <w:rsid w:val="1D24052A"/>
    <w:rsid w:val="1D2422D8"/>
    <w:rsid w:val="1D24677C"/>
    <w:rsid w:val="1D267AF0"/>
    <w:rsid w:val="1D28001A"/>
    <w:rsid w:val="1D28626C"/>
    <w:rsid w:val="1D291FE4"/>
    <w:rsid w:val="1D295B40"/>
    <w:rsid w:val="1D2B18B9"/>
    <w:rsid w:val="1D2B3667"/>
    <w:rsid w:val="1D302D06"/>
    <w:rsid w:val="1D303373"/>
    <w:rsid w:val="1D305121"/>
    <w:rsid w:val="1D306ECF"/>
    <w:rsid w:val="1D320E99"/>
    <w:rsid w:val="1D33076D"/>
    <w:rsid w:val="1D3369BF"/>
    <w:rsid w:val="1D3A5FA0"/>
    <w:rsid w:val="1D3B3901"/>
    <w:rsid w:val="1D3C5874"/>
    <w:rsid w:val="1D3C6E55"/>
    <w:rsid w:val="1D3E15EC"/>
    <w:rsid w:val="1D3F7112"/>
    <w:rsid w:val="1D41732E"/>
    <w:rsid w:val="1D436C02"/>
    <w:rsid w:val="1D4604A0"/>
    <w:rsid w:val="1D46123E"/>
    <w:rsid w:val="1D464944"/>
    <w:rsid w:val="1D4B1F5B"/>
    <w:rsid w:val="1D4B3D09"/>
    <w:rsid w:val="1D4D5CD3"/>
    <w:rsid w:val="1D5030CD"/>
    <w:rsid w:val="1D526E45"/>
    <w:rsid w:val="1D527A50"/>
    <w:rsid w:val="1D532BBD"/>
    <w:rsid w:val="1D594678"/>
    <w:rsid w:val="1D5C1A72"/>
    <w:rsid w:val="1D5E1C8E"/>
    <w:rsid w:val="1D5E3A3C"/>
    <w:rsid w:val="1D5F77B4"/>
    <w:rsid w:val="1D614905"/>
    <w:rsid w:val="1D631052"/>
    <w:rsid w:val="1D632E00"/>
    <w:rsid w:val="1D6372A4"/>
    <w:rsid w:val="1D646B79"/>
    <w:rsid w:val="1D653086"/>
    <w:rsid w:val="1D660B43"/>
    <w:rsid w:val="1D6628F1"/>
    <w:rsid w:val="1D666D95"/>
    <w:rsid w:val="1D6670E7"/>
    <w:rsid w:val="1D6923E1"/>
    <w:rsid w:val="1D6A0633"/>
    <w:rsid w:val="1D6B43AB"/>
    <w:rsid w:val="1D6B6159"/>
    <w:rsid w:val="1D6C0388"/>
    <w:rsid w:val="1D6E17A5"/>
    <w:rsid w:val="1D70376F"/>
    <w:rsid w:val="1D705DC3"/>
    <w:rsid w:val="1D772D50"/>
    <w:rsid w:val="1D790876"/>
    <w:rsid w:val="1D792624"/>
    <w:rsid w:val="1D7A45EE"/>
    <w:rsid w:val="1D7C2114"/>
    <w:rsid w:val="1D7C3EC2"/>
    <w:rsid w:val="1D7E40DE"/>
    <w:rsid w:val="1D7E5E8C"/>
    <w:rsid w:val="1D81111E"/>
    <w:rsid w:val="1D81772B"/>
    <w:rsid w:val="1D82517F"/>
    <w:rsid w:val="1D8348E7"/>
    <w:rsid w:val="1D840FC9"/>
    <w:rsid w:val="1D85546D"/>
    <w:rsid w:val="1D862F93"/>
    <w:rsid w:val="1D8666D1"/>
    <w:rsid w:val="1D8965DF"/>
    <w:rsid w:val="1D8B2357"/>
    <w:rsid w:val="1D8B355C"/>
    <w:rsid w:val="1D8B7972"/>
    <w:rsid w:val="1D8E3BF5"/>
    <w:rsid w:val="1D8F0099"/>
    <w:rsid w:val="1D8F101C"/>
    <w:rsid w:val="1D8F2F13"/>
    <w:rsid w:val="1D903E12"/>
    <w:rsid w:val="1D943902"/>
    <w:rsid w:val="1D9456B0"/>
    <w:rsid w:val="1D952165"/>
    <w:rsid w:val="1D976F4E"/>
    <w:rsid w:val="1D994A74"/>
    <w:rsid w:val="1D9C27B6"/>
    <w:rsid w:val="1D9C4564"/>
    <w:rsid w:val="1D9F5E03"/>
    <w:rsid w:val="1DA022A7"/>
    <w:rsid w:val="1DA04055"/>
    <w:rsid w:val="1DA17DCD"/>
    <w:rsid w:val="1DA36D9A"/>
    <w:rsid w:val="1DA457A0"/>
    <w:rsid w:val="1DA530EA"/>
    <w:rsid w:val="1DA578BD"/>
    <w:rsid w:val="1DA653E3"/>
    <w:rsid w:val="1DA8115B"/>
    <w:rsid w:val="1DA84CB7"/>
    <w:rsid w:val="1DA85CE8"/>
    <w:rsid w:val="1DAA17BA"/>
    <w:rsid w:val="1DAA4ED3"/>
    <w:rsid w:val="1DAA6C81"/>
    <w:rsid w:val="1DAB47A7"/>
    <w:rsid w:val="1DAE3F03"/>
    <w:rsid w:val="1DB25B36"/>
    <w:rsid w:val="1DB46B7E"/>
    <w:rsid w:val="1DB55626"/>
    <w:rsid w:val="1DB7139E"/>
    <w:rsid w:val="1DB95116"/>
    <w:rsid w:val="1DBA3241"/>
    <w:rsid w:val="1DBC4C07"/>
    <w:rsid w:val="1DBC67A0"/>
    <w:rsid w:val="1DBD1371"/>
    <w:rsid w:val="1DBE097F"/>
    <w:rsid w:val="1DBE272D"/>
    <w:rsid w:val="1DC1221D"/>
    <w:rsid w:val="1DC31AF1"/>
    <w:rsid w:val="1DC33AA2"/>
    <w:rsid w:val="1DC35F95"/>
    <w:rsid w:val="1DC53ABB"/>
    <w:rsid w:val="1DC60F93"/>
    <w:rsid w:val="1DC615E1"/>
    <w:rsid w:val="1DC6338F"/>
    <w:rsid w:val="1DC72423"/>
    <w:rsid w:val="1DC87107"/>
    <w:rsid w:val="1DCA7323"/>
    <w:rsid w:val="1DCD471E"/>
    <w:rsid w:val="1DD45AAC"/>
    <w:rsid w:val="1DD55435"/>
    <w:rsid w:val="1DD7245C"/>
    <w:rsid w:val="1DD737EE"/>
    <w:rsid w:val="1DD84D2C"/>
    <w:rsid w:val="1DDB32DF"/>
    <w:rsid w:val="1DDE06AA"/>
    <w:rsid w:val="1DDE2DCF"/>
    <w:rsid w:val="1DDE692B"/>
    <w:rsid w:val="1DE026A3"/>
    <w:rsid w:val="1DE33F41"/>
    <w:rsid w:val="1DE5415D"/>
    <w:rsid w:val="1DE57CB9"/>
    <w:rsid w:val="1DE61A0D"/>
    <w:rsid w:val="1DE64446"/>
    <w:rsid w:val="1DE81558"/>
    <w:rsid w:val="1DE82479"/>
    <w:rsid w:val="1DE8432D"/>
    <w:rsid w:val="1DE859FC"/>
    <w:rsid w:val="1DEA3522"/>
    <w:rsid w:val="1DEB1048"/>
    <w:rsid w:val="1DF3687A"/>
    <w:rsid w:val="1DF50235"/>
    <w:rsid w:val="1DF83E91"/>
    <w:rsid w:val="1DF919B7"/>
    <w:rsid w:val="1DFC3255"/>
    <w:rsid w:val="1DFD41CE"/>
    <w:rsid w:val="1DFE6FCD"/>
    <w:rsid w:val="1E01086B"/>
    <w:rsid w:val="1E026601"/>
    <w:rsid w:val="1E07408D"/>
    <w:rsid w:val="1E075E82"/>
    <w:rsid w:val="1E0968DC"/>
    <w:rsid w:val="1E0A3BC4"/>
    <w:rsid w:val="1E0A6237"/>
    <w:rsid w:val="1E0B5246"/>
    <w:rsid w:val="1E0D5462"/>
    <w:rsid w:val="1E0E0806"/>
    <w:rsid w:val="1E0F4D36"/>
    <w:rsid w:val="1E114F52"/>
    <w:rsid w:val="1E11610A"/>
    <w:rsid w:val="1E124827"/>
    <w:rsid w:val="1E171E3D"/>
    <w:rsid w:val="1E1948A0"/>
    <w:rsid w:val="1E197963"/>
    <w:rsid w:val="1E1C7453"/>
    <w:rsid w:val="1E1D0D0B"/>
    <w:rsid w:val="1E1D38F7"/>
    <w:rsid w:val="1E1D56A5"/>
    <w:rsid w:val="1E1E141D"/>
    <w:rsid w:val="1E1E31CB"/>
    <w:rsid w:val="1E1F7266"/>
    <w:rsid w:val="1E200CF1"/>
    <w:rsid w:val="1E222CBC"/>
    <w:rsid w:val="1E2307E2"/>
    <w:rsid w:val="1E234C86"/>
    <w:rsid w:val="1E253428"/>
    <w:rsid w:val="1E262080"/>
    <w:rsid w:val="1E2623DD"/>
    <w:rsid w:val="1E2702D2"/>
    <w:rsid w:val="1E285DF8"/>
    <w:rsid w:val="1E2A1B70"/>
    <w:rsid w:val="1E2A40E0"/>
    <w:rsid w:val="1E2E78B2"/>
    <w:rsid w:val="1E2F7187"/>
    <w:rsid w:val="1E3173A3"/>
    <w:rsid w:val="1E3429EF"/>
    <w:rsid w:val="1E3D7AF5"/>
    <w:rsid w:val="1E3E73CA"/>
    <w:rsid w:val="1E407A47"/>
    <w:rsid w:val="1E410ED7"/>
    <w:rsid w:val="1E4212E8"/>
    <w:rsid w:val="1E430E84"/>
    <w:rsid w:val="1E495B3F"/>
    <w:rsid w:val="1E4C0BBB"/>
    <w:rsid w:val="1E4C1AE7"/>
    <w:rsid w:val="1E4C7D38"/>
    <w:rsid w:val="1E4D585F"/>
    <w:rsid w:val="1E4E3279"/>
    <w:rsid w:val="1E5135A1"/>
    <w:rsid w:val="1E5310C7"/>
    <w:rsid w:val="1E543091"/>
    <w:rsid w:val="1E556CA9"/>
    <w:rsid w:val="1E560BB7"/>
    <w:rsid w:val="1E58492F"/>
    <w:rsid w:val="1E5E181A"/>
    <w:rsid w:val="1E5E4CD2"/>
    <w:rsid w:val="1E5E7A6C"/>
    <w:rsid w:val="1E5F5CBE"/>
    <w:rsid w:val="1E6037E4"/>
    <w:rsid w:val="1E605592"/>
    <w:rsid w:val="1E620680"/>
    <w:rsid w:val="1E62130A"/>
    <w:rsid w:val="1E62755C"/>
    <w:rsid w:val="1E642BAC"/>
    <w:rsid w:val="1E65295C"/>
    <w:rsid w:val="1E682698"/>
    <w:rsid w:val="1E6C2189"/>
    <w:rsid w:val="1E6F1C79"/>
    <w:rsid w:val="1E6F3A27"/>
    <w:rsid w:val="1E71154D"/>
    <w:rsid w:val="1E731769"/>
    <w:rsid w:val="1E7352C5"/>
    <w:rsid w:val="1E7828DC"/>
    <w:rsid w:val="1E7A2AF8"/>
    <w:rsid w:val="1E7B061E"/>
    <w:rsid w:val="1E7D6144"/>
    <w:rsid w:val="1E7D6558"/>
    <w:rsid w:val="1E7D7EF2"/>
    <w:rsid w:val="1E7F010E"/>
    <w:rsid w:val="1E805C34"/>
    <w:rsid w:val="1E831280"/>
    <w:rsid w:val="1E844725"/>
    <w:rsid w:val="1E845724"/>
    <w:rsid w:val="1E85324A"/>
    <w:rsid w:val="1E86760A"/>
    <w:rsid w:val="1E88623C"/>
    <w:rsid w:val="1E8878BD"/>
    <w:rsid w:val="1E8C604D"/>
    <w:rsid w:val="1E8D5B3C"/>
    <w:rsid w:val="1E8E0351"/>
    <w:rsid w:val="1E8E20FF"/>
    <w:rsid w:val="1E8E65A3"/>
    <w:rsid w:val="1E91399D"/>
    <w:rsid w:val="1E920421"/>
    <w:rsid w:val="1E935967"/>
    <w:rsid w:val="1E94348E"/>
    <w:rsid w:val="1E9516DF"/>
    <w:rsid w:val="1E990AA4"/>
    <w:rsid w:val="1E9A4F48"/>
    <w:rsid w:val="1E9A6F61"/>
    <w:rsid w:val="1E9D13BE"/>
    <w:rsid w:val="1E9D2342"/>
    <w:rsid w:val="1E9D67E6"/>
    <w:rsid w:val="1E9D6FD2"/>
    <w:rsid w:val="1EA00084"/>
    <w:rsid w:val="1EA02D82"/>
    <w:rsid w:val="1EA044C3"/>
    <w:rsid w:val="1EA638ED"/>
    <w:rsid w:val="1EA9518B"/>
    <w:rsid w:val="1EA96F39"/>
    <w:rsid w:val="1EA97348"/>
    <w:rsid w:val="1EAA5D14"/>
    <w:rsid w:val="1EAC4C7B"/>
    <w:rsid w:val="1EAD6AC7"/>
    <w:rsid w:val="1EAF2075"/>
    <w:rsid w:val="1EAF6816"/>
    <w:rsid w:val="1EB12291"/>
    <w:rsid w:val="1EB1403F"/>
    <w:rsid w:val="1EB15DEE"/>
    <w:rsid w:val="1EB458DE"/>
    <w:rsid w:val="1EB51D82"/>
    <w:rsid w:val="1EB53B30"/>
    <w:rsid w:val="1EB61656"/>
    <w:rsid w:val="1EBC3110"/>
    <w:rsid w:val="1EBD4792"/>
    <w:rsid w:val="1EC04283"/>
    <w:rsid w:val="1EC22982"/>
    <w:rsid w:val="1EC43D73"/>
    <w:rsid w:val="1EC57AEB"/>
    <w:rsid w:val="1EC64A9D"/>
    <w:rsid w:val="1EC71AB5"/>
    <w:rsid w:val="1EC975DB"/>
    <w:rsid w:val="1ECB3353"/>
    <w:rsid w:val="1ECB5101"/>
    <w:rsid w:val="1ECC0E79"/>
    <w:rsid w:val="1ECC2C27"/>
    <w:rsid w:val="1ECC70CB"/>
    <w:rsid w:val="1ECE074D"/>
    <w:rsid w:val="1ECF44C6"/>
    <w:rsid w:val="1ED53102"/>
    <w:rsid w:val="1ED65854"/>
    <w:rsid w:val="1ED805F3"/>
    <w:rsid w:val="1ED85A70"/>
    <w:rsid w:val="1ED8781E"/>
    <w:rsid w:val="1EDD3086"/>
    <w:rsid w:val="1EDD6BE3"/>
    <w:rsid w:val="1EDF295B"/>
    <w:rsid w:val="1EE00481"/>
    <w:rsid w:val="1EE2244B"/>
    <w:rsid w:val="1EE40026"/>
    <w:rsid w:val="1EE461C3"/>
    <w:rsid w:val="1EE47F71"/>
    <w:rsid w:val="1EE53CE9"/>
    <w:rsid w:val="1EE6018D"/>
    <w:rsid w:val="1EE7180F"/>
    <w:rsid w:val="1EE869A7"/>
    <w:rsid w:val="1EE91A2B"/>
    <w:rsid w:val="1EE927AE"/>
    <w:rsid w:val="1EEB57A3"/>
    <w:rsid w:val="1EEC32CA"/>
    <w:rsid w:val="1EEE0DF0"/>
    <w:rsid w:val="1EF34658"/>
    <w:rsid w:val="1EF36406"/>
    <w:rsid w:val="1EF47B1B"/>
    <w:rsid w:val="1EFA59E6"/>
    <w:rsid w:val="1EFB350D"/>
    <w:rsid w:val="1EFD7285"/>
    <w:rsid w:val="1F0060BE"/>
    <w:rsid w:val="1F016D75"/>
    <w:rsid w:val="1F022AED"/>
    <w:rsid w:val="1F03060B"/>
    <w:rsid w:val="1F046865"/>
    <w:rsid w:val="1F063671"/>
    <w:rsid w:val="1F0672D3"/>
    <w:rsid w:val="1F073C5F"/>
    <w:rsid w:val="1F095C2A"/>
    <w:rsid w:val="1F0979D8"/>
    <w:rsid w:val="1F0A4C39"/>
    <w:rsid w:val="1F0B19A2"/>
    <w:rsid w:val="1F0C571A"/>
    <w:rsid w:val="1F0C73BA"/>
    <w:rsid w:val="1F0E4FEE"/>
    <w:rsid w:val="1F100D66"/>
    <w:rsid w:val="1F120F82"/>
    <w:rsid w:val="1F132604"/>
    <w:rsid w:val="1F136AA8"/>
    <w:rsid w:val="1F152820"/>
    <w:rsid w:val="1F164BA3"/>
    <w:rsid w:val="1F185E6D"/>
    <w:rsid w:val="1F193B86"/>
    <w:rsid w:val="1F197416"/>
    <w:rsid w:val="1F1A1BE5"/>
    <w:rsid w:val="1F1A514E"/>
    <w:rsid w:val="1F1C3BAF"/>
    <w:rsid w:val="1F1D18F8"/>
    <w:rsid w:val="1F1D3483"/>
    <w:rsid w:val="1F1D7927"/>
    <w:rsid w:val="1F220A99"/>
    <w:rsid w:val="1F242A63"/>
    <w:rsid w:val="1F26058A"/>
    <w:rsid w:val="1F2D108D"/>
    <w:rsid w:val="1F2E287D"/>
    <w:rsid w:val="1F2F113C"/>
    <w:rsid w:val="1F301408"/>
    <w:rsid w:val="1F3233D2"/>
    <w:rsid w:val="1F356A1F"/>
    <w:rsid w:val="1F372797"/>
    <w:rsid w:val="1F394761"/>
    <w:rsid w:val="1F3A4035"/>
    <w:rsid w:val="1F3C3740"/>
    <w:rsid w:val="1F3C7DAD"/>
    <w:rsid w:val="1F3E1D77"/>
    <w:rsid w:val="1F4153C3"/>
    <w:rsid w:val="1F422EEA"/>
    <w:rsid w:val="1F43738D"/>
    <w:rsid w:val="1F443106"/>
    <w:rsid w:val="1F446C62"/>
    <w:rsid w:val="1F4948B4"/>
    <w:rsid w:val="1F4B7FF0"/>
    <w:rsid w:val="1F4C5B16"/>
    <w:rsid w:val="1F4E188E"/>
    <w:rsid w:val="1F511DCC"/>
    <w:rsid w:val="1F51312D"/>
    <w:rsid w:val="1F525822"/>
    <w:rsid w:val="1F576995"/>
    <w:rsid w:val="1F58270D"/>
    <w:rsid w:val="1F5A0233"/>
    <w:rsid w:val="1F5A46D7"/>
    <w:rsid w:val="1F5C21FD"/>
    <w:rsid w:val="1F5D53A5"/>
    <w:rsid w:val="1F5E41C7"/>
    <w:rsid w:val="1F6115C2"/>
    <w:rsid w:val="1F615A66"/>
    <w:rsid w:val="1F62093A"/>
    <w:rsid w:val="1F645556"/>
    <w:rsid w:val="1F647304"/>
    <w:rsid w:val="1F652CC4"/>
    <w:rsid w:val="1F66307C"/>
    <w:rsid w:val="1F672950"/>
    <w:rsid w:val="1F680BA2"/>
    <w:rsid w:val="1F6B2440"/>
    <w:rsid w:val="1F6B68E4"/>
    <w:rsid w:val="1F6D440A"/>
    <w:rsid w:val="1F6E3CDF"/>
    <w:rsid w:val="1F6F0182"/>
    <w:rsid w:val="1F702630"/>
    <w:rsid w:val="1F705CA9"/>
    <w:rsid w:val="1F72429D"/>
    <w:rsid w:val="1F7312F5"/>
    <w:rsid w:val="1F7532BF"/>
    <w:rsid w:val="1F770DE5"/>
    <w:rsid w:val="1F775289"/>
    <w:rsid w:val="1F784B5D"/>
    <w:rsid w:val="1F7A2683"/>
    <w:rsid w:val="1F7B4B72"/>
    <w:rsid w:val="1F7C464D"/>
    <w:rsid w:val="1F7D3F22"/>
    <w:rsid w:val="1F7E2E5B"/>
    <w:rsid w:val="1F7E6617"/>
    <w:rsid w:val="1F7F5EEC"/>
    <w:rsid w:val="1F7F7C9A"/>
    <w:rsid w:val="1F8335CB"/>
    <w:rsid w:val="1F833C2E"/>
    <w:rsid w:val="1F843502"/>
    <w:rsid w:val="1F847365"/>
    <w:rsid w:val="1F861028"/>
    <w:rsid w:val="1F8654CC"/>
    <w:rsid w:val="1F87773A"/>
    <w:rsid w:val="1F896D6A"/>
    <w:rsid w:val="1F8B4890"/>
    <w:rsid w:val="1F8D685B"/>
    <w:rsid w:val="1F8F0C22"/>
    <w:rsid w:val="1F8F25D3"/>
    <w:rsid w:val="1F9000F9"/>
    <w:rsid w:val="1F904C35"/>
    <w:rsid w:val="1F925C1F"/>
    <w:rsid w:val="1F941997"/>
    <w:rsid w:val="1F947BE9"/>
    <w:rsid w:val="1F9574BD"/>
    <w:rsid w:val="1F996FAD"/>
    <w:rsid w:val="1F9A0F77"/>
    <w:rsid w:val="1F9C084C"/>
    <w:rsid w:val="1F9D6372"/>
    <w:rsid w:val="1FA4694F"/>
    <w:rsid w:val="1FA616CA"/>
    <w:rsid w:val="1FA745A7"/>
    <w:rsid w:val="1FA871F0"/>
    <w:rsid w:val="1FA927C1"/>
    <w:rsid w:val="1FAD0CAB"/>
    <w:rsid w:val="1FAF4A23"/>
    <w:rsid w:val="1FB042F7"/>
    <w:rsid w:val="1FB2006F"/>
    <w:rsid w:val="1FB42039"/>
    <w:rsid w:val="1FB43DE7"/>
    <w:rsid w:val="1FB5190D"/>
    <w:rsid w:val="1FB5494E"/>
    <w:rsid w:val="1FB578D4"/>
    <w:rsid w:val="1FB75686"/>
    <w:rsid w:val="1FB77434"/>
    <w:rsid w:val="1FB913FE"/>
    <w:rsid w:val="1FBA3746"/>
    <w:rsid w:val="1FBE0451"/>
    <w:rsid w:val="1FBE0986"/>
    <w:rsid w:val="1FBE6A14"/>
    <w:rsid w:val="1FC102B2"/>
    <w:rsid w:val="1FC102F0"/>
    <w:rsid w:val="1FC16504"/>
    <w:rsid w:val="1FC3227C"/>
    <w:rsid w:val="1FC3402A"/>
    <w:rsid w:val="1FC35DD8"/>
    <w:rsid w:val="1FC55FF4"/>
    <w:rsid w:val="1FC63FA6"/>
    <w:rsid w:val="1FC658C9"/>
    <w:rsid w:val="1FC85D4A"/>
    <w:rsid w:val="1FC97167"/>
    <w:rsid w:val="1FCA53B9"/>
    <w:rsid w:val="1FCB1131"/>
    <w:rsid w:val="1FCD6C57"/>
    <w:rsid w:val="1FCF304C"/>
    <w:rsid w:val="1FD0596B"/>
    <w:rsid w:val="1FD60202"/>
    <w:rsid w:val="1FD61FB0"/>
    <w:rsid w:val="1FD71884"/>
    <w:rsid w:val="1FD955FC"/>
    <w:rsid w:val="1FDB5818"/>
    <w:rsid w:val="1FDB75C6"/>
    <w:rsid w:val="1FDC6E9A"/>
    <w:rsid w:val="1FDD539E"/>
    <w:rsid w:val="1FDF698A"/>
    <w:rsid w:val="1FE02E2E"/>
    <w:rsid w:val="1FE12702"/>
    <w:rsid w:val="1FE22078"/>
    <w:rsid w:val="1FE447FC"/>
    <w:rsid w:val="1FE521F3"/>
    <w:rsid w:val="1FE67D19"/>
    <w:rsid w:val="1FE8583F"/>
    <w:rsid w:val="1FE95082"/>
    <w:rsid w:val="1FEA15B7"/>
    <w:rsid w:val="1FEF3071"/>
    <w:rsid w:val="1FF02384"/>
    <w:rsid w:val="1FF02946"/>
    <w:rsid w:val="1FF57F5C"/>
    <w:rsid w:val="1FF71F26"/>
    <w:rsid w:val="1FF821D4"/>
    <w:rsid w:val="1FFA6007"/>
    <w:rsid w:val="1FFB37C4"/>
    <w:rsid w:val="1FFB7C68"/>
    <w:rsid w:val="1FFE1506"/>
    <w:rsid w:val="1FFE5062"/>
    <w:rsid w:val="20000DDB"/>
    <w:rsid w:val="20016901"/>
    <w:rsid w:val="20020FF7"/>
    <w:rsid w:val="20032679"/>
    <w:rsid w:val="20041C8A"/>
    <w:rsid w:val="20054643"/>
    <w:rsid w:val="200563F1"/>
    <w:rsid w:val="20062169"/>
    <w:rsid w:val="200731AA"/>
    <w:rsid w:val="20087C8F"/>
    <w:rsid w:val="20104D96"/>
    <w:rsid w:val="2011123A"/>
    <w:rsid w:val="20146634"/>
    <w:rsid w:val="20166850"/>
    <w:rsid w:val="201725C8"/>
    <w:rsid w:val="201900EE"/>
    <w:rsid w:val="20192A20"/>
    <w:rsid w:val="20196340"/>
    <w:rsid w:val="201B5C14"/>
    <w:rsid w:val="201E5705"/>
    <w:rsid w:val="201E74B3"/>
    <w:rsid w:val="20216FA3"/>
    <w:rsid w:val="20232D1B"/>
    <w:rsid w:val="20250841"/>
    <w:rsid w:val="2027280B"/>
    <w:rsid w:val="202A22FB"/>
    <w:rsid w:val="202A3FC6"/>
    <w:rsid w:val="202A50E6"/>
    <w:rsid w:val="202C7E22"/>
    <w:rsid w:val="202D5948"/>
    <w:rsid w:val="202F346E"/>
    <w:rsid w:val="202F7912"/>
    <w:rsid w:val="203023E8"/>
    <w:rsid w:val="2031368A"/>
    <w:rsid w:val="203228E2"/>
    <w:rsid w:val="2033100A"/>
    <w:rsid w:val="20340D69"/>
    <w:rsid w:val="20344F28"/>
    <w:rsid w:val="20346CD6"/>
    <w:rsid w:val="20370574"/>
    <w:rsid w:val="203A606B"/>
    <w:rsid w:val="203A6A0B"/>
    <w:rsid w:val="203B1E13"/>
    <w:rsid w:val="203D1E1B"/>
    <w:rsid w:val="203D202F"/>
    <w:rsid w:val="203E1903"/>
    <w:rsid w:val="203E49EC"/>
    <w:rsid w:val="203E5DA7"/>
    <w:rsid w:val="203E7B55"/>
    <w:rsid w:val="204038CD"/>
    <w:rsid w:val="204247FD"/>
    <w:rsid w:val="20451CEE"/>
    <w:rsid w:val="20452C91"/>
    <w:rsid w:val="204607B7"/>
    <w:rsid w:val="204809D3"/>
    <w:rsid w:val="2048658C"/>
    <w:rsid w:val="204C4020"/>
    <w:rsid w:val="204C438A"/>
    <w:rsid w:val="20511636"/>
    <w:rsid w:val="20517888"/>
    <w:rsid w:val="20541126"/>
    <w:rsid w:val="20580C17"/>
    <w:rsid w:val="205904EB"/>
    <w:rsid w:val="2059673D"/>
    <w:rsid w:val="205E1FA5"/>
    <w:rsid w:val="205E3D53"/>
    <w:rsid w:val="20601879"/>
    <w:rsid w:val="20607ACB"/>
    <w:rsid w:val="20621A95"/>
    <w:rsid w:val="20656456"/>
    <w:rsid w:val="20672C08"/>
    <w:rsid w:val="206A094A"/>
    <w:rsid w:val="206C2914"/>
    <w:rsid w:val="20704CAA"/>
    <w:rsid w:val="20735A50"/>
    <w:rsid w:val="207417C9"/>
    <w:rsid w:val="20743577"/>
    <w:rsid w:val="20744ABB"/>
    <w:rsid w:val="20745325"/>
    <w:rsid w:val="20755732"/>
    <w:rsid w:val="2079293B"/>
    <w:rsid w:val="20796DDF"/>
    <w:rsid w:val="207B66B3"/>
    <w:rsid w:val="207B6AD4"/>
    <w:rsid w:val="207D067D"/>
    <w:rsid w:val="207E61A3"/>
    <w:rsid w:val="207F330F"/>
    <w:rsid w:val="20801F1B"/>
    <w:rsid w:val="20827A42"/>
    <w:rsid w:val="20831A0C"/>
    <w:rsid w:val="208512E0"/>
    <w:rsid w:val="20857532"/>
    <w:rsid w:val="208611D8"/>
    <w:rsid w:val="20870360"/>
    <w:rsid w:val="20895274"/>
    <w:rsid w:val="208A0FEC"/>
    <w:rsid w:val="208A4B48"/>
    <w:rsid w:val="208C08C0"/>
    <w:rsid w:val="208C6B12"/>
    <w:rsid w:val="208E288A"/>
    <w:rsid w:val="208F03B0"/>
    <w:rsid w:val="20920044"/>
    <w:rsid w:val="209239FD"/>
    <w:rsid w:val="20933C2B"/>
    <w:rsid w:val="20943C19"/>
    <w:rsid w:val="20947775"/>
    <w:rsid w:val="209634ED"/>
    <w:rsid w:val="20971013"/>
    <w:rsid w:val="20987265"/>
    <w:rsid w:val="2099122F"/>
    <w:rsid w:val="20992FDD"/>
    <w:rsid w:val="209B4FA7"/>
    <w:rsid w:val="209E23A2"/>
    <w:rsid w:val="209F6845"/>
    <w:rsid w:val="20A200E4"/>
    <w:rsid w:val="20A43E5C"/>
    <w:rsid w:val="20A53730"/>
    <w:rsid w:val="20A83220"/>
    <w:rsid w:val="20AA51EA"/>
    <w:rsid w:val="20AC2D10"/>
    <w:rsid w:val="20AD0837"/>
    <w:rsid w:val="20AE4CDA"/>
    <w:rsid w:val="20AF2801"/>
    <w:rsid w:val="20B120D5"/>
    <w:rsid w:val="20B35E4D"/>
    <w:rsid w:val="20B37200"/>
    <w:rsid w:val="20B56069"/>
    <w:rsid w:val="20B66BBF"/>
    <w:rsid w:val="20B9542D"/>
    <w:rsid w:val="20BB11A5"/>
    <w:rsid w:val="20BB1E21"/>
    <w:rsid w:val="20BB2F53"/>
    <w:rsid w:val="20BD4F1E"/>
    <w:rsid w:val="20BE47F2"/>
    <w:rsid w:val="20BE4E13"/>
    <w:rsid w:val="20C04A0E"/>
    <w:rsid w:val="20C444FE"/>
    <w:rsid w:val="20C55B80"/>
    <w:rsid w:val="20C60F83"/>
    <w:rsid w:val="20C91B14"/>
    <w:rsid w:val="20CA13E8"/>
    <w:rsid w:val="20CA3197"/>
    <w:rsid w:val="20CA58B5"/>
    <w:rsid w:val="20CC01D5"/>
    <w:rsid w:val="20CC5161"/>
    <w:rsid w:val="20CD7643"/>
    <w:rsid w:val="20CE0ED9"/>
    <w:rsid w:val="20CF4C51"/>
    <w:rsid w:val="20D02EA3"/>
    <w:rsid w:val="20D109C9"/>
    <w:rsid w:val="20D14525"/>
    <w:rsid w:val="20D311D2"/>
    <w:rsid w:val="20D364EF"/>
    <w:rsid w:val="20D52267"/>
    <w:rsid w:val="20D64231"/>
    <w:rsid w:val="20D65FDF"/>
    <w:rsid w:val="20D81349"/>
    <w:rsid w:val="20D858B3"/>
    <w:rsid w:val="20D95F04"/>
    <w:rsid w:val="20DA5ACF"/>
    <w:rsid w:val="20DB1848"/>
    <w:rsid w:val="20DB35F6"/>
    <w:rsid w:val="20DC6589"/>
    <w:rsid w:val="20DD111C"/>
    <w:rsid w:val="20DF30E6"/>
    <w:rsid w:val="20DF4E94"/>
    <w:rsid w:val="20E06E5E"/>
    <w:rsid w:val="20E24984"/>
    <w:rsid w:val="20E34258"/>
    <w:rsid w:val="20E3645C"/>
    <w:rsid w:val="20E73D48"/>
    <w:rsid w:val="20EB4BEE"/>
    <w:rsid w:val="20EE50D7"/>
    <w:rsid w:val="20EF2BFD"/>
    <w:rsid w:val="20F3093F"/>
    <w:rsid w:val="20F326ED"/>
    <w:rsid w:val="20F46465"/>
    <w:rsid w:val="20F61D01"/>
    <w:rsid w:val="20F73191"/>
    <w:rsid w:val="20FA3A7C"/>
    <w:rsid w:val="20FA7F20"/>
    <w:rsid w:val="20FD356C"/>
    <w:rsid w:val="20FD531A"/>
    <w:rsid w:val="20FF1092"/>
    <w:rsid w:val="21004E0A"/>
    <w:rsid w:val="21026DD4"/>
    <w:rsid w:val="21032E75"/>
    <w:rsid w:val="210668C5"/>
    <w:rsid w:val="210A011D"/>
    <w:rsid w:val="210E072D"/>
    <w:rsid w:val="210E39CB"/>
    <w:rsid w:val="210E5779"/>
    <w:rsid w:val="2111004A"/>
    <w:rsid w:val="21110DC5"/>
    <w:rsid w:val="21114EE6"/>
    <w:rsid w:val="21115269"/>
    <w:rsid w:val="21162880"/>
    <w:rsid w:val="211803A6"/>
    <w:rsid w:val="21181AAD"/>
    <w:rsid w:val="211865F8"/>
    <w:rsid w:val="211B39F2"/>
    <w:rsid w:val="211D2B0B"/>
    <w:rsid w:val="211D776A"/>
    <w:rsid w:val="211F1734"/>
    <w:rsid w:val="211F34E2"/>
    <w:rsid w:val="211F7986"/>
    <w:rsid w:val="212136FE"/>
    <w:rsid w:val="21224D81"/>
    <w:rsid w:val="21241474"/>
    <w:rsid w:val="21246FCE"/>
    <w:rsid w:val="2126769F"/>
    <w:rsid w:val="212A1E87"/>
    <w:rsid w:val="212B00D9"/>
    <w:rsid w:val="212E3725"/>
    <w:rsid w:val="212E5E1B"/>
    <w:rsid w:val="212E7BC9"/>
    <w:rsid w:val="21311468"/>
    <w:rsid w:val="213236FF"/>
    <w:rsid w:val="21333432"/>
    <w:rsid w:val="21350F58"/>
    <w:rsid w:val="21370624"/>
    <w:rsid w:val="213807D9"/>
    <w:rsid w:val="2139157F"/>
    <w:rsid w:val="213A656E"/>
    <w:rsid w:val="213B4094"/>
    <w:rsid w:val="213D4496"/>
    <w:rsid w:val="213F1DD6"/>
    <w:rsid w:val="214116AB"/>
    <w:rsid w:val="214178FD"/>
    <w:rsid w:val="21472A39"/>
    <w:rsid w:val="214747E7"/>
    <w:rsid w:val="21483F51"/>
    <w:rsid w:val="214B42D7"/>
    <w:rsid w:val="214D44F3"/>
    <w:rsid w:val="214E3DC8"/>
    <w:rsid w:val="214E5B76"/>
    <w:rsid w:val="215018EE"/>
    <w:rsid w:val="21521B0A"/>
    <w:rsid w:val="215533A8"/>
    <w:rsid w:val="21562C7C"/>
    <w:rsid w:val="21577120"/>
    <w:rsid w:val="21584C46"/>
    <w:rsid w:val="215869F4"/>
    <w:rsid w:val="215D400B"/>
    <w:rsid w:val="216058A9"/>
    <w:rsid w:val="21611D4D"/>
    <w:rsid w:val="21627873"/>
    <w:rsid w:val="216655B5"/>
    <w:rsid w:val="21666272"/>
    <w:rsid w:val="21676C37"/>
    <w:rsid w:val="216B481E"/>
    <w:rsid w:val="216B497A"/>
    <w:rsid w:val="216B6728"/>
    <w:rsid w:val="216D6944"/>
    <w:rsid w:val="216E446A"/>
    <w:rsid w:val="216E7FC6"/>
    <w:rsid w:val="21701F90"/>
    <w:rsid w:val="217575A6"/>
    <w:rsid w:val="21771570"/>
    <w:rsid w:val="2177331E"/>
    <w:rsid w:val="217A696B"/>
    <w:rsid w:val="217C6B87"/>
    <w:rsid w:val="217D3668"/>
    <w:rsid w:val="217E28FF"/>
    <w:rsid w:val="217E335F"/>
    <w:rsid w:val="21863561"/>
    <w:rsid w:val="218850C1"/>
    <w:rsid w:val="218912A4"/>
    <w:rsid w:val="218B501C"/>
    <w:rsid w:val="218D48F0"/>
    <w:rsid w:val="218E4A93"/>
    <w:rsid w:val="218E68BA"/>
    <w:rsid w:val="21924CDB"/>
    <w:rsid w:val="21933B4E"/>
    <w:rsid w:val="21933ED0"/>
    <w:rsid w:val="21937A2C"/>
    <w:rsid w:val="2194148A"/>
    <w:rsid w:val="21992591"/>
    <w:rsid w:val="219C4B33"/>
    <w:rsid w:val="219E6AFD"/>
    <w:rsid w:val="219F63D1"/>
    <w:rsid w:val="21A1039B"/>
    <w:rsid w:val="21A25EC1"/>
    <w:rsid w:val="21A275A8"/>
    <w:rsid w:val="21A3046C"/>
    <w:rsid w:val="21A34113"/>
    <w:rsid w:val="21A47E8B"/>
    <w:rsid w:val="21A61FC4"/>
    <w:rsid w:val="21A63705"/>
    <w:rsid w:val="21A97250"/>
    <w:rsid w:val="21AD4F92"/>
    <w:rsid w:val="21AE2AB8"/>
    <w:rsid w:val="21AF0D0A"/>
    <w:rsid w:val="21B24356"/>
    <w:rsid w:val="21B31E7D"/>
    <w:rsid w:val="21B46321"/>
    <w:rsid w:val="21B52099"/>
    <w:rsid w:val="21B72F49"/>
    <w:rsid w:val="21B77BBF"/>
    <w:rsid w:val="21BA320B"/>
    <w:rsid w:val="21BF0821"/>
    <w:rsid w:val="21BF4CC5"/>
    <w:rsid w:val="21BF6A73"/>
    <w:rsid w:val="21C06CC2"/>
    <w:rsid w:val="21C10A3D"/>
    <w:rsid w:val="21C347B6"/>
    <w:rsid w:val="21C359FD"/>
    <w:rsid w:val="21C422DC"/>
    <w:rsid w:val="21C67E02"/>
    <w:rsid w:val="21C85928"/>
    <w:rsid w:val="21CB284F"/>
    <w:rsid w:val="21CB71C6"/>
    <w:rsid w:val="21CD73E2"/>
    <w:rsid w:val="21D249F9"/>
    <w:rsid w:val="21D45042"/>
    <w:rsid w:val="21D80C1F"/>
    <w:rsid w:val="21D97B35"/>
    <w:rsid w:val="21DA1AFF"/>
    <w:rsid w:val="21DA565B"/>
    <w:rsid w:val="21DC13D3"/>
    <w:rsid w:val="21DD6EFA"/>
    <w:rsid w:val="21DF0EC4"/>
    <w:rsid w:val="21E309B4"/>
    <w:rsid w:val="21E41F66"/>
    <w:rsid w:val="21E464DA"/>
    <w:rsid w:val="21E62252"/>
    <w:rsid w:val="21E8421C"/>
    <w:rsid w:val="21E87D78"/>
    <w:rsid w:val="21E93AF0"/>
    <w:rsid w:val="21EB7868"/>
    <w:rsid w:val="21ED1832"/>
    <w:rsid w:val="21EF7359"/>
    <w:rsid w:val="21F20BF7"/>
    <w:rsid w:val="21F506E7"/>
    <w:rsid w:val="21F91F85"/>
    <w:rsid w:val="21FA5FE0"/>
    <w:rsid w:val="21FE02AF"/>
    <w:rsid w:val="21FE56DE"/>
    <w:rsid w:val="21FE5F33"/>
    <w:rsid w:val="21FE759C"/>
    <w:rsid w:val="220646A2"/>
    <w:rsid w:val="22066450"/>
    <w:rsid w:val="220821C8"/>
    <w:rsid w:val="22093F32"/>
    <w:rsid w:val="220B1A78"/>
    <w:rsid w:val="220B1CB9"/>
    <w:rsid w:val="220D3C83"/>
    <w:rsid w:val="220D5A31"/>
    <w:rsid w:val="220F3557"/>
    <w:rsid w:val="22140B6D"/>
    <w:rsid w:val="22146DBF"/>
    <w:rsid w:val="22162B37"/>
    <w:rsid w:val="22164DF5"/>
    <w:rsid w:val="2217065D"/>
    <w:rsid w:val="2217240B"/>
    <w:rsid w:val="22192627"/>
    <w:rsid w:val="221943D6"/>
    <w:rsid w:val="22196184"/>
    <w:rsid w:val="22197635"/>
    <w:rsid w:val="221E19EC"/>
    <w:rsid w:val="222039B6"/>
    <w:rsid w:val="222075E8"/>
    <w:rsid w:val="22211F08"/>
    <w:rsid w:val="2221772E"/>
    <w:rsid w:val="22244B28"/>
    <w:rsid w:val="22274D44"/>
    <w:rsid w:val="222A0391"/>
    <w:rsid w:val="222A213F"/>
    <w:rsid w:val="222F59A7"/>
    <w:rsid w:val="222F5C4D"/>
    <w:rsid w:val="2230171F"/>
    <w:rsid w:val="22317971"/>
    <w:rsid w:val="22325497"/>
    <w:rsid w:val="2236120F"/>
    <w:rsid w:val="22364E11"/>
    <w:rsid w:val="22386CFF"/>
    <w:rsid w:val="223B5680"/>
    <w:rsid w:val="223B6DC1"/>
    <w:rsid w:val="223C6316"/>
    <w:rsid w:val="2241392C"/>
    <w:rsid w:val="224156DA"/>
    <w:rsid w:val="22421B7E"/>
    <w:rsid w:val="22422982"/>
    <w:rsid w:val="224240C3"/>
    <w:rsid w:val="22477195"/>
    <w:rsid w:val="22482F0D"/>
    <w:rsid w:val="22497BDD"/>
    <w:rsid w:val="224D22D1"/>
    <w:rsid w:val="224D407F"/>
    <w:rsid w:val="224E2666"/>
    <w:rsid w:val="224E27BB"/>
    <w:rsid w:val="224F1BA5"/>
    <w:rsid w:val="224F429B"/>
    <w:rsid w:val="2250591D"/>
    <w:rsid w:val="22513B6F"/>
    <w:rsid w:val="22521696"/>
    <w:rsid w:val="22525B39"/>
    <w:rsid w:val="225418B2"/>
    <w:rsid w:val="22574EFE"/>
    <w:rsid w:val="225862E9"/>
    <w:rsid w:val="22590C76"/>
    <w:rsid w:val="22596EC8"/>
    <w:rsid w:val="225A6A9A"/>
    <w:rsid w:val="225B2C40"/>
    <w:rsid w:val="225B49EE"/>
    <w:rsid w:val="225B679C"/>
    <w:rsid w:val="225C42C2"/>
    <w:rsid w:val="225E003A"/>
    <w:rsid w:val="225E628C"/>
    <w:rsid w:val="22600256"/>
    <w:rsid w:val="22602004"/>
    <w:rsid w:val="22603DB2"/>
    <w:rsid w:val="22623FCE"/>
    <w:rsid w:val="22625D7D"/>
    <w:rsid w:val="22631AF5"/>
    <w:rsid w:val="22680EB9"/>
    <w:rsid w:val="226A06FE"/>
    <w:rsid w:val="226A2E83"/>
    <w:rsid w:val="226D64CF"/>
    <w:rsid w:val="226F0499"/>
    <w:rsid w:val="226F2247"/>
    <w:rsid w:val="22714212"/>
    <w:rsid w:val="22721D38"/>
    <w:rsid w:val="22737F8A"/>
    <w:rsid w:val="22761872"/>
    <w:rsid w:val="227855A0"/>
    <w:rsid w:val="227B6E3E"/>
    <w:rsid w:val="227C6712"/>
    <w:rsid w:val="227E0004"/>
    <w:rsid w:val="227E06DD"/>
    <w:rsid w:val="227E248B"/>
    <w:rsid w:val="227E692E"/>
    <w:rsid w:val="22813D29"/>
    <w:rsid w:val="22851A6B"/>
    <w:rsid w:val="22873A35"/>
    <w:rsid w:val="22877591"/>
    <w:rsid w:val="228C2DF9"/>
    <w:rsid w:val="228C4BA7"/>
    <w:rsid w:val="228D6B72"/>
    <w:rsid w:val="228E7AF9"/>
    <w:rsid w:val="228F28EA"/>
    <w:rsid w:val="228F4698"/>
    <w:rsid w:val="22910410"/>
    <w:rsid w:val="229323DA"/>
    <w:rsid w:val="22947F00"/>
    <w:rsid w:val="229972C4"/>
    <w:rsid w:val="229C0B63"/>
    <w:rsid w:val="229E0D7F"/>
    <w:rsid w:val="22A16179"/>
    <w:rsid w:val="22A63A99"/>
    <w:rsid w:val="22A719E1"/>
    <w:rsid w:val="22A7378F"/>
    <w:rsid w:val="22A87507"/>
    <w:rsid w:val="22AA7723"/>
    <w:rsid w:val="22AC6FF8"/>
    <w:rsid w:val="22AD2D70"/>
    <w:rsid w:val="22AE0FC2"/>
    <w:rsid w:val="22AF6AE8"/>
    <w:rsid w:val="22B10AB2"/>
    <w:rsid w:val="22B20386"/>
    <w:rsid w:val="22B45EAC"/>
    <w:rsid w:val="22B52CA4"/>
    <w:rsid w:val="22B67E76"/>
    <w:rsid w:val="22B84105"/>
    <w:rsid w:val="22B8599C"/>
    <w:rsid w:val="22BA5BB9"/>
    <w:rsid w:val="22C02AA3"/>
    <w:rsid w:val="22C205C9"/>
    <w:rsid w:val="22C2681B"/>
    <w:rsid w:val="22C32593"/>
    <w:rsid w:val="22C73E32"/>
    <w:rsid w:val="22C75BE0"/>
    <w:rsid w:val="22C97BAA"/>
    <w:rsid w:val="22CA225E"/>
    <w:rsid w:val="22CA517A"/>
    <w:rsid w:val="22CD3AFB"/>
    <w:rsid w:val="22CE348B"/>
    <w:rsid w:val="22CF0F38"/>
    <w:rsid w:val="22D12F02"/>
    <w:rsid w:val="22D14CB0"/>
    <w:rsid w:val="22D64075"/>
    <w:rsid w:val="22D8603F"/>
    <w:rsid w:val="22D93B65"/>
    <w:rsid w:val="22D94639"/>
    <w:rsid w:val="22D97467"/>
    <w:rsid w:val="22DB168B"/>
    <w:rsid w:val="22DB5B2F"/>
    <w:rsid w:val="22DF73CD"/>
    <w:rsid w:val="22E04EF3"/>
    <w:rsid w:val="22E0648C"/>
    <w:rsid w:val="22E06CA1"/>
    <w:rsid w:val="22E22A19"/>
    <w:rsid w:val="22E23150"/>
    <w:rsid w:val="22E24891"/>
    <w:rsid w:val="22E542B8"/>
    <w:rsid w:val="22E569AE"/>
    <w:rsid w:val="22E70030"/>
    <w:rsid w:val="22E72769"/>
    <w:rsid w:val="22E744D4"/>
    <w:rsid w:val="22E76282"/>
    <w:rsid w:val="22E83DA8"/>
    <w:rsid w:val="22E9024C"/>
    <w:rsid w:val="22E91FFA"/>
    <w:rsid w:val="22EA7B20"/>
    <w:rsid w:val="22EB7084"/>
    <w:rsid w:val="22EC1AEA"/>
    <w:rsid w:val="22ED6DD3"/>
    <w:rsid w:val="22EF6DBA"/>
    <w:rsid w:val="22F24386"/>
    <w:rsid w:val="22F32E79"/>
    <w:rsid w:val="22F34C27"/>
    <w:rsid w:val="22F4099F"/>
    <w:rsid w:val="22F4274D"/>
    <w:rsid w:val="22F56BF1"/>
    <w:rsid w:val="22F62969"/>
    <w:rsid w:val="22F74B89"/>
    <w:rsid w:val="22F80437"/>
    <w:rsid w:val="22F8048F"/>
    <w:rsid w:val="22F866E1"/>
    <w:rsid w:val="22FD7853"/>
    <w:rsid w:val="22FF7A6F"/>
    <w:rsid w:val="23007343"/>
    <w:rsid w:val="2302130E"/>
    <w:rsid w:val="230230BC"/>
    <w:rsid w:val="23045086"/>
    <w:rsid w:val="23045B21"/>
    <w:rsid w:val="230706D2"/>
    <w:rsid w:val="23090C46"/>
    <w:rsid w:val="2309269C"/>
    <w:rsid w:val="230B6414"/>
    <w:rsid w:val="230C5CE8"/>
    <w:rsid w:val="23121DAA"/>
    <w:rsid w:val="231352C9"/>
    <w:rsid w:val="23144B9D"/>
    <w:rsid w:val="23160915"/>
    <w:rsid w:val="23164DB9"/>
    <w:rsid w:val="231734D0"/>
    <w:rsid w:val="231828DF"/>
    <w:rsid w:val="2318468D"/>
    <w:rsid w:val="231921B3"/>
    <w:rsid w:val="231B5F2B"/>
    <w:rsid w:val="231C5EB2"/>
    <w:rsid w:val="231D6147"/>
    <w:rsid w:val="231E77CA"/>
    <w:rsid w:val="232079E6"/>
    <w:rsid w:val="232253D9"/>
    <w:rsid w:val="23227153"/>
    <w:rsid w:val="232272BA"/>
    <w:rsid w:val="23241284"/>
    <w:rsid w:val="23244DE0"/>
    <w:rsid w:val="23255AD4"/>
    <w:rsid w:val="23264FFC"/>
    <w:rsid w:val="23270D74"/>
    <w:rsid w:val="2329689A"/>
    <w:rsid w:val="232B0864"/>
    <w:rsid w:val="232B2612"/>
    <w:rsid w:val="232E56F6"/>
    <w:rsid w:val="232F19D7"/>
    <w:rsid w:val="232F7F1E"/>
    <w:rsid w:val="23307C29"/>
    <w:rsid w:val="23333275"/>
    <w:rsid w:val="233429F8"/>
    <w:rsid w:val="2335523F"/>
    <w:rsid w:val="23356FED"/>
    <w:rsid w:val="23377209"/>
    <w:rsid w:val="2338088B"/>
    <w:rsid w:val="233A0AA7"/>
    <w:rsid w:val="233A2855"/>
    <w:rsid w:val="233A4603"/>
    <w:rsid w:val="233B037C"/>
    <w:rsid w:val="233C481F"/>
    <w:rsid w:val="23403BE4"/>
    <w:rsid w:val="23405992"/>
    <w:rsid w:val="23413B6C"/>
    <w:rsid w:val="234327E6"/>
    <w:rsid w:val="23445482"/>
    <w:rsid w:val="23452FA8"/>
    <w:rsid w:val="234731C4"/>
    <w:rsid w:val="234809A7"/>
    <w:rsid w:val="234B4A63"/>
    <w:rsid w:val="234B6811"/>
    <w:rsid w:val="234E00AF"/>
    <w:rsid w:val="23502079"/>
    <w:rsid w:val="23503E27"/>
    <w:rsid w:val="2351194D"/>
    <w:rsid w:val="23513661"/>
    <w:rsid w:val="23517B9F"/>
    <w:rsid w:val="23520334"/>
    <w:rsid w:val="235356C5"/>
    <w:rsid w:val="2355768F"/>
    <w:rsid w:val="235651B5"/>
    <w:rsid w:val="23571659"/>
    <w:rsid w:val="23580F2E"/>
    <w:rsid w:val="23582CDC"/>
    <w:rsid w:val="235949C4"/>
    <w:rsid w:val="235A2EF8"/>
    <w:rsid w:val="235A6A54"/>
    <w:rsid w:val="235D02F2"/>
    <w:rsid w:val="235D4796"/>
    <w:rsid w:val="235D6544"/>
    <w:rsid w:val="23614286"/>
    <w:rsid w:val="23623B5A"/>
    <w:rsid w:val="2366364A"/>
    <w:rsid w:val="23671171"/>
    <w:rsid w:val="23686B2F"/>
    <w:rsid w:val="2369138D"/>
    <w:rsid w:val="2369313B"/>
    <w:rsid w:val="236B6DD9"/>
    <w:rsid w:val="236E24FF"/>
    <w:rsid w:val="236F7465"/>
    <w:rsid w:val="23702555"/>
    <w:rsid w:val="237109CF"/>
    <w:rsid w:val="237369FB"/>
    <w:rsid w:val="23751ADF"/>
    <w:rsid w:val="23757D31"/>
    <w:rsid w:val="23770DEF"/>
    <w:rsid w:val="2378512C"/>
    <w:rsid w:val="237A70F6"/>
    <w:rsid w:val="237B5203"/>
    <w:rsid w:val="237F295E"/>
    <w:rsid w:val="237F64BA"/>
    <w:rsid w:val="23810484"/>
    <w:rsid w:val="238166D6"/>
    <w:rsid w:val="23825FAA"/>
    <w:rsid w:val="238560D7"/>
    <w:rsid w:val="23863CED"/>
    <w:rsid w:val="23865A9B"/>
    <w:rsid w:val="23884C44"/>
    <w:rsid w:val="238910E7"/>
    <w:rsid w:val="2389558B"/>
    <w:rsid w:val="238B4E5F"/>
    <w:rsid w:val="238C0BD7"/>
    <w:rsid w:val="238C0CE3"/>
    <w:rsid w:val="238D75A2"/>
    <w:rsid w:val="238E0DF3"/>
    <w:rsid w:val="239006C7"/>
    <w:rsid w:val="23955CDE"/>
    <w:rsid w:val="23957A8C"/>
    <w:rsid w:val="23971A56"/>
    <w:rsid w:val="23985DF6"/>
    <w:rsid w:val="239C706C"/>
    <w:rsid w:val="239D1C68"/>
    <w:rsid w:val="239D7097"/>
    <w:rsid w:val="239D778E"/>
    <w:rsid w:val="239F090A"/>
    <w:rsid w:val="239F4DAE"/>
    <w:rsid w:val="239F6B5C"/>
    <w:rsid w:val="23A128D5"/>
    <w:rsid w:val="23A203FB"/>
    <w:rsid w:val="23A221A9"/>
    <w:rsid w:val="23A423C5"/>
    <w:rsid w:val="23A44173"/>
    <w:rsid w:val="23A501AD"/>
    <w:rsid w:val="23A61C99"/>
    <w:rsid w:val="23A675DF"/>
    <w:rsid w:val="23A67EEB"/>
    <w:rsid w:val="23A777BF"/>
    <w:rsid w:val="23A81EB5"/>
    <w:rsid w:val="23A91789"/>
    <w:rsid w:val="23AB426C"/>
    <w:rsid w:val="23AB72AF"/>
    <w:rsid w:val="23AD74CB"/>
    <w:rsid w:val="23AE4FF1"/>
    <w:rsid w:val="23AE6D9F"/>
    <w:rsid w:val="23AF6269"/>
    <w:rsid w:val="23AF726E"/>
    <w:rsid w:val="23B24AE2"/>
    <w:rsid w:val="23B343B6"/>
    <w:rsid w:val="23B43CB0"/>
    <w:rsid w:val="23B4531E"/>
    <w:rsid w:val="23B720F8"/>
    <w:rsid w:val="23B87C1E"/>
    <w:rsid w:val="23BA5744"/>
    <w:rsid w:val="23BB2620"/>
    <w:rsid w:val="23BC770E"/>
    <w:rsid w:val="23BE3486"/>
    <w:rsid w:val="23BF2431"/>
    <w:rsid w:val="23BF3B72"/>
    <w:rsid w:val="23BF71FF"/>
    <w:rsid w:val="23C06BC8"/>
    <w:rsid w:val="23C10881"/>
    <w:rsid w:val="23C21BAB"/>
    <w:rsid w:val="23C245F9"/>
    <w:rsid w:val="23C35A13"/>
    <w:rsid w:val="23C40371"/>
    <w:rsid w:val="23C56DC7"/>
    <w:rsid w:val="23C6233B"/>
    <w:rsid w:val="23CA5246"/>
    <w:rsid w:val="23CA60B4"/>
    <w:rsid w:val="23CB5BA3"/>
    <w:rsid w:val="23CF684B"/>
    <w:rsid w:val="23D031BA"/>
    <w:rsid w:val="23D04F68"/>
    <w:rsid w:val="23D20CE0"/>
    <w:rsid w:val="23D22A8E"/>
    <w:rsid w:val="23D36806"/>
    <w:rsid w:val="23D42CAA"/>
    <w:rsid w:val="23D55D98"/>
    <w:rsid w:val="23D700A4"/>
    <w:rsid w:val="23D74548"/>
    <w:rsid w:val="23DA7B95"/>
    <w:rsid w:val="23DC1B5F"/>
    <w:rsid w:val="23DC390D"/>
    <w:rsid w:val="23DF51AB"/>
    <w:rsid w:val="23E10F23"/>
    <w:rsid w:val="23E12CD1"/>
    <w:rsid w:val="23E35D90"/>
    <w:rsid w:val="23E80503"/>
    <w:rsid w:val="23E8163D"/>
    <w:rsid w:val="23E822B1"/>
    <w:rsid w:val="23EB3B50"/>
    <w:rsid w:val="23EB7FF4"/>
    <w:rsid w:val="23EE3640"/>
    <w:rsid w:val="23EF1892"/>
    <w:rsid w:val="23F073B8"/>
    <w:rsid w:val="23F32A04"/>
    <w:rsid w:val="23F5677C"/>
    <w:rsid w:val="23F65063"/>
    <w:rsid w:val="23F724F4"/>
    <w:rsid w:val="23F76998"/>
    <w:rsid w:val="23FC09CC"/>
    <w:rsid w:val="23FC5D5D"/>
    <w:rsid w:val="23FC7B0B"/>
    <w:rsid w:val="23FE1AD5"/>
    <w:rsid w:val="23FE3883"/>
    <w:rsid w:val="23FF13A9"/>
    <w:rsid w:val="24003A9F"/>
    <w:rsid w:val="2403533D"/>
    <w:rsid w:val="24042E63"/>
    <w:rsid w:val="24092201"/>
    <w:rsid w:val="240D1D18"/>
    <w:rsid w:val="240E3C2F"/>
    <w:rsid w:val="240E783E"/>
    <w:rsid w:val="24170DE9"/>
    <w:rsid w:val="24174945"/>
    <w:rsid w:val="241B595C"/>
    <w:rsid w:val="241C0B21"/>
    <w:rsid w:val="241E2177"/>
    <w:rsid w:val="241F1A4B"/>
    <w:rsid w:val="242157C3"/>
    <w:rsid w:val="2423778D"/>
    <w:rsid w:val="242552B4"/>
    <w:rsid w:val="242B4894"/>
    <w:rsid w:val="242B6642"/>
    <w:rsid w:val="242B6B92"/>
    <w:rsid w:val="24311EAA"/>
    <w:rsid w:val="2432352D"/>
    <w:rsid w:val="243279D1"/>
    <w:rsid w:val="24333BE3"/>
    <w:rsid w:val="2435126F"/>
    <w:rsid w:val="24374FE7"/>
    <w:rsid w:val="24392B0D"/>
    <w:rsid w:val="243A0EE4"/>
    <w:rsid w:val="243A6885"/>
    <w:rsid w:val="243B4AD7"/>
    <w:rsid w:val="243C084F"/>
    <w:rsid w:val="243C1BCE"/>
    <w:rsid w:val="243E0123"/>
    <w:rsid w:val="243E6375"/>
    <w:rsid w:val="244020ED"/>
    <w:rsid w:val="24414930"/>
    <w:rsid w:val="244336D7"/>
    <w:rsid w:val="2443398C"/>
    <w:rsid w:val="2443573A"/>
    <w:rsid w:val="244514B2"/>
    <w:rsid w:val="24455956"/>
    <w:rsid w:val="2446347C"/>
    <w:rsid w:val="24466FD8"/>
    <w:rsid w:val="24482D50"/>
    <w:rsid w:val="244871F4"/>
    <w:rsid w:val="244A6AC8"/>
    <w:rsid w:val="244B2840"/>
    <w:rsid w:val="244B45EE"/>
    <w:rsid w:val="244B6DEC"/>
    <w:rsid w:val="244D0A9B"/>
    <w:rsid w:val="244F0582"/>
    <w:rsid w:val="244F40DF"/>
    <w:rsid w:val="245142FB"/>
    <w:rsid w:val="24545B99"/>
    <w:rsid w:val="24594F5D"/>
    <w:rsid w:val="245B0CD5"/>
    <w:rsid w:val="245C2C9F"/>
    <w:rsid w:val="245C59BF"/>
    <w:rsid w:val="245E4322"/>
    <w:rsid w:val="246011EC"/>
    <w:rsid w:val="246200F0"/>
    <w:rsid w:val="246456B0"/>
    <w:rsid w:val="246758CC"/>
    <w:rsid w:val="24681644"/>
    <w:rsid w:val="246B4C91"/>
    <w:rsid w:val="246D0A09"/>
    <w:rsid w:val="246D72D6"/>
    <w:rsid w:val="24704055"/>
    <w:rsid w:val="2472601F"/>
    <w:rsid w:val="24727DCD"/>
    <w:rsid w:val="24741D97"/>
    <w:rsid w:val="24747FE9"/>
    <w:rsid w:val="247679F6"/>
    <w:rsid w:val="247955FF"/>
    <w:rsid w:val="247973AD"/>
    <w:rsid w:val="247B1377"/>
    <w:rsid w:val="247B4ED4"/>
    <w:rsid w:val="248024EA"/>
    <w:rsid w:val="248249F5"/>
    <w:rsid w:val="24853FA4"/>
    <w:rsid w:val="24857B00"/>
    <w:rsid w:val="24877D1C"/>
    <w:rsid w:val="24883A94"/>
    <w:rsid w:val="24885842"/>
    <w:rsid w:val="248875F1"/>
    <w:rsid w:val="248C24F6"/>
    <w:rsid w:val="248C6A02"/>
    <w:rsid w:val="248C70E1"/>
    <w:rsid w:val="248D10AB"/>
    <w:rsid w:val="248D2E59"/>
    <w:rsid w:val="248F4E23"/>
    <w:rsid w:val="24904BBE"/>
    <w:rsid w:val="24950EC2"/>
    <w:rsid w:val="24966FE0"/>
    <w:rsid w:val="24975A86"/>
    <w:rsid w:val="249B5576"/>
    <w:rsid w:val="249C2AC2"/>
    <w:rsid w:val="249C4E4A"/>
    <w:rsid w:val="249E0343"/>
    <w:rsid w:val="249E0BC2"/>
    <w:rsid w:val="24A01672"/>
    <w:rsid w:val="24A0493A"/>
    <w:rsid w:val="24A24B56"/>
    <w:rsid w:val="24A25583"/>
    <w:rsid w:val="24A501A2"/>
    <w:rsid w:val="24A73F1B"/>
    <w:rsid w:val="24A81A41"/>
    <w:rsid w:val="24A85EE5"/>
    <w:rsid w:val="24A979B8"/>
    <w:rsid w:val="24AA3A0B"/>
    <w:rsid w:val="24AC7783"/>
    <w:rsid w:val="24AC7AF8"/>
    <w:rsid w:val="24AD52A9"/>
    <w:rsid w:val="24B108F5"/>
    <w:rsid w:val="24B14D99"/>
    <w:rsid w:val="24B30B11"/>
    <w:rsid w:val="24B44889"/>
    <w:rsid w:val="24B47998"/>
    <w:rsid w:val="24B9237A"/>
    <w:rsid w:val="24BB1774"/>
    <w:rsid w:val="24BC54EC"/>
    <w:rsid w:val="24BD373E"/>
    <w:rsid w:val="24C04FDC"/>
    <w:rsid w:val="24C06D8A"/>
    <w:rsid w:val="24C22B02"/>
    <w:rsid w:val="24C35FFD"/>
    <w:rsid w:val="24C50845"/>
    <w:rsid w:val="24C543A1"/>
    <w:rsid w:val="24C70119"/>
    <w:rsid w:val="24C85C3F"/>
    <w:rsid w:val="24C90335"/>
    <w:rsid w:val="24CA32FF"/>
    <w:rsid w:val="24CC3981"/>
    <w:rsid w:val="24CD14A7"/>
    <w:rsid w:val="24CD76F9"/>
    <w:rsid w:val="24CE594B"/>
    <w:rsid w:val="24D26ABE"/>
    <w:rsid w:val="24D665AE"/>
    <w:rsid w:val="24D740D4"/>
    <w:rsid w:val="24D804D4"/>
    <w:rsid w:val="24D942F0"/>
    <w:rsid w:val="24DB0068"/>
    <w:rsid w:val="24DB5972"/>
    <w:rsid w:val="24E46F1D"/>
    <w:rsid w:val="24E52C95"/>
    <w:rsid w:val="24E72B54"/>
    <w:rsid w:val="24E76A0D"/>
    <w:rsid w:val="24EA2059"/>
    <w:rsid w:val="24EA3E07"/>
    <w:rsid w:val="24EC5DD1"/>
    <w:rsid w:val="24ED56A6"/>
    <w:rsid w:val="24EE1B49"/>
    <w:rsid w:val="24EF675B"/>
    <w:rsid w:val="24F0501A"/>
    <w:rsid w:val="24F164AA"/>
    <w:rsid w:val="24F5112A"/>
    <w:rsid w:val="24F829C8"/>
    <w:rsid w:val="24F904EE"/>
    <w:rsid w:val="24F90FF9"/>
    <w:rsid w:val="24FC0490"/>
    <w:rsid w:val="24FE5B05"/>
    <w:rsid w:val="24FF367F"/>
    <w:rsid w:val="24FF3D57"/>
    <w:rsid w:val="2500362B"/>
    <w:rsid w:val="25034EC9"/>
    <w:rsid w:val="2504136D"/>
    <w:rsid w:val="25050C41"/>
    <w:rsid w:val="250550E5"/>
    <w:rsid w:val="25070E5D"/>
    <w:rsid w:val="25072C0B"/>
    <w:rsid w:val="25090731"/>
    <w:rsid w:val="250A26FB"/>
    <w:rsid w:val="250C6474"/>
    <w:rsid w:val="250D7AF6"/>
    <w:rsid w:val="250F116C"/>
    <w:rsid w:val="250F1AC0"/>
    <w:rsid w:val="25105A94"/>
    <w:rsid w:val="2513335E"/>
    <w:rsid w:val="25143477"/>
    <w:rsid w:val="25145328"/>
    <w:rsid w:val="25186BC6"/>
    <w:rsid w:val="251946ED"/>
    <w:rsid w:val="251B2213"/>
    <w:rsid w:val="251B66B7"/>
    <w:rsid w:val="251D40A6"/>
    <w:rsid w:val="251D5F8B"/>
    <w:rsid w:val="251E60B7"/>
    <w:rsid w:val="25207829"/>
    <w:rsid w:val="252217F3"/>
    <w:rsid w:val="25253091"/>
    <w:rsid w:val="25257535"/>
    <w:rsid w:val="25287F65"/>
    <w:rsid w:val="25292B82"/>
    <w:rsid w:val="252B3BBA"/>
    <w:rsid w:val="25341526"/>
    <w:rsid w:val="25360F5A"/>
    <w:rsid w:val="2536529E"/>
    <w:rsid w:val="25381017"/>
    <w:rsid w:val="253B22C4"/>
    <w:rsid w:val="253B28B5"/>
    <w:rsid w:val="253D662D"/>
    <w:rsid w:val="253E0160"/>
    <w:rsid w:val="2540611D"/>
    <w:rsid w:val="254259F1"/>
    <w:rsid w:val="25441769"/>
    <w:rsid w:val="25445C0D"/>
    <w:rsid w:val="254479BB"/>
    <w:rsid w:val="25461985"/>
    <w:rsid w:val="25493224"/>
    <w:rsid w:val="25496D80"/>
    <w:rsid w:val="254B6F9C"/>
    <w:rsid w:val="254D5C5A"/>
    <w:rsid w:val="25506360"/>
    <w:rsid w:val="25551BC9"/>
    <w:rsid w:val="25553977"/>
    <w:rsid w:val="25555909"/>
    <w:rsid w:val="2556149D"/>
    <w:rsid w:val="255641C8"/>
    <w:rsid w:val="255676EF"/>
    <w:rsid w:val="25583467"/>
    <w:rsid w:val="255A78DA"/>
    <w:rsid w:val="255B2F57"/>
    <w:rsid w:val="255B6AB3"/>
    <w:rsid w:val="255F2A47"/>
    <w:rsid w:val="2560231B"/>
    <w:rsid w:val="25657932"/>
    <w:rsid w:val="256B669F"/>
    <w:rsid w:val="256C0CC0"/>
    <w:rsid w:val="256C2A6E"/>
    <w:rsid w:val="256E4A38"/>
    <w:rsid w:val="256F64B0"/>
    <w:rsid w:val="25710085"/>
    <w:rsid w:val="25714529"/>
    <w:rsid w:val="2572277A"/>
    <w:rsid w:val="25724E31"/>
    <w:rsid w:val="2573204F"/>
    <w:rsid w:val="25733DFD"/>
    <w:rsid w:val="25761B3F"/>
    <w:rsid w:val="257638ED"/>
    <w:rsid w:val="25764C42"/>
    <w:rsid w:val="25783B09"/>
    <w:rsid w:val="257A33DD"/>
    <w:rsid w:val="257C53A7"/>
    <w:rsid w:val="257E4B15"/>
    <w:rsid w:val="257F09F3"/>
    <w:rsid w:val="25875BC7"/>
    <w:rsid w:val="25891C28"/>
    <w:rsid w:val="25893620"/>
    <w:rsid w:val="258B383C"/>
    <w:rsid w:val="258B65E1"/>
    <w:rsid w:val="258B7398"/>
    <w:rsid w:val="258C3110"/>
    <w:rsid w:val="258D6E68"/>
    <w:rsid w:val="258E50DA"/>
    <w:rsid w:val="25900E53"/>
    <w:rsid w:val="25910727"/>
    <w:rsid w:val="25922CDA"/>
    <w:rsid w:val="2593416A"/>
    <w:rsid w:val="25950217"/>
    <w:rsid w:val="25956469"/>
    <w:rsid w:val="25972DB8"/>
    <w:rsid w:val="259A75DB"/>
    <w:rsid w:val="259B3353"/>
    <w:rsid w:val="259E368A"/>
    <w:rsid w:val="25A22934"/>
    <w:rsid w:val="25A27BFE"/>
    <w:rsid w:val="25A71CF8"/>
    <w:rsid w:val="25A82F5B"/>
    <w:rsid w:val="25A8619C"/>
    <w:rsid w:val="25A93CC2"/>
    <w:rsid w:val="25A958B5"/>
    <w:rsid w:val="25AD37B3"/>
    <w:rsid w:val="25AE3087"/>
    <w:rsid w:val="25B06DFF"/>
    <w:rsid w:val="25B12B77"/>
    <w:rsid w:val="25B33753"/>
    <w:rsid w:val="25B34B41"/>
    <w:rsid w:val="25B53E66"/>
    <w:rsid w:val="25B83F05"/>
    <w:rsid w:val="25BC39F6"/>
    <w:rsid w:val="25BD151C"/>
    <w:rsid w:val="25BD32CA"/>
    <w:rsid w:val="25BF5294"/>
    <w:rsid w:val="25C603D0"/>
    <w:rsid w:val="25C94FEF"/>
    <w:rsid w:val="25CB1E8B"/>
    <w:rsid w:val="25CB3C39"/>
    <w:rsid w:val="25CD5C03"/>
    <w:rsid w:val="25CE3729"/>
    <w:rsid w:val="25D30D3F"/>
    <w:rsid w:val="25D845A8"/>
    <w:rsid w:val="25D86356"/>
    <w:rsid w:val="25DA68FE"/>
    <w:rsid w:val="25DC4098"/>
    <w:rsid w:val="25DC5E46"/>
    <w:rsid w:val="25DD396C"/>
    <w:rsid w:val="25DF1492"/>
    <w:rsid w:val="25DF5936"/>
    <w:rsid w:val="25E1345C"/>
    <w:rsid w:val="25E53A11"/>
    <w:rsid w:val="25E62821"/>
    <w:rsid w:val="25E74FA4"/>
    <w:rsid w:val="25E940BF"/>
    <w:rsid w:val="25EB7E37"/>
    <w:rsid w:val="25F162C6"/>
    <w:rsid w:val="25F20168"/>
    <w:rsid w:val="25F27417"/>
    <w:rsid w:val="25F413E1"/>
    <w:rsid w:val="25F52A64"/>
    <w:rsid w:val="25F767DC"/>
    <w:rsid w:val="25F94A58"/>
    <w:rsid w:val="260158AC"/>
    <w:rsid w:val="26025181"/>
    <w:rsid w:val="2604539D"/>
    <w:rsid w:val="26061115"/>
    <w:rsid w:val="260704EC"/>
    <w:rsid w:val="26086C3B"/>
    <w:rsid w:val="26094761"/>
    <w:rsid w:val="260A429C"/>
    <w:rsid w:val="260A59DD"/>
    <w:rsid w:val="260B04D9"/>
    <w:rsid w:val="260D24A3"/>
    <w:rsid w:val="260D5FFF"/>
    <w:rsid w:val="26101F26"/>
    <w:rsid w:val="26136A8F"/>
    <w:rsid w:val="2613738E"/>
    <w:rsid w:val="26157911"/>
    <w:rsid w:val="26166B51"/>
    <w:rsid w:val="26176E7E"/>
    <w:rsid w:val="26192901"/>
    <w:rsid w:val="261C26E6"/>
    <w:rsid w:val="261C6242"/>
    <w:rsid w:val="261C66B1"/>
    <w:rsid w:val="261D1FBA"/>
    <w:rsid w:val="261E151D"/>
    <w:rsid w:val="261E3BA2"/>
    <w:rsid w:val="26215F4F"/>
    <w:rsid w:val="26217CFD"/>
    <w:rsid w:val="262275D1"/>
    <w:rsid w:val="26236584"/>
    <w:rsid w:val="2625613D"/>
    <w:rsid w:val="26282E39"/>
    <w:rsid w:val="262D2C9E"/>
    <w:rsid w:val="262E41C8"/>
    <w:rsid w:val="263146F6"/>
    <w:rsid w:val="26321F0A"/>
    <w:rsid w:val="26325A66"/>
    <w:rsid w:val="2636356A"/>
    <w:rsid w:val="2637307C"/>
    <w:rsid w:val="26396DF4"/>
    <w:rsid w:val="263A2B6C"/>
    <w:rsid w:val="263C0693"/>
    <w:rsid w:val="263F63D5"/>
    <w:rsid w:val="2640518B"/>
    <w:rsid w:val="26405AAC"/>
    <w:rsid w:val="26437C73"/>
    <w:rsid w:val="26461511"/>
    <w:rsid w:val="264659B5"/>
    <w:rsid w:val="26487037"/>
    <w:rsid w:val="264968C9"/>
    <w:rsid w:val="264B2FCC"/>
    <w:rsid w:val="264D0AF2"/>
    <w:rsid w:val="264E2C81"/>
    <w:rsid w:val="264F6618"/>
    <w:rsid w:val="264F6A06"/>
    <w:rsid w:val="26502390"/>
    <w:rsid w:val="2652435A"/>
    <w:rsid w:val="265359DC"/>
    <w:rsid w:val="26535C4F"/>
    <w:rsid w:val="265505E9"/>
    <w:rsid w:val="26571970"/>
    <w:rsid w:val="26593CB2"/>
    <w:rsid w:val="265A7B82"/>
    <w:rsid w:val="265C0D35"/>
    <w:rsid w:val="265F25D3"/>
    <w:rsid w:val="265F3C06"/>
    <w:rsid w:val="26600825"/>
    <w:rsid w:val="2661459D"/>
    <w:rsid w:val="266A1AC6"/>
    <w:rsid w:val="266A3452"/>
    <w:rsid w:val="266D4CF0"/>
    <w:rsid w:val="266F2816"/>
    <w:rsid w:val="267047E0"/>
    <w:rsid w:val="26720558"/>
    <w:rsid w:val="267267AA"/>
    <w:rsid w:val="267270A9"/>
    <w:rsid w:val="2674607E"/>
    <w:rsid w:val="26775B6F"/>
    <w:rsid w:val="26797B39"/>
    <w:rsid w:val="267A740D"/>
    <w:rsid w:val="267C1242"/>
    <w:rsid w:val="267C13D7"/>
    <w:rsid w:val="267E514F"/>
    <w:rsid w:val="26802C75"/>
    <w:rsid w:val="26806A2A"/>
    <w:rsid w:val="268418C0"/>
    <w:rsid w:val="2685028B"/>
    <w:rsid w:val="2685203A"/>
    <w:rsid w:val="268564DD"/>
    <w:rsid w:val="2685748B"/>
    <w:rsid w:val="268838D8"/>
    <w:rsid w:val="268C786C"/>
    <w:rsid w:val="268D0EEE"/>
    <w:rsid w:val="268F110A"/>
    <w:rsid w:val="268F69D3"/>
    <w:rsid w:val="26902A34"/>
    <w:rsid w:val="26914E82"/>
    <w:rsid w:val="26920BFA"/>
    <w:rsid w:val="26925354"/>
    <w:rsid w:val="26946721"/>
    <w:rsid w:val="26955618"/>
    <w:rsid w:val="26997893"/>
    <w:rsid w:val="269B7AAF"/>
    <w:rsid w:val="269C3827"/>
    <w:rsid w:val="269F1099"/>
    <w:rsid w:val="26A050C5"/>
    <w:rsid w:val="26A1499A"/>
    <w:rsid w:val="26A16E16"/>
    <w:rsid w:val="26A30712"/>
    <w:rsid w:val="26A30EAA"/>
    <w:rsid w:val="26A34BB6"/>
    <w:rsid w:val="26A36964"/>
    <w:rsid w:val="26A46896"/>
    <w:rsid w:val="26A5092E"/>
    <w:rsid w:val="26A526DC"/>
    <w:rsid w:val="26A5448A"/>
    <w:rsid w:val="26A60202"/>
    <w:rsid w:val="26A61FB0"/>
    <w:rsid w:val="26A8388C"/>
    <w:rsid w:val="26AA7CF2"/>
    <w:rsid w:val="26AD333E"/>
    <w:rsid w:val="26AF2076"/>
    <w:rsid w:val="26B05C85"/>
    <w:rsid w:val="26B17556"/>
    <w:rsid w:val="26B40B71"/>
    <w:rsid w:val="26B80661"/>
    <w:rsid w:val="26B97F35"/>
    <w:rsid w:val="26BB16C9"/>
    <w:rsid w:val="26BC17D3"/>
    <w:rsid w:val="26BC20B1"/>
    <w:rsid w:val="26C1503C"/>
    <w:rsid w:val="26C25169"/>
    <w:rsid w:val="26C37006"/>
    <w:rsid w:val="26C51673"/>
    <w:rsid w:val="26C52DB4"/>
    <w:rsid w:val="26C568DA"/>
    <w:rsid w:val="26C708A4"/>
    <w:rsid w:val="26C756D4"/>
    <w:rsid w:val="26C863CA"/>
    <w:rsid w:val="26CB1A16"/>
    <w:rsid w:val="26CC7C68"/>
    <w:rsid w:val="26CD2F54"/>
    <w:rsid w:val="26CF3E66"/>
    <w:rsid w:val="26D0702D"/>
    <w:rsid w:val="26D1527F"/>
    <w:rsid w:val="26D62895"/>
    <w:rsid w:val="26D7485F"/>
    <w:rsid w:val="26DB434F"/>
    <w:rsid w:val="26DC3C24"/>
    <w:rsid w:val="26DE174A"/>
    <w:rsid w:val="26DE5BEE"/>
    <w:rsid w:val="26DE799C"/>
    <w:rsid w:val="26E1123A"/>
    <w:rsid w:val="26E256DE"/>
    <w:rsid w:val="26E31456"/>
    <w:rsid w:val="26E36D60"/>
    <w:rsid w:val="26E66850"/>
    <w:rsid w:val="26E72CF4"/>
    <w:rsid w:val="26E871A9"/>
    <w:rsid w:val="26EA00EF"/>
    <w:rsid w:val="26ED5E31"/>
    <w:rsid w:val="26F251F5"/>
    <w:rsid w:val="26F306F6"/>
    <w:rsid w:val="26F31699"/>
    <w:rsid w:val="26F567D0"/>
    <w:rsid w:val="26F61189"/>
    <w:rsid w:val="26F7280B"/>
    <w:rsid w:val="26FD2518"/>
    <w:rsid w:val="26FD42C6"/>
    <w:rsid w:val="26FD6EE4"/>
    <w:rsid w:val="26FE3B9A"/>
    <w:rsid w:val="27007912"/>
    <w:rsid w:val="2702368A"/>
    <w:rsid w:val="270311B0"/>
    <w:rsid w:val="27032260"/>
    <w:rsid w:val="27037402"/>
    <w:rsid w:val="270513CC"/>
    <w:rsid w:val="27070CA1"/>
    <w:rsid w:val="27072B67"/>
    <w:rsid w:val="27082C6B"/>
    <w:rsid w:val="27090EBD"/>
    <w:rsid w:val="270A6688"/>
    <w:rsid w:val="270C4509"/>
    <w:rsid w:val="270C62B7"/>
    <w:rsid w:val="270D202F"/>
    <w:rsid w:val="270E64D3"/>
    <w:rsid w:val="270F023A"/>
    <w:rsid w:val="270F224B"/>
    <w:rsid w:val="270F3FF9"/>
    <w:rsid w:val="27123454"/>
    <w:rsid w:val="27135897"/>
    <w:rsid w:val="27165388"/>
    <w:rsid w:val="27183AEC"/>
    <w:rsid w:val="271909D4"/>
    <w:rsid w:val="271C2272"/>
    <w:rsid w:val="271E5FEA"/>
    <w:rsid w:val="2720227E"/>
    <w:rsid w:val="27206206"/>
    <w:rsid w:val="27207FB4"/>
    <w:rsid w:val="27226506"/>
    <w:rsid w:val="27247539"/>
    <w:rsid w:val="27247AA4"/>
    <w:rsid w:val="2725381D"/>
    <w:rsid w:val="27286E69"/>
    <w:rsid w:val="272A0E33"/>
    <w:rsid w:val="272C6959"/>
    <w:rsid w:val="272E0923"/>
    <w:rsid w:val="27313F6F"/>
    <w:rsid w:val="27315D1D"/>
    <w:rsid w:val="27335F39"/>
    <w:rsid w:val="2734580E"/>
    <w:rsid w:val="273A72C8"/>
    <w:rsid w:val="273B094A"/>
    <w:rsid w:val="273C51E1"/>
    <w:rsid w:val="27400656"/>
    <w:rsid w:val="27402CF7"/>
    <w:rsid w:val="27421CD9"/>
    <w:rsid w:val="27455C6D"/>
    <w:rsid w:val="27457A75"/>
    <w:rsid w:val="27475541"/>
    <w:rsid w:val="274912B9"/>
    <w:rsid w:val="2749750B"/>
    <w:rsid w:val="274A3283"/>
    <w:rsid w:val="274A5031"/>
    <w:rsid w:val="274C6FFB"/>
    <w:rsid w:val="274F0899"/>
    <w:rsid w:val="274F2647"/>
    <w:rsid w:val="27513C7C"/>
    <w:rsid w:val="27514612"/>
    <w:rsid w:val="27541A0C"/>
    <w:rsid w:val="275639D6"/>
    <w:rsid w:val="275814FC"/>
    <w:rsid w:val="27587902"/>
    <w:rsid w:val="275A1718"/>
    <w:rsid w:val="275D4D64"/>
    <w:rsid w:val="275D6B12"/>
    <w:rsid w:val="275E288B"/>
    <w:rsid w:val="275F0ADD"/>
    <w:rsid w:val="2762237B"/>
    <w:rsid w:val="27652727"/>
    <w:rsid w:val="27653C19"/>
    <w:rsid w:val="276854B7"/>
    <w:rsid w:val="276A4018"/>
    <w:rsid w:val="276C4FA7"/>
    <w:rsid w:val="276E0D20"/>
    <w:rsid w:val="276E51C4"/>
    <w:rsid w:val="276E6F72"/>
    <w:rsid w:val="277125BE"/>
    <w:rsid w:val="27715FC1"/>
    <w:rsid w:val="277420AE"/>
    <w:rsid w:val="27787DF0"/>
    <w:rsid w:val="27795CAF"/>
    <w:rsid w:val="277976C4"/>
    <w:rsid w:val="277F6CFA"/>
    <w:rsid w:val="27802801"/>
    <w:rsid w:val="27814EF7"/>
    <w:rsid w:val="278372AB"/>
    <w:rsid w:val="27856069"/>
    <w:rsid w:val="2786250D"/>
    <w:rsid w:val="27897907"/>
    <w:rsid w:val="278A3680"/>
    <w:rsid w:val="278E13C2"/>
    <w:rsid w:val="278E3170"/>
    <w:rsid w:val="278E4F1E"/>
    <w:rsid w:val="278F0C96"/>
    <w:rsid w:val="2790513A"/>
    <w:rsid w:val="27936015"/>
    <w:rsid w:val="27952750"/>
    <w:rsid w:val="279544FE"/>
    <w:rsid w:val="27963AF1"/>
    <w:rsid w:val="279664C8"/>
    <w:rsid w:val="27985D9D"/>
    <w:rsid w:val="27992472"/>
    <w:rsid w:val="279E2283"/>
    <w:rsid w:val="279F537D"/>
    <w:rsid w:val="279F712B"/>
    <w:rsid w:val="27A04BA3"/>
    <w:rsid w:val="27A110F5"/>
    <w:rsid w:val="27A209C9"/>
    <w:rsid w:val="27A56E47"/>
    <w:rsid w:val="27A72484"/>
    <w:rsid w:val="27A72C93"/>
    <w:rsid w:val="27A85C4A"/>
    <w:rsid w:val="27A91D58"/>
    <w:rsid w:val="27A93FC4"/>
    <w:rsid w:val="27A961FC"/>
    <w:rsid w:val="27AB1F74"/>
    <w:rsid w:val="27AB4887"/>
    <w:rsid w:val="27AC1848"/>
    <w:rsid w:val="27AC5CEC"/>
    <w:rsid w:val="27AC7A9A"/>
    <w:rsid w:val="27AF30E6"/>
    <w:rsid w:val="27B150B0"/>
    <w:rsid w:val="27B23302"/>
    <w:rsid w:val="27B33019"/>
    <w:rsid w:val="27B339FC"/>
    <w:rsid w:val="27B506FD"/>
    <w:rsid w:val="27B54BA0"/>
    <w:rsid w:val="27B626C7"/>
    <w:rsid w:val="27B801ED"/>
    <w:rsid w:val="27B8643F"/>
    <w:rsid w:val="27BB05AE"/>
    <w:rsid w:val="27BB7CDD"/>
    <w:rsid w:val="27BD5803"/>
    <w:rsid w:val="27BF157B"/>
    <w:rsid w:val="27BF77CD"/>
    <w:rsid w:val="27C3219D"/>
    <w:rsid w:val="27C76682"/>
    <w:rsid w:val="27CA7E10"/>
    <w:rsid w:val="27CB43C4"/>
    <w:rsid w:val="27D03788"/>
    <w:rsid w:val="27D52B4D"/>
    <w:rsid w:val="27D56FF1"/>
    <w:rsid w:val="27D75B9B"/>
    <w:rsid w:val="27DA63B5"/>
    <w:rsid w:val="27DB3EDB"/>
    <w:rsid w:val="27DD5D98"/>
    <w:rsid w:val="27DD7C53"/>
    <w:rsid w:val="27E11869"/>
    <w:rsid w:val="27E15995"/>
    <w:rsid w:val="27E17743"/>
    <w:rsid w:val="27E45486"/>
    <w:rsid w:val="27E47234"/>
    <w:rsid w:val="27E64DFD"/>
    <w:rsid w:val="27E70AD2"/>
    <w:rsid w:val="27E81C58"/>
    <w:rsid w:val="27E873F7"/>
    <w:rsid w:val="27E965F8"/>
    <w:rsid w:val="27EB2370"/>
    <w:rsid w:val="27EC60E8"/>
    <w:rsid w:val="27ED433A"/>
    <w:rsid w:val="27ED463A"/>
    <w:rsid w:val="27EE3C0E"/>
    <w:rsid w:val="27F136FF"/>
    <w:rsid w:val="27F219B8"/>
    <w:rsid w:val="27F31225"/>
    <w:rsid w:val="27F531EF"/>
    <w:rsid w:val="27FA25B3"/>
    <w:rsid w:val="27FA6A57"/>
    <w:rsid w:val="27FC27CF"/>
    <w:rsid w:val="27FC457D"/>
    <w:rsid w:val="27FD02F5"/>
    <w:rsid w:val="27FD20A3"/>
    <w:rsid w:val="27FE6547"/>
    <w:rsid w:val="27FF372E"/>
    <w:rsid w:val="27FF7BCA"/>
    <w:rsid w:val="28043432"/>
    <w:rsid w:val="28074CD0"/>
    <w:rsid w:val="28081174"/>
    <w:rsid w:val="28090A48"/>
    <w:rsid w:val="280926D2"/>
    <w:rsid w:val="28096C9A"/>
    <w:rsid w:val="280B47C0"/>
    <w:rsid w:val="280B656E"/>
    <w:rsid w:val="280E2503"/>
    <w:rsid w:val="280E3973"/>
    <w:rsid w:val="280E3B12"/>
    <w:rsid w:val="280E605F"/>
    <w:rsid w:val="28117106"/>
    <w:rsid w:val="281251A6"/>
    <w:rsid w:val="281318C7"/>
    <w:rsid w:val="28133675"/>
    <w:rsid w:val="28164F13"/>
    <w:rsid w:val="28180C8B"/>
    <w:rsid w:val="2818512F"/>
    <w:rsid w:val="28186EDD"/>
    <w:rsid w:val="281A0EA7"/>
    <w:rsid w:val="281F026C"/>
    <w:rsid w:val="28201A72"/>
    <w:rsid w:val="28221B0A"/>
    <w:rsid w:val="28223279"/>
    <w:rsid w:val="28235FAE"/>
    <w:rsid w:val="28245882"/>
    <w:rsid w:val="282633A8"/>
    <w:rsid w:val="28285372"/>
    <w:rsid w:val="2829733C"/>
    <w:rsid w:val="282C4737"/>
    <w:rsid w:val="282C777F"/>
    <w:rsid w:val="282D0BDB"/>
    <w:rsid w:val="282F0239"/>
    <w:rsid w:val="28305FD5"/>
    <w:rsid w:val="28306FBE"/>
    <w:rsid w:val="28327F9F"/>
    <w:rsid w:val="28333D17"/>
    <w:rsid w:val="28370064"/>
    <w:rsid w:val="28373807"/>
    <w:rsid w:val="28375750"/>
    <w:rsid w:val="28395C86"/>
    <w:rsid w:val="283F090E"/>
    <w:rsid w:val="283F46DC"/>
    <w:rsid w:val="28414686"/>
    <w:rsid w:val="28433CF3"/>
    <w:rsid w:val="28442F27"/>
    <w:rsid w:val="284877C3"/>
    <w:rsid w:val="284952E9"/>
    <w:rsid w:val="284B2E0F"/>
    <w:rsid w:val="285070E1"/>
    <w:rsid w:val="2852419D"/>
    <w:rsid w:val="285252EB"/>
    <w:rsid w:val="28537F15"/>
    <w:rsid w:val="28551EE0"/>
    <w:rsid w:val="285717B4"/>
    <w:rsid w:val="28595F19"/>
    <w:rsid w:val="285A5748"/>
    <w:rsid w:val="285C326E"/>
    <w:rsid w:val="285D2B42"/>
    <w:rsid w:val="285F27BE"/>
    <w:rsid w:val="285F68BA"/>
    <w:rsid w:val="28612632"/>
    <w:rsid w:val="28620159"/>
    <w:rsid w:val="286345FC"/>
    <w:rsid w:val="28642123"/>
    <w:rsid w:val="2864476D"/>
    <w:rsid w:val="28650375"/>
    <w:rsid w:val="2867051D"/>
    <w:rsid w:val="28681C13"/>
    <w:rsid w:val="286839C1"/>
    <w:rsid w:val="286A598B"/>
    <w:rsid w:val="28702875"/>
    <w:rsid w:val="28706D19"/>
    <w:rsid w:val="287405B8"/>
    <w:rsid w:val="28754330"/>
    <w:rsid w:val="287556F2"/>
    <w:rsid w:val="28757E8C"/>
    <w:rsid w:val="28760EC1"/>
    <w:rsid w:val="28773C04"/>
    <w:rsid w:val="28795BCE"/>
    <w:rsid w:val="287C56BE"/>
    <w:rsid w:val="287C746C"/>
    <w:rsid w:val="287E1436"/>
    <w:rsid w:val="287E31E4"/>
    <w:rsid w:val="287F0D0A"/>
    <w:rsid w:val="28810F26"/>
    <w:rsid w:val="288307FB"/>
    <w:rsid w:val="288602EB"/>
    <w:rsid w:val="2886653D"/>
    <w:rsid w:val="28885E11"/>
    <w:rsid w:val="288B3B53"/>
    <w:rsid w:val="288D4E09"/>
    <w:rsid w:val="288D78CB"/>
    <w:rsid w:val="288E4516"/>
    <w:rsid w:val="28902F18"/>
    <w:rsid w:val="28942A08"/>
    <w:rsid w:val="289541BF"/>
    <w:rsid w:val="28956780"/>
    <w:rsid w:val="2899001E"/>
    <w:rsid w:val="28996270"/>
    <w:rsid w:val="289A5B44"/>
    <w:rsid w:val="289C18BC"/>
    <w:rsid w:val="289E0A26"/>
    <w:rsid w:val="289F315B"/>
    <w:rsid w:val="28A075FF"/>
    <w:rsid w:val="28A15125"/>
    <w:rsid w:val="28A32C4B"/>
    <w:rsid w:val="28A349F9"/>
    <w:rsid w:val="28A644E9"/>
    <w:rsid w:val="28A721D0"/>
    <w:rsid w:val="28A759AF"/>
    <w:rsid w:val="28A76BA9"/>
    <w:rsid w:val="28A80261"/>
    <w:rsid w:val="28A8200F"/>
    <w:rsid w:val="28AA222B"/>
    <w:rsid w:val="28AB7D51"/>
    <w:rsid w:val="28AD1D1C"/>
    <w:rsid w:val="28AF339E"/>
    <w:rsid w:val="28B135BA"/>
    <w:rsid w:val="28B27332"/>
    <w:rsid w:val="28B430AA"/>
    <w:rsid w:val="28B46C06"/>
    <w:rsid w:val="28B60BD0"/>
    <w:rsid w:val="28B704A4"/>
    <w:rsid w:val="28B766F6"/>
    <w:rsid w:val="28B906C0"/>
    <w:rsid w:val="28B9421C"/>
    <w:rsid w:val="28BB61E6"/>
    <w:rsid w:val="28BC1F5F"/>
    <w:rsid w:val="28BF64DE"/>
    <w:rsid w:val="28C17575"/>
    <w:rsid w:val="28C64B8B"/>
    <w:rsid w:val="28C72DDD"/>
    <w:rsid w:val="28C826B1"/>
    <w:rsid w:val="28C8445F"/>
    <w:rsid w:val="28CA391A"/>
    <w:rsid w:val="28CB3F50"/>
    <w:rsid w:val="28CD1A76"/>
    <w:rsid w:val="28CF3A40"/>
    <w:rsid w:val="28CF6AD6"/>
    <w:rsid w:val="28D15A0A"/>
    <w:rsid w:val="28D177B8"/>
    <w:rsid w:val="28D21782"/>
    <w:rsid w:val="28D24C7D"/>
    <w:rsid w:val="28D41056"/>
    <w:rsid w:val="28D42E04"/>
    <w:rsid w:val="28D50A2D"/>
    <w:rsid w:val="28D60F31"/>
    <w:rsid w:val="28D7334D"/>
    <w:rsid w:val="28D948BF"/>
    <w:rsid w:val="28DA2C63"/>
    <w:rsid w:val="28DA340F"/>
    <w:rsid w:val="28DB5305"/>
    <w:rsid w:val="28DC615D"/>
    <w:rsid w:val="28DC7F0B"/>
    <w:rsid w:val="28DD50EC"/>
    <w:rsid w:val="28DE1ED5"/>
    <w:rsid w:val="28E079FB"/>
    <w:rsid w:val="28E13773"/>
    <w:rsid w:val="28E219C5"/>
    <w:rsid w:val="28E3573D"/>
    <w:rsid w:val="28E53263"/>
    <w:rsid w:val="28E60D8A"/>
    <w:rsid w:val="28E62B38"/>
    <w:rsid w:val="28E84B02"/>
    <w:rsid w:val="28E91F8D"/>
    <w:rsid w:val="28EA2628"/>
    <w:rsid w:val="28EB63A0"/>
    <w:rsid w:val="28ED61D9"/>
    <w:rsid w:val="28EF40E2"/>
    <w:rsid w:val="28F0260F"/>
    <w:rsid w:val="28F039B6"/>
    <w:rsid w:val="28F11C08"/>
    <w:rsid w:val="28F17E5A"/>
    <w:rsid w:val="28F34F96"/>
    <w:rsid w:val="28F65471"/>
    <w:rsid w:val="28F6721F"/>
    <w:rsid w:val="28FB4835"/>
    <w:rsid w:val="28FB65E3"/>
    <w:rsid w:val="29017971"/>
    <w:rsid w:val="2902118B"/>
    <w:rsid w:val="29044F3B"/>
    <w:rsid w:val="29057462"/>
    <w:rsid w:val="290A0F1C"/>
    <w:rsid w:val="290A4A78"/>
    <w:rsid w:val="290D4568"/>
    <w:rsid w:val="290F208E"/>
    <w:rsid w:val="290F6532"/>
    <w:rsid w:val="29114058"/>
    <w:rsid w:val="2912392D"/>
    <w:rsid w:val="291335A0"/>
    <w:rsid w:val="2916166F"/>
    <w:rsid w:val="29183639"/>
    <w:rsid w:val="2919115F"/>
    <w:rsid w:val="291D0CF0"/>
    <w:rsid w:val="291D29FD"/>
    <w:rsid w:val="291E49C7"/>
    <w:rsid w:val="2920604A"/>
    <w:rsid w:val="29231FDE"/>
    <w:rsid w:val="29233D8C"/>
    <w:rsid w:val="29235B3A"/>
    <w:rsid w:val="29250768"/>
    <w:rsid w:val="292673D8"/>
    <w:rsid w:val="2927562A"/>
    <w:rsid w:val="292813A2"/>
    <w:rsid w:val="292957C6"/>
    <w:rsid w:val="292A511A"/>
    <w:rsid w:val="292D0766"/>
    <w:rsid w:val="292D69B8"/>
    <w:rsid w:val="292F44DF"/>
    <w:rsid w:val="29323FCF"/>
    <w:rsid w:val="29325D7D"/>
    <w:rsid w:val="29341AF5"/>
    <w:rsid w:val="293428D9"/>
    <w:rsid w:val="2936693A"/>
    <w:rsid w:val="29387837"/>
    <w:rsid w:val="293B2E83"/>
    <w:rsid w:val="2940049A"/>
    <w:rsid w:val="29400E7C"/>
    <w:rsid w:val="29400F3F"/>
    <w:rsid w:val="29402DC1"/>
    <w:rsid w:val="294066EC"/>
    <w:rsid w:val="29422464"/>
    <w:rsid w:val="2943636D"/>
    <w:rsid w:val="2945385E"/>
    <w:rsid w:val="29475CCC"/>
    <w:rsid w:val="29477A7A"/>
    <w:rsid w:val="294A1318"/>
    <w:rsid w:val="294A30C6"/>
    <w:rsid w:val="294B2B08"/>
    <w:rsid w:val="294E4BC1"/>
    <w:rsid w:val="295020B2"/>
    <w:rsid w:val="2953641F"/>
    <w:rsid w:val="29542197"/>
    <w:rsid w:val="29564161"/>
    <w:rsid w:val="29575C73"/>
    <w:rsid w:val="29585E62"/>
    <w:rsid w:val="295B0DF0"/>
    <w:rsid w:val="295E35EE"/>
    <w:rsid w:val="295E5B46"/>
    <w:rsid w:val="295F5080"/>
    <w:rsid w:val="29600B3C"/>
    <w:rsid w:val="2960326E"/>
    <w:rsid w:val="29626662"/>
    <w:rsid w:val="29634188"/>
    <w:rsid w:val="2964062C"/>
    <w:rsid w:val="29652E48"/>
    <w:rsid w:val="296543A4"/>
    <w:rsid w:val="29656152"/>
    <w:rsid w:val="296A09E4"/>
    <w:rsid w:val="296A5517"/>
    <w:rsid w:val="296C128F"/>
    <w:rsid w:val="296C5733"/>
    <w:rsid w:val="296D5007"/>
    <w:rsid w:val="296E3259"/>
    <w:rsid w:val="296F6ACB"/>
    <w:rsid w:val="2973261D"/>
    <w:rsid w:val="29746395"/>
    <w:rsid w:val="297468DC"/>
    <w:rsid w:val="297511FC"/>
    <w:rsid w:val="297A7E50"/>
    <w:rsid w:val="297E7214"/>
    <w:rsid w:val="297F5466"/>
    <w:rsid w:val="298365D8"/>
    <w:rsid w:val="2984482A"/>
    <w:rsid w:val="29883BEF"/>
    <w:rsid w:val="29891E41"/>
    <w:rsid w:val="298F1421"/>
    <w:rsid w:val="29930F11"/>
    <w:rsid w:val="29932CBF"/>
    <w:rsid w:val="2996455E"/>
    <w:rsid w:val="299802D6"/>
    <w:rsid w:val="29982084"/>
    <w:rsid w:val="29995DFC"/>
    <w:rsid w:val="299A404E"/>
    <w:rsid w:val="299B1B74"/>
    <w:rsid w:val="299C6C5C"/>
    <w:rsid w:val="299D58EC"/>
    <w:rsid w:val="299F1664"/>
    <w:rsid w:val="299F4469"/>
    <w:rsid w:val="29A06F29"/>
    <w:rsid w:val="29A2195A"/>
    <w:rsid w:val="29A46C7B"/>
    <w:rsid w:val="29A70519"/>
    <w:rsid w:val="29A749BD"/>
    <w:rsid w:val="29A96C5C"/>
    <w:rsid w:val="29AB1DDA"/>
    <w:rsid w:val="29AC1FD3"/>
    <w:rsid w:val="29AC3D81"/>
    <w:rsid w:val="29AC5B2F"/>
    <w:rsid w:val="29AE5D4B"/>
    <w:rsid w:val="29AF561F"/>
    <w:rsid w:val="29B11398"/>
    <w:rsid w:val="29B35110"/>
    <w:rsid w:val="29B36EBE"/>
    <w:rsid w:val="29B42C36"/>
    <w:rsid w:val="29B57DD0"/>
    <w:rsid w:val="29B6075C"/>
    <w:rsid w:val="29B844D4"/>
    <w:rsid w:val="29B9024C"/>
    <w:rsid w:val="29BA649E"/>
    <w:rsid w:val="29BB2216"/>
    <w:rsid w:val="29BB5D72"/>
    <w:rsid w:val="29BD6562"/>
    <w:rsid w:val="29BD7D3C"/>
    <w:rsid w:val="29C015DB"/>
    <w:rsid w:val="29C27101"/>
    <w:rsid w:val="29C42123"/>
    <w:rsid w:val="29C42E79"/>
    <w:rsid w:val="29C56184"/>
    <w:rsid w:val="29C747FF"/>
    <w:rsid w:val="29C76681"/>
    <w:rsid w:val="29CA0B66"/>
    <w:rsid w:val="29CA4207"/>
    <w:rsid w:val="29CA5442"/>
    <w:rsid w:val="29CB06AB"/>
    <w:rsid w:val="29CB1FF6"/>
    <w:rsid w:val="29CE3CF8"/>
    <w:rsid w:val="29CE5AA6"/>
    <w:rsid w:val="29D05CC2"/>
    <w:rsid w:val="29D137E8"/>
    <w:rsid w:val="29D46E34"/>
    <w:rsid w:val="29D532D8"/>
    <w:rsid w:val="29D55086"/>
    <w:rsid w:val="29D84B76"/>
    <w:rsid w:val="29D86924"/>
    <w:rsid w:val="29DB01C2"/>
    <w:rsid w:val="29DB4666"/>
    <w:rsid w:val="29E057D9"/>
    <w:rsid w:val="29E17ECF"/>
    <w:rsid w:val="29E277A3"/>
    <w:rsid w:val="29E4351B"/>
    <w:rsid w:val="29E76B67"/>
    <w:rsid w:val="29E8151E"/>
    <w:rsid w:val="29EC0622"/>
    <w:rsid w:val="29EE439A"/>
    <w:rsid w:val="29F23E8A"/>
    <w:rsid w:val="29F37C02"/>
    <w:rsid w:val="29F55728"/>
    <w:rsid w:val="29F714A0"/>
    <w:rsid w:val="29F766E0"/>
    <w:rsid w:val="29F86FC6"/>
    <w:rsid w:val="29FA2D3E"/>
    <w:rsid w:val="29FD4568"/>
    <w:rsid w:val="29FD45DD"/>
    <w:rsid w:val="29FD4993"/>
    <w:rsid w:val="2A007C29"/>
    <w:rsid w:val="2A043BBD"/>
    <w:rsid w:val="2A04596B"/>
    <w:rsid w:val="2A047719"/>
    <w:rsid w:val="2A0873C7"/>
    <w:rsid w:val="2A0911D4"/>
    <w:rsid w:val="2A0D0D54"/>
    <w:rsid w:val="2A0D77DE"/>
    <w:rsid w:val="2A0E0598"/>
    <w:rsid w:val="2A111BBA"/>
    <w:rsid w:val="2A12478B"/>
    <w:rsid w:val="2A1262DA"/>
    <w:rsid w:val="2A135BAE"/>
    <w:rsid w:val="2A16459C"/>
    <w:rsid w:val="2A16744D"/>
    <w:rsid w:val="2A187669"/>
    <w:rsid w:val="2A1950EC"/>
    <w:rsid w:val="2A195D0F"/>
    <w:rsid w:val="2A1A0CEB"/>
    <w:rsid w:val="2A1B4A63"/>
    <w:rsid w:val="2A1C0F07"/>
    <w:rsid w:val="2A1C1DE6"/>
    <w:rsid w:val="2A1C2CB5"/>
    <w:rsid w:val="2A1D07DB"/>
    <w:rsid w:val="2A1D4C7F"/>
    <w:rsid w:val="2A1E2D2D"/>
    <w:rsid w:val="2A1E3DA8"/>
    <w:rsid w:val="2A1F4553"/>
    <w:rsid w:val="2A20564D"/>
    <w:rsid w:val="2A21651D"/>
    <w:rsid w:val="2A222295"/>
    <w:rsid w:val="2A225DF1"/>
    <w:rsid w:val="2A257690"/>
    <w:rsid w:val="2A27165A"/>
    <w:rsid w:val="2A2878AC"/>
    <w:rsid w:val="2A293624"/>
    <w:rsid w:val="2A2D4EC2"/>
    <w:rsid w:val="2A2E4796"/>
    <w:rsid w:val="2A3049B2"/>
    <w:rsid w:val="2A306760"/>
    <w:rsid w:val="2A322633"/>
    <w:rsid w:val="2A355B25"/>
    <w:rsid w:val="2A375D41"/>
    <w:rsid w:val="2A383867"/>
    <w:rsid w:val="2A385615"/>
    <w:rsid w:val="2A391AB9"/>
    <w:rsid w:val="2A3A0DC5"/>
    <w:rsid w:val="2A3C3357"/>
    <w:rsid w:val="2A3F69A3"/>
    <w:rsid w:val="2A44220C"/>
    <w:rsid w:val="2A4541AF"/>
    <w:rsid w:val="2A465F84"/>
    <w:rsid w:val="2A481CFC"/>
    <w:rsid w:val="2A4915D0"/>
    <w:rsid w:val="2A510485"/>
    <w:rsid w:val="2A5306A1"/>
    <w:rsid w:val="2A570191"/>
    <w:rsid w:val="2A587A65"/>
    <w:rsid w:val="2A5A558B"/>
    <w:rsid w:val="2A5D507B"/>
    <w:rsid w:val="2A5D55EF"/>
    <w:rsid w:val="2A5E32AB"/>
    <w:rsid w:val="2A612DBE"/>
    <w:rsid w:val="2A614B6C"/>
    <w:rsid w:val="2A636B36"/>
    <w:rsid w:val="2A6401B8"/>
    <w:rsid w:val="2A644032"/>
    <w:rsid w:val="2A64465C"/>
    <w:rsid w:val="2A65743E"/>
    <w:rsid w:val="2A662182"/>
    <w:rsid w:val="2A663F30"/>
    <w:rsid w:val="2A677CA8"/>
    <w:rsid w:val="2A6813DA"/>
    <w:rsid w:val="2A68414C"/>
    <w:rsid w:val="2A691C72"/>
    <w:rsid w:val="2A6A7EA4"/>
    <w:rsid w:val="2A6B1546"/>
    <w:rsid w:val="2A6B720A"/>
    <w:rsid w:val="2A6B7798"/>
    <w:rsid w:val="2A6E1037"/>
    <w:rsid w:val="2A6E7289"/>
    <w:rsid w:val="2A6F36D4"/>
    <w:rsid w:val="2A6F5352"/>
    <w:rsid w:val="2A6F54DA"/>
    <w:rsid w:val="2A720B27"/>
    <w:rsid w:val="2A7228D5"/>
    <w:rsid w:val="2A7523C5"/>
    <w:rsid w:val="2A756869"/>
    <w:rsid w:val="2A783C63"/>
    <w:rsid w:val="2A790107"/>
    <w:rsid w:val="2A7A79DB"/>
    <w:rsid w:val="2A7B76E8"/>
    <w:rsid w:val="2A7C19A5"/>
    <w:rsid w:val="2A7E571E"/>
    <w:rsid w:val="2A801530"/>
    <w:rsid w:val="2A81612B"/>
    <w:rsid w:val="2A816FBC"/>
    <w:rsid w:val="2A830F86"/>
    <w:rsid w:val="2A832D34"/>
    <w:rsid w:val="2A84085A"/>
    <w:rsid w:val="2A842608"/>
    <w:rsid w:val="2A8645D2"/>
    <w:rsid w:val="2A88659C"/>
    <w:rsid w:val="2A8940C2"/>
    <w:rsid w:val="2A895E70"/>
    <w:rsid w:val="2A8B1BE9"/>
    <w:rsid w:val="2A8B3997"/>
    <w:rsid w:val="2A8E3487"/>
    <w:rsid w:val="2A8E5B5E"/>
    <w:rsid w:val="2A8F792B"/>
    <w:rsid w:val="2A90047E"/>
    <w:rsid w:val="2A900FAD"/>
    <w:rsid w:val="2A944F41"/>
    <w:rsid w:val="2A952E60"/>
    <w:rsid w:val="2A9552E6"/>
    <w:rsid w:val="2A97058D"/>
    <w:rsid w:val="2A97233B"/>
    <w:rsid w:val="2A984622"/>
    <w:rsid w:val="2A9860B3"/>
    <w:rsid w:val="2A9A62D0"/>
    <w:rsid w:val="2A9C3DF6"/>
    <w:rsid w:val="2A9C5BA4"/>
    <w:rsid w:val="2AA131BA"/>
    <w:rsid w:val="2AA333D6"/>
    <w:rsid w:val="2AA36F32"/>
    <w:rsid w:val="2AA50EFC"/>
    <w:rsid w:val="2AA607D0"/>
    <w:rsid w:val="2AA66A22"/>
    <w:rsid w:val="2AA87434"/>
    <w:rsid w:val="2AA92766"/>
    <w:rsid w:val="2AAC506F"/>
    <w:rsid w:val="2AAC7C57"/>
    <w:rsid w:val="2AAD1900"/>
    <w:rsid w:val="2AAD1B5F"/>
    <w:rsid w:val="2AAE58D7"/>
    <w:rsid w:val="2AB033FD"/>
    <w:rsid w:val="2AB078A1"/>
    <w:rsid w:val="2AB07A68"/>
    <w:rsid w:val="2AB54EB7"/>
    <w:rsid w:val="2AB63109"/>
    <w:rsid w:val="2AB638DA"/>
    <w:rsid w:val="2AB729DE"/>
    <w:rsid w:val="2AB80BBD"/>
    <w:rsid w:val="2AB80DCB"/>
    <w:rsid w:val="2AB949A8"/>
    <w:rsid w:val="2AB96756"/>
    <w:rsid w:val="2ABA5B52"/>
    <w:rsid w:val="2ABA62BC"/>
    <w:rsid w:val="2ABC4498"/>
    <w:rsid w:val="2ABE3D6C"/>
    <w:rsid w:val="2ABF498C"/>
    <w:rsid w:val="2ABF691A"/>
    <w:rsid w:val="2AC1385C"/>
    <w:rsid w:val="2AC2782D"/>
    <w:rsid w:val="2AC82E3D"/>
    <w:rsid w:val="2AC84BEB"/>
    <w:rsid w:val="2AC944BF"/>
    <w:rsid w:val="2ACA0963"/>
    <w:rsid w:val="2ACB46DB"/>
    <w:rsid w:val="2ACB6489"/>
    <w:rsid w:val="2ACD0453"/>
    <w:rsid w:val="2ACD2201"/>
    <w:rsid w:val="2ACF41CB"/>
    <w:rsid w:val="2ACF7D27"/>
    <w:rsid w:val="2AD215C5"/>
    <w:rsid w:val="2AD409FF"/>
    <w:rsid w:val="2AD510B6"/>
    <w:rsid w:val="2AD52E64"/>
    <w:rsid w:val="2AD57DA2"/>
    <w:rsid w:val="2AD73080"/>
    <w:rsid w:val="2AD90BA6"/>
    <w:rsid w:val="2ADB2B70"/>
    <w:rsid w:val="2ADC01C6"/>
    <w:rsid w:val="2ADE440E"/>
    <w:rsid w:val="2ADE7F6A"/>
    <w:rsid w:val="2AE412F9"/>
    <w:rsid w:val="2AE5579D"/>
    <w:rsid w:val="2AE5754B"/>
    <w:rsid w:val="2AE80DE9"/>
    <w:rsid w:val="2AEA4B61"/>
    <w:rsid w:val="2AEB08D9"/>
    <w:rsid w:val="2AEB3C5A"/>
    <w:rsid w:val="2AED28A3"/>
    <w:rsid w:val="2AED63FF"/>
    <w:rsid w:val="2AEF03C9"/>
    <w:rsid w:val="2AF21C68"/>
    <w:rsid w:val="2AF224BA"/>
    <w:rsid w:val="2AF23A16"/>
    <w:rsid w:val="2AF4778E"/>
    <w:rsid w:val="2AF479DB"/>
    <w:rsid w:val="2AF61758"/>
    <w:rsid w:val="2AF7102C"/>
    <w:rsid w:val="2AF94DA4"/>
    <w:rsid w:val="2AFC2AE6"/>
    <w:rsid w:val="2AFD74FF"/>
    <w:rsid w:val="2AFE23BA"/>
    <w:rsid w:val="2AFE685E"/>
    <w:rsid w:val="2B004385"/>
    <w:rsid w:val="2B0100FD"/>
    <w:rsid w:val="2B027310"/>
    <w:rsid w:val="2B044801"/>
    <w:rsid w:val="2B05199B"/>
    <w:rsid w:val="2B08148B"/>
    <w:rsid w:val="2B084FE7"/>
    <w:rsid w:val="2B097498"/>
    <w:rsid w:val="2B0D4CF3"/>
    <w:rsid w:val="2B0E45AA"/>
    <w:rsid w:val="2B0F1914"/>
    <w:rsid w:val="2B0F281A"/>
    <w:rsid w:val="2B0F6376"/>
    <w:rsid w:val="2B1020EE"/>
    <w:rsid w:val="2B163BA8"/>
    <w:rsid w:val="2B184107"/>
    <w:rsid w:val="2B193698"/>
    <w:rsid w:val="2B195446"/>
    <w:rsid w:val="2B1B7CB9"/>
    <w:rsid w:val="2B2160A9"/>
    <w:rsid w:val="2B230073"/>
    <w:rsid w:val="2B253DEB"/>
    <w:rsid w:val="2B255B99"/>
    <w:rsid w:val="2B261911"/>
    <w:rsid w:val="2B277B63"/>
    <w:rsid w:val="2B277B9B"/>
    <w:rsid w:val="2B285689"/>
    <w:rsid w:val="2B287437"/>
    <w:rsid w:val="2B2B6F28"/>
    <w:rsid w:val="2B2C33CC"/>
    <w:rsid w:val="2B2D22CA"/>
    <w:rsid w:val="2B2D7144"/>
    <w:rsid w:val="2B300E7C"/>
    <w:rsid w:val="2B33475A"/>
    <w:rsid w:val="2B34402E"/>
    <w:rsid w:val="2B345DDC"/>
    <w:rsid w:val="2B364ABF"/>
    <w:rsid w:val="2B397896"/>
    <w:rsid w:val="2B3B360F"/>
    <w:rsid w:val="2B3B716B"/>
    <w:rsid w:val="2B3C1135"/>
    <w:rsid w:val="2B3C2EE3"/>
    <w:rsid w:val="2B3D5812"/>
    <w:rsid w:val="2B3E6C5B"/>
    <w:rsid w:val="2B401869"/>
    <w:rsid w:val="2B404781"/>
    <w:rsid w:val="2B42499D"/>
    <w:rsid w:val="2B487ADA"/>
    <w:rsid w:val="2B4A3852"/>
    <w:rsid w:val="2B4D4859"/>
    <w:rsid w:val="2B4F0E68"/>
    <w:rsid w:val="2B4F2C16"/>
    <w:rsid w:val="2B4F5085"/>
    <w:rsid w:val="2B4F70BA"/>
    <w:rsid w:val="2B51626A"/>
    <w:rsid w:val="2B51698E"/>
    <w:rsid w:val="2B532106"/>
    <w:rsid w:val="2B536BB8"/>
    <w:rsid w:val="2B560448"/>
    <w:rsid w:val="2B563FA5"/>
    <w:rsid w:val="2B5B5A5F"/>
    <w:rsid w:val="2B5C5333"/>
    <w:rsid w:val="2B5D3585"/>
    <w:rsid w:val="2B604E23"/>
    <w:rsid w:val="2B612949"/>
    <w:rsid w:val="2B620B9B"/>
    <w:rsid w:val="2B632B65"/>
    <w:rsid w:val="2B65068C"/>
    <w:rsid w:val="2B65243A"/>
    <w:rsid w:val="2B66245D"/>
    <w:rsid w:val="2B6761B2"/>
    <w:rsid w:val="2B681F2A"/>
    <w:rsid w:val="2B6864BE"/>
    <w:rsid w:val="2B6A165E"/>
    <w:rsid w:val="2B6A3EF4"/>
    <w:rsid w:val="2B6A5CA2"/>
    <w:rsid w:val="2B6B40C6"/>
    <w:rsid w:val="2B6C7A10"/>
    <w:rsid w:val="2B6F150A"/>
    <w:rsid w:val="2B6F32B8"/>
    <w:rsid w:val="2B7335D1"/>
    <w:rsid w:val="2B762899"/>
    <w:rsid w:val="2B764647"/>
    <w:rsid w:val="2B7663F5"/>
    <w:rsid w:val="2B7803BF"/>
    <w:rsid w:val="2B797C93"/>
    <w:rsid w:val="2B7B3A0B"/>
    <w:rsid w:val="2B7D7783"/>
    <w:rsid w:val="2B801021"/>
    <w:rsid w:val="2B82123D"/>
    <w:rsid w:val="2B822FEC"/>
    <w:rsid w:val="2B824D9A"/>
    <w:rsid w:val="2B830B12"/>
    <w:rsid w:val="2B867276"/>
    <w:rsid w:val="2B88437A"/>
    <w:rsid w:val="2B8C3E6A"/>
    <w:rsid w:val="2B8C5C18"/>
    <w:rsid w:val="2B8D373E"/>
    <w:rsid w:val="2B8E1990"/>
    <w:rsid w:val="2B8E7BE2"/>
    <w:rsid w:val="2B8F5708"/>
    <w:rsid w:val="2B8F74B6"/>
    <w:rsid w:val="2B9176D3"/>
    <w:rsid w:val="2B9351F9"/>
    <w:rsid w:val="2B942D1F"/>
    <w:rsid w:val="2B944ACD"/>
    <w:rsid w:val="2B964CE9"/>
    <w:rsid w:val="2B97636B"/>
    <w:rsid w:val="2B996587"/>
    <w:rsid w:val="2B9B22FF"/>
    <w:rsid w:val="2B9D27EB"/>
    <w:rsid w:val="2BA2368E"/>
    <w:rsid w:val="2BA2543C"/>
    <w:rsid w:val="2BA47406"/>
    <w:rsid w:val="2BA56CDA"/>
    <w:rsid w:val="2BA70CA4"/>
    <w:rsid w:val="2BA72A52"/>
    <w:rsid w:val="2BA72DA3"/>
    <w:rsid w:val="2BA74800"/>
    <w:rsid w:val="2BAA0794"/>
    <w:rsid w:val="2BAA5CC3"/>
    <w:rsid w:val="2BAC62BA"/>
    <w:rsid w:val="2BAE3DE1"/>
    <w:rsid w:val="2BB138D1"/>
    <w:rsid w:val="2BB221A4"/>
    <w:rsid w:val="2BB331A5"/>
    <w:rsid w:val="2BB46F1D"/>
    <w:rsid w:val="2BB533C1"/>
    <w:rsid w:val="2BB86A0D"/>
    <w:rsid w:val="2BB90E0A"/>
    <w:rsid w:val="2BBB64FD"/>
    <w:rsid w:val="2BBE7D9C"/>
    <w:rsid w:val="2BC41856"/>
    <w:rsid w:val="2BC74EA2"/>
    <w:rsid w:val="2BC76C50"/>
    <w:rsid w:val="2BC96E6C"/>
    <w:rsid w:val="2BCA04EF"/>
    <w:rsid w:val="2BDA4BD6"/>
    <w:rsid w:val="2BDB094E"/>
    <w:rsid w:val="2BDD6474"/>
    <w:rsid w:val="2BDF043E"/>
    <w:rsid w:val="2BE21CDC"/>
    <w:rsid w:val="2BE23A8A"/>
    <w:rsid w:val="2BE27F2E"/>
    <w:rsid w:val="2BE47802"/>
    <w:rsid w:val="2BE51E07"/>
    <w:rsid w:val="2BE710A1"/>
    <w:rsid w:val="2BE75544"/>
    <w:rsid w:val="2BE839B4"/>
    <w:rsid w:val="2BEA293F"/>
    <w:rsid w:val="2BEC31EB"/>
    <w:rsid w:val="2BEC66B7"/>
    <w:rsid w:val="2BEE59F0"/>
    <w:rsid w:val="2BEE75BB"/>
    <w:rsid w:val="2BF11F1F"/>
    <w:rsid w:val="2BF24A66"/>
    <w:rsid w:val="2BF33EE9"/>
    <w:rsid w:val="2BF35C97"/>
    <w:rsid w:val="2BF437BD"/>
    <w:rsid w:val="2BF47386"/>
    <w:rsid w:val="2BF51A0F"/>
    <w:rsid w:val="2BF57C61"/>
    <w:rsid w:val="2BF65788"/>
    <w:rsid w:val="2BF66CC1"/>
    <w:rsid w:val="2BFC06E9"/>
    <w:rsid w:val="2BFC0FF0"/>
    <w:rsid w:val="2BFD474A"/>
    <w:rsid w:val="2BFD6B16"/>
    <w:rsid w:val="2BFF3415"/>
    <w:rsid w:val="2BFF463C"/>
    <w:rsid w:val="2C000C28"/>
    <w:rsid w:val="2C041A4C"/>
    <w:rsid w:val="2C091017"/>
    <w:rsid w:val="2C0A4D8F"/>
    <w:rsid w:val="2C0B1233"/>
    <w:rsid w:val="2C0D3E59"/>
    <w:rsid w:val="2C0E487F"/>
    <w:rsid w:val="2C0F788C"/>
    <w:rsid w:val="2C1125C1"/>
    <w:rsid w:val="2C11611D"/>
    <w:rsid w:val="2C1520B2"/>
    <w:rsid w:val="2C153E60"/>
    <w:rsid w:val="2C1856FE"/>
    <w:rsid w:val="2C195B51"/>
    <w:rsid w:val="2C1D2D14"/>
    <w:rsid w:val="2C1F3A83"/>
    <w:rsid w:val="2C2045B2"/>
    <w:rsid w:val="2C210A56"/>
    <w:rsid w:val="2C2220D9"/>
    <w:rsid w:val="2C2422F5"/>
    <w:rsid w:val="2C251BC9"/>
    <w:rsid w:val="2C2577C3"/>
    <w:rsid w:val="2C273B93"/>
    <w:rsid w:val="2C292722"/>
    <w:rsid w:val="2C29790B"/>
    <w:rsid w:val="2C2C11A9"/>
    <w:rsid w:val="2C2C2F57"/>
    <w:rsid w:val="2C2E3173"/>
    <w:rsid w:val="2C355316"/>
    <w:rsid w:val="2C3562B0"/>
    <w:rsid w:val="2C387B4E"/>
    <w:rsid w:val="2C397F1A"/>
    <w:rsid w:val="2C3A38C6"/>
    <w:rsid w:val="2C3A5674"/>
    <w:rsid w:val="2C3D33B6"/>
    <w:rsid w:val="2C3F0EDD"/>
    <w:rsid w:val="2C412EA7"/>
    <w:rsid w:val="2C4209CD"/>
    <w:rsid w:val="2C424529"/>
    <w:rsid w:val="2C4430FE"/>
    <w:rsid w:val="2C4464F3"/>
    <w:rsid w:val="2C45036F"/>
    <w:rsid w:val="2C4604BD"/>
    <w:rsid w:val="2C46065A"/>
    <w:rsid w:val="2C462D13"/>
    <w:rsid w:val="2C477D91"/>
    <w:rsid w:val="2C48411F"/>
    <w:rsid w:val="2C484235"/>
    <w:rsid w:val="2C4B7881"/>
    <w:rsid w:val="2C4C2C61"/>
    <w:rsid w:val="2C4C35F9"/>
    <w:rsid w:val="2C4C3F30"/>
    <w:rsid w:val="2C4C53A8"/>
    <w:rsid w:val="2C4D184B"/>
    <w:rsid w:val="2C50273D"/>
    <w:rsid w:val="2C5028B1"/>
    <w:rsid w:val="2C520C10"/>
    <w:rsid w:val="2C5524AE"/>
    <w:rsid w:val="2C574478"/>
    <w:rsid w:val="2C576226"/>
    <w:rsid w:val="2C5801F0"/>
    <w:rsid w:val="2C580332"/>
    <w:rsid w:val="2C5A3F68"/>
    <w:rsid w:val="2C5B55EB"/>
    <w:rsid w:val="2C5D1363"/>
    <w:rsid w:val="2C5E18F7"/>
    <w:rsid w:val="2C602C01"/>
    <w:rsid w:val="2C622E1D"/>
    <w:rsid w:val="2C627897"/>
    <w:rsid w:val="2C6426F1"/>
    <w:rsid w:val="2C6438F8"/>
    <w:rsid w:val="2C646B95"/>
    <w:rsid w:val="2C6B7F24"/>
    <w:rsid w:val="2C6C351A"/>
    <w:rsid w:val="2C6D3C9C"/>
    <w:rsid w:val="2C6D60A4"/>
    <w:rsid w:val="2C6D60EB"/>
    <w:rsid w:val="2C704A6C"/>
    <w:rsid w:val="2C7072E8"/>
    <w:rsid w:val="2C714E0E"/>
    <w:rsid w:val="2C730869"/>
    <w:rsid w:val="2C73502A"/>
    <w:rsid w:val="2C770676"/>
    <w:rsid w:val="2C7831FE"/>
    <w:rsid w:val="2C7843EE"/>
    <w:rsid w:val="2C7C3EDF"/>
    <w:rsid w:val="2C7C48BE"/>
    <w:rsid w:val="2C7D37B3"/>
    <w:rsid w:val="2C7E7C57"/>
    <w:rsid w:val="2C7F0500"/>
    <w:rsid w:val="2C7F39CF"/>
    <w:rsid w:val="2C7F752B"/>
    <w:rsid w:val="2C8114F5"/>
    <w:rsid w:val="2C82701B"/>
    <w:rsid w:val="2C83526D"/>
    <w:rsid w:val="2C836786"/>
    <w:rsid w:val="2C844B41"/>
    <w:rsid w:val="2C8608B9"/>
    <w:rsid w:val="2C864D5D"/>
    <w:rsid w:val="2C866B0B"/>
    <w:rsid w:val="2C870B22"/>
    <w:rsid w:val="2C884632"/>
    <w:rsid w:val="2C8C3BA3"/>
    <w:rsid w:val="2C8D1C48"/>
    <w:rsid w:val="2C8E59C0"/>
    <w:rsid w:val="2C901738"/>
    <w:rsid w:val="2C9034E6"/>
    <w:rsid w:val="2C90798A"/>
    <w:rsid w:val="2C931228"/>
    <w:rsid w:val="2C950AFD"/>
    <w:rsid w:val="2C952726"/>
    <w:rsid w:val="2C980766"/>
    <w:rsid w:val="2C9A25B7"/>
    <w:rsid w:val="2C9C00DD"/>
    <w:rsid w:val="2C9D5C03"/>
    <w:rsid w:val="2C9E20A7"/>
    <w:rsid w:val="2C9F3471"/>
    <w:rsid w:val="2CA156F3"/>
    <w:rsid w:val="2CA303CA"/>
    <w:rsid w:val="2CA43435"/>
    <w:rsid w:val="2CA62D0A"/>
    <w:rsid w:val="2CA84CD4"/>
    <w:rsid w:val="2CA927FA"/>
    <w:rsid w:val="2CAB0320"/>
    <w:rsid w:val="2CAD4098"/>
    <w:rsid w:val="2CAD5E46"/>
    <w:rsid w:val="2CAE7E10"/>
    <w:rsid w:val="2CB03B88"/>
    <w:rsid w:val="2CB216AE"/>
    <w:rsid w:val="2CB2345D"/>
    <w:rsid w:val="2CB25B52"/>
    <w:rsid w:val="2CB371D5"/>
    <w:rsid w:val="2CB43679"/>
    <w:rsid w:val="2CB5119F"/>
    <w:rsid w:val="2CB537B0"/>
    <w:rsid w:val="2CB76CC5"/>
    <w:rsid w:val="2CB90C8F"/>
    <w:rsid w:val="2CBA67B5"/>
    <w:rsid w:val="2CBC077F"/>
    <w:rsid w:val="2CBC252D"/>
    <w:rsid w:val="2CC15D95"/>
    <w:rsid w:val="2CC22637"/>
    <w:rsid w:val="2CC338BC"/>
    <w:rsid w:val="2CC413E2"/>
    <w:rsid w:val="2CC6515A"/>
    <w:rsid w:val="2CC969F8"/>
    <w:rsid w:val="2CC97ED5"/>
    <w:rsid w:val="2CCB451E"/>
    <w:rsid w:val="2CCD64E8"/>
    <w:rsid w:val="2CD45AC9"/>
    <w:rsid w:val="2CD535EF"/>
    <w:rsid w:val="2CD82F37"/>
    <w:rsid w:val="2CD933E3"/>
    <w:rsid w:val="2CD94E8D"/>
    <w:rsid w:val="2CDA6E57"/>
    <w:rsid w:val="2CDC634B"/>
    <w:rsid w:val="2CDC7A4B"/>
    <w:rsid w:val="2CDE06F5"/>
    <w:rsid w:val="2CDF01E3"/>
    <w:rsid w:val="2CDF24D2"/>
    <w:rsid w:val="2CE101E6"/>
    <w:rsid w:val="2CE13275"/>
    <w:rsid w:val="2CE13D42"/>
    <w:rsid w:val="2CE455E0"/>
    <w:rsid w:val="2CE657FC"/>
    <w:rsid w:val="2CE675AA"/>
    <w:rsid w:val="2CE81574"/>
    <w:rsid w:val="2CE848EE"/>
    <w:rsid w:val="2CEA52EC"/>
    <w:rsid w:val="2CEA709A"/>
    <w:rsid w:val="2CEB4BC0"/>
    <w:rsid w:val="2CEC3CCA"/>
    <w:rsid w:val="2CEC5E40"/>
    <w:rsid w:val="2CEF2903"/>
    <w:rsid w:val="2CF047C1"/>
    <w:rsid w:val="2CF33A75"/>
    <w:rsid w:val="2CF34D78"/>
    <w:rsid w:val="2CF41CC7"/>
    <w:rsid w:val="2CF47F19"/>
    <w:rsid w:val="2CF9108B"/>
    <w:rsid w:val="2CF9552F"/>
    <w:rsid w:val="2CF972DD"/>
    <w:rsid w:val="2CFA3055"/>
    <w:rsid w:val="2CFB1817"/>
    <w:rsid w:val="2CFC707C"/>
    <w:rsid w:val="2CFE0255"/>
    <w:rsid w:val="2CFE2B46"/>
    <w:rsid w:val="2CFF066C"/>
    <w:rsid w:val="2CFF241A"/>
    <w:rsid w:val="2D012636"/>
    <w:rsid w:val="2D031F0A"/>
    <w:rsid w:val="2D0359D7"/>
    <w:rsid w:val="2D037178"/>
    <w:rsid w:val="2D045C82"/>
    <w:rsid w:val="2D053ED4"/>
    <w:rsid w:val="2D067C4C"/>
    <w:rsid w:val="2D085772"/>
    <w:rsid w:val="2D0E7D49"/>
    <w:rsid w:val="2D0F11D9"/>
    <w:rsid w:val="2D0F4D53"/>
    <w:rsid w:val="2D12214D"/>
    <w:rsid w:val="2D1519FD"/>
    <w:rsid w:val="2D151C3D"/>
    <w:rsid w:val="2D157E8F"/>
    <w:rsid w:val="2D173C07"/>
    <w:rsid w:val="2D19172E"/>
    <w:rsid w:val="2D194E5C"/>
    <w:rsid w:val="2D197980"/>
    <w:rsid w:val="2D1A41F2"/>
    <w:rsid w:val="2D1B54A6"/>
    <w:rsid w:val="2D1C4D7A"/>
    <w:rsid w:val="2D1C7470"/>
    <w:rsid w:val="2D1E0AF2"/>
    <w:rsid w:val="2D1F486A"/>
    <w:rsid w:val="2D232444"/>
    <w:rsid w:val="2D2325AC"/>
    <w:rsid w:val="2D236108"/>
    <w:rsid w:val="2D2500D2"/>
    <w:rsid w:val="2D265BF9"/>
    <w:rsid w:val="2D285E15"/>
    <w:rsid w:val="2D287BC3"/>
    <w:rsid w:val="2D297497"/>
    <w:rsid w:val="2D2A56E9"/>
    <w:rsid w:val="2D2B1461"/>
    <w:rsid w:val="2D2B2565"/>
    <w:rsid w:val="2D2D342B"/>
    <w:rsid w:val="2D2D6F87"/>
    <w:rsid w:val="2D300825"/>
    <w:rsid w:val="2D306A77"/>
    <w:rsid w:val="2D3447B9"/>
    <w:rsid w:val="2D346567"/>
    <w:rsid w:val="2D355AC5"/>
    <w:rsid w:val="2D360D81"/>
    <w:rsid w:val="2D391DD0"/>
    <w:rsid w:val="2D3A16A4"/>
    <w:rsid w:val="2D3C366E"/>
    <w:rsid w:val="2D3D5895"/>
    <w:rsid w:val="2D410C84"/>
    <w:rsid w:val="2D412A32"/>
    <w:rsid w:val="2D426ED6"/>
    <w:rsid w:val="2D43338B"/>
    <w:rsid w:val="2D452523"/>
    <w:rsid w:val="2D4542D1"/>
    <w:rsid w:val="2D466A4A"/>
    <w:rsid w:val="2D4B38B1"/>
    <w:rsid w:val="2D4B7F48"/>
    <w:rsid w:val="2D4D13D7"/>
    <w:rsid w:val="2D4D4DB7"/>
    <w:rsid w:val="2D4D587B"/>
    <w:rsid w:val="2D4F33A1"/>
    <w:rsid w:val="2D502C75"/>
    <w:rsid w:val="2D502FE2"/>
    <w:rsid w:val="2D510F8C"/>
    <w:rsid w:val="2D517119"/>
    <w:rsid w:val="2D524C40"/>
    <w:rsid w:val="2D54537D"/>
    <w:rsid w:val="2D55028C"/>
    <w:rsid w:val="2D5524DE"/>
    <w:rsid w:val="2D564730"/>
    <w:rsid w:val="2D584173"/>
    <w:rsid w:val="2D597D7C"/>
    <w:rsid w:val="2D5B7F98"/>
    <w:rsid w:val="2D5C5ABE"/>
    <w:rsid w:val="2D5C786C"/>
    <w:rsid w:val="2D5E1836"/>
    <w:rsid w:val="2D5E5392"/>
    <w:rsid w:val="2D60110A"/>
    <w:rsid w:val="2D616C31"/>
    <w:rsid w:val="2D636E4D"/>
    <w:rsid w:val="2D654973"/>
    <w:rsid w:val="2D682DB5"/>
    <w:rsid w:val="2D686211"/>
    <w:rsid w:val="2D6A1F89"/>
    <w:rsid w:val="2D6C29F3"/>
    <w:rsid w:val="2D6C5D01"/>
    <w:rsid w:val="2D6C6AD2"/>
    <w:rsid w:val="2D6F134E"/>
    <w:rsid w:val="2D6F75A0"/>
    <w:rsid w:val="2D713318"/>
    <w:rsid w:val="2D720E3E"/>
    <w:rsid w:val="2D74105A"/>
    <w:rsid w:val="2D746964"/>
    <w:rsid w:val="2D7626DC"/>
    <w:rsid w:val="2D796670"/>
    <w:rsid w:val="2D7A1628"/>
    <w:rsid w:val="2D7C3A6A"/>
    <w:rsid w:val="2D7E3C87"/>
    <w:rsid w:val="2D7E77E3"/>
    <w:rsid w:val="2D8079FF"/>
    <w:rsid w:val="2D8172D3"/>
    <w:rsid w:val="2D837053"/>
    <w:rsid w:val="2D8469EC"/>
    <w:rsid w:val="2D85445D"/>
    <w:rsid w:val="2D856DC3"/>
    <w:rsid w:val="2D872B3B"/>
    <w:rsid w:val="2D88240F"/>
    <w:rsid w:val="2D8868B3"/>
    <w:rsid w:val="2D890CA0"/>
    <w:rsid w:val="2D8C4A6F"/>
    <w:rsid w:val="2D8C63A3"/>
    <w:rsid w:val="2D8D660E"/>
    <w:rsid w:val="2D8F379E"/>
    <w:rsid w:val="2D8F7C42"/>
    <w:rsid w:val="2D915768"/>
    <w:rsid w:val="2D917516"/>
    <w:rsid w:val="2D940DB4"/>
    <w:rsid w:val="2D984D48"/>
    <w:rsid w:val="2D99461C"/>
    <w:rsid w:val="2D9A0C12"/>
    <w:rsid w:val="2D9C5EBB"/>
    <w:rsid w:val="2D9E60D7"/>
    <w:rsid w:val="2D9E7E85"/>
    <w:rsid w:val="2DA01E4F"/>
    <w:rsid w:val="2DA03BFD"/>
    <w:rsid w:val="2DA134D1"/>
    <w:rsid w:val="2DA37249"/>
    <w:rsid w:val="2DA51213"/>
    <w:rsid w:val="2DA52FC1"/>
    <w:rsid w:val="2DA84860"/>
    <w:rsid w:val="2DAA4A7C"/>
    <w:rsid w:val="2DAB0EE4"/>
    <w:rsid w:val="2DAB1B97"/>
    <w:rsid w:val="2DAC25A2"/>
    <w:rsid w:val="2DAC3027"/>
    <w:rsid w:val="2DAE5947"/>
    <w:rsid w:val="2DAF2092"/>
    <w:rsid w:val="2DAF5BEE"/>
    <w:rsid w:val="2DB1022D"/>
    <w:rsid w:val="2DB11966"/>
    <w:rsid w:val="2DB15E0A"/>
    <w:rsid w:val="2DB33930"/>
    <w:rsid w:val="2DB87198"/>
    <w:rsid w:val="2DBF0527"/>
    <w:rsid w:val="2DC07DFB"/>
    <w:rsid w:val="2DC13DBD"/>
    <w:rsid w:val="2DC3448D"/>
    <w:rsid w:val="2DC378EB"/>
    <w:rsid w:val="2DC53663"/>
    <w:rsid w:val="2DC73EBC"/>
    <w:rsid w:val="2DC77C2F"/>
    <w:rsid w:val="2DC810BF"/>
    <w:rsid w:val="2DC84F02"/>
    <w:rsid w:val="2DC85380"/>
    <w:rsid w:val="2DCA0C7A"/>
    <w:rsid w:val="2DCC054E"/>
    <w:rsid w:val="2DCD3AA1"/>
    <w:rsid w:val="2DCF6290"/>
    <w:rsid w:val="2DD218DC"/>
    <w:rsid w:val="2DD90EBD"/>
    <w:rsid w:val="2DD92C6B"/>
    <w:rsid w:val="2DDD275B"/>
    <w:rsid w:val="2DDD4A26"/>
    <w:rsid w:val="2DE35CC7"/>
    <w:rsid w:val="2DE41D28"/>
    <w:rsid w:val="2DE47F8D"/>
    <w:rsid w:val="2DE51610"/>
    <w:rsid w:val="2DE57862"/>
    <w:rsid w:val="2DE735DA"/>
    <w:rsid w:val="2DE75388"/>
    <w:rsid w:val="2DEC6E42"/>
    <w:rsid w:val="2DEE768F"/>
    <w:rsid w:val="2DEF06E0"/>
    <w:rsid w:val="2DF126AA"/>
    <w:rsid w:val="2DF14458"/>
    <w:rsid w:val="2DF301D1"/>
    <w:rsid w:val="2DF45CF7"/>
    <w:rsid w:val="2DF6413D"/>
    <w:rsid w:val="2DF7019E"/>
    <w:rsid w:val="2DFB0E33"/>
    <w:rsid w:val="2DFB1329"/>
    <w:rsid w:val="2E0028ED"/>
    <w:rsid w:val="2E057F04"/>
    <w:rsid w:val="2E0654CB"/>
    <w:rsid w:val="2E075A2A"/>
    <w:rsid w:val="2E077485"/>
    <w:rsid w:val="2E0777D8"/>
    <w:rsid w:val="2E0917A2"/>
    <w:rsid w:val="2E0954B4"/>
    <w:rsid w:val="2E0A551A"/>
    <w:rsid w:val="2E0C4DEE"/>
    <w:rsid w:val="2E0E6DB8"/>
    <w:rsid w:val="2E0F48DF"/>
    <w:rsid w:val="2E100266"/>
    <w:rsid w:val="2E113916"/>
    <w:rsid w:val="2E114AFB"/>
    <w:rsid w:val="2E1168A9"/>
    <w:rsid w:val="2E126FD1"/>
    <w:rsid w:val="2E150147"/>
    <w:rsid w:val="2E156399"/>
    <w:rsid w:val="2E162111"/>
    <w:rsid w:val="2E1819E5"/>
    <w:rsid w:val="2E183793"/>
    <w:rsid w:val="2E1A575D"/>
    <w:rsid w:val="2E1B3283"/>
    <w:rsid w:val="2E1D0A29"/>
    <w:rsid w:val="2E1D524D"/>
    <w:rsid w:val="2E1E4B22"/>
    <w:rsid w:val="2E1F2D74"/>
    <w:rsid w:val="2E244105"/>
    <w:rsid w:val="2E254FB3"/>
    <w:rsid w:val="2E255EB0"/>
    <w:rsid w:val="2E271C28"/>
    <w:rsid w:val="2E2746AC"/>
    <w:rsid w:val="2E291E44"/>
    <w:rsid w:val="2E2959A0"/>
    <w:rsid w:val="2E2A34C6"/>
    <w:rsid w:val="2E2B1719"/>
    <w:rsid w:val="2E2B796A"/>
    <w:rsid w:val="2E2E1209"/>
    <w:rsid w:val="2E312239"/>
    <w:rsid w:val="2E314855"/>
    <w:rsid w:val="2E334A71"/>
    <w:rsid w:val="2E346CB0"/>
    <w:rsid w:val="2E383E35"/>
    <w:rsid w:val="2E384A04"/>
    <w:rsid w:val="2E385BE3"/>
    <w:rsid w:val="2E3A13E1"/>
    <w:rsid w:val="2E3C1B78"/>
    <w:rsid w:val="2E3C49C0"/>
    <w:rsid w:val="2E3D31FA"/>
    <w:rsid w:val="2E3E7D62"/>
    <w:rsid w:val="2E3F3DC3"/>
    <w:rsid w:val="2E3F6F72"/>
    <w:rsid w:val="2E400F3C"/>
    <w:rsid w:val="2E41718E"/>
    <w:rsid w:val="2E422F06"/>
    <w:rsid w:val="2E4839E5"/>
    <w:rsid w:val="2E4865B6"/>
    <w:rsid w:val="2E4A6305"/>
    <w:rsid w:val="2E4B1DBB"/>
    <w:rsid w:val="2E4C78E1"/>
    <w:rsid w:val="2E4E18AB"/>
    <w:rsid w:val="2E4E5407"/>
    <w:rsid w:val="2E50117F"/>
    <w:rsid w:val="2E530C6F"/>
    <w:rsid w:val="2E590E8E"/>
    <w:rsid w:val="2E5A5DFA"/>
    <w:rsid w:val="2E5D389C"/>
    <w:rsid w:val="2E5F7614"/>
    <w:rsid w:val="2E60513A"/>
    <w:rsid w:val="2E60666A"/>
    <w:rsid w:val="2E627104"/>
    <w:rsid w:val="2E6469D8"/>
    <w:rsid w:val="2E652751"/>
    <w:rsid w:val="2E666F6E"/>
    <w:rsid w:val="2E67471B"/>
    <w:rsid w:val="2E6764C9"/>
    <w:rsid w:val="2E690493"/>
    <w:rsid w:val="2E690FE1"/>
    <w:rsid w:val="2E6B420B"/>
    <w:rsid w:val="2E6B5FB9"/>
    <w:rsid w:val="2E6C3ADF"/>
    <w:rsid w:val="2E6E3CFB"/>
    <w:rsid w:val="2E6E5AA9"/>
    <w:rsid w:val="2E717347"/>
    <w:rsid w:val="2E725599"/>
    <w:rsid w:val="2E76670C"/>
    <w:rsid w:val="2E7806D6"/>
    <w:rsid w:val="2E7A26A0"/>
    <w:rsid w:val="2E7A7B72"/>
    <w:rsid w:val="2E7F1A64"/>
    <w:rsid w:val="2E7F3812"/>
    <w:rsid w:val="2E7F7CB6"/>
    <w:rsid w:val="2E813A2E"/>
    <w:rsid w:val="2E8157DC"/>
    <w:rsid w:val="2E821554"/>
    <w:rsid w:val="2E851B5C"/>
    <w:rsid w:val="2E8550C8"/>
    <w:rsid w:val="2E861045"/>
    <w:rsid w:val="2E876B6B"/>
    <w:rsid w:val="2E8928E3"/>
    <w:rsid w:val="2E894691"/>
    <w:rsid w:val="2E894ED8"/>
    <w:rsid w:val="2E8D23D3"/>
    <w:rsid w:val="2E903C71"/>
    <w:rsid w:val="2E9077CD"/>
    <w:rsid w:val="2E913546"/>
    <w:rsid w:val="2E94741A"/>
    <w:rsid w:val="2E9574DA"/>
    <w:rsid w:val="2E980D78"/>
    <w:rsid w:val="2E982B26"/>
    <w:rsid w:val="2E9A064C"/>
    <w:rsid w:val="2E9D1EEA"/>
    <w:rsid w:val="2E9F70FE"/>
    <w:rsid w:val="2EA119DB"/>
    <w:rsid w:val="2EA15E7F"/>
    <w:rsid w:val="2EA27501"/>
    <w:rsid w:val="2EA414CB"/>
    <w:rsid w:val="2EA66FF1"/>
    <w:rsid w:val="2EA72D69"/>
    <w:rsid w:val="2EA80FBB"/>
    <w:rsid w:val="2EA8720D"/>
    <w:rsid w:val="2EA9088F"/>
    <w:rsid w:val="2EA96AE1"/>
    <w:rsid w:val="2EAB2859"/>
    <w:rsid w:val="2EAE5EA6"/>
    <w:rsid w:val="2EB07E70"/>
    <w:rsid w:val="2EB15996"/>
    <w:rsid w:val="2EB21E3A"/>
    <w:rsid w:val="2EB23BE8"/>
    <w:rsid w:val="2EB37960"/>
    <w:rsid w:val="2EB63EF5"/>
    <w:rsid w:val="2EB711FE"/>
    <w:rsid w:val="2EBA6F40"/>
    <w:rsid w:val="2EBD0E37"/>
    <w:rsid w:val="2EBE67C1"/>
    <w:rsid w:val="2EC102CF"/>
    <w:rsid w:val="2EC11008"/>
    <w:rsid w:val="2EC1207D"/>
    <w:rsid w:val="2EC278FB"/>
    <w:rsid w:val="2EC33928"/>
    <w:rsid w:val="2EC4391B"/>
    <w:rsid w:val="2EC67693"/>
    <w:rsid w:val="2EC76F67"/>
    <w:rsid w:val="2EC90F31"/>
    <w:rsid w:val="2ECB2EFB"/>
    <w:rsid w:val="2ECB6A58"/>
    <w:rsid w:val="2ECC5CFF"/>
    <w:rsid w:val="2ECD6C74"/>
    <w:rsid w:val="2ECE479A"/>
    <w:rsid w:val="2ED00512"/>
    <w:rsid w:val="2ED022C0"/>
    <w:rsid w:val="2ED0406E"/>
    <w:rsid w:val="2ED173BC"/>
    <w:rsid w:val="2ED3590C"/>
    <w:rsid w:val="2ED55B28"/>
    <w:rsid w:val="2ED718A0"/>
    <w:rsid w:val="2ED7364E"/>
    <w:rsid w:val="2ED81174"/>
    <w:rsid w:val="2ED90DEC"/>
    <w:rsid w:val="2ED94ED4"/>
    <w:rsid w:val="2EDA4EED"/>
    <w:rsid w:val="2EDC5C10"/>
    <w:rsid w:val="2EDC6EB7"/>
    <w:rsid w:val="2EDD70A0"/>
    <w:rsid w:val="2EE10029"/>
    <w:rsid w:val="2EE105F2"/>
    <w:rsid w:val="2EE144CD"/>
    <w:rsid w:val="2EE20341"/>
    <w:rsid w:val="2EE23DA1"/>
    <w:rsid w:val="2EE31FF3"/>
    <w:rsid w:val="2EE43FBD"/>
    <w:rsid w:val="2EE45D6B"/>
    <w:rsid w:val="2EE63891"/>
    <w:rsid w:val="2EE6563F"/>
    <w:rsid w:val="2EE8585B"/>
    <w:rsid w:val="2EEB534C"/>
    <w:rsid w:val="2EEB70FA"/>
    <w:rsid w:val="2EED2E72"/>
    <w:rsid w:val="2EEF14B5"/>
    <w:rsid w:val="2EF20488"/>
    <w:rsid w:val="2EF43E97"/>
    <w:rsid w:val="2EF51D26"/>
    <w:rsid w:val="2EF73CF0"/>
    <w:rsid w:val="2EFA558F"/>
    <w:rsid w:val="2EFC1307"/>
    <w:rsid w:val="2EFE0BDB"/>
    <w:rsid w:val="2EFE3FF7"/>
    <w:rsid w:val="2EFE6E2D"/>
    <w:rsid w:val="2EFF4953"/>
    <w:rsid w:val="2F01691D"/>
    <w:rsid w:val="2F067A90"/>
    <w:rsid w:val="2F087CAC"/>
    <w:rsid w:val="2F0D52C2"/>
    <w:rsid w:val="2F0D617F"/>
    <w:rsid w:val="2F0D7070"/>
    <w:rsid w:val="2F0F3D19"/>
    <w:rsid w:val="2F1523C9"/>
    <w:rsid w:val="2F1607DA"/>
    <w:rsid w:val="2F172C53"/>
    <w:rsid w:val="2F191EB9"/>
    <w:rsid w:val="2F193C67"/>
    <w:rsid w:val="2F1A5A56"/>
    <w:rsid w:val="2F1E127D"/>
    <w:rsid w:val="2F1E554B"/>
    <w:rsid w:val="2F1E74CF"/>
    <w:rsid w:val="2F1F0B51"/>
    <w:rsid w:val="2F1F6DA3"/>
    <w:rsid w:val="2F210D6D"/>
    <w:rsid w:val="2F2148C9"/>
    <w:rsid w:val="2F2443BA"/>
    <w:rsid w:val="2F25260C"/>
    <w:rsid w:val="2F261EE0"/>
    <w:rsid w:val="2F283EAA"/>
    <w:rsid w:val="2F285568"/>
    <w:rsid w:val="2F285C58"/>
    <w:rsid w:val="2F2919D0"/>
    <w:rsid w:val="2F2A56A7"/>
    <w:rsid w:val="2F2A7C22"/>
    <w:rsid w:val="2F2B1BEC"/>
    <w:rsid w:val="2F2B399A"/>
    <w:rsid w:val="2F2D14C0"/>
    <w:rsid w:val="2F2E54B8"/>
    <w:rsid w:val="2F2F348A"/>
    <w:rsid w:val="2F350375"/>
    <w:rsid w:val="2F3565C7"/>
    <w:rsid w:val="2F3A598B"/>
    <w:rsid w:val="2F3B1E2F"/>
    <w:rsid w:val="2F3C1703"/>
    <w:rsid w:val="2F3F11F4"/>
    <w:rsid w:val="2F4131BE"/>
    <w:rsid w:val="2F414F6C"/>
    <w:rsid w:val="2F416D1A"/>
    <w:rsid w:val="2F432A92"/>
    <w:rsid w:val="2F4405B8"/>
    <w:rsid w:val="2F45373F"/>
    <w:rsid w:val="2F45680A"/>
    <w:rsid w:val="2F462582"/>
    <w:rsid w:val="2F464330"/>
    <w:rsid w:val="2F4862FA"/>
    <w:rsid w:val="2F4A02C4"/>
    <w:rsid w:val="2F4D3910"/>
    <w:rsid w:val="2F500B3A"/>
    <w:rsid w:val="2F503401"/>
    <w:rsid w:val="2F5073C2"/>
    <w:rsid w:val="2F546A4D"/>
    <w:rsid w:val="2F560A17"/>
    <w:rsid w:val="2F590507"/>
    <w:rsid w:val="2F594063"/>
    <w:rsid w:val="2F5B602D"/>
    <w:rsid w:val="2F5C1DA5"/>
    <w:rsid w:val="2F5C3B54"/>
    <w:rsid w:val="2F5C7FF7"/>
    <w:rsid w:val="2F6403BA"/>
    <w:rsid w:val="2F642A08"/>
    <w:rsid w:val="2F650C5A"/>
    <w:rsid w:val="2F652FE5"/>
    <w:rsid w:val="2F662C24"/>
    <w:rsid w:val="2F666780"/>
    <w:rsid w:val="2F672A78"/>
    <w:rsid w:val="2F6824F8"/>
    <w:rsid w:val="2F682F49"/>
    <w:rsid w:val="2F68699C"/>
    <w:rsid w:val="2F6A44C2"/>
    <w:rsid w:val="2F6F1AD9"/>
    <w:rsid w:val="2F712246"/>
    <w:rsid w:val="2F713AA3"/>
    <w:rsid w:val="2F751931"/>
    <w:rsid w:val="2F754C15"/>
    <w:rsid w:val="2F77273B"/>
    <w:rsid w:val="2F792957"/>
    <w:rsid w:val="2F7964B4"/>
    <w:rsid w:val="2F796ED7"/>
    <w:rsid w:val="2F7A4403"/>
    <w:rsid w:val="2F7A6525"/>
    <w:rsid w:val="2F7C5FA4"/>
    <w:rsid w:val="2F7C63DF"/>
    <w:rsid w:val="2F805A94"/>
    <w:rsid w:val="2F807842"/>
    <w:rsid w:val="2F866E22"/>
    <w:rsid w:val="2F896FC9"/>
    <w:rsid w:val="2F8D1F5F"/>
    <w:rsid w:val="2F8D6403"/>
    <w:rsid w:val="2F8F1C84"/>
    <w:rsid w:val="2F8F3F29"/>
    <w:rsid w:val="2F8F5CD7"/>
    <w:rsid w:val="2F994DA8"/>
    <w:rsid w:val="2F996B56"/>
    <w:rsid w:val="2F9B0B20"/>
    <w:rsid w:val="2F9B467C"/>
    <w:rsid w:val="2F9C6646"/>
    <w:rsid w:val="2F9E5F1A"/>
    <w:rsid w:val="2FA06136"/>
    <w:rsid w:val="2FA07EE4"/>
    <w:rsid w:val="2FA15A0A"/>
    <w:rsid w:val="2FA2183B"/>
    <w:rsid w:val="2FA373A6"/>
    <w:rsid w:val="2FA379D4"/>
    <w:rsid w:val="2FA5374C"/>
    <w:rsid w:val="2FA572A9"/>
    <w:rsid w:val="2FA63021"/>
    <w:rsid w:val="2FA774C5"/>
    <w:rsid w:val="2FA8323D"/>
    <w:rsid w:val="2FA84FEB"/>
    <w:rsid w:val="2FAA0D63"/>
    <w:rsid w:val="2FAA2B11"/>
    <w:rsid w:val="2FAA7B78"/>
    <w:rsid w:val="2FAB0637"/>
    <w:rsid w:val="2FAC4ADB"/>
    <w:rsid w:val="2FAD43AF"/>
    <w:rsid w:val="2FAE7DDE"/>
    <w:rsid w:val="2FAF1ED5"/>
    <w:rsid w:val="2FAF45CB"/>
    <w:rsid w:val="2FB057C3"/>
    <w:rsid w:val="2FB15C4D"/>
    <w:rsid w:val="2FB5344A"/>
    <w:rsid w:val="2FB67708"/>
    <w:rsid w:val="2FB70E90"/>
    <w:rsid w:val="2FB76FDC"/>
    <w:rsid w:val="2FB92D54"/>
    <w:rsid w:val="2FBD0A96"/>
    <w:rsid w:val="2FBE036A"/>
    <w:rsid w:val="2FBE65BC"/>
    <w:rsid w:val="2FBF3BFE"/>
    <w:rsid w:val="2FBF705B"/>
    <w:rsid w:val="2FC24B13"/>
    <w:rsid w:val="2FC33BD3"/>
    <w:rsid w:val="2FC516F9"/>
    <w:rsid w:val="2FCC2A87"/>
    <w:rsid w:val="2FCE2CA3"/>
    <w:rsid w:val="2FCF0858"/>
    <w:rsid w:val="2FD44032"/>
    <w:rsid w:val="2FD45DE0"/>
    <w:rsid w:val="2FD7142C"/>
    <w:rsid w:val="2FDB0F1C"/>
    <w:rsid w:val="2FDB716E"/>
    <w:rsid w:val="2FDC6A42"/>
    <w:rsid w:val="2FDD5AE0"/>
    <w:rsid w:val="2FDF4AFE"/>
    <w:rsid w:val="2FE029D7"/>
    <w:rsid w:val="2FE14059"/>
    <w:rsid w:val="2FE34275"/>
    <w:rsid w:val="2FE83639"/>
    <w:rsid w:val="2FE853E7"/>
    <w:rsid w:val="2FE8682E"/>
    <w:rsid w:val="2FE9188B"/>
    <w:rsid w:val="2FEC5819"/>
    <w:rsid w:val="2FEE6EA1"/>
    <w:rsid w:val="2FF10740"/>
    <w:rsid w:val="2FF16992"/>
    <w:rsid w:val="2FF26266"/>
    <w:rsid w:val="2FF344B8"/>
    <w:rsid w:val="2FF67B04"/>
    <w:rsid w:val="2FF81ACE"/>
    <w:rsid w:val="2FF87D20"/>
    <w:rsid w:val="2FF95846"/>
    <w:rsid w:val="2FFA3A98"/>
    <w:rsid w:val="2FFB511A"/>
    <w:rsid w:val="2FFE2E5D"/>
    <w:rsid w:val="30030473"/>
    <w:rsid w:val="30032221"/>
    <w:rsid w:val="300466C5"/>
    <w:rsid w:val="30055F99"/>
    <w:rsid w:val="30071D11"/>
    <w:rsid w:val="30073ABF"/>
    <w:rsid w:val="30085A89"/>
    <w:rsid w:val="30093CDB"/>
    <w:rsid w:val="300A1801"/>
    <w:rsid w:val="300C37CC"/>
    <w:rsid w:val="300C645E"/>
    <w:rsid w:val="300E30A0"/>
    <w:rsid w:val="300F0BC6"/>
    <w:rsid w:val="30112B90"/>
    <w:rsid w:val="301270DA"/>
    <w:rsid w:val="301343BA"/>
    <w:rsid w:val="3015041B"/>
    <w:rsid w:val="301601A6"/>
    <w:rsid w:val="30162FEC"/>
    <w:rsid w:val="3017590C"/>
    <w:rsid w:val="30183F1E"/>
    <w:rsid w:val="30191A45"/>
    <w:rsid w:val="301937F3"/>
    <w:rsid w:val="301B428D"/>
    <w:rsid w:val="301B57BD"/>
    <w:rsid w:val="301C5D86"/>
    <w:rsid w:val="301D7787"/>
    <w:rsid w:val="301E705B"/>
    <w:rsid w:val="301F52AD"/>
    <w:rsid w:val="302208F9"/>
    <w:rsid w:val="30224D9D"/>
    <w:rsid w:val="30227E4E"/>
    <w:rsid w:val="30234671"/>
    <w:rsid w:val="302428C3"/>
    <w:rsid w:val="302503E9"/>
    <w:rsid w:val="30274161"/>
    <w:rsid w:val="3029612C"/>
    <w:rsid w:val="302A3C52"/>
    <w:rsid w:val="302A5A00"/>
    <w:rsid w:val="302C1778"/>
    <w:rsid w:val="302C79CA"/>
    <w:rsid w:val="302E3742"/>
    <w:rsid w:val="3034687E"/>
    <w:rsid w:val="303A20E7"/>
    <w:rsid w:val="303D3985"/>
    <w:rsid w:val="303E14AB"/>
    <w:rsid w:val="303F1F47"/>
    <w:rsid w:val="303F4F25"/>
    <w:rsid w:val="303F76FD"/>
    <w:rsid w:val="30405223"/>
    <w:rsid w:val="30444929"/>
    <w:rsid w:val="30444D13"/>
    <w:rsid w:val="30450A8C"/>
    <w:rsid w:val="30470360"/>
    <w:rsid w:val="3049057C"/>
    <w:rsid w:val="3049232A"/>
    <w:rsid w:val="304940D8"/>
    <w:rsid w:val="304A60A2"/>
    <w:rsid w:val="304C3BC8"/>
    <w:rsid w:val="304E16EE"/>
    <w:rsid w:val="304F36B8"/>
    <w:rsid w:val="304F7BF1"/>
    <w:rsid w:val="305331A8"/>
    <w:rsid w:val="30534F57"/>
    <w:rsid w:val="30536D05"/>
    <w:rsid w:val="30564A47"/>
    <w:rsid w:val="3058422F"/>
    <w:rsid w:val="30595E14"/>
    <w:rsid w:val="305A4537"/>
    <w:rsid w:val="305B205D"/>
    <w:rsid w:val="30601421"/>
    <w:rsid w:val="30647164"/>
    <w:rsid w:val="30672894"/>
    <w:rsid w:val="306925E3"/>
    <w:rsid w:val="30696528"/>
    <w:rsid w:val="306A22A0"/>
    <w:rsid w:val="306C6018"/>
    <w:rsid w:val="306C7DC6"/>
    <w:rsid w:val="306E1D90"/>
    <w:rsid w:val="306F78B6"/>
    <w:rsid w:val="30705CA5"/>
    <w:rsid w:val="307153DD"/>
    <w:rsid w:val="307355F9"/>
    <w:rsid w:val="30766E97"/>
    <w:rsid w:val="30790319"/>
    <w:rsid w:val="307A0735"/>
    <w:rsid w:val="307D6477"/>
    <w:rsid w:val="30801AC4"/>
    <w:rsid w:val="30823A8E"/>
    <w:rsid w:val="3086532C"/>
    <w:rsid w:val="30870A53"/>
    <w:rsid w:val="30874C00"/>
    <w:rsid w:val="30894E1C"/>
    <w:rsid w:val="30896BCA"/>
    <w:rsid w:val="308A5C2E"/>
    <w:rsid w:val="308E41E1"/>
    <w:rsid w:val="309061AB"/>
    <w:rsid w:val="30907F59"/>
    <w:rsid w:val="309335A5"/>
    <w:rsid w:val="30935850"/>
    <w:rsid w:val="30937A49"/>
    <w:rsid w:val="30963095"/>
    <w:rsid w:val="30980BBB"/>
    <w:rsid w:val="3098505F"/>
    <w:rsid w:val="30986E0D"/>
    <w:rsid w:val="30987E48"/>
    <w:rsid w:val="309A2B85"/>
    <w:rsid w:val="309A4933"/>
    <w:rsid w:val="309D08C8"/>
    <w:rsid w:val="309D4424"/>
    <w:rsid w:val="309D61D2"/>
    <w:rsid w:val="30A25EDE"/>
    <w:rsid w:val="30A42314"/>
    <w:rsid w:val="30AB6B41"/>
    <w:rsid w:val="30AC28B9"/>
    <w:rsid w:val="30AC4667"/>
    <w:rsid w:val="30B005FB"/>
    <w:rsid w:val="30B17ECF"/>
    <w:rsid w:val="30B33C47"/>
    <w:rsid w:val="30B5176D"/>
    <w:rsid w:val="30B579BF"/>
    <w:rsid w:val="30B67293"/>
    <w:rsid w:val="30B860DB"/>
    <w:rsid w:val="30BA3228"/>
    <w:rsid w:val="30BA6D84"/>
    <w:rsid w:val="30BB2AFC"/>
    <w:rsid w:val="30BC7BBA"/>
    <w:rsid w:val="30BD4AC6"/>
    <w:rsid w:val="30BF6E25"/>
    <w:rsid w:val="30C10112"/>
    <w:rsid w:val="30C419B0"/>
    <w:rsid w:val="30C45E54"/>
    <w:rsid w:val="30C61BCC"/>
    <w:rsid w:val="30C72FFF"/>
    <w:rsid w:val="30C85BD0"/>
    <w:rsid w:val="30C96FC7"/>
    <w:rsid w:val="30CB2D3F"/>
    <w:rsid w:val="30CC4D09"/>
    <w:rsid w:val="30CD1A42"/>
    <w:rsid w:val="30D057F2"/>
    <w:rsid w:val="30D20571"/>
    <w:rsid w:val="30D2231F"/>
    <w:rsid w:val="30D339B1"/>
    <w:rsid w:val="30D37E45"/>
    <w:rsid w:val="30D45603"/>
    <w:rsid w:val="30DA7426"/>
    <w:rsid w:val="30DC319E"/>
    <w:rsid w:val="30DD6F16"/>
    <w:rsid w:val="30DF2C8E"/>
    <w:rsid w:val="30E107B4"/>
    <w:rsid w:val="30E12562"/>
    <w:rsid w:val="30E27C07"/>
    <w:rsid w:val="30E402A4"/>
    <w:rsid w:val="30E65DCB"/>
    <w:rsid w:val="30E738F1"/>
    <w:rsid w:val="30E81B43"/>
    <w:rsid w:val="30E91417"/>
    <w:rsid w:val="30EB1633"/>
    <w:rsid w:val="30EE0170"/>
    <w:rsid w:val="30EE62EE"/>
    <w:rsid w:val="30F009F7"/>
    <w:rsid w:val="30F06C49"/>
    <w:rsid w:val="30F304E8"/>
    <w:rsid w:val="30F35C51"/>
    <w:rsid w:val="30F5600E"/>
    <w:rsid w:val="30F57DBC"/>
    <w:rsid w:val="30F71D86"/>
    <w:rsid w:val="30F8356E"/>
    <w:rsid w:val="30F85AFE"/>
    <w:rsid w:val="30F93D50"/>
    <w:rsid w:val="30FA3624"/>
    <w:rsid w:val="30FC114A"/>
    <w:rsid w:val="30FC55EE"/>
    <w:rsid w:val="30FD4EC2"/>
    <w:rsid w:val="30FF6E8C"/>
    <w:rsid w:val="31003190"/>
    <w:rsid w:val="31010E56"/>
    <w:rsid w:val="3102072B"/>
    <w:rsid w:val="3103697D"/>
    <w:rsid w:val="310444A3"/>
    <w:rsid w:val="31055B72"/>
    <w:rsid w:val="310D15A9"/>
    <w:rsid w:val="310E5321"/>
    <w:rsid w:val="310E70CF"/>
    <w:rsid w:val="3115220C"/>
    <w:rsid w:val="31175F84"/>
    <w:rsid w:val="311961A0"/>
    <w:rsid w:val="311A6908"/>
    <w:rsid w:val="311B08F6"/>
    <w:rsid w:val="311C17EC"/>
    <w:rsid w:val="311D7312"/>
    <w:rsid w:val="311E37B6"/>
    <w:rsid w:val="311F1729"/>
    <w:rsid w:val="311F308B"/>
    <w:rsid w:val="31215055"/>
    <w:rsid w:val="31216E03"/>
    <w:rsid w:val="312208D7"/>
    <w:rsid w:val="31232B7B"/>
    <w:rsid w:val="31264419"/>
    <w:rsid w:val="312665EC"/>
    <w:rsid w:val="31274558"/>
    <w:rsid w:val="31280191"/>
    <w:rsid w:val="31280F0C"/>
    <w:rsid w:val="3128316B"/>
    <w:rsid w:val="312863E3"/>
    <w:rsid w:val="312B5ED3"/>
    <w:rsid w:val="3130226F"/>
    <w:rsid w:val="313034EA"/>
    <w:rsid w:val="31307046"/>
    <w:rsid w:val="31321010"/>
    <w:rsid w:val="31322DBE"/>
    <w:rsid w:val="31327262"/>
    <w:rsid w:val="31336B36"/>
    <w:rsid w:val="31342080"/>
    <w:rsid w:val="313528AE"/>
    <w:rsid w:val="31374878"/>
    <w:rsid w:val="31391E91"/>
    <w:rsid w:val="313A6116"/>
    <w:rsid w:val="313B30ED"/>
    <w:rsid w:val="313D032A"/>
    <w:rsid w:val="31413001"/>
    <w:rsid w:val="3142476A"/>
    <w:rsid w:val="31436D79"/>
    <w:rsid w:val="31456F95"/>
    <w:rsid w:val="314804F6"/>
    <w:rsid w:val="314C7BB2"/>
    <w:rsid w:val="314D1797"/>
    <w:rsid w:val="314D409C"/>
    <w:rsid w:val="314E571E"/>
    <w:rsid w:val="314F1BC2"/>
    <w:rsid w:val="31501496"/>
    <w:rsid w:val="31523460"/>
    <w:rsid w:val="3152520E"/>
    <w:rsid w:val="31532D34"/>
    <w:rsid w:val="31570A76"/>
    <w:rsid w:val="31592A40"/>
    <w:rsid w:val="315A3D9B"/>
    <w:rsid w:val="315B5877"/>
    <w:rsid w:val="315C7E3B"/>
    <w:rsid w:val="31603DCF"/>
    <w:rsid w:val="31605B7D"/>
    <w:rsid w:val="316136A3"/>
    <w:rsid w:val="31642694"/>
    <w:rsid w:val="316513E5"/>
    <w:rsid w:val="31660CB9"/>
    <w:rsid w:val="31666F0B"/>
    <w:rsid w:val="31674F0F"/>
    <w:rsid w:val="316F4012"/>
    <w:rsid w:val="31745184"/>
    <w:rsid w:val="31750EFD"/>
    <w:rsid w:val="317627B8"/>
    <w:rsid w:val="31771119"/>
    <w:rsid w:val="317A26ED"/>
    <w:rsid w:val="317A6513"/>
    <w:rsid w:val="317B75D7"/>
    <w:rsid w:val="317C04DD"/>
    <w:rsid w:val="317C228B"/>
    <w:rsid w:val="3181001F"/>
    <w:rsid w:val="31833619"/>
    <w:rsid w:val="318555E4"/>
    <w:rsid w:val="31857392"/>
    <w:rsid w:val="31866D56"/>
    <w:rsid w:val="31884247"/>
    <w:rsid w:val="318A49A8"/>
    <w:rsid w:val="318B24CE"/>
    <w:rsid w:val="318B6972"/>
    <w:rsid w:val="318C4BC4"/>
    <w:rsid w:val="318D6246"/>
    <w:rsid w:val="318F0210"/>
    <w:rsid w:val="318F6462"/>
    <w:rsid w:val="31924A5C"/>
    <w:rsid w:val="31932A9B"/>
    <w:rsid w:val="31945827"/>
    <w:rsid w:val="31946361"/>
    <w:rsid w:val="3196141C"/>
    <w:rsid w:val="31973569"/>
    <w:rsid w:val="319770C5"/>
    <w:rsid w:val="31994BEB"/>
    <w:rsid w:val="319B575F"/>
    <w:rsid w:val="319B576F"/>
    <w:rsid w:val="319C0B7F"/>
    <w:rsid w:val="319C292D"/>
    <w:rsid w:val="31A0241D"/>
    <w:rsid w:val="31A11CF2"/>
    <w:rsid w:val="31A31F0E"/>
    <w:rsid w:val="31A33AA5"/>
    <w:rsid w:val="31A83080"/>
    <w:rsid w:val="31AA329C"/>
    <w:rsid w:val="31AB2B70"/>
    <w:rsid w:val="31AF440F"/>
    <w:rsid w:val="31B47C77"/>
    <w:rsid w:val="31B614E7"/>
    <w:rsid w:val="31B61C41"/>
    <w:rsid w:val="31B672C5"/>
    <w:rsid w:val="31B83782"/>
    <w:rsid w:val="31B9528D"/>
    <w:rsid w:val="31BB2DB3"/>
    <w:rsid w:val="31BB7257"/>
    <w:rsid w:val="31BC4D7D"/>
    <w:rsid w:val="31BC6B2B"/>
    <w:rsid w:val="31BE5521"/>
    <w:rsid w:val="31C37EBA"/>
    <w:rsid w:val="31C51E84"/>
    <w:rsid w:val="31C53C32"/>
    <w:rsid w:val="31C61758"/>
    <w:rsid w:val="31C83722"/>
    <w:rsid w:val="31CA56EC"/>
    <w:rsid w:val="31CA749A"/>
    <w:rsid w:val="31CC2C2C"/>
    <w:rsid w:val="31CC4FC0"/>
    <w:rsid w:val="31CD0D39"/>
    <w:rsid w:val="31CF4AB1"/>
    <w:rsid w:val="31D04385"/>
    <w:rsid w:val="31D2634F"/>
    <w:rsid w:val="31D40319"/>
    <w:rsid w:val="31D43E75"/>
    <w:rsid w:val="31D6516E"/>
    <w:rsid w:val="31D65E3F"/>
    <w:rsid w:val="31D73965"/>
    <w:rsid w:val="31D9148B"/>
    <w:rsid w:val="31DA4154"/>
    <w:rsid w:val="31DD71CE"/>
    <w:rsid w:val="31DE2F46"/>
    <w:rsid w:val="31DE6AA2"/>
    <w:rsid w:val="31DF77E5"/>
    <w:rsid w:val="31E16592"/>
    <w:rsid w:val="31E3055C"/>
    <w:rsid w:val="31E7004C"/>
    <w:rsid w:val="31E71DFA"/>
    <w:rsid w:val="31E80CC4"/>
    <w:rsid w:val="31EA18EB"/>
    <w:rsid w:val="31EA5447"/>
    <w:rsid w:val="31EB4A74"/>
    <w:rsid w:val="31EC5663"/>
    <w:rsid w:val="31ED3189"/>
    <w:rsid w:val="31EE13DB"/>
    <w:rsid w:val="31F12C79"/>
    <w:rsid w:val="31F167D5"/>
    <w:rsid w:val="31F2079F"/>
    <w:rsid w:val="31F369F1"/>
    <w:rsid w:val="31F44517"/>
    <w:rsid w:val="31F6028F"/>
    <w:rsid w:val="31F87078"/>
    <w:rsid w:val="31FB3AF8"/>
    <w:rsid w:val="31FB4274"/>
    <w:rsid w:val="31FD7870"/>
    <w:rsid w:val="31FE7144"/>
    <w:rsid w:val="32002EBC"/>
    <w:rsid w:val="32004C6A"/>
    <w:rsid w:val="32017C90"/>
    <w:rsid w:val="32024E86"/>
    <w:rsid w:val="32026C34"/>
    <w:rsid w:val="3208112C"/>
    <w:rsid w:val="320A5AE9"/>
    <w:rsid w:val="320B54EE"/>
    <w:rsid w:val="320C1861"/>
    <w:rsid w:val="320D55D9"/>
    <w:rsid w:val="32100111"/>
    <w:rsid w:val="3216448E"/>
    <w:rsid w:val="32171FB4"/>
    <w:rsid w:val="321921D0"/>
    <w:rsid w:val="32193F7E"/>
    <w:rsid w:val="321B1AA4"/>
    <w:rsid w:val="321C6473"/>
    <w:rsid w:val="321C75CA"/>
    <w:rsid w:val="321D3A6E"/>
    <w:rsid w:val="3220221C"/>
    <w:rsid w:val="322070BA"/>
    <w:rsid w:val="322272D6"/>
    <w:rsid w:val="32227926"/>
    <w:rsid w:val="32236BAB"/>
    <w:rsid w:val="32244DFC"/>
    <w:rsid w:val="32250B75"/>
    <w:rsid w:val="322546D1"/>
    <w:rsid w:val="322620F6"/>
    <w:rsid w:val="3229553B"/>
    <w:rsid w:val="322A7F39"/>
    <w:rsid w:val="322C5A5F"/>
    <w:rsid w:val="32320699"/>
    <w:rsid w:val="32364B30"/>
    <w:rsid w:val="323668DE"/>
    <w:rsid w:val="32382656"/>
    <w:rsid w:val="32384404"/>
    <w:rsid w:val="3238470D"/>
    <w:rsid w:val="323B0398"/>
    <w:rsid w:val="323B2146"/>
    <w:rsid w:val="323B2B02"/>
    <w:rsid w:val="323B3EF4"/>
    <w:rsid w:val="323D1A1A"/>
    <w:rsid w:val="323D7C6C"/>
    <w:rsid w:val="323F180D"/>
    <w:rsid w:val="323F1C36"/>
    <w:rsid w:val="3240150B"/>
    <w:rsid w:val="32411B40"/>
    <w:rsid w:val="32427031"/>
    <w:rsid w:val="32430FFB"/>
    <w:rsid w:val="324616E0"/>
    <w:rsid w:val="324803BF"/>
    <w:rsid w:val="32484000"/>
    <w:rsid w:val="324A2389"/>
    <w:rsid w:val="324C6101"/>
    <w:rsid w:val="324C7EAF"/>
    <w:rsid w:val="324E1E79"/>
    <w:rsid w:val="324F5BF1"/>
    <w:rsid w:val="3251196A"/>
    <w:rsid w:val="32513718"/>
    <w:rsid w:val="32543208"/>
    <w:rsid w:val="32560D2E"/>
    <w:rsid w:val="325925CC"/>
    <w:rsid w:val="325A6415"/>
    <w:rsid w:val="325B5ED5"/>
    <w:rsid w:val="325C0D35"/>
    <w:rsid w:val="325D423F"/>
    <w:rsid w:val="325E7BE3"/>
    <w:rsid w:val="325F5E35"/>
    <w:rsid w:val="32625925"/>
    <w:rsid w:val="326351F9"/>
    <w:rsid w:val="32650F71"/>
    <w:rsid w:val="32677589"/>
    <w:rsid w:val="326A47D9"/>
    <w:rsid w:val="326A6587"/>
    <w:rsid w:val="326E42CA"/>
    <w:rsid w:val="326F1DF0"/>
    <w:rsid w:val="327306FD"/>
    <w:rsid w:val="32737B32"/>
    <w:rsid w:val="32747406"/>
    <w:rsid w:val="32780CA4"/>
    <w:rsid w:val="327B641F"/>
    <w:rsid w:val="327B69E7"/>
    <w:rsid w:val="327D450D"/>
    <w:rsid w:val="327E3F61"/>
    <w:rsid w:val="327F2033"/>
    <w:rsid w:val="32803FFD"/>
    <w:rsid w:val="3281224F"/>
    <w:rsid w:val="32877139"/>
    <w:rsid w:val="328A6C2A"/>
    <w:rsid w:val="328B4E7C"/>
    <w:rsid w:val="329329B2"/>
    <w:rsid w:val="32935F4F"/>
    <w:rsid w:val="329830F5"/>
    <w:rsid w:val="32987598"/>
    <w:rsid w:val="329A6E6D"/>
    <w:rsid w:val="329B2BE5"/>
    <w:rsid w:val="329D4BAF"/>
    <w:rsid w:val="329F0927"/>
    <w:rsid w:val="329F26D5"/>
    <w:rsid w:val="32A001FB"/>
    <w:rsid w:val="32A01FA9"/>
    <w:rsid w:val="32A334CA"/>
    <w:rsid w:val="32A55811"/>
    <w:rsid w:val="32A63A63"/>
    <w:rsid w:val="32A73338"/>
    <w:rsid w:val="32AC5CBD"/>
    <w:rsid w:val="32AC6BA0"/>
    <w:rsid w:val="32AE2918"/>
    <w:rsid w:val="32B048E2"/>
    <w:rsid w:val="32B1065A"/>
    <w:rsid w:val="32B12408"/>
    <w:rsid w:val="32B35B90"/>
    <w:rsid w:val="32B37F2E"/>
    <w:rsid w:val="32B819E9"/>
    <w:rsid w:val="32BA12BD"/>
    <w:rsid w:val="32BB5035"/>
    <w:rsid w:val="32BC7171"/>
    <w:rsid w:val="32BD2B5B"/>
    <w:rsid w:val="32BD6FFF"/>
    <w:rsid w:val="32BF5FE1"/>
    <w:rsid w:val="32BF68D3"/>
    <w:rsid w:val="32C43EEA"/>
    <w:rsid w:val="32C51A10"/>
    <w:rsid w:val="32C65EB4"/>
    <w:rsid w:val="32C75788"/>
    <w:rsid w:val="32C97752"/>
    <w:rsid w:val="32CA07E0"/>
    <w:rsid w:val="32CD6857"/>
    <w:rsid w:val="32CE2FBA"/>
    <w:rsid w:val="32CF3C28"/>
    <w:rsid w:val="32D0288E"/>
    <w:rsid w:val="32D04B8D"/>
    <w:rsid w:val="32D14858"/>
    <w:rsid w:val="32D16548"/>
    <w:rsid w:val="32D279D8"/>
    <w:rsid w:val="32D33A39"/>
    <w:rsid w:val="32D3784A"/>
    <w:rsid w:val="32D57EA5"/>
    <w:rsid w:val="32D62E2D"/>
    <w:rsid w:val="32D81743"/>
    <w:rsid w:val="32D83E39"/>
    <w:rsid w:val="32DC56D7"/>
    <w:rsid w:val="32DD144F"/>
    <w:rsid w:val="32DF6F75"/>
    <w:rsid w:val="32E12CEE"/>
    <w:rsid w:val="32E20814"/>
    <w:rsid w:val="32E225C2"/>
    <w:rsid w:val="32E26A66"/>
    <w:rsid w:val="32E620B2"/>
    <w:rsid w:val="32E77BD8"/>
    <w:rsid w:val="32E91BA2"/>
    <w:rsid w:val="32E93950"/>
    <w:rsid w:val="32EA39FB"/>
    <w:rsid w:val="32EB3B6C"/>
    <w:rsid w:val="32EB591A"/>
    <w:rsid w:val="32EC51EE"/>
    <w:rsid w:val="32ED1692"/>
    <w:rsid w:val="32F12805"/>
    <w:rsid w:val="32F26CA9"/>
    <w:rsid w:val="32F742BF"/>
    <w:rsid w:val="32FA3DAF"/>
    <w:rsid w:val="32FA5B5D"/>
    <w:rsid w:val="32FA790B"/>
    <w:rsid w:val="32FB3683"/>
    <w:rsid w:val="32FB467E"/>
    <w:rsid w:val="32FD564D"/>
    <w:rsid w:val="32FF13C6"/>
    <w:rsid w:val="33002A55"/>
    <w:rsid w:val="3301513E"/>
    <w:rsid w:val="33016EEC"/>
    <w:rsid w:val="33022C64"/>
    <w:rsid w:val="33024A12"/>
    <w:rsid w:val="33072028"/>
    <w:rsid w:val="33072DE8"/>
    <w:rsid w:val="33092244"/>
    <w:rsid w:val="33095DA0"/>
    <w:rsid w:val="330B7D6A"/>
    <w:rsid w:val="330E1609"/>
    <w:rsid w:val="33114C55"/>
    <w:rsid w:val="33136C1F"/>
    <w:rsid w:val="3319216C"/>
    <w:rsid w:val="331935FC"/>
    <w:rsid w:val="331A7FAD"/>
    <w:rsid w:val="331B765D"/>
    <w:rsid w:val="33205277"/>
    <w:rsid w:val="332130EA"/>
    <w:rsid w:val="3321758E"/>
    <w:rsid w:val="33240E2C"/>
    <w:rsid w:val="3324727F"/>
    <w:rsid w:val="33281B74"/>
    <w:rsid w:val="332826CA"/>
    <w:rsid w:val="332901F1"/>
    <w:rsid w:val="332A5CC2"/>
    <w:rsid w:val="3330332D"/>
    <w:rsid w:val="33305A23"/>
    <w:rsid w:val="333077D1"/>
    <w:rsid w:val="333170A5"/>
    <w:rsid w:val="3333106F"/>
    <w:rsid w:val="33332E1D"/>
    <w:rsid w:val="3337290D"/>
    <w:rsid w:val="333746BC"/>
    <w:rsid w:val="33387B88"/>
    <w:rsid w:val="33392BE6"/>
    <w:rsid w:val="333948D8"/>
    <w:rsid w:val="333A0650"/>
    <w:rsid w:val="333B1446"/>
    <w:rsid w:val="333C43C8"/>
    <w:rsid w:val="333C6176"/>
    <w:rsid w:val="333C7F24"/>
    <w:rsid w:val="333E29F7"/>
    <w:rsid w:val="33410CC2"/>
    <w:rsid w:val="3341378C"/>
    <w:rsid w:val="3341553A"/>
    <w:rsid w:val="33447CF9"/>
    <w:rsid w:val="334528CA"/>
    <w:rsid w:val="33462B51"/>
    <w:rsid w:val="33484B1B"/>
    <w:rsid w:val="33492641"/>
    <w:rsid w:val="334943EF"/>
    <w:rsid w:val="334B0167"/>
    <w:rsid w:val="334D2131"/>
    <w:rsid w:val="334E7C57"/>
    <w:rsid w:val="334F40FB"/>
    <w:rsid w:val="3350577D"/>
    <w:rsid w:val="33516C02"/>
    <w:rsid w:val="335235C7"/>
    <w:rsid w:val="33542A82"/>
    <w:rsid w:val="33550FE6"/>
    <w:rsid w:val="33572FB0"/>
    <w:rsid w:val="33582884"/>
    <w:rsid w:val="335A3660"/>
    <w:rsid w:val="335A65FC"/>
    <w:rsid w:val="335C05C6"/>
    <w:rsid w:val="335D7E9A"/>
    <w:rsid w:val="335E60EC"/>
    <w:rsid w:val="335F3C12"/>
    <w:rsid w:val="33600D6E"/>
    <w:rsid w:val="336254B1"/>
    <w:rsid w:val="33631954"/>
    <w:rsid w:val="33641229"/>
    <w:rsid w:val="33650773"/>
    <w:rsid w:val="33660CCD"/>
    <w:rsid w:val="33661445"/>
    <w:rsid w:val="336631F3"/>
    <w:rsid w:val="33680D19"/>
    <w:rsid w:val="33694A91"/>
    <w:rsid w:val="3369683F"/>
    <w:rsid w:val="336B25B7"/>
    <w:rsid w:val="336C3F31"/>
    <w:rsid w:val="336D632F"/>
    <w:rsid w:val="337144FC"/>
    <w:rsid w:val="33727DEA"/>
    <w:rsid w:val="33745910"/>
    <w:rsid w:val="33792F26"/>
    <w:rsid w:val="337A0A4C"/>
    <w:rsid w:val="337D1F97"/>
    <w:rsid w:val="3380537B"/>
    <w:rsid w:val="3381627F"/>
    <w:rsid w:val="3381680B"/>
    <w:rsid w:val="3383112B"/>
    <w:rsid w:val="33833DA5"/>
    <w:rsid w:val="33863895"/>
    <w:rsid w:val="338813BB"/>
    <w:rsid w:val="33883169"/>
    <w:rsid w:val="33890C8F"/>
    <w:rsid w:val="3389583E"/>
    <w:rsid w:val="338B2C59"/>
    <w:rsid w:val="338D0C79"/>
    <w:rsid w:val="338E790C"/>
    <w:rsid w:val="33900270"/>
    <w:rsid w:val="3392223A"/>
    <w:rsid w:val="33927DE1"/>
    <w:rsid w:val="33941B0E"/>
    <w:rsid w:val="33945FB2"/>
    <w:rsid w:val="33955886"/>
    <w:rsid w:val="33970A31"/>
    <w:rsid w:val="339733AC"/>
    <w:rsid w:val="33994A92"/>
    <w:rsid w:val="339A10EE"/>
    <w:rsid w:val="339C4E66"/>
    <w:rsid w:val="339E298D"/>
    <w:rsid w:val="339E473B"/>
    <w:rsid w:val="33A332E6"/>
    <w:rsid w:val="33A45AC9"/>
    <w:rsid w:val="33A81C4F"/>
    <w:rsid w:val="33AA0990"/>
    <w:rsid w:val="33AA2812"/>
    <w:rsid w:val="33AB075F"/>
    <w:rsid w:val="33AD7074"/>
    <w:rsid w:val="33AF6948"/>
    <w:rsid w:val="33B026C0"/>
    <w:rsid w:val="33B201E6"/>
    <w:rsid w:val="33B36122"/>
    <w:rsid w:val="33B43F5E"/>
    <w:rsid w:val="33B51A84"/>
    <w:rsid w:val="33B977C6"/>
    <w:rsid w:val="33BA709B"/>
    <w:rsid w:val="33C148CD"/>
    <w:rsid w:val="33C1667B"/>
    <w:rsid w:val="33C70135"/>
    <w:rsid w:val="33CA3782"/>
    <w:rsid w:val="33CA5530"/>
    <w:rsid w:val="33CB12A8"/>
    <w:rsid w:val="33CF6FEA"/>
    <w:rsid w:val="33D12D62"/>
    <w:rsid w:val="33D22636"/>
    <w:rsid w:val="33D26ADA"/>
    <w:rsid w:val="33D44600"/>
    <w:rsid w:val="33D463AE"/>
    <w:rsid w:val="33D535A4"/>
    <w:rsid w:val="33D904BC"/>
    <w:rsid w:val="33D95773"/>
    <w:rsid w:val="33DB0981"/>
    <w:rsid w:val="33DB773D"/>
    <w:rsid w:val="33DD71B6"/>
    <w:rsid w:val="33DE0FDB"/>
    <w:rsid w:val="33DE547F"/>
    <w:rsid w:val="33DF7C50"/>
    <w:rsid w:val="33E34843"/>
    <w:rsid w:val="33E74334"/>
    <w:rsid w:val="33E76902"/>
    <w:rsid w:val="33E902D9"/>
    <w:rsid w:val="33F16F60"/>
    <w:rsid w:val="33F46A50"/>
    <w:rsid w:val="33F8693E"/>
    <w:rsid w:val="33F97BC3"/>
    <w:rsid w:val="33FB1B8D"/>
    <w:rsid w:val="33FB393B"/>
    <w:rsid w:val="33FB7DDF"/>
    <w:rsid w:val="33FC674F"/>
    <w:rsid w:val="33FC76B3"/>
    <w:rsid w:val="33FE342B"/>
    <w:rsid w:val="33FF004F"/>
    <w:rsid w:val="33FF2DAF"/>
    <w:rsid w:val="34000F51"/>
    <w:rsid w:val="34030A42"/>
    <w:rsid w:val="34046622"/>
    <w:rsid w:val="34050C5E"/>
    <w:rsid w:val="340622E0"/>
    <w:rsid w:val="34076784"/>
    <w:rsid w:val="340824FC"/>
    <w:rsid w:val="340B78F6"/>
    <w:rsid w:val="340C3D9A"/>
    <w:rsid w:val="340F388A"/>
    <w:rsid w:val="34120C85"/>
    <w:rsid w:val="341669C7"/>
    <w:rsid w:val="3417273F"/>
    <w:rsid w:val="3419726D"/>
    <w:rsid w:val="341B222F"/>
    <w:rsid w:val="341B3FDD"/>
    <w:rsid w:val="341B49CF"/>
    <w:rsid w:val="341C1B03"/>
    <w:rsid w:val="341D3FCF"/>
    <w:rsid w:val="341E587B"/>
    <w:rsid w:val="342033A2"/>
    <w:rsid w:val="3422536C"/>
    <w:rsid w:val="342310E4"/>
    <w:rsid w:val="34243CCB"/>
    <w:rsid w:val="3425201C"/>
    <w:rsid w:val="34254E5C"/>
    <w:rsid w:val="34270BD4"/>
    <w:rsid w:val="342866FA"/>
    <w:rsid w:val="342A4220"/>
    <w:rsid w:val="342B17CD"/>
    <w:rsid w:val="342C4F98"/>
    <w:rsid w:val="342F7A89"/>
    <w:rsid w:val="3431735D"/>
    <w:rsid w:val="343541A1"/>
    <w:rsid w:val="34362BC5"/>
    <w:rsid w:val="343706EB"/>
    <w:rsid w:val="3437693D"/>
    <w:rsid w:val="34394463"/>
    <w:rsid w:val="343969A2"/>
    <w:rsid w:val="343B642D"/>
    <w:rsid w:val="343B668D"/>
    <w:rsid w:val="343D03F7"/>
    <w:rsid w:val="343E7CCC"/>
    <w:rsid w:val="343F6D1F"/>
    <w:rsid w:val="34401C96"/>
    <w:rsid w:val="34403A44"/>
    <w:rsid w:val="344057F2"/>
    <w:rsid w:val="3442156A"/>
    <w:rsid w:val="34433534"/>
    <w:rsid w:val="344572AC"/>
    <w:rsid w:val="34480B4A"/>
    <w:rsid w:val="344A041F"/>
    <w:rsid w:val="344A48C2"/>
    <w:rsid w:val="344C063B"/>
    <w:rsid w:val="344D1295"/>
    <w:rsid w:val="344D62A8"/>
    <w:rsid w:val="344F012B"/>
    <w:rsid w:val="345117AD"/>
    <w:rsid w:val="34533777"/>
    <w:rsid w:val="34563267"/>
    <w:rsid w:val="34572B3B"/>
    <w:rsid w:val="34586FDF"/>
    <w:rsid w:val="34592D57"/>
    <w:rsid w:val="3459484B"/>
    <w:rsid w:val="345C0152"/>
    <w:rsid w:val="345E211C"/>
    <w:rsid w:val="345E3ECA"/>
    <w:rsid w:val="345F6F7C"/>
    <w:rsid w:val="346314E0"/>
    <w:rsid w:val="34632EBF"/>
    <w:rsid w:val="346534AA"/>
    <w:rsid w:val="34653675"/>
    <w:rsid w:val="3466427E"/>
    <w:rsid w:val="34677222"/>
    <w:rsid w:val="34694D37"/>
    <w:rsid w:val="346B6C5F"/>
    <w:rsid w:val="346C4839"/>
    <w:rsid w:val="346C65E7"/>
    <w:rsid w:val="346D548C"/>
    <w:rsid w:val="346F4329"/>
    <w:rsid w:val="347202AE"/>
    <w:rsid w:val="34727975"/>
    <w:rsid w:val="347436ED"/>
    <w:rsid w:val="34761214"/>
    <w:rsid w:val="34767465"/>
    <w:rsid w:val="347831DE"/>
    <w:rsid w:val="34790D04"/>
    <w:rsid w:val="347926F3"/>
    <w:rsid w:val="34796F56"/>
    <w:rsid w:val="347A51A8"/>
    <w:rsid w:val="347B07E8"/>
    <w:rsid w:val="347B0F20"/>
    <w:rsid w:val="347B4A7C"/>
    <w:rsid w:val="347B52F4"/>
    <w:rsid w:val="347D6A46"/>
    <w:rsid w:val="347F6B56"/>
    <w:rsid w:val="34802092"/>
    <w:rsid w:val="34812C0A"/>
    <w:rsid w:val="34847DD4"/>
    <w:rsid w:val="348576A9"/>
    <w:rsid w:val="34871673"/>
    <w:rsid w:val="34897199"/>
    <w:rsid w:val="348C6C89"/>
    <w:rsid w:val="348D682D"/>
    <w:rsid w:val="34931DC5"/>
    <w:rsid w:val="34933B51"/>
    <w:rsid w:val="349618B6"/>
    <w:rsid w:val="34967B08"/>
    <w:rsid w:val="34983880"/>
    <w:rsid w:val="34993154"/>
    <w:rsid w:val="349A75F8"/>
    <w:rsid w:val="349C15E1"/>
    <w:rsid w:val="349D2C44"/>
    <w:rsid w:val="349D49F2"/>
    <w:rsid w:val="349E076A"/>
    <w:rsid w:val="349F69BC"/>
    <w:rsid w:val="34A42225"/>
    <w:rsid w:val="34A43FD3"/>
    <w:rsid w:val="34A57D4B"/>
    <w:rsid w:val="34A73AC3"/>
    <w:rsid w:val="34AF4725"/>
    <w:rsid w:val="34AF7D1F"/>
    <w:rsid w:val="34B14942"/>
    <w:rsid w:val="34B451A4"/>
    <w:rsid w:val="34B61F58"/>
    <w:rsid w:val="34B72A7E"/>
    <w:rsid w:val="34B77F5F"/>
    <w:rsid w:val="34BA1A48"/>
    <w:rsid w:val="34BA2757"/>
    <w:rsid w:val="34BD5094"/>
    <w:rsid w:val="34BF705E"/>
    <w:rsid w:val="34C06933"/>
    <w:rsid w:val="34C24459"/>
    <w:rsid w:val="34C277A8"/>
    <w:rsid w:val="34C46423"/>
    <w:rsid w:val="34C53F49"/>
    <w:rsid w:val="34C77CC1"/>
    <w:rsid w:val="34C9767B"/>
    <w:rsid w:val="34CB5A03"/>
    <w:rsid w:val="34CC7014"/>
    <w:rsid w:val="34CE1050"/>
    <w:rsid w:val="34CE61C8"/>
    <w:rsid w:val="34CF6B76"/>
    <w:rsid w:val="34D04DC8"/>
    <w:rsid w:val="34D32B0A"/>
    <w:rsid w:val="34D332FE"/>
    <w:rsid w:val="34D36666"/>
    <w:rsid w:val="34D63493"/>
    <w:rsid w:val="34D66156"/>
    <w:rsid w:val="34D766F1"/>
    <w:rsid w:val="34D80120"/>
    <w:rsid w:val="34D97170"/>
    <w:rsid w:val="34DA5C46"/>
    <w:rsid w:val="34DA79F4"/>
    <w:rsid w:val="34DB19BE"/>
    <w:rsid w:val="34DB376C"/>
    <w:rsid w:val="34DD1293"/>
    <w:rsid w:val="34DF3019"/>
    <w:rsid w:val="34E00D75"/>
    <w:rsid w:val="34E02B31"/>
    <w:rsid w:val="34E22D4D"/>
    <w:rsid w:val="34E32DF3"/>
    <w:rsid w:val="34E62A93"/>
    <w:rsid w:val="34E95E89"/>
    <w:rsid w:val="34EA39B0"/>
    <w:rsid w:val="34EB1585"/>
    <w:rsid w:val="34EB33C6"/>
    <w:rsid w:val="34EB7E53"/>
    <w:rsid w:val="34EC597A"/>
    <w:rsid w:val="34EE34A0"/>
    <w:rsid w:val="34EE524E"/>
    <w:rsid w:val="34F07218"/>
    <w:rsid w:val="34F12F90"/>
    <w:rsid w:val="34F32864"/>
    <w:rsid w:val="34F52A80"/>
    <w:rsid w:val="34F605A6"/>
    <w:rsid w:val="34F67037"/>
    <w:rsid w:val="34FB250A"/>
    <w:rsid w:val="34FD36E3"/>
    <w:rsid w:val="34FD7B87"/>
    <w:rsid w:val="3502519D"/>
    <w:rsid w:val="350608B2"/>
    <w:rsid w:val="350727B3"/>
    <w:rsid w:val="350902DA"/>
    <w:rsid w:val="350B22A4"/>
    <w:rsid w:val="350B5E00"/>
    <w:rsid w:val="350C1B78"/>
    <w:rsid w:val="350C7DCA"/>
    <w:rsid w:val="350D601C"/>
    <w:rsid w:val="350E3B42"/>
    <w:rsid w:val="350E769E"/>
    <w:rsid w:val="3511718E"/>
    <w:rsid w:val="35131158"/>
    <w:rsid w:val="351729F7"/>
    <w:rsid w:val="3518051D"/>
    <w:rsid w:val="351A6043"/>
    <w:rsid w:val="351D1FD7"/>
    <w:rsid w:val="351D3D85"/>
    <w:rsid w:val="351D5B33"/>
    <w:rsid w:val="351F18AB"/>
    <w:rsid w:val="351F7AFD"/>
    <w:rsid w:val="352275ED"/>
    <w:rsid w:val="35241716"/>
    <w:rsid w:val="35260E8C"/>
    <w:rsid w:val="352944D8"/>
    <w:rsid w:val="352B0250"/>
    <w:rsid w:val="352C477F"/>
    <w:rsid w:val="352C5D76"/>
    <w:rsid w:val="352E7D40"/>
    <w:rsid w:val="35305866"/>
    <w:rsid w:val="353510CF"/>
    <w:rsid w:val="35357321"/>
    <w:rsid w:val="35366BF5"/>
    <w:rsid w:val="35373099"/>
    <w:rsid w:val="35380BBF"/>
    <w:rsid w:val="3538471B"/>
    <w:rsid w:val="35386E11"/>
    <w:rsid w:val="353B4DCC"/>
    <w:rsid w:val="353C245D"/>
    <w:rsid w:val="353C6B8F"/>
    <w:rsid w:val="353D5C9B"/>
    <w:rsid w:val="353D7F83"/>
    <w:rsid w:val="353F1F4D"/>
    <w:rsid w:val="35415CC5"/>
    <w:rsid w:val="35441312"/>
    <w:rsid w:val="35466E38"/>
    <w:rsid w:val="35472BB0"/>
    <w:rsid w:val="35487054"/>
    <w:rsid w:val="35492DCC"/>
    <w:rsid w:val="35496928"/>
    <w:rsid w:val="354D6418"/>
    <w:rsid w:val="354E03E2"/>
    <w:rsid w:val="354E3F3E"/>
    <w:rsid w:val="3550415A"/>
    <w:rsid w:val="35507CB7"/>
    <w:rsid w:val="355157DD"/>
    <w:rsid w:val="35531555"/>
    <w:rsid w:val="3553527B"/>
    <w:rsid w:val="35571045"/>
    <w:rsid w:val="3558300F"/>
    <w:rsid w:val="355E55DD"/>
    <w:rsid w:val="355F614C"/>
    <w:rsid w:val="35611EC4"/>
    <w:rsid w:val="356419B4"/>
    <w:rsid w:val="35661288"/>
    <w:rsid w:val="35675000"/>
    <w:rsid w:val="35695279"/>
    <w:rsid w:val="356A1AE1"/>
    <w:rsid w:val="356D0868"/>
    <w:rsid w:val="356D67CB"/>
    <w:rsid w:val="356E10EB"/>
    <w:rsid w:val="356E282C"/>
    <w:rsid w:val="356E2833"/>
    <w:rsid w:val="356E638F"/>
    <w:rsid w:val="35700359"/>
    <w:rsid w:val="357065AB"/>
    <w:rsid w:val="35725E7F"/>
    <w:rsid w:val="35727C2D"/>
    <w:rsid w:val="3575771D"/>
    <w:rsid w:val="35777939"/>
    <w:rsid w:val="3578720D"/>
    <w:rsid w:val="357A4D33"/>
    <w:rsid w:val="357C0AAC"/>
    <w:rsid w:val="357D4824"/>
    <w:rsid w:val="357D758C"/>
    <w:rsid w:val="357F059C"/>
    <w:rsid w:val="357F67EE"/>
    <w:rsid w:val="358160C2"/>
    <w:rsid w:val="35824CBB"/>
    <w:rsid w:val="35845BB2"/>
    <w:rsid w:val="35847960"/>
    <w:rsid w:val="35857D44"/>
    <w:rsid w:val="3586192A"/>
    <w:rsid w:val="35887450"/>
    <w:rsid w:val="358B0CEF"/>
    <w:rsid w:val="358B6F41"/>
    <w:rsid w:val="358E07DF"/>
    <w:rsid w:val="35906305"/>
    <w:rsid w:val="3592689A"/>
    <w:rsid w:val="35935DF5"/>
    <w:rsid w:val="35942299"/>
    <w:rsid w:val="35944047"/>
    <w:rsid w:val="35944547"/>
    <w:rsid w:val="35947BB2"/>
    <w:rsid w:val="35951B6D"/>
    <w:rsid w:val="35957DBF"/>
    <w:rsid w:val="35980BD9"/>
    <w:rsid w:val="359978AF"/>
    <w:rsid w:val="359A7184"/>
    <w:rsid w:val="359E4EC6"/>
    <w:rsid w:val="359F0C3E"/>
    <w:rsid w:val="359F29EC"/>
    <w:rsid w:val="35A10512"/>
    <w:rsid w:val="35A16764"/>
    <w:rsid w:val="35A240D4"/>
    <w:rsid w:val="35A3428A"/>
    <w:rsid w:val="35A57C47"/>
    <w:rsid w:val="35A72150"/>
    <w:rsid w:val="35A818A1"/>
    <w:rsid w:val="35A95619"/>
    <w:rsid w:val="35AD335B"/>
    <w:rsid w:val="35AE2C2F"/>
    <w:rsid w:val="35B04BF9"/>
    <w:rsid w:val="35B069A7"/>
    <w:rsid w:val="35B2271F"/>
    <w:rsid w:val="35B244CD"/>
    <w:rsid w:val="35B446E9"/>
    <w:rsid w:val="35B75F88"/>
    <w:rsid w:val="35B77D36"/>
    <w:rsid w:val="35B9585C"/>
    <w:rsid w:val="35BC17F0"/>
    <w:rsid w:val="35BE2E72"/>
    <w:rsid w:val="35BF6BEA"/>
    <w:rsid w:val="35C0308E"/>
    <w:rsid w:val="35C12962"/>
    <w:rsid w:val="35C64A29"/>
    <w:rsid w:val="35C83CF1"/>
    <w:rsid w:val="35C87364"/>
    <w:rsid w:val="35CA5CBB"/>
    <w:rsid w:val="35CC3248"/>
    <w:rsid w:val="35CD57AB"/>
    <w:rsid w:val="35CF2251"/>
    <w:rsid w:val="35D02BA5"/>
    <w:rsid w:val="35D07049"/>
    <w:rsid w:val="35D22DC1"/>
    <w:rsid w:val="35D2691D"/>
    <w:rsid w:val="35D3054A"/>
    <w:rsid w:val="35D46B3A"/>
    <w:rsid w:val="35D501BC"/>
    <w:rsid w:val="35D5640E"/>
    <w:rsid w:val="35D703D8"/>
    <w:rsid w:val="35D7578A"/>
    <w:rsid w:val="35D94150"/>
    <w:rsid w:val="35DE1766"/>
    <w:rsid w:val="35DF103A"/>
    <w:rsid w:val="35E46651"/>
    <w:rsid w:val="35E47923"/>
    <w:rsid w:val="35E52AF5"/>
    <w:rsid w:val="35E623C9"/>
    <w:rsid w:val="35E747D6"/>
    <w:rsid w:val="35E84393"/>
    <w:rsid w:val="35E86141"/>
    <w:rsid w:val="35E87EEF"/>
    <w:rsid w:val="35EB79DF"/>
    <w:rsid w:val="35ED19A9"/>
    <w:rsid w:val="35EF127D"/>
    <w:rsid w:val="35EF4EA0"/>
    <w:rsid w:val="35EF74CF"/>
    <w:rsid w:val="35F20D6E"/>
    <w:rsid w:val="35F22181"/>
    <w:rsid w:val="35F25212"/>
    <w:rsid w:val="35F42D38"/>
    <w:rsid w:val="35F530AC"/>
    <w:rsid w:val="35F621A2"/>
    <w:rsid w:val="35F66AB0"/>
    <w:rsid w:val="35F745D6"/>
    <w:rsid w:val="35F86203"/>
    <w:rsid w:val="35F904CB"/>
    <w:rsid w:val="35FB2318"/>
    <w:rsid w:val="35FC399A"/>
    <w:rsid w:val="35FF348B"/>
    <w:rsid w:val="360016DD"/>
    <w:rsid w:val="3600792F"/>
    <w:rsid w:val="36010FB1"/>
    <w:rsid w:val="360311CD"/>
    <w:rsid w:val="36034D29"/>
    <w:rsid w:val="36035812"/>
    <w:rsid w:val="36054D5D"/>
    <w:rsid w:val="360A60B7"/>
    <w:rsid w:val="360A620A"/>
    <w:rsid w:val="360C62D3"/>
    <w:rsid w:val="360D5BA8"/>
    <w:rsid w:val="360F1920"/>
    <w:rsid w:val="361138EA"/>
    <w:rsid w:val="3612023A"/>
    <w:rsid w:val="36124E35"/>
    <w:rsid w:val="36127662"/>
    <w:rsid w:val="36140CE4"/>
    <w:rsid w:val="36146F36"/>
    <w:rsid w:val="361E1FDF"/>
    <w:rsid w:val="361E2AEF"/>
    <w:rsid w:val="361E6007"/>
    <w:rsid w:val="361E7DB5"/>
    <w:rsid w:val="362178A5"/>
    <w:rsid w:val="36227D2F"/>
    <w:rsid w:val="36243D90"/>
    <w:rsid w:val="36251143"/>
    <w:rsid w:val="36252EF1"/>
    <w:rsid w:val="36260A17"/>
    <w:rsid w:val="3627310D"/>
    <w:rsid w:val="362A675A"/>
    <w:rsid w:val="362B5910"/>
    <w:rsid w:val="362D4E42"/>
    <w:rsid w:val="36301896"/>
    <w:rsid w:val="36315D3A"/>
    <w:rsid w:val="36317AE8"/>
    <w:rsid w:val="363475D8"/>
    <w:rsid w:val="36356EAC"/>
    <w:rsid w:val="363934B9"/>
    <w:rsid w:val="363B2715"/>
    <w:rsid w:val="363B44C3"/>
    <w:rsid w:val="363C023B"/>
    <w:rsid w:val="363D46DF"/>
    <w:rsid w:val="363E0998"/>
    <w:rsid w:val="363E2EB7"/>
    <w:rsid w:val="363E3FB3"/>
    <w:rsid w:val="363F1E28"/>
    <w:rsid w:val="36407D2B"/>
    <w:rsid w:val="36413AA3"/>
    <w:rsid w:val="36443918"/>
    <w:rsid w:val="36453593"/>
    <w:rsid w:val="36455341"/>
    <w:rsid w:val="364610BA"/>
    <w:rsid w:val="364705BA"/>
    <w:rsid w:val="364912B8"/>
    <w:rsid w:val="364A0BAA"/>
    <w:rsid w:val="364A0D37"/>
    <w:rsid w:val="364A2958"/>
    <w:rsid w:val="364A6DFC"/>
    <w:rsid w:val="364A6F3B"/>
    <w:rsid w:val="364D069A"/>
    <w:rsid w:val="364D41F6"/>
    <w:rsid w:val="364F4412"/>
    <w:rsid w:val="364F61C0"/>
    <w:rsid w:val="36541A28"/>
    <w:rsid w:val="365612FD"/>
    <w:rsid w:val="365732C7"/>
    <w:rsid w:val="36575075"/>
    <w:rsid w:val="36592B9B"/>
    <w:rsid w:val="365D08DD"/>
    <w:rsid w:val="365D6B2F"/>
    <w:rsid w:val="36603F29"/>
    <w:rsid w:val="36617CA1"/>
    <w:rsid w:val="36625EF3"/>
    <w:rsid w:val="36631C6B"/>
    <w:rsid w:val="36653B43"/>
    <w:rsid w:val="3667350A"/>
    <w:rsid w:val="36677BA4"/>
    <w:rsid w:val="366A124C"/>
    <w:rsid w:val="366A4DA8"/>
    <w:rsid w:val="366D4898"/>
    <w:rsid w:val="366F23BE"/>
    <w:rsid w:val="367125DA"/>
    <w:rsid w:val="36714388"/>
    <w:rsid w:val="36716136"/>
    <w:rsid w:val="3672205D"/>
    <w:rsid w:val="36723C5D"/>
    <w:rsid w:val="36730540"/>
    <w:rsid w:val="36753352"/>
    <w:rsid w:val="36767BF1"/>
    <w:rsid w:val="367774C5"/>
    <w:rsid w:val="36777699"/>
    <w:rsid w:val="36785717"/>
    <w:rsid w:val="367B360A"/>
    <w:rsid w:val="367B5207"/>
    <w:rsid w:val="367E499B"/>
    <w:rsid w:val="367F4CF7"/>
    <w:rsid w:val="36820344"/>
    <w:rsid w:val="368220F2"/>
    <w:rsid w:val="36844436"/>
    <w:rsid w:val="36851BE2"/>
    <w:rsid w:val="3687595A"/>
    <w:rsid w:val="368773DC"/>
    <w:rsid w:val="368816D2"/>
    <w:rsid w:val="36883480"/>
    <w:rsid w:val="368A544A"/>
    <w:rsid w:val="368C2F70"/>
    <w:rsid w:val="368C4D1E"/>
    <w:rsid w:val="368D0A96"/>
    <w:rsid w:val="368F0CB2"/>
    <w:rsid w:val="368F480F"/>
    <w:rsid w:val="36910587"/>
    <w:rsid w:val="369167D9"/>
    <w:rsid w:val="369462C9"/>
    <w:rsid w:val="36957375"/>
    <w:rsid w:val="36962041"/>
    <w:rsid w:val="36985DB9"/>
    <w:rsid w:val="369D13B4"/>
    <w:rsid w:val="369D517D"/>
    <w:rsid w:val="36A14B09"/>
    <w:rsid w:val="36A302BA"/>
    <w:rsid w:val="36A52284"/>
    <w:rsid w:val="36A63BA7"/>
    <w:rsid w:val="36A77DAA"/>
    <w:rsid w:val="36AA789A"/>
    <w:rsid w:val="36AC53C0"/>
    <w:rsid w:val="36AD2EE7"/>
    <w:rsid w:val="36B14785"/>
    <w:rsid w:val="36B424C7"/>
    <w:rsid w:val="36B44275"/>
    <w:rsid w:val="36B6623F"/>
    <w:rsid w:val="36B81FB7"/>
    <w:rsid w:val="36B85B13"/>
    <w:rsid w:val="36B9188B"/>
    <w:rsid w:val="36B97ADD"/>
    <w:rsid w:val="36BA3F15"/>
    <w:rsid w:val="36BA5D2F"/>
    <w:rsid w:val="36BB1AA7"/>
    <w:rsid w:val="36BE6EA2"/>
    <w:rsid w:val="36C070BE"/>
    <w:rsid w:val="36C1778B"/>
    <w:rsid w:val="36C24BE4"/>
    <w:rsid w:val="36C3270A"/>
    <w:rsid w:val="36C50230"/>
    <w:rsid w:val="36C721FA"/>
    <w:rsid w:val="36C97D20"/>
    <w:rsid w:val="36CA5847"/>
    <w:rsid w:val="36CC3FFE"/>
    <w:rsid w:val="36CE17DB"/>
    <w:rsid w:val="36D05553"/>
    <w:rsid w:val="36D13079"/>
    <w:rsid w:val="36D36DF1"/>
    <w:rsid w:val="36D6243D"/>
    <w:rsid w:val="36D93CDC"/>
    <w:rsid w:val="36D952F5"/>
    <w:rsid w:val="36DA1F2E"/>
    <w:rsid w:val="36DB4294"/>
    <w:rsid w:val="36DD1A1E"/>
    <w:rsid w:val="36DD37CC"/>
    <w:rsid w:val="36DF5796"/>
    <w:rsid w:val="36E25286"/>
    <w:rsid w:val="36E44B5A"/>
    <w:rsid w:val="36E451EC"/>
    <w:rsid w:val="36E7289C"/>
    <w:rsid w:val="36E7464B"/>
    <w:rsid w:val="36E763F9"/>
    <w:rsid w:val="36E83F1F"/>
    <w:rsid w:val="36E97D22"/>
    <w:rsid w:val="36EC3A0F"/>
    <w:rsid w:val="36EE7787"/>
    <w:rsid w:val="36EE77CC"/>
    <w:rsid w:val="36F020EC"/>
    <w:rsid w:val="36F079A3"/>
    <w:rsid w:val="36F11025"/>
    <w:rsid w:val="36F6488E"/>
    <w:rsid w:val="36FA4C34"/>
    <w:rsid w:val="36FB1DD0"/>
    <w:rsid w:val="36FD1B1F"/>
    <w:rsid w:val="36FD5C1C"/>
    <w:rsid w:val="370074BA"/>
    <w:rsid w:val="3701378C"/>
    <w:rsid w:val="37013E94"/>
    <w:rsid w:val="37036E21"/>
    <w:rsid w:val="37052D23"/>
    <w:rsid w:val="37066EE3"/>
    <w:rsid w:val="37074CED"/>
    <w:rsid w:val="37093A33"/>
    <w:rsid w:val="3709636F"/>
    <w:rsid w:val="370C40B1"/>
    <w:rsid w:val="370E1BD7"/>
    <w:rsid w:val="370F76FD"/>
    <w:rsid w:val="37117919"/>
    <w:rsid w:val="37133692"/>
    <w:rsid w:val="371371EE"/>
    <w:rsid w:val="37144D14"/>
    <w:rsid w:val="371511B8"/>
    <w:rsid w:val="3715740A"/>
    <w:rsid w:val="37160A8C"/>
    <w:rsid w:val="37184804"/>
    <w:rsid w:val="371A4A20"/>
    <w:rsid w:val="371A67CE"/>
    <w:rsid w:val="371B1451"/>
    <w:rsid w:val="371B60A2"/>
    <w:rsid w:val="371B7C79"/>
    <w:rsid w:val="371D006C"/>
    <w:rsid w:val="371D62BE"/>
    <w:rsid w:val="37227431"/>
    <w:rsid w:val="3723640B"/>
    <w:rsid w:val="372413FB"/>
    <w:rsid w:val="372907BF"/>
    <w:rsid w:val="37296A11"/>
    <w:rsid w:val="372B09DB"/>
    <w:rsid w:val="372B2789"/>
    <w:rsid w:val="372C4753"/>
    <w:rsid w:val="372C6501"/>
    <w:rsid w:val="372E4027"/>
    <w:rsid w:val="372F1B4E"/>
    <w:rsid w:val="373139DE"/>
    <w:rsid w:val="37317FA7"/>
    <w:rsid w:val="37321D6A"/>
    <w:rsid w:val="37335AE2"/>
    <w:rsid w:val="37337890"/>
    <w:rsid w:val="373830F8"/>
    <w:rsid w:val="37386C54"/>
    <w:rsid w:val="373D426B"/>
    <w:rsid w:val="373F44A3"/>
    <w:rsid w:val="373F7FE3"/>
    <w:rsid w:val="37403D5B"/>
    <w:rsid w:val="37422E24"/>
    <w:rsid w:val="37425D25"/>
    <w:rsid w:val="37427AD3"/>
    <w:rsid w:val="37441A9D"/>
    <w:rsid w:val="37463349"/>
    <w:rsid w:val="3747333B"/>
    <w:rsid w:val="3748158D"/>
    <w:rsid w:val="37490E61"/>
    <w:rsid w:val="374B2E2B"/>
    <w:rsid w:val="374B6987"/>
    <w:rsid w:val="374E0226"/>
    <w:rsid w:val="37500442"/>
    <w:rsid w:val="37515F68"/>
    <w:rsid w:val="37517D16"/>
    <w:rsid w:val="37531CE0"/>
    <w:rsid w:val="37533A8E"/>
    <w:rsid w:val="3756532C"/>
    <w:rsid w:val="375A6BCB"/>
    <w:rsid w:val="375C6DE7"/>
    <w:rsid w:val="375D2B5F"/>
    <w:rsid w:val="375D66BB"/>
    <w:rsid w:val="375E25FC"/>
    <w:rsid w:val="375F0685"/>
    <w:rsid w:val="37643EED"/>
    <w:rsid w:val="37647A49"/>
    <w:rsid w:val="376712E7"/>
    <w:rsid w:val="376C4B50"/>
    <w:rsid w:val="376C4DC8"/>
    <w:rsid w:val="376D0FF4"/>
    <w:rsid w:val="376D2DA2"/>
    <w:rsid w:val="376E08C8"/>
    <w:rsid w:val="376F3581"/>
    <w:rsid w:val="37734130"/>
    <w:rsid w:val="37735EDE"/>
    <w:rsid w:val="37737C8C"/>
    <w:rsid w:val="37753A04"/>
    <w:rsid w:val="37757EA8"/>
    <w:rsid w:val="377834F5"/>
    <w:rsid w:val="377A101B"/>
    <w:rsid w:val="377D6D5D"/>
    <w:rsid w:val="377E4FAF"/>
    <w:rsid w:val="377F0D27"/>
    <w:rsid w:val="378123A9"/>
    <w:rsid w:val="378325C5"/>
    <w:rsid w:val="3784633D"/>
    <w:rsid w:val="37865C12"/>
    <w:rsid w:val="37873738"/>
    <w:rsid w:val="37887BDC"/>
    <w:rsid w:val="378974B0"/>
    <w:rsid w:val="378B3228"/>
    <w:rsid w:val="378C0D4E"/>
    <w:rsid w:val="378D3F39"/>
    <w:rsid w:val="378E6859"/>
    <w:rsid w:val="3790083E"/>
    <w:rsid w:val="37904CE2"/>
    <w:rsid w:val="37906A90"/>
    <w:rsid w:val="37922808"/>
    <w:rsid w:val="379245B6"/>
    <w:rsid w:val="3793032E"/>
    <w:rsid w:val="37935F09"/>
    <w:rsid w:val="37936580"/>
    <w:rsid w:val="379540A7"/>
    <w:rsid w:val="37955E55"/>
    <w:rsid w:val="37976071"/>
    <w:rsid w:val="37977E1F"/>
    <w:rsid w:val="37985945"/>
    <w:rsid w:val="379876F3"/>
    <w:rsid w:val="379A790F"/>
    <w:rsid w:val="379E11AD"/>
    <w:rsid w:val="379F6CD3"/>
    <w:rsid w:val="37A30D30"/>
    <w:rsid w:val="37A34A15"/>
    <w:rsid w:val="37A662B4"/>
    <w:rsid w:val="37A74959"/>
    <w:rsid w:val="37A75B88"/>
    <w:rsid w:val="37A8202C"/>
    <w:rsid w:val="37A97B52"/>
    <w:rsid w:val="37AB1B1C"/>
    <w:rsid w:val="37AC3523"/>
    <w:rsid w:val="37AC6F17"/>
    <w:rsid w:val="37AD13F0"/>
    <w:rsid w:val="37AD7642"/>
    <w:rsid w:val="37B247C4"/>
    <w:rsid w:val="37B24C58"/>
    <w:rsid w:val="37B26A07"/>
    <w:rsid w:val="37B3452D"/>
    <w:rsid w:val="37B704C1"/>
    <w:rsid w:val="37B87D95"/>
    <w:rsid w:val="37B92F56"/>
    <w:rsid w:val="37BA1D5F"/>
    <w:rsid w:val="37BD53AB"/>
    <w:rsid w:val="37BE184F"/>
    <w:rsid w:val="37BE35FD"/>
    <w:rsid w:val="37C239D4"/>
    <w:rsid w:val="37C4673A"/>
    <w:rsid w:val="37C624B2"/>
    <w:rsid w:val="37C6686C"/>
    <w:rsid w:val="37C66C9B"/>
    <w:rsid w:val="37C7183E"/>
    <w:rsid w:val="37C93D50"/>
    <w:rsid w:val="37CB7AC8"/>
    <w:rsid w:val="37CD1A92"/>
    <w:rsid w:val="37CD3840"/>
    <w:rsid w:val="37CE1367"/>
    <w:rsid w:val="37CE30A6"/>
    <w:rsid w:val="37CE3CEC"/>
    <w:rsid w:val="37CE75B8"/>
    <w:rsid w:val="37D03331"/>
    <w:rsid w:val="37D350B8"/>
    <w:rsid w:val="37D42E21"/>
    <w:rsid w:val="37D44BCF"/>
    <w:rsid w:val="37D526F5"/>
    <w:rsid w:val="37D7646D"/>
    <w:rsid w:val="37D93D79"/>
    <w:rsid w:val="37DC7F27"/>
    <w:rsid w:val="37DD14F7"/>
    <w:rsid w:val="37DE37E1"/>
    <w:rsid w:val="37DE3C9F"/>
    <w:rsid w:val="37DE4F22"/>
    <w:rsid w:val="37DE5DFD"/>
    <w:rsid w:val="37DF17C6"/>
    <w:rsid w:val="37DF3574"/>
    <w:rsid w:val="37E1109A"/>
    <w:rsid w:val="37E33064"/>
    <w:rsid w:val="37E44E1D"/>
    <w:rsid w:val="37E666B0"/>
    <w:rsid w:val="37E80115"/>
    <w:rsid w:val="37E8067A"/>
    <w:rsid w:val="37E868CC"/>
    <w:rsid w:val="37E87464"/>
    <w:rsid w:val="37E961A0"/>
    <w:rsid w:val="37EB016A"/>
    <w:rsid w:val="37EB3CC7"/>
    <w:rsid w:val="37EB4955"/>
    <w:rsid w:val="37EB7C62"/>
    <w:rsid w:val="37EC2D24"/>
    <w:rsid w:val="37ED3EE3"/>
    <w:rsid w:val="37EE37B7"/>
    <w:rsid w:val="37F039D3"/>
    <w:rsid w:val="37F214F9"/>
    <w:rsid w:val="37F4701F"/>
    <w:rsid w:val="37F54B45"/>
    <w:rsid w:val="37FA03AE"/>
    <w:rsid w:val="37FA215C"/>
    <w:rsid w:val="37FB57F3"/>
    <w:rsid w:val="37FB65FF"/>
    <w:rsid w:val="37FC066A"/>
    <w:rsid w:val="37FD193B"/>
    <w:rsid w:val="37FE1C4C"/>
    <w:rsid w:val="37FF59C4"/>
    <w:rsid w:val="37FF7772"/>
    <w:rsid w:val="38005A2D"/>
    <w:rsid w:val="38010CA2"/>
    <w:rsid w:val="38016B7B"/>
    <w:rsid w:val="3801798E"/>
    <w:rsid w:val="38060B00"/>
    <w:rsid w:val="3809239F"/>
    <w:rsid w:val="380A2AAF"/>
    <w:rsid w:val="380B25BB"/>
    <w:rsid w:val="380D00E1"/>
    <w:rsid w:val="380D1430"/>
    <w:rsid w:val="380D6333"/>
    <w:rsid w:val="3810372D"/>
    <w:rsid w:val="38116670"/>
    <w:rsid w:val="381256F7"/>
    <w:rsid w:val="381476C1"/>
    <w:rsid w:val="38156F95"/>
    <w:rsid w:val="38190834"/>
    <w:rsid w:val="381C0324"/>
    <w:rsid w:val="381D69EA"/>
    <w:rsid w:val="381E409C"/>
    <w:rsid w:val="38207E14"/>
    <w:rsid w:val="382275F5"/>
    <w:rsid w:val="382316B2"/>
    <w:rsid w:val="38233460"/>
    <w:rsid w:val="3824073E"/>
    <w:rsid w:val="382519E9"/>
    <w:rsid w:val="382A0C93"/>
    <w:rsid w:val="382A2A41"/>
    <w:rsid w:val="382C4A0B"/>
    <w:rsid w:val="382D2531"/>
    <w:rsid w:val="382F62A9"/>
    <w:rsid w:val="38305B7D"/>
    <w:rsid w:val="38327B47"/>
    <w:rsid w:val="3834062E"/>
    <w:rsid w:val="383438BF"/>
    <w:rsid w:val="38353194"/>
    <w:rsid w:val="383733B0"/>
    <w:rsid w:val="38392C84"/>
    <w:rsid w:val="383A69FC"/>
    <w:rsid w:val="383B4C4E"/>
    <w:rsid w:val="383F08C7"/>
    <w:rsid w:val="38402264"/>
    <w:rsid w:val="384314FF"/>
    <w:rsid w:val="38431D54"/>
    <w:rsid w:val="38471845"/>
    <w:rsid w:val="38477E80"/>
    <w:rsid w:val="384B0C09"/>
    <w:rsid w:val="384B29B7"/>
    <w:rsid w:val="384C230F"/>
    <w:rsid w:val="384D4981"/>
    <w:rsid w:val="384E7C24"/>
    <w:rsid w:val="38545D10"/>
    <w:rsid w:val="38593326"/>
    <w:rsid w:val="385934F4"/>
    <w:rsid w:val="385C4BC4"/>
    <w:rsid w:val="385C6972"/>
    <w:rsid w:val="385E6B8E"/>
    <w:rsid w:val="38612E6D"/>
    <w:rsid w:val="3862667F"/>
    <w:rsid w:val="386341A5"/>
    <w:rsid w:val="38635F53"/>
    <w:rsid w:val="38641F79"/>
    <w:rsid w:val="3865167C"/>
    <w:rsid w:val="38651CCB"/>
    <w:rsid w:val="38653A79"/>
    <w:rsid w:val="38675A43"/>
    <w:rsid w:val="38683569"/>
    <w:rsid w:val="38685317"/>
    <w:rsid w:val="38691D8A"/>
    <w:rsid w:val="386A108F"/>
    <w:rsid w:val="386A46AA"/>
    <w:rsid w:val="386A72E1"/>
    <w:rsid w:val="386B4E07"/>
    <w:rsid w:val="386F708C"/>
    <w:rsid w:val="3870241E"/>
    <w:rsid w:val="3872162F"/>
    <w:rsid w:val="3872263A"/>
    <w:rsid w:val="38726196"/>
    <w:rsid w:val="38765C86"/>
    <w:rsid w:val="38787C50"/>
    <w:rsid w:val="38797524"/>
    <w:rsid w:val="387B329C"/>
    <w:rsid w:val="387B504A"/>
    <w:rsid w:val="387D1690"/>
    <w:rsid w:val="387F3FB0"/>
    <w:rsid w:val="388008B3"/>
    <w:rsid w:val="388114A1"/>
    <w:rsid w:val="3881462B"/>
    <w:rsid w:val="388163D9"/>
    <w:rsid w:val="388303A3"/>
    <w:rsid w:val="3885411B"/>
    <w:rsid w:val="388760E5"/>
    <w:rsid w:val="38887767"/>
    <w:rsid w:val="388A1731"/>
    <w:rsid w:val="388A6C7E"/>
    <w:rsid w:val="388A7983"/>
    <w:rsid w:val="388F4F35"/>
    <w:rsid w:val="38910F96"/>
    <w:rsid w:val="3891486E"/>
    <w:rsid w:val="38926838"/>
    <w:rsid w:val="38941AE2"/>
    <w:rsid w:val="3894756D"/>
    <w:rsid w:val="389600D6"/>
    <w:rsid w:val="389820A0"/>
    <w:rsid w:val="38983E4E"/>
    <w:rsid w:val="38995E18"/>
    <w:rsid w:val="38997BC6"/>
    <w:rsid w:val="389A3789"/>
    <w:rsid w:val="389B3DA9"/>
    <w:rsid w:val="389B56ED"/>
    <w:rsid w:val="389D0C7A"/>
    <w:rsid w:val="389E51DD"/>
    <w:rsid w:val="38A02D03"/>
    <w:rsid w:val="38A04AB1"/>
    <w:rsid w:val="38A071A7"/>
    <w:rsid w:val="38A24CCD"/>
    <w:rsid w:val="38A30A45"/>
    <w:rsid w:val="38A35F7C"/>
    <w:rsid w:val="38A722E3"/>
    <w:rsid w:val="38A74091"/>
    <w:rsid w:val="38A81BB8"/>
    <w:rsid w:val="38A8605B"/>
    <w:rsid w:val="38A860FF"/>
    <w:rsid w:val="38A905A2"/>
    <w:rsid w:val="38AD71CE"/>
    <w:rsid w:val="38B21A10"/>
    <w:rsid w:val="38B4055C"/>
    <w:rsid w:val="38B544F0"/>
    <w:rsid w:val="38B642D4"/>
    <w:rsid w:val="38B74689"/>
    <w:rsid w:val="38B95B73"/>
    <w:rsid w:val="38BB7B3D"/>
    <w:rsid w:val="38BD38B5"/>
    <w:rsid w:val="38C06F01"/>
    <w:rsid w:val="38C16934"/>
    <w:rsid w:val="38C56C0D"/>
    <w:rsid w:val="38C656ED"/>
    <w:rsid w:val="38C904AC"/>
    <w:rsid w:val="38CC1D4A"/>
    <w:rsid w:val="38CD161E"/>
    <w:rsid w:val="38CD7870"/>
    <w:rsid w:val="38CE7AA8"/>
    <w:rsid w:val="38CF183A"/>
    <w:rsid w:val="38D34E86"/>
    <w:rsid w:val="38D46E50"/>
    <w:rsid w:val="38D806EF"/>
    <w:rsid w:val="38DB01DF"/>
    <w:rsid w:val="38DD42D8"/>
    <w:rsid w:val="38DD49CB"/>
    <w:rsid w:val="38DD610C"/>
    <w:rsid w:val="38DE382B"/>
    <w:rsid w:val="38DE55D9"/>
    <w:rsid w:val="38DF4495"/>
    <w:rsid w:val="38E057F5"/>
    <w:rsid w:val="38E70932"/>
    <w:rsid w:val="38E726E0"/>
    <w:rsid w:val="38E76B84"/>
    <w:rsid w:val="38EF0E3E"/>
    <w:rsid w:val="38EF3C8A"/>
    <w:rsid w:val="38F413BC"/>
    <w:rsid w:val="38F44DFD"/>
    <w:rsid w:val="38F87A81"/>
    <w:rsid w:val="38FB17F8"/>
    <w:rsid w:val="38FB262F"/>
    <w:rsid w:val="38FD1F03"/>
    <w:rsid w:val="38FE5C7B"/>
    <w:rsid w:val="39033292"/>
    <w:rsid w:val="390414E4"/>
    <w:rsid w:val="39050DB8"/>
    <w:rsid w:val="39052747"/>
    <w:rsid w:val="390667A8"/>
    <w:rsid w:val="39072D82"/>
    <w:rsid w:val="390A63CE"/>
    <w:rsid w:val="390E43D8"/>
    <w:rsid w:val="390E5EBF"/>
    <w:rsid w:val="3914549F"/>
    <w:rsid w:val="3914724D"/>
    <w:rsid w:val="39161217"/>
    <w:rsid w:val="39186D3D"/>
    <w:rsid w:val="391A0D07"/>
    <w:rsid w:val="391A60AE"/>
    <w:rsid w:val="391D1E5E"/>
    <w:rsid w:val="391D4354"/>
    <w:rsid w:val="391F00CC"/>
    <w:rsid w:val="39203E44"/>
    <w:rsid w:val="392456E2"/>
    <w:rsid w:val="392751D2"/>
    <w:rsid w:val="3929719C"/>
    <w:rsid w:val="392C0A3B"/>
    <w:rsid w:val="392E030F"/>
    <w:rsid w:val="393022D9"/>
    <w:rsid w:val="39317DFF"/>
    <w:rsid w:val="39333B77"/>
    <w:rsid w:val="39334084"/>
    <w:rsid w:val="39386A66"/>
    <w:rsid w:val="393873DF"/>
    <w:rsid w:val="39396CB4"/>
    <w:rsid w:val="393A3157"/>
    <w:rsid w:val="393B0C7E"/>
    <w:rsid w:val="393B2A2C"/>
    <w:rsid w:val="393B53E7"/>
    <w:rsid w:val="394144E6"/>
    <w:rsid w:val="3942025E"/>
    <w:rsid w:val="39423DBA"/>
    <w:rsid w:val="39445D84"/>
    <w:rsid w:val="39455658"/>
    <w:rsid w:val="39475874"/>
    <w:rsid w:val="394915ED"/>
    <w:rsid w:val="394A0E7B"/>
    <w:rsid w:val="394A0EC1"/>
    <w:rsid w:val="394A2C6F"/>
    <w:rsid w:val="394E6C03"/>
    <w:rsid w:val="395476CF"/>
    <w:rsid w:val="39551D3F"/>
    <w:rsid w:val="39557F91"/>
    <w:rsid w:val="39565AB7"/>
    <w:rsid w:val="39574BC0"/>
    <w:rsid w:val="395A3541"/>
    <w:rsid w:val="395A7356"/>
    <w:rsid w:val="395C1320"/>
    <w:rsid w:val="396047E2"/>
    <w:rsid w:val="396106E4"/>
    <w:rsid w:val="39616936"/>
    <w:rsid w:val="39641F82"/>
    <w:rsid w:val="39691347"/>
    <w:rsid w:val="39697599"/>
    <w:rsid w:val="396C52DB"/>
    <w:rsid w:val="396E1053"/>
    <w:rsid w:val="39716BF7"/>
    <w:rsid w:val="397228F1"/>
    <w:rsid w:val="39754190"/>
    <w:rsid w:val="39761CB6"/>
    <w:rsid w:val="39783C80"/>
    <w:rsid w:val="397B7DFC"/>
    <w:rsid w:val="397F3DCC"/>
    <w:rsid w:val="39812B34"/>
    <w:rsid w:val="398268AC"/>
    <w:rsid w:val="3983100C"/>
    <w:rsid w:val="398356DD"/>
    <w:rsid w:val="39842625"/>
    <w:rsid w:val="398443D3"/>
    <w:rsid w:val="3985040B"/>
    <w:rsid w:val="39860BFD"/>
    <w:rsid w:val="39875C71"/>
    <w:rsid w:val="398919E9"/>
    <w:rsid w:val="398B39B3"/>
    <w:rsid w:val="398B5761"/>
    <w:rsid w:val="398E1D4E"/>
    <w:rsid w:val="398E6FFF"/>
    <w:rsid w:val="39904B26"/>
    <w:rsid w:val="39924D42"/>
    <w:rsid w:val="39934616"/>
    <w:rsid w:val="39942669"/>
    <w:rsid w:val="39987E7E"/>
    <w:rsid w:val="399A706C"/>
    <w:rsid w:val="399C171C"/>
    <w:rsid w:val="399D36E6"/>
    <w:rsid w:val="399E5C14"/>
    <w:rsid w:val="399F120C"/>
    <w:rsid w:val="39A16D33"/>
    <w:rsid w:val="39A20CFD"/>
    <w:rsid w:val="39A223D6"/>
    <w:rsid w:val="39A22AAB"/>
    <w:rsid w:val="39A27166"/>
    <w:rsid w:val="39A44A75"/>
    <w:rsid w:val="39A607ED"/>
    <w:rsid w:val="39A6259B"/>
    <w:rsid w:val="39AB5E03"/>
    <w:rsid w:val="39AB6D88"/>
    <w:rsid w:val="39AD3929"/>
    <w:rsid w:val="39AE5709"/>
    <w:rsid w:val="39B32F0A"/>
    <w:rsid w:val="39B822CE"/>
    <w:rsid w:val="39B8407C"/>
    <w:rsid w:val="39BA1BA2"/>
    <w:rsid w:val="39BA4298"/>
    <w:rsid w:val="39BA53ED"/>
    <w:rsid w:val="39BB29F6"/>
    <w:rsid w:val="39BB6428"/>
    <w:rsid w:val="39BC1DBE"/>
    <w:rsid w:val="39BC3B6C"/>
    <w:rsid w:val="39BC591B"/>
    <w:rsid w:val="39BF540B"/>
    <w:rsid w:val="39C04C70"/>
    <w:rsid w:val="39C11183"/>
    <w:rsid w:val="39C26CA9"/>
    <w:rsid w:val="39C3314D"/>
    <w:rsid w:val="39C72511"/>
    <w:rsid w:val="39CC345F"/>
    <w:rsid w:val="39CD7B28"/>
    <w:rsid w:val="39D013C6"/>
    <w:rsid w:val="39D13C2E"/>
    <w:rsid w:val="39D215E2"/>
    <w:rsid w:val="39D26F6B"/>
    <w:rsid w:val="39D27F2A"/>
    <w:rsid w:val="39D75DA5"/>
    <w:rsid w:val="39D76BF8"/>
    <w:rsid w:val="39D80976"/>
    <w:rsid w:val="39D8471E"/>
    <w:rsid w:val="39D92970"/>
    <w:rsid w:val="39DA0497"/>
    <w:rsid w:val="39DC7D6B"/>
    <w:rsid w:val="39DD3AE3"/>
    <w:rsid w:val="39DF5AAD"/>
    <w:rsid w:val="39DF785B"/>
    <w:rsid w:val="39E62997"/>
    <w:rsid w:val="39E66E3B"/>
    <w:rsid w:val="39E7589A"/>
    <w:rsid w:val="39E82BB3"/>
    <w:rsid w:val="39E906DA"/>
    <w:rsid w:val="39E92488"/>
    <w:rsid w:val="39EB26A4"/>
    <w:rsid w:val="39EC3D26"/>
    <w:rsid w:val="39ED01CA"/>
    <w:rsid w:val="39EE5CF0"/>
    <w:rsid w:val="39F12C9B"/>
    <w:rsid w:val="39F257E0"/>
    <w:rsid w:val="39F2758E"/>
    <w:rsid w:val="39F452CD"/>
    <w:rsid w:val="39F57E9E"/>
    <w:rsid w:val="39F74BA5"/>
    <w:rsid w:val="39F8681F"/>
    <w:rsid w:val="39F94DC1"/>
    <w:rsid w:val="39FC040D"/>
    <w:rsid w:val="39FD3703"/>
    <w:rsid w:val="39FF1CAB"/>
    <w:rsid w:val="39FF3A59"/>
    <w:rsid w:val="3A013C75"/>
    <w:rsid w:val="3A033549"/>
    <w:rsid w:val="3A045513"/>
    <w:rsid w:val="3A070624"/>
    <w:rsid w:val="3A080B60"/>
    <w:rsid w:val="3A092B2A"/>
    <w:rsid w:val="3A0B0650"/>
    <w:rsid w:val="3A0B68A2"/>
    <w:rsid w:val="3A0F3616"/>
    <w:rsid w:val="3A127C30"/>
    <w:rsid w:val="3A131A09"/>
    <w:rsid w:val="3A137505"/>
    <w:rsid w:val="3A1514CF"/>
    <w:rsid w:val="3A15327D"/>
    <w:rsid w:val="3A175247"/>
    <w:rsid w:val="3A176FF5"/>
    <w:rsid w:val="3A184B1B"/>
    <w:rsid w:val="3A185E09"/>
    <w:rsid w:val="3A1A0893"/>
    <w:rsid w:val="3A1C285D"/>
    <w:rsid w:val="3A1E4827"/>
    <w:rsid w:val="3A1E65D5"/>
    <w:rsid w:val="3A1F234D"/>
    <w:rsid w:val="3A211C22"/>
    <w:rsid w:val="3A231E3E"/>
    <w:rsid w:val="3A233BEC"/>
    <w:rsid w:val="3A241712"/>
    <w:rsid w:val="3A26189D"/>
    <w:rsid w:val="3A282FB0"/>
    <w:rsid w:val="3A287454"/>
    <w:rsid w:val="3A2A4F7A"/>
    <w:rsid w:val="3A2B2AA0"/>
    <w:rsid w:val="3A2B6F44"/>
    <w:rsid w:val="3A2D05C6"/>
    <w:rsid w:val="3A2F2590"/>
    <w:rsid w:val="3A306308"/>
    <w:rsid w:val="3A32526F"/>
    <w:rsid w:val="3A325BDD"/>
    <w:rsid w:val="3A331955"/>
    <w:rsid w:val="3A343EA1"/>
    <w:rsid w:val="3A35391F"/>
    <w:rsid w:val="3A3556CD"/>
    <w:rsid w:val="3A371445"/>
    <w:rsid w:val="3A3758E9"/>
    <w:rsid w:val="3A3835A6"/>
    <w:rsid w:val="3A396F6B"/>
    <w:rsid w:val="3A3B7187"/>
    <w:rsid w:val="3A3B7A62"/>
    <w:rsid w:val="3A40479E"/>
    <w:rsid w:val="3A410516"/>
    <w:rsid w:val="3A414072"/>
    <w:rsid w:val="3A440790"/>
    <w:rsid w:val="3A485400"/>
    <w:rsid w:val="3A4967B0"/>
    <w:rsid w:val="3A4B4EF0"/>
    <w:rsid w:val="3A4D0C68"/>
    <w:rsid w:val="3A4D2A17"/>
    <w:rsid w:val="3A4D6EBA"/>
    <w:rsid w:val="3A5151D4"/>
    <w:rsid w:val="3A5169AB"/>
    <w:rsid w:val="3A535928"/>
    <w:rsid w:val="3A541FF7"/>
    <w:rsid w:val="3A543DA5"/>
    <w:rsid w:val="3A573895"/>
    <w:rsid w:val="3A581B5A"/>
    <w:rsid w:val="3A5913BB"/>
    <w:rsid w:val="3A5A447A"/>
    <w:rsid w:val="3A5A5133"/>
    <w:rsid w:val="3A5C0EAC"/>
    <w:rsid w:val="3A5E2E76"/>
    <w:rsid w:val="3A6002EC"/>
    <w:rsid w:val="3A606BEE"/>
    <w:rsid w:val="3A614714"/>
    <w:rsid w:val="3A6164C2"/>
    <w:rsid w:val="3A63048C"/>
    <w:rsid w:val="3A655FB2"/>
    <w:rsid w:val="3A661D2A"/>
    <w:rsid w:val="3A667F7C"/>
    <w:rsid w:val="3A687850"/>
    <w:rsid w:val="3A695377"/>
    <w:rsid w:val="3A6F0BDF"/>
    <w:rsid w:val="3A6F6E31"/>
    <w:rsid w:val="3A713E42"/>
    <w:rsid w:val="3A7461F5"/>
    <w:rsid w:val="3A773F37"/>
    <w:rsid w:val="3A775CE5"/>
    <w:rsid w:val="3A7E38B2"/>
    <w:rsid w:val="3A7E52C6"/>
    <w:rsid w:val="3A7F4D05"/>
    <w:rsid w:val="3A800659"/>
    <w:rsid w:val="3A80103E"/>
    <w:rsid w:val="3A86417A"/>
    <w:rsid w:val="3A865F28"/>
    <w:rsid w:val="3A886145"/>
    <w:rsid w:val="3A8A3559"/>
    <w:rsid w:val="3A8A77C7"/>
    <w:rsid w:val="3A8B353F"/>
    <w:rsid w:val="3A8D375B"/>
    <w:rsid w:val="3A8D5509"/>
    <w:rsid w:val="3A8F302F"/>
    <w:rsid w:val="3A920D71"/>
    <w:rsid w:val="3A921CEB"/>
    <w:rsid w:val="3A940645"/>
    <w:rsid w:val="3A944AE9"/>
    <w:rsid w:val="3A96260F"/>
    <w:rsid w:val="3A9746CD"/>
    <w:rsid w:val="3A976388"/>
    <w:rsid w:val="3A9B5E78"/>
    <w:rsid w:val="3A9B7C26"/>
    <w:rsid w:val="3A9D4A5A"/>
    <w:rsid w:val="3AA12D62"/>
    <w:rsid w:val="3AA20FB4"/>
    <w:rsid w:val="3AA30888"/>
    <w:rsid w:val="3AA50AA5"/>
    <w:rsid w:val="3AA52853"/>
    <w:rsid w:val="3AA83F11"/>
    <w:rsid w:val="3AAA60BB"/>
    <w:rsid w:val="3AAD1707"/>
    <w:rsid w:val="3AAD7959"/>
    <w:rsid w:val="3AAF547F"/>
    <w:rsid w:val="3AB02FA5"/>
    <w:rsid w:val="3AB363F2"/>
    <w:rsid w:val="3AB42A96"/>
    <w:rsid w:val="3AB42FBD"/>
    <w:rsid w:val="3AB679A5"/>
    <w:rsid w:val="3AB72586"/>
    <w:rsid w:val="3AB900AC"/>
    <w:rsid w:val="3ABB3AC8"/>
    <w:rsid w:val="3ABC621B"/>
    <w:rsid w:val="3ABD5DEE"/>
    <w:rsid w:val="3AC0768C"/>
    <w:rsid w:val="3AC151B3"/>
    <w:rsid w:val="3AC52EF5"/>
    <w:rsid w:val="3AC56A51"/>
    <w:rsid w:val="3AC834FB"/>
    <w:rsid w:val="3AC84793"/>
    <w:rsid w:val="3ACA22B9"/>
    <w:rsid w:val="3ACC7DDF"/>
    <w:rsid w:val="3ACD1DA9"/>
    <w:rsid w:val="3ACD3B57"/>
    <w:rsid w:val="3ACF78CF"/>
    <w:rsid w:val="3AD13648"/>
    <w:rsid w:val="3AD15794"/>
    <w:rsid w:val="3AD35612"/>
    <w:rsid w:val="3AD42AB4"/>
    <w:rsid w:val="3AD44EE6"/>
    <w:rsid w:val="3AD55845"/>
    <w:rsid w:val="3AD56CC2"/>
    <w:rsid w:val="3AD62A0C"/>
    <w:rsid w:val="3AD64B5C"/>
    <w:rsid w:val="3AD82C28"/>
    <w:rsid w:val="3ADF112A"/>
    <w:rsid w:val="3ADF4668"/>
    <w:rsid w:val="3AE0388B"/>
    <w:rsid w:val="3AE25855"/>
    <w:rsid w:val="3AE570F3"/>
    <w:rsid w:val="3AE710BD"/>
    <w:rsid w:val="3AE72AE5"/>
    <w:rsid w:val="3AE72E6B"/>
    <w:rsid w:val="3AEA295B"/>
    <w:rsid w:val="3AEA4709"/>
    <w:rsid w:val="3AEA64B7"/>
    <w:rsid w:val="3AEA6D99"/>
    <w:rsid w:val="3AEC222F"/>
    <w:rsid w:val="3AEF66A6"/>
    <w:rsid w:val="3AF02707"/>
    <w:rsid w:val="3AF61300"/>
    <w:rsid w:val="3AFA0DF0"/>
    <w:rsid w:val="3AFB2473"/>
    <w:rsid w:val="3AFD268F"/>
    <w:rsid w:val="3AFD61EB"/>
    <w:rsid w:val="3AFE1F63"/>
    <w:rsid w:val="3B04743C"/>
    <w:rsid w:val="3B051543"/>
    <w:rsid w:val="3B052FDA"/>
    <w:rsid w:val="3B0532F1"/>
    <w:rsid w:val="3B057795"/>
    <w:rsid w:val="3B091033"/>
    <w:rsid w:val="3B0A0908"/>
    <w:rsid w:val="3B0C28D2"/>
    <w:rsid w:val="3B1479D8"/>
    <w:rsid w:val="3B1654FE"/>
    <w:rsid w:val="3B183024"/>
    <w:rsid w:val="3B1B0D67"/>
    <w:rsid w:val="3B1D2E67"/>
    <w:rsid w:val="3B1F0857"/>
    <w:rsid w:val="3B225C51"/>
    <w:rsid w:val="3B251BE5"/>
    <w:rsid w:val="3B253993"/>
    <w:rsid w:val="3B27770B"/>
    <w:rsid w:val="3B286FE0"/>
    <w:rsid w:val="3B293484"/>
    <w:rsid w:val="3B2A0FAA"/>
    <w:rsid w:val="3B2A6F08"/>
    <w:rsid w:val="3B2C4D22"/>
    <w:rsid w:val="3B2C6AD0"/>
    <w:rsid w:val="3B2D1219"/>
    <w:rsid w:val="3B2D43E9"/>
    <w:rsid w:val="3B2E0A9A"/>
    <w:rsid w:val="3B301EC0"/>
    <w:rsid w:val="3B331C0C"/>
    <w:rsid w:val="3B334302"/>
    <w:rsid w:val="3B3360B0"/>
    <w:rsid w:val="3B365BA1"/>
    <w:rsid w:val="3B3911ED"/>
    <w:rsid w:val="3B392F9B"/>
    <w:rsid w:val="3B3B6D13"/>
    <w:rsid w:val="3B3C613D"/>
    <w:rsid w:val="3B3D0CDD"/>
    <w:rsid w:val="3B3F4A55"/>
    <w:rsid w:val="3B4007CD"/>
    <w:rsid w:val="3B450469"/>
    <w:rsid w:val="3B455D5F"/>
    <w:rsid w:val="3B455DE4"/>
    <w:rsid w:val="3B457B92"/>
    <w:rsid w:val="3B470700"/>
    <w:rsid w:val="3B471B5C"/>
    <w:rsid w:val="3B4846E0"/>
    <w:rsid w:val="3B491430"/>
    <w:rsid w:val="3B497682"/>
    <w:rsid w:val="3B4A1BD1"/>
    <w:rsid w:val="3B4B164C"/>
    <w:rsid w:val="3B4C2CCE"/>
    <w:rsid w:val="3B5151A5"/>
    <w:rsid w:val="3B5322AF"/>
    <w:rsid w:val="3B547DD5"/>
    <w:rsid w:val="3B583D69"/>
    <w:rsid w:val="3B5953EB"/>
    <w:rsid w:val="3B5A063C"/>
    <w:rsid w:val="3B5B1163"/>
    <w:rsid w:val="3B5B5607"/>
    <w:rsid w:val="3B5B73B5"/>
    <w:rsid w:val="3B5E2A01"/>
    <w:rsid w:val="3B60677A"/>
    <w:rsid w:val="3B621599"/>
    <w:rsid w:val="3B626996"/>
    <w:rsid w:val="3B693880"/>
    <w:rsid w:val="3B6E0E96"/>
    <w:rsid w:val="3B6F0FCC"/>
    <w:rsid w:val="3B712735"/>
    <w:rsid w:val="3B714E2B"/>
    <w:rsid w:val="3B732951"/>
    <w:rsid w:val="3B7339AE"/>
    <w:rsid w:val="3B7364AD"/>
    <w:rsid w:val="3B73709B"/>
    <w:rsid w:val="3B742225"/>
    <w:rsid w:val="3B7566C9"/>
    <w:rsid w:val="3B775073"/>
    <w:rsid w:val="3B781D15"/>
    <w:rsid w:val="3B783AC3"/>
    <w:rsid w:val="3B7B1805"/>
    <w:rsid w:val="3B7C35D0"/>
    <w:rsid w:val="3B7D732B"/>
    <w:rsid w:val="3B7F48FF"/>
    <w:rsid w:val="3B81506E"/>
    <w:rsid w:val="3B824942"/>
    <w:rsid w:val="3B854432"/>
    <w:rsid w:val="3B860E72"/>
    <w:rsid w:val="3B8701AA"/>
    <w:rsid w:val="3B8706E3"/>
    <w:rsid w:val="3B911029"/>
    <w:rsid w:val="3B912DD7"/>
    <w:rsid w:val="3B914B85"/>
    <w:rsid w:val="3B9308FD"/>
    <w:rsid w:val="3B950B19"/>
    <w:rsid w:val="3B954675"/>
    <w:rsid w:val="3B974891"/>
    <w:rsid w:val="3B9956C9"/>
    <w:rsid w:val="3B997AE8"/>
    <w:rsid w:val="3B9A7EDD"/>
    <w:rsid w:val="3B9C3C56"/>
    <w:rsid w:val="3B9D177C"/>
    <w:rsid w:val="3B9D5C20"/>
    <w:rsid w:val="3B9F54F4"/>
    <w:rsid w:val="3BA26D92"/>
    <w:rsid w:val="3BA448B8"/>
    <w:rsid w:val="3BA64153"/>
    <w:rsid w:val="3BA65070"/>
    <w:rsid w:val="3BA66882"/>
    <w:rsid w:val="3BA743A8"/>
    <w:rsid w:val="3BA82A77"/>
    <w:rsid w:val="3BA90120"/>
    <w:rsid w:val="3BAB7ADE"/>
    <w:rsid w:val="3BAC5E63"/>
    <w:rsid w:val="3BAE3989"/>
    <w:rsid w:val="3BAE5737"/>
    <w:rsid w:val="3BB0325D"/>
    <w:rsid w:val="3BB05953"/>
    <w:rsid w:val="3BB865B6"/>
    <w:rsid w:val="3BBA16F5"/>
    <w:rsid w:val="3BBF5F54"/>
    <w:rsid w:val="3BC1546A"/>
    <w:rsid w:val="3BC431AC"/>
    <w:rsid w:val="3BC44324"/>
    <w:rsid w:val="3BC60CD2"/>
    <w:rsid w:val="3BC62A80"/>
    <w:rsid w:val="3BC907C3"/>
    <w:rsid w:val="3BCB453B"/>
    <w:rsid w:val="3BCC2061"/>
    <w:rsid w:val="3BCE402B"/>
    <w:rsid w:val="3BD05797"/>
    <w:rsid w:val="3BD11425"/>
    <w:rsid w:val="3BD31641"/>
    <w:rsid w:val="3BD3519D"/>
    <w:rsid w:val="3BD66A3C"/>
    <w:rsid w:val="3BDA141A"/>
    <w:rsid w:val="3BDA652C"/>
    <w:rsid w:val="3BDA6648"/>
    <w:rsid w:val="3BDC22A4"/>
    <w:rsid w:val="3BDC6748"/>
    <w:rsid w:val="3BDD601C"/>
    <w:rsid w:val="3BDF5A9B"/>
    <w:rsid w:val="3BE178BA"/>
    <w:rsid w:val="3BE473AB"/>
    <w:rsid w:val="3BE5414C"/>
    <w:rsid w:val="3BE61375"/>
    <w:rsid w:val="3BE70C49"/>
    <w:rsid w:val="3BEC625F"/>
    <w:rsid w:val="3BED2703"/>
    <w:rsid w:val="3BED44B1"/>
    <w:rsid w:val="3BEE0D20"/>
    <w:rsid w:val="3BEE1FD7"/>
    <w:rsid w:val="3BF03FA1"/>
    <w:rsid w:val="3BF07AFD"/>
    <w:rsid w:val="3BF21AC7"/>
    <w:rsid w:val="3BF375EE"/>
    <w:rsid w:val="3BF515B8"/>
    <w:rsid w:val="3BF770DE"/>
    <w:rsid w:val="3BF82E56"/>
    <w:rsid w:val="3BF910A8"/>
    <w:rsid w:val="3BF97BF5"/>
    <w:rsid w:val="3BFA097C"/>
    <w:rsid w:val="3BFF1CA5"/>
    <w:rsid w:val="3C0435A9"/>
    <w:rsid w:val="3C067321"/>
    <w:rsid w:val="3C0B0DDB"/>
    <w:rsid w:val="3C0B4937"/>
    <w:rsid w:val="3C0D4B53"/>
    <w:rsid w:val="3C0D6F0B"/>
    <w:rsid w:val="3C1001A0"/>
    <w:rsid w:val="3C1063F2"/>
    <w:rsid w:val="3C153A08"/>
    <w:rsid w:val="3C177780"/>
    <w:rsid w:val="3C177CC1"/>
    <w:rsid w:val="3C1852A6"/>
    <w:rsid w:val="3C1A2DCC"/>
    <w:rsid w:val="3C1A68AD"/>
    <w:rsid w:val="3C1A7270"/>
    <w:rsid w:val="3C1C1889"/>
    <w:rsid w:val="3C1E0B0E"/>
    <w:rsid w:val="3C1F02DB"/>
    <w:rsid w:val="3C1F03E3"/>
    <w:rsid w:val="3C1F6635"/>
    <w:rsid w:val="3C237ED3"/>
    <w:rsid w:val="3C242530"/>
    <w:rsid w:val="3C2459F9"/>
    <w:rsid w:val="3C261771"/>
    <w:rsid w:val="3C277297"/>
    <w:rsid w:val="3C2854E9"/>
    <w:rsid w:val="3C291261"/>
    <w:rsid w:val="3C2974B3"/>
    <w:rsid w:val="3C2D2547"/>
    <w:rsid w:val="3C2D2B00"/>
    <w:rsid w:val="3C2F4ACA"/>
    <w:rsid w:val="3C302DB0"/>
    <w:rsid w:val="3C30439E"/>
    <w:rsid w:val="3C304DE5"/>
    <w:rsid w:val="3C354BF6"/>
    <w:rsid w:val="3C3814A4"/>
    <w:rsid w:val="3C381E36"/>
    <w:rsid w:val="3C395948"/>
    <w:rsid w:val="3C3A521C"/>
    <w:rsid w:val="3C3E2F5F"/>
    <w:rsid w:val="3C3F0879"/>
    <w:rsid w:val="3C3F0A85"/>
    <w:rsid w:val="3C406CD7"/>
    <w:rsid w:val="3C4165AB"/>
    <w:rsid w:val="3C430575"/>
    <w:rsid w:val="3C451873"/>
    <w:rsid w:val="3C4936B2"/>
    <w:rsid w:val="3C4A1903"/>
    <w:rsid w:val="3C4B19ED"/>
    <w:rsid w:val="3C4D13F4"/>
    <w:rsid w:val="3C4E2A76"/>
    <w:rsid w:val="3C522566"/>
    <w:rsid w:val="3C53008C"/>
    <w:rsid w:val="3C5349E3"/>
    <w:rsid w:val="3C544530"/>
    <w:rsid w:val="3C584678"/>
    <w:rsid w:val="3C58684F"/>
    <w:rsid w:val="3C5938F5"/>
    <w:rsid w:val="3C597D99"/>
    <w:rsid w:val="3C5A58BF"/>
    <w:rsid w:val="3C5B7DA1"/>
    <w:rsid w:val="3C5C5193"/>
    <w:rsid w:val="3C5E0F0B"/>
    <w:rsid w:val="3C5F4C83"/>
    <w:rsid w:val="3C61334E"/>
    <w:rsid w:val="3C616C4D"/>
    <w:rsid w:val="3C6329C5"/>
    <w:rsid w:val="3C634773"/>
    <w:rsid w:val="3C650E53"/>
    <w:rsid w:val="3C683B38"/>
    <w:rsid w:val="3C687FDC"/>
    <w:rsid w:val="3C6B7ACC"/>
    <w:rsid w:val="3C6F136A"/>
    <w:rsid w:val="3C6F3118"/>
    <w:rsid w:val="3C706E90"/>
    <w:rsid w:val="3C71415E"/>
    <w:rsid w:val="3C7249B6"/>
    <w:rsid w:val="3C74072E"/>
    <w:rsid w:val="3C746980"/>
    <w:rsid w:val="3C7A386B"/>
    <w:rsid w:val="3C7B7D0F"/>
    <w:rsid w:val="3C7C5C4A"/>
    <w:rsid w:val="3C7F0E81"/>
    <w:rsid w:val="3C812E4B"/>
    <w:rsid w:val="3C834E15"/>
    <w:rsid w:val="3C835B1D"/>
    <w:rsid w:val="3C8446EA"/>
    <w:rsid w:val="3C88242C"/>
    <w:rsid w:val="3C8A61A4"/>
    <w:rsid w:val="3C905633"/>
    <w:rsid w:val="3C940DD1"/>
    <w:rsid w:val="3C94492D"/>
    <w:rsid w:val="3C9506A5"/>
    <w:rsid w:val="3C9568F7"/>
    <w:rsid w:val="3C964B49"/>
    <w:rsid w:val="3C97266F"/>
    <w:rsid w:val="3C976976"/>
    <w:rsid w:val="3C9963E7"/>
    <w:rsid w:val="3C9B215F"/>
    <w:rsid w:val="3C9C1A33"/>
    <w:rsid w:val="3C9C5ED7"/>
    <w:rsid w:val="3C9E39FD"/>
    <w:rsid w:val="3CA134EE"/>
    <w:rsid w:val="3CA1704A"/>
    <w:rsid w:val="3CA3132A"/>
    <w:rsid w:val="3CA628B2"/>
    <w:rsid w:val="3CA8487C"/>
    <w:rsid w:val="3CA8662A"/>
    <w:rsid w:val="3CAA05F4"/>
    <w:rsid w:val="3CAB1C76"/>
    <w:rsid w:val="3CAB7EC8"/>
    <w:rsid w:val="3CAD1E92"/>
    <w:rsid w:val="3CAF1767"/>
    <w:rsid w:val="3CB054DF"/>
    <w:rsid w:val="3CB11983"/>
    <w:rsid w:val="3CB2202B"/>
    <w:rsid w:val="3CB23005"/>
    <w:rsid w:val="3CB4494B"/>
    <w:rsid w:val="3CB44FCF"/>
    <w:rsid w:val="3CB46D7D"/>
    <w:rsid w:val="3CB66F99"/>
    <w:rsid w:val="3CB90837"/>
    <w:rsid w:val="3CBB1C4D"/>
    <w:rsid w:val="3CBB45AF"/>
    <w:rsid w:val="3CBB635D"/>
    <w:rsid w:val="3CBD0327"/>
    <w:rsid w:val="3CBE19AA"/>
    <w:rsid w:val="3CBE7BFC"/>
    <w:rsid w:val="3CC50F8A"/>
    <w:rsid w:val="3CC61931"/>
    <w:rsid w:val="3CC80A7A"/>
    <w:rsid w:val="3CC82828"/>
    <w:rsid w:val="3CCA034E"/>
    <w:rsid w:val="3CCD42E3"/>
    <w:rsid w:val="3CCD6091"/>
    <w:rsid w:val="3CCD6C33"/>
    <w:rsid w:val="3CCD7E3F"/>
    <w:rsid w:val="3CD13DD3"/>
    <w:rsid w:val="3CD236A7"/>
    <w:rsid w:val="3CD25A93"/>
    <w:rsid w:val="3CD70CBD"/>
    <w:rsid w:val="3CD71D43"/>
    <w:rsid w:val="3CD92C87"/>
    <w:rsid w:val="3CDB07AE"/>
    <w:rsid w:val="3CDC62D4"/>
    <w:rsid w:val="3CDE204C"/>
    <w:rsid w:val="3CE04016"/>
    <w:rsid w:val="3CE33B06"/>
    <w:rsid w:val="3CE5162C"/>
    <w:rsid w:val="3CE533DA"/>
    <w:rsid w:val="3CE60F00"/>
    <w:rsid w:val="3CE753A4"/>
    <w:rsid w:val="3CEC2496"/>
    <w:rsid w:val="3CEC29BB"/>
    <w:rsid w:val="3CED04E1"/>
    <w:rsid w:val="3CEF4259"/>
    <w:rsid w:val="3CF03B2D"/>
    <w:rsid w:val="3CF208B5"/>
    <w:rsid w:val="3CF278A5"/>
    <w:rsid w:val="3CF33D49"/>
    <w:rsid w:val="3CF4186F"/>
    <w:rsid w:val="3CF67395"/>
    <w:rsid w:val="3CF74EBC"/>
    <w:rsid w:val="3CF81BEF"/>
    <w:rsid w:val="3CF950D8"/>
    <w:rsid w:val="3CF96E86"/>
    <w:rsid w:val="3D006466"/>
    <w:rsid w:val="3D025872"/>
    <w:rsid w:val="3D0575D8"/>
    <w:rsid w:val="3D0777F5"/>
    <w:rsid w:val="3D08531B"/>
    <w:rsid w:val="3D09356D"/>
    <w:rsid w:val="3D0A1093"/>
    <w:rsid w:val="3D0A4004"/>
    <w:rsid w:val="3D0C0967"/>
    <w:rsid w:val="3D0D46DF"/>
    <w:rsid w:val="3D0E0B83"/>
    <w:rsid w:val="3D0F0457"/>
    <w:rsid w:val="3D0F2205"/>
    <w:rsid w:val="3D103642"/>
    <w:rsid w:val="3D1141CF"/>
    <w:rsid w:val="3D136199"/>
    <w:rsid w:val="3D141F11"/>
    <w:rsid w:val="3D151117"/>
    <w:rsid w:val="3D160A12"/>
    <w:rsid w:val="3D163CE8"/>
    <w:rsid w:val="3D167A38"/>
    <w:rsid w:val="3D1837B0"/>
    <w:rsid w:val="3D197528"/>
    <w:rsid w:val="3D1B504E"/>
    <w:rsid w:val="3D1C4922"/>
    <w:rsid w:val="3D1D2B74"/>
    <w:rsid w:val="3D1E069A"/>
    <w:rsid w:val="3D202664"/>
    <w:rsid w:val="3D251A29"/>
    <w:rsid w:val="3D255ECD"/>
    <w:rsid w:val="3D2739F3"/>
    <w:rsid w:val="3D2959BD"/>
    <w:rsid w:val="3D2C2DB7"/>
    <w:rsid w:val="3D2C725B"/>
    <w:rsid w:val="3D2F28A7"/>
    <w:rsid w:val="3D3103CE"/>
    <w:rsid w:val="3D374762"/>
    <w:rsid w:val="3D3954D4"/>
    <w:rsid w:val="3D3B56F0"/>
    <w:rsid w:val="3D3E0D3C"/>
    <w:rsid w:val="3D430101"/>
    <w:rsid w:val="3D474095"/>
    <w:rsid w:val="3D477BF1"/>
    <w:rsid w:val="3D483FA5"/>
    <w:rsid w:val="3D4A1496"/>
    <w:rsid w:val="3D4C16AB"/>
    <w:rsid w:val="3D4C7A21"/>
    <w:rsid w:val="3D534B43"/>
    <w:rsid w:val="3D5567B2"/>
    <w:rsid w:val="3D566086"/>
    <w:rsid w:val="3D580F1D"/>
    <w:rsid w:val="3D5B18EE"/>
    <w:rsid w:val="3D5B369C"/>
    <w:rsid w:val="3D5C5080"/>
    <w:rsid w:val="3D5D7415"/>
    <w:rsid w:val="3D5F396D"/>
    <w:rsid w:val="3D622C7D"/>
    <w:rsid w:val="3D6407A3"/>
    <w:rsid w:val="3D6469F5"/>
    <w:rsid w:val="3D65276D"/>
    <w:rsid w:val="3D672041"/>
    <w:rsid w:val="3D69400B"/>
    <w:rsid w:val="3D6A1B31"/>
    <w:rsid w:val="3D6C58AA"/>
    <w:rsid w:val="3D6C7658"/>
    <w:rsid w:val="3D6E1622"/>
    <w:rsid w:val="3D6F0EF6"/>
    <w:rsid w:val="3D6F7148"/>
    <w:rsid w:val="3D736C38"/>
    <w:rsid w:val="3D737BDD"/>
    <w:rsid w:val="3D756212"/>
    <w:rsid w:val="3D7604D6"/>
    <w:rsid w:val="3D7824A0"/>
    <w:rsid w:val="3D791D75"/>
    <w:rsid w:val="3D7D39C5"/>
    <w:rsid w:val="3D7E738B"/>
    <w:rsid w:val="3D801355"/>
    <w:rsid w:val="3D8153C7"/>
    <w:rsid w:val="3D8175A7"/>
    <w:rsid w:val="3D835E7B"/>
    <w:rsid w:val="3D841627"/>
    <w:rsid w:val="3D850719"/>
    <w:rsid w:val="3D85696B"/>
    <w:rsid w:val="3D8A5D30"/>
    <w:rsid w:val="3D8C1AA8"/>
    <w:rsid w:val="3D8E52AA"/>
    <w:rsid w:val="3D8F1598"/>
    <w:rsid w:val="3D8F3346"/>
    <w:rsid w:val="3D8F5D97"/>
    <w:rsid w:val="3D8F6979"/>
    <w:rsid w:val="3D931088"/>
    <w:rsid w:val="3D934BE4"/>
    <w:rsid w:val="3D954E00"/>
    <w:rsid w:val="3D965BA7"/>
    <w:rsid w:val="3D9B1CEB"/>
    <w:rsid w:val="3D9D1F07"/>
    <w:rsid w:val="3D9F17DB"/>
    <w:rsid w:val="3D9F5C7F"/>
    <w:rsid w:val="3DA07301"/>
    <w:rsid w:val="3DA212CB"/>
    <w:rsid w:val="3DA70690"/>
    <w:rsid w:val="3DA94B3F"/>
    <w:rsid w:val="3DAA0180"/>
    <w:rsid w:val="3DAB21A5"/>
    <w:rsid w:val="3DAC214A"/>
    <w:rsid w:val="3DAC5CA6"/>
    <w:rsid w:val="3DAD538C"/>
    <w:rsid w:val="3DAE5EC2"/>
    <w:rsid w:val="3DB1150E"/>
    <w:rsid w:val="3DB3369B"/>
    <w:rsid w:val="3DB35286"/>
    <w:rsid w:val="3DB37034"/>
    <w:rsid w:val="3DB64D77"/>
    <w:rsid w:val="3DB66B25"/>
    <w:rsid w:val="3DB8289D"/>
    <w:rsid w:val="3DBB238D"/>
    <w:rsid w:val="3DBB413B"/>
    <w:rsid w:val="3DBB7014"/>
    <w:rsid w:val="3DBC05DF"/>
    <w:rsid w:val="3DBD6389"/>
    <w:rsid w:val="3DBF6CA9"/>
    <w:rsid w:val="3DC54FD5"/>
    <w:rsid w:val="3DC56D68"/>
    <w:rsid w:val="3DC6580E"/>
    <w:rsid w:val="3DC76F84"/>
    <w:rsid w:val="3DC94AAA"/>
    <w:rsid w:val="3DC97D5B"/>
    <w:rsid w:val="3DCC459A"/>
    <w:rsid w:val="3DD07BE6"/>
    <w:rsid w:val="3DD1395F"/>
    <w:rsid w:val="3DD23C8F"/>
    <w:rsid w:val="3DD52610"/>
    <w:rsid w:val="3DD551FD"/>
    <w:rsid w:val="3DD658FA"/>
    <w:rsid w:val="3DD80F91"/>
    <w:rsid w:val="3DD86A9B"/>
    <w:rsid w:val="3DDA6CB7"/>
    <w:rsid w:val="3DDC2A2F"/>
    <w:rsid w:val="3DDC47DD"/>
    <w:rsid w:val="3DDD0DA2"/>
    <w:rsid w:val="3DDD7661"/>
    <w:rsid w:val="3DDF42CD"/>
    <w:rsid w:val="3DE03BA2"/>
    <w:rsid w:val="3DE10046"/>
    <w:rsid w:val="3DE6740A"/>
    <w:rsid w:val="3DE74F30"/>
    <w:rsid w:val="3DE827B4"/>
    <w:rsid w:val="3DE852DB"/>
    <w:rsid w:val="3DE9514C"/>
    <w:rsid w:val="3DEC2546"/>
    <w:rsid w:val="3DEE2762"/>
    <w:rsid w:val="3DEE62BF"/>
    <w:rsid w:val="3DF064DB"/>
    <w:rsid w:val="3DF15DAF"/>
    <w:rsid w:val="3DF24001"/>
    <w:rsid w:val="3DF31B27"/>
    <w:rsid w:val="3DF71617"/>
    <w:rsid w:val="3DF956F9"/>
    <w:rsid w:val="3DFA0F57"/>
    <w:rsid w:val="3DFB2BEA"/>
    <w:rsid w:val="3DFC4E7F"/>
    <w:rsid w:val="3DFC6C2D"/>
    <w:rsid w:val="3DFF227A"/>
    <w:rsid w:val="3DFF413C"/>
    <w:rsid w:val="3DFF671E"/>
    <w:rsid w:val="3E0029FB"/>
    <w:rsid w:val="3E021D6A"/>
    <w:rsid w:val="3E063608"/>
    <w:rsid w:val="3E077380"/>
    <w:rsid w:val="3E09134A"/>
    <w:rsid w:val="3E093E6C"/>
    <w:rsid w:val="3E096DD0"/>
    <w:rsid w:val="3E0B50C2"/>
    <w:rsid w:val="3E0C2BE9"/>
    <w:rsid w:val="3E104487"/>
    <w:rsid w:val="3E116551"/>
    <w:rsid w:val="3E1A5306"/>
    <w:rsid w:val="3E1A6173"/>
    <w:rsid w:val="3E1B14D0"/>
    <w:rsid w:val="3E1C3664"/>
    <w:rsid w:val="3E1C65F6"/>
    <w:rsid w:val="3E1D0952"/>
    <w:rsid w:val="3E1F0B55"/>
    <w:rsid w:val="3E1F46CA"/>
    <w:rsid w:val="3E241CE0"/>
    <w:rsid w:val="3E261EFC"/>
    <w:rsid w:val="3E297EBD"/>
    <w:rsid w:val="3E2A5C68"/>
    <w:rsid w:val="3E2B0588"/>
    <w:rsid w:val="3E2E5F95"/>
    <w:rsid w:val="3E315B3B"/>
    <w:rsid w:val="3E3208A1"/>
    <w:rsid w:val="3E353EED"/>
    <w:rsid w:val="3E391C30"/>
    <w:rsid w:val="3E39336E"/>
    <w:rsid w:val="3E3942CD"/>
    <w:rsid w:val="3E3A1504"/>
    <w:rsid w:val="3E3C34CE"/>
    <w:rsid w:val="3E3F2FBE"/>
    <w:rsid w:val="3E3F4D6C"/>
    <w:rsid w:val="3E436F11"/>
    <w:rsid w:val="3E442382"/>
    <w:rsid w:val="3E444130"/>
    <w:rsid w:val="3E467EA9"/>
    <w:rsid w:val="3E495BEB"/>
    <w:rsid w:val="3E4B1963"/>
    <w:rsid w:val="3E4D1942"/>
    <w:rsid w:val="3E4E5573"/>
    <w:rsid w:val="3E500D27"/>
    <w:rsid w:val="3E506F79"/>
    <w:rsid w:val="3E540ED5"/>
    <w:rsid w:val="3E5537F5"/>
    <w:rsid w:val="3E55633E"/>
    <w:rsid w:val="3E573E64"/>
    <w:rsid w:val="3E584BA3"/>
    <w:rsid w:val="3E594080"/>
    <w:rsid w:val="3E5A3954"/>
    <w:rsid w:val="3E5C76CC"/>
    <w:rsid w:val="3E5E3417"/>
    <w:rsid w:val="3E5E3444"/>
    <w:rsid w:val="3E630A5B"/>
    <w:rsid w:val="3E636CAD"/>
    <w:rsid w:val="3E670A47"/>
    <w:rsid w:val="3E682515"/>
    <w:rsid w:val="3E693B97"/>
    <w:rsid w:val="3E6B790F"/>
    <w:rsid w:val="3E6C6EAB"/>
    <w:rsid w:val="3E6E464D"/>
    <w:rsid w:val="3E6F38A3"/>
    <w:rsid w:val="3E6F5651"/>
    <w:rsid w:val="3E7013C9"/>
    <w:rsid w:val="3E720C9E"/>
    <w:rsid w:val="3E725142"/>
    <w:rsid w:val="3E726EF0"/>
    <w:rsid w:val="3E740EBA"/>
    <w:rsid w:val="3E75078E"/>
    <w:rsid w:val="3E75253C"/>
    <w:rsid w:val="3E7762B4"/>
    <w:rsid w:val="3E79027E"/>
    <w:rsid w:val="3E7A4080"/>
    <w:rsid w:val="3E7A5DA4"/>
    <w:rsid w:val="3E7C38CA"/>
    <w:rsid w:val="3E7D6690"/>
    <w:rsid w:val="3E7E5894"/>
    <w:rsid w:val="3E7F160D"/>
    <w:rsid w:val="3E8135D7"/>
    <w:rsid w:val="3E817133"/>
    <w:rsid w:val="3E8310FD"/>
    <w:rsid w:val="3E834C59"/>
    <w:rsid w:val="3E8409D1"/>
    <w:rsid w:val="3E85224B"/>
    <w:rsid w:val="3E862623"/>
    <w:rsid w:val="3E86299B"/>
    <w:rsid w:val="3E864749"/>
    <w:rsid w:val="3E873AB3"/>
    <w:rsid w:val="3E886713"/>
    <w:rsid w:val="3E8B1D5F"/>
    <w:rsid w:val="3E8B6203"/>
    <w:rsid w:val="3E8E35FE"/>
    <w:rsid w:val="3E8F1850"/>
    <w:rsid w:val="3E946E66"/>
    <w:rsid w:val="3E952BDE"/>
    <w:rsid w:val="3E9B1F29"/>
    <w:rsid w:val="3E9E1A93"/>
    <w:rsid w:val="3E9F5A75"/>
    <w:rsid w:val="3EA3328C"/>
    <w:rsid w:val="3EA370A9"/>
    <w:rsid w:val="3EA42E21"/>
    <w:rsid w:val="3EA51073"/>
    <w:rsid w:val="3EAB2402"/>
    <w:rsid w:val="3EAD7F28"/>
    <w:rsid w:val="3EAF182F"/>
    <w:rsid w:val="3EAF1EF2"/>
    <w:rsid w:val="3EB017C6"/>
    <w:rsid w:val="3EB07A18"/>
    <w:rsid w:val="3EB3014F"/>
    <w:rsid w:val="3EB412B6"/>
    <w:rsid w:val="3EB47508"/>
    <w:rsid w:val="3EB63280"/>
    <w:rsid w:val="3EB70DA6"/>
    <w:rsid w:val="3EB72B54"/>
    <w:rsid w:val="3EBA43F3"/>
    <w:rsid w:val="3EBA4F51"/>
    <w:rsid w:val="3EBC63BD"/>
    <w:rsid w:val="3EBE2135"/>
    <w:rsid w:val="3EC11C25"/>
    <w:rsid w:val="3EC139D3"/>
    <w:rsid w:val="3EC413AC"/>
    <w:rsid w:val="3EC534C3"/>
    <w:rsid w:val="3EC82FB3"/>
    <w:rsid w:val="3EC84D62"/>
    <w:rsid w:val="3EC90660"/>
    <w:rsid w:val="3ECB4852"/>
    <w:rsid w:val="3ECD05CA"/>
    <w:rsid w:val="3ECF0E18"/>
    <w:rsid w:val="3ECF4342"/>
    <w:rsid w:val="3ED3772C"/>
    <w:rsid w:val="3ED41958"/>
    <w:rsid w:val="3ED454B4"/>
    <w:rsid w:val="3ED656D0"/>
    <w:rsid w:val="3ED74FA5"/>
    <w:rsid w:val="3ED94A9B"/>
    <w:rsid w:val="3ED96F6F"/>
    <w:rsid w:val="3EDB2CE7"/>
    <w:rsid w:val="3EDC080D"/>
    <w:rsid w:val="3EDE6333"/>
    <w:rsid w:val="3EE31B9B"/>
    <w:rsid w:val="3EE33949"/>
    <w:rsid w:val="3EE41BAE"/>
    <w:rsid w:val="3EE55913"/>
    <w:rsid w:val="3EE576C2"/>
    <w:rsid w:val="3EE6168C"/>
    <w:rsid w:val="3EE651E8"/>
    <w:rsid w:val="3EE80F60"/>
    <w:rsid w:val="3EEB52E2"/>
    <w:rsid w:val="3EEC6CA2"/>
    <w:rsid w:val="3EED47C8"/>
    <w:rsid w:val="3EED6576"/>
    <w:rsid w:val="3EEE458E"/>
    <w:rsid w:val="3EF06066"/>
    <w:rsid w:val="3EF1250A"/>
    <w:rsid w:val="3EF21DDE"/>
    <w:rsid w:val="3EF45B57"/>
    <w:rsid w:val="3EF913BF"/>
    <w:rsid w:val="3EFB5137"/>
    <w:rsid w:val="3EFC7E35"/>
    <w:rsid w:val="3EFD0EAF"/>
    <w:rsid w:val="3F00274D"/>
    <w:rsid w:val="3F0044FB"/>
    <w:rsid w:val="3F033FEC"/>
    <w:rsid w:val="3F047A57"/>
    <w:rsid w:val="3F0538C0"/>
    <w:rsid w:val="3F082449"/>
    <w:rsid w:val="3F087854"/>
    <w:rsid w:val="3F12422F"/>
    <w:rsid w:val="3F152FAD"/>
    <w:rsid w:val="3F1827B0"/>
    <w:rsid w:val="3F19380F"/>
    <w:rsid w:val="3F1A5776"/>
    <w:rsid w:val="3F1B1335"/>
    <w:rsid w:val="3F1B5FEF"/>
    <w:rsid w:val="3F1C50AD"/>
    <w:rsid w:val="3F1E2BD3"/>
    <w:rsid w:val="3F1E4982"/>
    <w:rsid w:val="3F214472"/>
    <w:rsid w:val="3F2301EA"/>
    <w:rsid w:val="3F23468E"/>
    <w:rsid w:val="3F2504D1"/>
    <w:rsid w:val="3F283A52"/>
    <w:rsid w:val="3F2A1578"/>
    <w:rsid w:val="3F2A5A1C"/>
    <w:rsid w:val="3F2B709E"/>
    <w:rsid w:val="3F2D1069"/>
    <w:rsid w:val="3F2E4ADC"/>
    <w:rsid w:val="3F2F6B8F"/>
    <w:rsid w:val="3F312798"/>
    <w:rsid w:val="3F32553B"/>
    <w:rsid w:val="3F340649"/>
    <w:rsid w:val="3F381EE7"/>
    <w:rsid w:val="3F395C5F"/>
    <w:rsid w:val="3F3B3785"/>
    <w:rsid w:val="3F3C12AC"/>
    <w:rsid w:val="3F3C6758"/>
    <w:rsid w:val="3F3E5024"/>
    <w:rsid w:val="3F406FEE"/>
    <w:rsid w:val="3F424B14"/>
    <w:rsid w:val="3F4404BC"/>
    <w:rsid w:val="3F444EEA"/>
    <w:rsid w:val="3F44662B"/>
    <w:rsid w:val="3F446ADE"/>
    <w:rsid w:val="3F4723DB"/>
    <w:rsid w:val="3F473ED8"/>
    <w:rsid w:val="3F485EA2"/>
    <w:rsid w:val="3F4871AE"/>
    <w:rsid w:val="3F4940F4"/>
    <w:rsid w:val="3F4A39C9"/>
    <w:rsid w:val="3F4A5777"/>
    <w:rsid w:val="3F4C5993"/>
    <w:rsid w:val="3F4C624D"/>
    <w:rsid w:val="3F4D34B9"/>
    <w:rsid w:val="3F4D5267"/>
    <w:rsid w:val="3F4F0FDF"/>
    <w:rsid w:val="3F542A99"/>
    <w:rsid w:val="3F593C0C"/>
    <w:rsid w:val="3F5B1CE1"/>
    <w:rsid w:val="3F5B3E28"/>
    <w:rsid w:val="3F5D7BA0"/>
    <w:rsid w:val="3F6031EC"/>
    <w:rsid w:val="3F620D12"/>
    <w:rsid w:val="3F6251B6"/>
    <w:rsid w:val="3F626F64"/>
    <w:rsid w:val="3F636838"/>
    <w:rsid w:val="3F6525B0"/>
    <w:rsid w:val="3F666DF4"/>
    <w:rsid w:val="3F67457A"/>
    <w:rsid w:val="3F6820A1"/>
    <w:rsid w:val="3F696545"/>
    <w:rsid w:val="3F6A5E19"/>
    <w:rsid w:val="3F6B6A04"/>
    <w:rsid w:val="3F6F15E7"/>
    <w:rsid w:val="3F6F51DD"/>
    <w:rsid w:val="3F7153F9"/>
    <w:rsid w:val="3F740A45"/>
    <w:rsid w:val="3F760C61"/>
    <w:rsid w:val="3F7647BE"/>
    <w:rsid w:val="3F77294A"/>
    <w:rsid w:val="3F7C607C"/>
    <w:rsid w:val="3F7D4F2E"/>
    <w:rsid w:val="3F7D5B4C"/>
    <w:rsid w:val="3F7E7C4C"/>
    <w:rsid w:val="3F7F729E"/>
    <w:rsid w:val="3F80388E"/>
    <w:rsid w:val="3F80563C"/>
    <w:rsid w:val="3F8073EA"/>
    <w:rsid w:val="3F827606"/>
    <w:rsid w:val="3F830C89"/>
    <w:rsid w:val="3F854A01"/>
    <w:rsid w:val="3F873E13"/>
    <w:rsid w:val="3F874C1D"/>
    <w:rsid w:val="3F8C2233"/>
    <w:rsid w:val="3F8C3FE1"/>
    <w:rsid w:val="3F8E1B07"/>
    <w:rsid w:val="3F8E7D59"/>
    <w:rsid w:val="3F8F587F"/>
    <w:rsid w:val="3F8F7490"/>
    <w:rsid w:val="3F9020F0"/>
    <w:rsid w:val="3F9410E8"/>
    <w:rsid w:val="3F9609BC"/>
    <w:rsid w:val="3F9802DC"/>
    <w:rsid w:val="3F9B06C8"/>
    <w:rsid w:val="3F9B6B83"/>
    <w:rsid w:val="3F9B7174"/>
    <w:rsid w:val="3F9D1D4A"/>
    <w:rsid w:val="3F9D4665"/>
    <w:rsid w:val="3FA00415"/>
    <w:rsid w:val="3FA27361"/>
    <w:rsid w:val="3FA56E51"/>
    <w:rsid w:val="3FA70E1B"/>
    <w:rsid w:val="3FA72BC9"/>
    <w:rsid w:val="3FA806EF"/>
    <w:rsid w:val="3FA96941"/>
    <w:rsid w:val="3FAA59DA"/>
    <w:rsid w:val="3FAC01DF"/>
    <w:rsid w:val="3FAC6431"/>
    <w:rsid w:val="3FAD03F3"/>
    <w:rsid w:val="3FAE5021"/>
    <w:rsid w:val="3FAF7CCF"/>
    <w:rsid w:val="3FB05F21"/>
    <w:rsid w:val="3FB13A48"/>
    <w:rsid w:val="3FB3156E"/>
    <w:rsid w:val="3FB35A12"/>
    <w:rsid w:val="3FB511AB"/>
    <w:rsid w:val="3FB84DD6"/>
    <w:rsid w:val="3FB975C5"/>
    <w:rsid w:val="3FBB0422"/>
    <w:rsid w:val="3FBF4E2E"/>
    <w:rsid w:val="3FBF6165"/>
    <w:rsid w:val="3FC217B1"/>
    <w:rsid w:val="3FC512A1"/>
    <w:rsid w:val="3FC65745"/>
    <w:rsid w:val="3FC70145"/>
    <w:rsid w:val="3FC7326B"/>
    <w:rsid w:val="3FC75019"/>
    <w:rsid w:val="3FC90D91"/>
    <w:rsid w:val="3FC96FE3"/>
    <w:rsid w:val="3FCA4B09"/>
    <w:rsid w:val="3FCB2D5B"/>
    <w:rsid w:val="3FCC6AD3"/>
    <w:rsid w:val="3FCE63A8"/>
    <w:rsid w:val="3FD00372"/>
    <w:rsid w:val="3FD31C10"/>
    <w:rsid w:val="3FD50795"/>
    <w:rsid w:val="3FD6525C"/>
    <w:rsid w:val="3FD85478"/>
    <w:rsid w:val="3FD87226"/>
    <w:rsid w:val="3FDA1A36"/>
    <w:rsid w:val="3FDB2873"/>
    <w:rsid w:val="3FDD2A8F"/>
    <w:rsid w:val="3FDD6F27"/>
    <w:rsid w:val="3FDF6807"/>
    <w:rsid w:val="3FE0432D"/>
    <w:rsid w:val="3FE07A02"/>
    <w:rsid w:val="3FE1257F"/>
    <w:rsid w:val="3FE23C01"/>
    <w:rsid w:val="3FE32D99"/>
    <w:rsid w:val="3FE456B9"/>
    <w:rsid w:val="3FE536F1"/>
    <w:rsid w:val="3FE87470"/>
    <w:rsid w:val="3FEB6F5A"/>
    <w:rsid w:val="3FEF631E"/>
    <w:rsid w:val="3FF23327"/>
    <w:rsid w:val="3FF35E0E"/>
    <w:rsid w:val="3FF43934"/>
    <w:rsid w:val="3FF658FE"/>
    <w:rsid w:val="3FF66F6D"/>
    <w:rsid w:val="3FF73B50"/>
    <w:rsid w:val="3FFA53EF"/>
    <w:rsid w:val="3FFD0A3B"/>
    <w:rsid w:val="3FFE7A37"/>
    <w:rsid w:val="3FFF2A05"/>
    <w:rsid w:val="40003751"/>
    <w:rsid w:val="40010EF3"/>
    <w:rsid w:val="40045138"/>
    <w:rsid w:val="40073668"/>
    <w:rsid w:val="40093884"/>
    <w:rsid w:val="400973E0"/>
    <w:rsid w:val="400A488F"/>
    <w:rsid w:val="400C0C7E"/>
    <w:rsid w:val="400E0E9A"/>
    <w:rsid w:val="400F2EC6"/>
    <w:rsid w:val="40112738"/>
    <w:rsid w:val="401144E6"/>
    <w:rsid w:val="4013025E"/>
    <w:rsid w:val="401364B0"/>
    <w:rsid w:val="40161AFD"/>
    <w:rsid w:val="40175FA1"/>
    <w:rsid w:val="40185875"/>
    <w:rsid w:val="401A339B"/>
    <w:rsid w:val="401B7113"/>
    <w:rsid w:val="401C5365"/>
    <w:rsid w:val="401D2E8B"/>
    <w:rsid w:val="401D732F"/>
    <w:rsid w:val="401F09B1"/>
    <w:rsid w:val="40210BCD"/>
    <w:rsid w:val="40224945"/>
    <w:rsid w:val="402325D5"/>
    <w:rsid w:val="4024421A"/>
    <w:rsid w:val="40251D40"/>
    <w:rsid w:val="40267F92"/>
    <w:rsid w:val="402713FE"/>
    <w:rsid w:val="40271F5C"/>
    <w:rsid w:val="4029295D"/>
    <w:rsid w:val="40295CD4"/>
    <w:rsid w:val="402C12DE"/>
    <w:rsid w:val="402D7572"/>
    <w:rsid w:val="402E6E46"/>
    <w:rsid w:val="40300E10"/>
    <w:rsid w:val="40316936"/>
    <w:rsid w:val="40356427"/>
    <w:rsid w:val="40381A73"/>
    <w:rsid w:val="403A795B"/>
    <w:rsid w:val="403C0DD2"/>
    <w:rsid w:val="403F0E94"/>
    <w:rsid w:val="403F2E01"/>
    <w:rsid w:val="404137B4"/>
    <w:rsid w:val="40414DCB"/>
    <w:rsid w:val="40416B7A"/>
    <w:rsid w:val="404228F2"/>
    <w:rsid w:val="40460634"/>
    <w:rsid w:val="404623E2"/>
    <w:rsid w:val="404843AC"/>
    <w:rsid w:val="40491ED2"/>
    <w:rsid w:val="40494B17"/>
    <w:rsid w:val="404B17A6"/>
    <w:rsid w:val="404C3770"/>
    <w:rsid w:val="404C551E"/>
    <w:rsid w:val="404E573A"/>
    <w:rsid w:val="404E74E8"/>
    <w:rsid w:val="404E770A"/>
    <w:rsid w:val="40503261"/>
    <w:rsid w:val="4050500F"/>
    <w:rsid w:val="40507E8F"/>
    <w:rsid w:val="405151E1"/>
    <w:rsid w:val="40526FD9"/>
    <w:rsid w:val="405368AD"/>
    <w:rsid w:val="40552625"/>
    <w:rsid w:val="4057639D"/>
    <w:rsid w:val="40582115"/>
    <w:rsid w:val="40586E6A"/>
    <w:rsid w:val="405A40DF"/>
    <w:rsid w:val="405D597D"/>
    <w:rsid w:val="4061721C"/>
    <w:rsid w:val="40632F94"/>
    <w:rsid w:val="406356BE"/>
    <w:rsid w:val="40640ABA"/>
    <w:rsid w:val="40642868"/>
    <w:rsid w:val="40646D0C"/>
    <w:rsid w:val="406665E0"/>
    <w:rsid w:val="406B1E48"/>
    <w:rsid w:val="406B3BF6"/>
    <w:rsid w:val="406C7EB1"/>
    <w:rsid w:val="406D3E12"/>
    <w:rsid w:val="406E1939"/>
    <w:rsid w:val="40703903"/>
    <w:rsid w:val="4070745F"/>
    <w:rsid w:val="40714F85"/>
    <w:rsid w:val="40721429"/>
    <w:rsid w:val="40734D8A"/>
    <w:rsid w:val="40736F4F"/>
    <w:rsid w:val="407451A1"/>
    <w:rsid w:val="40750F19"/>
    <w:rsid w:val="4075299B"/>
    <w:rsid w:val="40752CC7"/>
    <w:rsid w:val="4077259B"/>
    <w:rsid w:val="40773B80"/>
    <w:rsid w:val="40774DD8"/>
    <w:rsid w:val="40776A3F"/>
    <w:rsid w:val="407826C4"/>
    <w:rsid w:val="407C4056"/>
    <w:rsid w:val="407C5E04"/>
    <w:rsid w:val="407D0E43"/>
    <w:rsid w:val="407D1B7C"/>
    <w:rsid w:val="407D392A"/>
    <w:rsid w:val="407F3756"/>
    <w:rsid w:val="407F58BC"/>
    <w:rsid w:val="40833636"/>
    <w:rsid w:val="40835A4C"/>
    <w:rsid w:val="40842F0A"/>
    <w:rsid w:val="408475C8"/>
    <w:rsid w:val="408613A9"/>
    <w:rsid w:val="408829FA"/>
    <w:rsid w:val="40896772"/>
    <w:rsid w:val="408D6263"/>
    <w:rsid w:val="408D71EA"/>
    <w:rsid w:val="409018AF"/>
    <w:rsid w:val="40907B01"/>
    <w:rsid w:val="4093139F"/>
    <w:rsid w:val="409444EC"/>
    <w:rsid w:val="409A17EE"/>
    <w:rsid w:val="409B763D"/>
    <w:rsid w:val="409E3FCC"/>
    <w:rsid w:val="409F1AF2"/>
    <w:rsid w:val="40A31410"/>
    <w:rsid w:val="40A37834"/>
    <w:rsid w:val="40A4535A"/>
    <w:rsid w:val="40A47108"/>
    <w:rsid w:val="40A614D2"/>
    <w:rsid w:val="40A67324"/>
    <w:rsid w:val="40A8309D"/>
    <w:rsid w:val="40A86BF9"/>
    <w:rsid w:val="40AA453A"/>
    <w:rsid w:val="40AB0497"/>
    <w:rsid w:val="40AB2773"/>
    <w:rsid w:val="40AC3C03"/>
    <w:rsid w:val="40AC3F0F"/>
    <w:rsid w:val="40AD06B3"/>
    <w:rsid w:val="40AD2461"/>
    <w:rsid w:val="40AD5093"/>
    <w:rsid w:val="40AF442B"/>
    <w:rsid w:val="40B02584"/>
    <w:rsid w:val="40B25CC9"/>
    <w:rsid w:val="40B27A75"/>
    <w:rsid w:val="40B41A41"/>
    <w:rsid w:val="40B52091"/>
    <w:rsid w:val="40B557B9"/>
    <w:rsid w:val="40B67886"/>
    <w:rsid w:val="40B8538E"/>
    <w:rsid w:val="40BC26A4"/>
    <w:rsid w:val="40BC6B48"/>
    <w:rsid w:val="40C23A68"/>
    <w:rsid w:val="40C357E1"/>
    <w:rsid w:val="40C41559"/>
    <w:rsid w:val="40C477AB"/>
    <w:rsid w:val="40C61775"/>
    <w:rsid w:val="40C72A04"/>
    <w:rsid w:val="40C8729B"/>
    <w:rsid w:val="40C96B6F"/>
    <w:rsid w:val="40CA5CFC"/>
    <w:rsid w:val="40CB28E7"/>
    <w:rsid w:val="40CB6D8B"/>
    <w:rsid w:val="40D043A1"/>
    <w:rsid w:val="40D15BCF"/>
    <w:rsid w:val="40D55514"/>
    <w:rsid w:val="40D7128C"/>
    <w:rsid w:val="40DC2D46"/>
    <w:rsid w:val="40DC350E"/>
    <w:rsid w:val="40DE261A"/>
    <w:rsid w:val="40E1210B"/>
    <w:rsid w:val="40E165AE"/>
    <w:rsid w:val="40E37C31"/>
    <w:rsid w:val="40E439A9"/>
    <w:rsid w:val="40E63BC5"/>
    <w:rsid w:val="40E8793D"/>
    <w:rsid w:val="40EC6DDC"/>
    <w:rsid w:val="40ED6D01"/>
    <w:rsid w:val="40F0234E"/>
    <w:rsid w:val="40F04D7E"/>
    <w:rsid w:val="40F167F2"/>
    <w:rsid w:val="40F170AA"/>
    <w:rsid w:val="40F2256A"/>
    <w:rsid w:val="40F27DC8"/>
    <w:rsid w:val="40F736DC"/>
    <w:rsid w:val="40F956A6"/>
    <w:rsid w:val="40FB141E"/>
    <w:rsid w:val="40FC0CF2"/>
    <w:rsid w:val="40FC6F44"/>
    <w:rsid w:val="40FF607C"/>
    <w:rsid w:val="410042A8"/>
    <w:rsid w:val="4101455B"/>
    <w:rsid w:val="41036525"/>
    <w:rsid w:val="4105404B"/>
    <w:rsid w:val="41061B71"/>
    <w:rsid w:val="41076015"/>
    <w:rsid w:val="41083B3B"/>
    <w:rsid w:val="410858E9"/>
    <w:rsid w:val="410A78B3"/>
    <w:rsid w:val="410B7187"/>
    <w:rsid w:val="410C362B"/>
    <w:rsid w:val="41100491"/>
    <w:rsid w:val="41120516"/>
    <w:rsid w:val="411427B6"/>
    <w:rsid w:val="4114428E"/>
    <w:rsid w:val="41166258"/>
    <w:rsid w:val="41197AF6"/>
    <w:rsid w:val="411B561D"/>
    <w:rsid w:val="411C3143"/>
    <w:rsid w:val="411C75E7"/>
    <w:rsid w:val="411E510D"/>
    <w:rsid w:val="411E5666"/>
    <w:rsid w:val="41200E85"/>
    <w:rsid w:val="412053B5"/>
    <w:rsid w:val="41214BFD"/>
    <w:rsid w:val="412332F1"/>
    <w:rsid w:val="412A1D04"/>
    <w:rsid w:val="412A243A"/>
    <w:rsid w:val="412C5A7C"/>
    <w:rsid w:val="412D5350"/>
    <w:rsid w:val="412F10C8"/>
    <w:rsid w:val="412F5BD2"/>
    <w:rsid w:val="412F731A"/>
    <w:rsid w:val="41313092"/>
    <w:rsid w:val="41314E40"/>
    <w:rsid w:val="413606A8"/>
    <w:rsid w:val="41385301"/>
    <w:rsid w:val="41390524"/>
    <w:rsid w:val="41391F47"/>
    <w:rsid w:val="41393CF5"/>
    <w:rsid w:val="413B1FBD"/>
    <w:rsid w:val="413C5593"/>
    <w:rsid w:val="41436921"/>
    <w:rsid w:val="414508EB"/>
    <w:rsid w:val="414803DC"/>
    <w:rsid w:val="414A0622"/>
    <w:rsid w:val="414F52C6"/>
    <w:rsid w:val="415154E2"/>
    <w:rsid w:val="41520244"/>
    <w:rsid w:val="4157061F"/>
    <w:rsid w:val="415B1A4D"/>
    <w:rsid w:val="415D5C35"/>
    <w:rsid w:val="415E375B"/>
    <w:rsid w:val="416074D3"/>
    <w:rsid w:val="41630D72"/>
    <w:rsid w:val="41636FC4"/>
    <w:rsid w:val="4168282C"/>
    <w:rsid w:val="41683412"/>
    <w:rsid w:val="4169503B"/>
    <w:rsid w:val="416A0352"/>
    <w:rsid w:val="416A109C"/>
    <w:rsid w:val="417116E0"/>
    <w:rsid w:val="41735459"/>
    <w:rsid w:val="4177481D"/>
    <w:rsid w:val="41782A6F"/>
    <w:rsid w:val="41792343"/>
    <w:rsid w:val="41796A32"/>
    <w:rsid w:val="417B255F"/>
    <w:rsid w:val="417C5389"/>
    <w:rsid w:val="417D0085"/>
    <w:rsid w:val="417D62D7"/>
    <w:rsid w:val="417E204F"/>
    <w:rsid w:val="417E5BAB"/>
    <w:rsid w:val="417E7959"/>
    <w:rsid w:val="41807B75"/>
    <w:rsid w:val="41821782"/>
    <w:rsid w:val="41831414"/>
    <w:rsid w:val="418331C2"/>
    <w:rsid w:val="41856F3A"/>
    <w:rsid w:val="41872CB2"/>
    <w:rsid w:val="41874A60"/>
    <w:rsid w:val="418807D8"/>
    <w:rsid w:val="41894625"/>
    <w:rsid w:val="418C02C8"/>
    <w:rsid w:val="418F6D56"/>
    <w:rsid w:val="41911D83"/>
    <w:rsid w:val="41923405"/>
    <w:rsid w:val="41931657"/>
    <w:rsid w:val="4194717D"/>
    <w:rsid w:val="41962EF5"/>
    <w:rsid w:val="41984EBF"/>
    <w:rsid w:val="41986C6D"/>
    <w:rsid w:val="41990C37"/>
    <w:rsid w:val="419B050B"/>
    <w:rsid w:val="419B49AF"/>
    <w:rsid w:val="419E1DAA"/>
    <w:rsid w:val="41A2189A"/>
    <w:rsid w:val="41A516CD"/>
    <w:rsid w:val="41A76EB0"/>
    <w:rsid w:val="41AC096A"/>
    <w:rsid w:val="41AF2209"/>
    <w:rsid w:val="41B4781F"/>
    <w:rsid w:val="41B82E6B"/>
    <w:rsid w:val="41B96BE3"/>
    <w:rsid w:val="41BB0BAE"/>
    <w:rsid w:val="41BD4926"/>
    <w:rsid w:val="41BD66D4"/>
    <w:rsid w:val="41C2018E"/>
    <w:rsid w:val="41C45CB4"/>
    <w:rsid w:val="41C51A2C"/>
    <w:rsid w:val="41C9151C"/>
    <w:rsid w:val="41CA0DF1"/>
    <w:rsid w:val="41CC2DBB"/>
    <w:rsid w:val="41CC4B69"/>
    <w:rsid w:val="41CE268F"/>
    <w:rsid w:val="41D34149"/>
    <w:rsid w:val="41D41C6F"/>
    <w:rsid w:val="41D43A1D"/>
    <w:rsid w:val="41D614EA"/>
    <w:rsid w:val="41D852BC"/>
    <w:rsid w:val="41D90997"/>
    <w:rsid w:val="41D91034"/>
    <w:rsid w:val="41D9605E"/>
    <w:rsid w:val="41DA54D8"/>
    <w:rsid w:val="41DC396B"/>
    <w:rsid w:val="41DD6D76"/>
    <w:rsid w:val="41E023C2"/>
    <w:rsid w:val="41E066CC"/>
    <w:rsid w:val="41E33AEE"/>
    <w:rsid w:val="41E33C60"/>
    <w:rsid w:val="41E41EB2"/>
    <w:rsid w:val="41E55C2A"/>
    <w:rsid w:val="41E73751"/>
    <w:rsid w:val="41EC0D67"/>
    <w:rsid w:val="41EC520B"/>
    <w:rsid w:val="41EC701C"/>
    <w:rsid w:val="41F160F2"/>
    <w:rsid w:val="41F320F5"/>
    <w:rsid w:val="41F52311"/>
    <w:rsid w:val="41F540C0"/>
    <w:rsid w:val="41F63994"/>
    <w:rsid w:val="41F8770C"/>
    <w:rsid w:val="41FB544E"/>
    <w:rsid w:val="41FD11C6"/>
    <w:rsid w:val="41FD2F74"/>
    <w:rsid w:val="41FF0A9A"/>
    <w:rsid w:val="42003167"/>
    <w:rsid w:val="420035D3"/>
    <w:rsid w:val="42022339"/>
    <w:rsid w:val="420438D7"/>
    <w:rsid w:val="420460B1"/>
    <w:rsid w:val="420473BE"/>
    <w:rsid w:val="42051E29"/>
    <w:rsid w:val="42066E88"/>
    <w:rsid w:val="42087D84"/>
    <w:rsid w:val="420A47EF"/>
    <w:rsid w:val="420C291A"/>
    <w:rsid w:val="420C31B7"/>
    <w:rsid w:val="420C765B"/>
    <w:rsid w:val="420E33D3"/>
    <w:rsid w:val="420E5181"/>
    <w:rsid w:val="420E5B08"/>
    <w:rsid w:val="420F167B"/>
    <w:rsid w:val="420F2CA7"/>
    <w:rsid w:val="420F3692"/>
    <w:rsid w:val="42116A20"/>
    <w:rsid w:val="4213148C"/>
    <w:rsid w:val="42134546"/>
    <w:rsid w:val="42186000"/>
    <w:rsid w:val="42193621"/>
    <w:rsid w:val="421A3B26"/>
    <w:rsid w:val="421B789E"/>
    <w:rsid w:val="421F113C"/>
    <w:rsid w:val="422207E1"/>
    <w:rsid w:val="42220C2D"/>
    <w:rsid w:val="422449A5"/>
    <w:rsid w:val="4226071D"/>
    <w:rsid w:val="422624CB"/>
    <w:rsid w:val="42264D31"/>
    <w:rsid w:val="42274495"/>
    <w:rsid w:val="42295B17"/>
    <w:rsid w:val="422A188F"/>
    <w:rsid w:val="422A5D5D"/>
    <w:rsid w:val="422E5823"/>
    <w:rsid w:val="422E75D1"/>
    <w:rsid w:val="42311903"/>
    <w:rsid w:val="42332E3A"/>
    <w:rsid w:val="42336996"/>
    <w:rsid w:val="4235270E"/>
    <w:rsid w:val="42360234"/>
    <w:rsid w:val="423746D8"/>
    <w:rsid w:val="423821FE"/>
    <w:rsid w:val="423A41C8"/>
    <w:rsid w:val="423B3A9C"/>
    <w:rsid w:val="423F358D"/>
    <w:rsid w:val="424264A7"/>
    <w:rsid w:val="42426BD9"/>
    <w:rsid w:val="42440BA3"/>
    <w:rsid w:val="424526D7"/>
    <w:rsid w:val="42462B6D"/>
    <w:rsid w:val="4249440B"/>
    <w:rsid w:val="424B3CDF"/>
    <w:rsid w:val="4250579A"/>
    <w:rsid w:val="425132C0"/>
    <w:rsid w:val="42514BD6"/>
    <w:rsid w:val="4253528A"/>
    <w:rsid w:val="42552980"/>
    <w:rsid w:val="42552DB0"/>
    <w:rsid w:val="42576B28"/>
    <w:rsid w:val="42584B94"/>
    <w:rsid w:val="425B7C9B"/>
    <w:rsid w:val="425C413F"/>
    <w:rsid w:val="425C5EED"/>
    <w:rsid w:val="425D7EB7"/>
    <w:rsid w:val="425E3A32"/>
    <w:rsid w:val="425F0D31"/>
    <w:rsid w:val="42613503"/>
    <w:rsid w:val="42644DA1"/>
    <w:rsid w:val="42674891"/>
    <w:rsid w:val="426B45E0"/>
    <w:rsid w:val="426C1EA8"/>
    <w:rsid w:val="427174BE"/>
    <w:rsid w:val="42733236"/>
    <w:rsid w:val="42734FE4"/>
    <w:rsid w:val="42773149"/>
    <w:rsid w:val="427A3481"/>
    <w:rsid w:val="427A45C5"/>
    <w:rsid w:val="427E62E2"/>
    <w:rsid w:val="4282199D"/>
    <w:rsid w:val="4283791D"/>
    <w:rsid w:val="428471F1"/>
    <w:rsid w:val="42860DFE"/>
    <w:rsid w:val="4286740D"/>
    <w:rsid w:val="42890CAC"/>
    <w:rsid w:val="4289147A"/>
    <w:rsid w:val="42892A5A"/>
    <w:rsid w:val="428B4A24"/>
    <w:rsid w:val="428C02B6"/>
    <w:rsid w:val="428C60A6"/>
    <w:rsid w:val="428F13D0"/>
    <w:rsid w:val="4290203A"/>
    <w:rsid w:val="42925DB2"/>
    <w:rsid w:val="429338D8"/>
    <w:rsid w:val="42935686"/>
    <w:rsid w:val="42937435"/>
    <w:rsid w:val="429513FF"/>
    <w:rsid w:val="42957651"/>
    <w:rsid w:val="429733C9"/>
    <w:rsid w:val="42976F25"/>
    <w:rsid w:val="42982C9D"/>
    <w:rsid w:val="429A07C3"/>
    <w:rsid w:val="429C09DF"/>
    <w:rsid w:val="42A2259F"/>
    <w:rsid w:val="42A258CA"/>
    <w:rsid w:val="42A31D6D"/>
    <w:rsid w:val="42A33B1C"/>
    <w:rsid w:val="42A45AE6"/>
    <w:rsid w:val="42A47894"/>
    <w:rsid w:val="42A54802"/>
    <w:rsid w:val="42A72EE0"/>
    <w:rsid w:val="42A81132"/>
    <w:rsid w:val="42A96C58"/>
    <w:rsid w:val="42AA7468"/>
    <w:rsid w:val="42AD0434"/>
    <w:rsid w:val="42AD1AEC"/>
    <w:rsid w:val="42AE0712"/>
    <w:rsid w:val="42B04A1B"/>
    <w:rsid w:val="42B06238"/>
    <w:rsid w:val="42B07FE6"/>
    <w:rsid w:val="42B21FB1"/>
    <w:rsid w:val="42B71375"/>
    <w:rsid w:val="42B81A6C"/>
    <w:rsid w:val="42B9333F"/>
    <w:rsid w:val="42BA70B7"/>
    <w:rsid w:val="42BB03ED"/>
    <w:rsid w:val="42BC4BDD"/>
    <w:rsid w:val="42BC698B"/>
    <w:rsid w:val="42BF022A"/>
    <w:rsid w:val="42BF647C"/>
    <w:rsid w:val="42C83582"/>
    <w:rsid w:val="42C955C2"/>
    <w:rsid w:val="42CB3072"/>
    <w:rsid w:val="42CE66BF"/>
    <w:rsid w:val="42CF2B62"/>
    <w:rsid w:val="42D00689"/>
    <w:rsid w:val="42D068DB"/>
    <w:rsid w:val="42D37DB5"/>
    <w:rsid w:val="42D57A4D"/>
    <w:rsid w:val="42DA428F"/>
    <w:rsid w:val="42DC0DDB"/>
    <w:rsid w:val="42DC527F"/>
    <w:rsid w:val="42DC702D"/>
    <w:rsid w:val="42DE4B4E"/>
    <w:rsid w:val="42DF267A"/>
    <w:rsid w:val="42DF6B1E"/>
    <w:rsid w:val="42E11043"/>
    <w:rsid w:val="42E163F2"/>
    <w:rsid w:val="42E61C5A"/>
    <w:rsid w:val="42E67EAC"/>
    <w:rsid w:val="42E83C24"/>
    <w:rsid w:val="42E859D2"/>
    <w:rsid w:val="42E87780"/>
    <w:rsid w:val="42EF6D61"/>
    <w:rsid w:val="42F00D2B"/>
    <w:rsid w:val="42F06635"/>
    <w:rsid w:val="42F15057"/>
    <w:rsid w:val="42F223AD"/>
    <w:rsid w:val="42F51E9D"/>
    <w:rsid w:val="42F56341"/>
    <w:rsid w:val="42F8373B"/>
    <w:rsid w:val="42FA5B31"/>
    <w:rsid w:val="42FE0D52"/>
    <w:rsid w:val="42FF2D1C"/>
    <w:rsid w:val="43040332"/>
    <w:rsid w:val="430420E0"/>
    <w:rsid w:val="43056584"/>
    <w:rsid w:val="430622FC"/>
    <w:rsid w:val="430640AA"/>
    <w:rsid w:val="430948CB"/>
    <w:rsid w:val="430976F7"/>
    <w:rsid w:val="430A1DED"/>
    <w:rsid w:val="430A3B9B"/>
    <w:rsid w:val="430B16C1"/>
    <w:rsid w:val="430D368B"/>
    <w:rsid w:val="430F0471"/>
    <w:rsid w:val="43106CD7"/>
    <w:rsid w:val="43116751"/>
    <w:rsid w:val="431467C7"/>
    <w:rsid w:val="43147B68"/>
    <w:rsid w:val="4315253F"/>
    <w:rsid w:val="43193DDE"/>
    <w:rsid w:val="431C38CE"/>
    <w:rsid w:val="431E31A2"/>
    <w:rsid w:val="4320784B"/>
    <w:rsid w:val="432509D4"/>
    <w:rsid w:val="43284021"/>
    <w:rsid w:val="43285FDD"/>
    <w:rsid w:val="432A7D99"/>
    <w:rsid w:val="432B58BF"/>
    <w:rsid w:val="432E715D"/>
    <w:rsid w:val="432F3601"/>
    <w:rsid w:val="43301127"/>
    <w:rsid w:val="4331708F"/>
    <w:rsid w:val="433230F1"/>
    <w:rsid w:val="433274B6"/>
    <w:rsid w:val="433429C6"/>
    <w:rsid w:val="4335673E"/>
    <w:rsid w:val="433724B6"/>
    <w:rsid w:val="43375CCB"/>
    <w:rsid w:val="43394480"/>
    <w:rsid w:val="43394EAD"/>
    <w:rsid w:val="4339622E"/>
    <w:rsid w:val="433A3D54"/>
    <w:rsid w:val="433B1FA6"/>
    <w:rsid w:val="433C5D1E"/>
    <w:rsid w:val="433C7ACC"/>
    <w:rsid w:val="433E0203"/>
    <w:rsid w:val="433E2DD4"/>
    <w:rsid w:val="433E3844"/>
    <w:rsid w:val="433E55F2"/>
    <w:rsid w:val="433F136A"/>
    <w:rsid w:val="43414BD0"/>
    <w:rsid w:val="43415A36"/>
    <w:rsid w:val="43421586"/>
    <w:rsid w:val="43430E5B"/>
    <w:rsid w:val="434370AD"/>
    <w:rsid w:val="43456981"/>
    <w:rsid w:val="43456995"/>
    <w:rsid w:val="43482915"/>
    <w:rsid w:val="434846C3"/>
    <w:rsid w:val="434A3F97"/>
    <w:rsid w:val="434B04D6"/>
    <w:rsid w:val="434B5F61"/>
    <w:rsid w:val="434C41B3"/>
    <w:rsid w:val="434D3A87"/>
    <w:rsid w:val="434F15AD"/>
    <w:rsid w:val="43543068"/>
    <w:rsid w:val="43543B6A"/>
    <w:rsid w:val="4355648A"/>
    <w:rsid w:val="435766B4"/>
    <w:rsid w:val="435A7F52"/>
    <w:rsid w:val="435B707D"/>
    <w:rsid w:val="435E3EE6"/>
    <w:rsid w:val="435E5C94"/>
    <w:rsid w:val="43607C5E"/>
    <w:rsid w:val="4361198C"/>
    <w:rsid w:val="436314FD"/>
    <w:rsid w:val="4363194B"/>
    <w:rsid w:val="43650DD1"/>
    <w:rsid w:val="43655275"/>
    <w:rsid w:val="43657023"/>
    <w:rsid w:val="43664B49"/>
    <w:rsid w:val="4368266F"/>
    <w:rsid w:val="436A288B"/>
    <w:rsid w:val="436A4639"/>
    <w:rsid w:val="436D237B"/>
    <w:rsid w:val="436F1C50"/>
    <w:rsid w:val="436F39FE"/>
    <w:rsid w:val="436F7EA2"/>
    <w:rsid w:val="43737490"/>
    <w:rsid w:val="43741014"/>
    <w:rsid w:val="437454B8"/>
    <w:rsid w:val="43754D8C"/>
    <w:rsid w:val="43761230"/>
    <w:rsid w:val="43790D20"/>
    <w:rsid w:val="437B05F4"/>
    <w:rsid w:val="437B23A2"/>
    <w:rsid w:val="437C611B"/>
    <w:rsid w:val="437E6337"/>
    <w:rsid w:val="43807FB6"/>
    <w:rsid w:val="43811983"/>
    <w:rsid w:val="4383394D"/>
    <w:rsid w:val="438374A9"/>
    <w:rsid w:val="43851473"/>
    <w:rsid w:val="43853221"/>
    <w:rsid w:val="438576C5"/>
    <w:rsid w:val="4386072D"/>
    <w:rsid w:val="438A4CDB"/>
    <w:rsid w:val="438D20D6"/>
    <w:rsid w:val="43911BC6"/>
    <w:rsid w:val="43917E18"/>
    <w:rsid w:val="43923B90"/>
    <w:rsid w:val="439416B6"/>
    <w:rsid w:val="4396575D"/>
    <w:rsid w:val="439A38BA"/>
    <w:rsid w:val="439C056B"/>
    <w:rsid w:val="439C0C1F"/>
    <w:rsid w:val="439D2460"/>
    <w:rsid w:val="439D67BD"/>
    <w:rsid w:val="439E0787"/>
    <w:rsid w:val="439E3E34"/>
    <w:rsid w:val="43A044FF"/>
    <w:rsid w:val="43A22025"/>
    <w:rsid w:val="43A23DD3"/>
    <w:rsid w:val="43A37B4B"/>
    <w:rsid w:val="43A538C3"/>
    <w:rsid w:val="43A55671"/>
    <w:rsid w:val="43A871C2"/>
    <w:rsid w:val="43AA0EDA"/>
    <w:rsid w:val="43AA712C"/>
    <w:rsid w:val="43AD1BA2"/>
    <w:rsid w:val="43AD4526"/>
    <w:rsid w:val="43AE4775"/>
    <w:rsid w:val="43AF4742"/>
    <w:rsid w:val="43AF64F0"/>
    <w:rsid w:val="43B12268"/>
    <w:rsid w:val="43B2059E"/>
    <w:rsid w:val="43B21B3C"/>
    <w:rsid w:val="43B34232"/>
    <w:rsid w:val="43B43B06"/>
    <w:rsid w:val="43B72C56"/>
    <w:rsid w:val="43B81AAF"/>
    <w:rsid w:val="43B835F7"/>
    <w:rsid w:val="43BD0C0D"/>
    <w:rsid w:val="43BE4985"/>
    <w:rsid w:val="43C006FD"/>
    <w:rsid w:val="43C024AB"/>
    <w:rsid w:val="43C26223"/>
    <w:rsid w:val="43C31F9B"/>
    <w:rsid w:val="43C401ED"/>
    <w:rsid w:val="43C55D14"/>
    <w:rsid w:val="43C7383A"/>
    <w:rsid w:val="43C875B2"/>
    <w:rsid w:val="43CA332A"/>
    <w:rsid w:val="43CA50D8"/>
    <w:rsid w:val="43CC2BFE"/>
    <w:rsid w:val="43CF0940"/>
    <w:rsid w:val="43CF3AAE"/>
    <w:rsid w:val="43D4331E"/>
    <w:rsid w:val="43D47D05"/>
    <w:rsid w:val="43D60DB0"/>
    <w:rsid w:val="43D61CCF"/>
    <w:rsid w:val="43D83C99"/>
    <w:rsid w:val="43D9356D"/>
    <w:rsid w:val="43DF2FA1"/>
    <w:rsid w:val="43E22422"/>
    <w:rsid w:val="43E268C5"/>
    <w:rsid w:val="43E50164"/>
    <w:rsid w:val="43E73EDC"/>
    <w:rsid w:val="43E75C8A"/>
    <w:rsid w:val="43E837B0"/>
    <w:rsid w:val="43E85D96"/>
    <w:rsid w:val="43E91A02"/>
    <w:rsid w:val="43EC2FD6"/>
    <w:rsid w:val="43F059B8"/>
    <w:rsid w:val="43F16B09"/>
    <w:rsid w:val="43F16E48"/>
    <w:rsid w:val="43F306B7"/>
    <w:rsid w:val="43F62371"/>
    <w:rsid w:val="43F800B4"/>
    <w:rsid w:val="43FA3C0F"/>
    <w:rsid w:val="43FB1735"/>
    <w:rsid w:val="43FC2ACB"/>
    <w:rsid w:val="43FD725B"/>
    <w:rsid w:val="43FE2FD4"/>
    <w:rsid w:val="43FF1225"/>
    <w:rsid w:val="44004F9E"/>
    <w:rsid w:val="440305EA"/>
    <w:rsid w:val="4404683C"/>
    <w:rsid w:val="44056110"/>
    <w:rsid w:val="44071E88"/>
    <w:rsid w:val="44093E52"/>
    <w:rsid w:val="440A7BCA"/>
    <w:rsid w:val="440C3942"/>
    <w:rsid w:val="440E1469"/>
    <w:rsid w:val="440E3217"/>
    <w:rsid w:val="440E76BA"/>
    <w:rsid w:val="440F1E51"/>
    <w:rsid w:val="44125CD7"/>
    <w:rsid w:val="441427F7"/>
    <w:rsid w:val="4416031D"/>
    <w:rsid w:val="4416066E"/>
    <w:rsid w:val="44185E43"/>
    <w:rsid w:val="441A605F"/>
    <w:rsid w:val="441B1DD7"/>
    <w:rsid w:val="441B3B85"/>
    <w:rsid w:val="441B5933"/>
    <w:rsid w:val="441B74E4"/>
    <w:rsid w:val="441D49D5"/>
    <w:rsid w:val="441F3676"/>
    <w:rsid w:val="44216CF4"/>
    <w:rsid w:val="442227D3"/>
    <w:rsid w:val="44226CC2"/>
    <w:rsid w:val="44242A3A"/>
    <w:rsid w:val="44254A04"/>
    <w:rsid w:val="44270902"/>
    <w:rsid w:val="442742D8"/>
    <w:rsid w:val="442A3DC9"/>
    <w:rsid w:val="442B201A"/>
    <w:rsid w:val="442E5667"/>
    <w:rsid w:val="44305883"/>
    <w:rsid w:val="443133A9"/>
    <w:rsid w:val="44316F05"/>
    <w:rsid w:val="44330ECF"/>
    <w:rsid w:val="44337121"/>
    <w:rsid w:val="4435582D"/>
    <w:rsid w:val="443609BF"/>
    <w:rsid w:val="4436276D"/>
    <w:rsid w:val="44376732"/>
    <w:rsid w:val="443A225E"/>
    <w:rsid w:val="443B7D84"/>
    <w:rsid w:val="443C2B2F"/>
    <w:rsid w:val="443F1622"/>
    <w:rsid w:val="443F17B1"/>
    <w:rsid w:val="444035EC"/>
    <w:rsid w:val="444071E5"/>
    <w:rsid w:val="444255B6"/>
    <w:rsid w:val="444529B0"/>
    <w:rsid w:val="44466E54"/>
    <w:rsid w:val="44472BCC"/>
    <w:rsid w:val="444924A1"/>
    <w:rsid w:val="444A6219"/>
    <w:rsid w:val="444B65C3"/>
    <w:rsid w:val="444C3D3F"/>
    <w:rsid w:val="444F4AE9"/>
    <w:rsid w:val="444F63D4"/>
    <w:rsid w:val="4450382F"/>
    <w:rsid w:val="44507CD3"/>
    <w:rsid w:val="44511355"/>
    <w:rsid w:val="4453331F"/>
    <w:rsid w:val="44564BBE"/>
    <w:rsid w:val="4456696C"/>
    <w:rsid w:val="445A2900"/>
    <w:rsid w:val="445A46AE"/>
    <w:rsid w:val="445B0426"/>
    <w:rsid w:val="445C6678"/>
    <w:rsid w:val="445D5F4C"/>
    <w:rsid w:val="446011DC"/>
    <w:rsid w:val="44642C0C"/>
    <w:rsid w:val="446472DA"/>
    <w:rsid w:val="44654E01"/>
    <w:rsid w:val="4466465B"/>
    <w:rsid w:val="44670B79"/>
    <w:rsid w:val="446948F1"/>
    <w:rsid w:val="446B0669"/>
    <w:rsid w:val="446E63AB"/>
    <w:rsid w:val="447137A5"/>
    <w:rsid w:val="447514E8"/>
    <w:rsid w:val="4476700E"/>
    <w:rsid w:val="44775260"/>
    <w:rsid w:val="44780FD8"/>
    <w:rsid w:val="447A4D50"/>
    <w:rsid w:val="447B4624"/>
    <w:rsid w:val="447B63D2"/>
    <w:rsid w:val="447D214A"/>
    <w:rsid w:val="447F2366"/>
    <w:rsid w:val="447F3D72"/>
    <w:rsid w:val="44801C3A"/>
    <w:rsid w:val="448259B3"/>
    <w:rsid w:val="44827761"/>
    <w:rsid w:val="4484172B"/>
    <w:rsid w:val="44846754"/>
    <w:rsid w:val="448636F5"/>
    <w:rsid w:val="44872FC9"/>
    <w:rsid w:val="448C05DF"/>
    <w:rsid w:val="448E25A9"/>
    <w:rsid w:val="44902CD8"/>
    <w:rsid w:val="44913E48"/>
    <w:rsid w:val="44933678"/>
    <w:rsid w:val="44935E12"/>
    <w:rsid w:val="44937BC0"/>
    <w:rsid w:val="44953938"/>
    <w:rsid w:val="449576D9"/>
    <w:rsid w:val="4496334F"/>
    <w:rsid w:val="449A0F4E"/>
    <w:rsid w:val="449A71A0"/>
    <w:rsid w:val="449C6A74"/>
    <w:rsid w:val="44A14C7E"/>
    <w:rsid w:val="44A15C7B"/>
    <w:rsid w:val="44A27E03"/>
    <w:rsid w:val="44A45929"/>
    <w:rsid w:val="44A703AC"/>
    <w:rsid w:val="44A771C7"/>
    <w:rsid w:val="44A91191"/>
    <w:rsid w:val="44A92F3F"/>
    <w:rsid w:val="44AB6087"/>
    <w:rsid w:val="44AE49FA"/>
    <w:rsid w:val="44B00772"/>
    <w:rsid w:val="44B10046"/>
    <w:rsid w:val="44B244EA"/>
    <w:rsid w:val="44B27F70"/>
    <w:rsid w:val="44B32C61"/>
    <w:rsid w:val="44BA339E"/>
    <w:rsid w:val="44BD1860"/>
    <w:rsid w:val="44BD69EB"/>
    <w:rsid w:val="44C10289"/>
    <w:rsid w:val="44C22253"/>
    <w:rsid w:val="44C27B85"/>
    <w:rsid w:val="44C67F95"/>
    <w:rsid w:val="44C71617"/>
    <w:rsid w:val="44C77869"/>
    <w:rsid w:val="44C94E87"/>
    <w:rsid w:val="44C9538F"/>
    <w:rsid w:val="44CB55AC"/>
    <w:rsid w:val="44CE0BF8"/>
    <w:rsid w:val="44D206E8"/>
    <w:rsid w:val="44D3620E"/>
    <w:rsid w:val="44D473C9"/>
    <w:rsid w:val="44D51F86"/>
    <w:rsid w:val="44D53D34"/>
    <w:rsid w:val="44D75CFE"/>
    <w:rsid w:val="44D97CC8"/>
    <w:rsid w:val="44DA5E0C"/>
    <w:rsid w:val="44DC1567"/>
    <w:rsid w:val="44DC50C3"/>
    <w:rsid w:val="44DE708D"/>
    <w:rsid w:val="44E0071B"/>
    <w:rsid w:val="44E305FF"/>
    <w:rsid w:val="44E346A3"/>
    <w:rsid w:val="44E4041B"/>
    <w:rsid w:val="44E421C9"/>
    <w:rsid w:val="44E551EA"/>
    <w:rsid w:val="44E95A32"/>
    <w:rsid w:val="44EC0221"/>
    <w:rsid w:val="44EC107E"/>
    <w:rsid w:val="44EC4531"/>
    <w:rsid w:val="44F248E6"/>
    <w:rsid w:val="44F3065E"/>
    <w:rsid w:val="44F41584"/>
    <w:rsid w:val="44F80CE9"/>
    <w:rsid w:val="44F85C75"/>
    <w:rsid w:val="44F93EC7"/>
    <w:rsid w:val="44FA3F82"/>
    <w:rsid w:val="44FC5765"/>
    <w:rsid w:val="44FF0DB1"/>
    <w:rsid w:val="44FF5255"/>
    <w:rsid w:val="450308A1"/>
    <w:rsid w:val="45036AF3"/>
    <w:rsid w:val="45047938"/>
    <w:rsid w:val="45050ABD"/>
    <w:rsid w:val="450665E4"/>
    <w:rsid w:val="4508235C"/>
    <w:rsid w:val="4508410A"/>
    <w:rsid w:val="45097E82"/>
    <w:rsid w:val="450B1E4C"/>
    <w:rsid w:val="450B3BFA"/>
    <w:rsid w:val="450B59A8"/>
    <w:rsid w:val="450E1E56"/>
    <w:rsid w:val="451117D1"/>
    <w:rsid w:val="45124F88"/>
    <w:rsid w:val="4513485D"/>
    <w:rsid w:val="45144DBC"/>
    <w:rsid w:val="45154A79"/>
    <w:rsid w:val="4518292E"/>
    <w:rsid w:val="4518723E"/>
    <w:rsid w:val="451900C5"/>
    <w:rsid w:val="451A3E3D"/>
    <w:rsid w:val="451C1963"/>
    <w:rsid w:val="451C7BB5"/>
    <w:rsid w:val="451E1B7F"/>
    <w:rsid w:val="451E392D"/>
    <w:rsid w:val="451F1453"/>
    <w:rsid w:val="451F3201"/>
    <w:rsid w:val="45202C09"/>
    <w:rsid w:val="452151CC"/>
    <w:rsid w:val="45240818"/>
    <w:rsid w:val="45260A34"/>
    <w:rsid w:val="45290406"/>
    <w:rsid w:val="45294080"/>
    <w:rsid w:val="452952C9"/>
    <w:rsid w:val="452B604A"/>
    <w:rsid w:val="452D591E"/>
    <w:rsid w:val="45303661"/>
    <w:rsid w:val="4530540F"/>
    <w:rsid w:val="45321187"/>
    <w:rsid w:val="45322F35"/>
    <w:rsid w:val="45372C41"/>
    <w:rsid w:val="45395770"/>
    <w:rsid w:val="453A6A23"/>
    <w:rsid w:val="453F5652"/>
    <w:rsid w:val="45401AF6"/>
    <w:rsid w:val="4541586E"/>
    <w:rsid w:val="454315E6"/>
    <w:rsid w:val="45433394"/>
    <w:rsid w:val="45442C68"/>
    <w:rsid w:val="45460437"/>
    <w:rsid w:val="454A2974"/>
    <w:rsid w:val="454A4722"/>
    <w:rsid w:val="454B2248"/>
    <w:rsid w:val="454D49ED"/>
    <w:rsid w:val="454D7D6F"/>
    <w:rsid w:val="454E2B1D"/>
    <w:rsid w:val="454E419F"/>
    <w:rsid w:val="454F7F8B"/>
    <w:rsid w:val="45505AB1"/>
    <w:rsid w:val="4550785F"/>
    <w:rsid w:val="4554734F"/>
    <w:rsid w:val="455508D8"/>
    <w:rsid w:val="45555D50"/>
    <w:rsid w:val="45575091"/>
    <w:rsid w:val="45595C53"/>
    <w:rsid w:val="45596713"/>
    <w:rsid w:val="455C4456"/>
    <w:rsid w:val="45603F46"/>
    <w:rsid w:val="45605CF4"/>
    <w:rsid w:val="4561381A"/>
    <w:rsid w:val="45633A36"/>
    <w:rsid w:val="456A03D1"/>
    <w:rsid w:val="456A6B72"/>
    <w:rsid w:val="456B6447"/>
    <w:rsid w:val="456C0661"/>
    <w:rsid w:val="456D6663"/>
    <w:rsid w:val="456F5F37"/>
    <w:rsid w:val="45753BF9"/>
    <w:rsid w:val="45761EBB"/>
    <w:rsid w:val="45763769"/>
    <w:rsid w:val="45776D9F"/>
    <w:rsid w:val="457A3A0A"/>
    <w:rsid w:val="457B2B2E"/>
    <w:rsid w:val="457C2402"/>
    <w:rsid w:val="457C4AF8"/>
    <w:rsid w:val="457E261E"/>
    <w:rsid w:val="45800144"/>
    <w:rsid w:val="45803D88"/>
    <w:rsid w:val="45806396"/>
    <w:rsid w:val="45824C99"/>
    <w:rsid w:val="458319E2"/>
    <w:rsid w:val="45833790"/>
    <w:rsid w:val="45835E86"/>
    <w:rsid w:val="45837329"/>
    <w:rsid w:val="4585575A"/>
    <w:rsid w:val="45863281"/>
    <w:rsid w:val="45880BDF"/>
    <w:rsid w:val="4588349D"/>
    <w:rsid w:val="458A0FC3"/>
    <w:rsid w:val="458D460F"/>
    <w:rsid w:val="458F65D9"/>
    <w:rsid w:val="45984FD7"/>
    <w:rsid w:val="45991206"/>
    <w:rsid w:val="45992FB4"/>
    <w:rsid w:val="45997458"/>
    <w:rsid w:val="459B6D2C"/>
    <w:rsid w:val="459D6A7C"/>
    <w:rsid w:val="45A04342"/>
    <w:rsid w:val="45A100BA"/>
    <w:rsid w:val="45A46C77"/>
    <w:rsid w:val="45A55DFD"/>
    <w:rsid w:val="45A858ED"/>
    <w:rsid w:val="45AA3413"/>
    <w:rsid w:val="45AA51C1"/>
    <w:rsid w:val="45AA6F6F"/>
    <w:rsid w:val="45AB2CE7"/>
    <w:rsid w:val="45AD2F03"/>
    <w:rsid w:val="45AF0A29"/>
    <w:rsid w:val="45AF18C2"/>
    <w:rsid w:val="45B00E7A"/>
    <w:rsid w:val="45B222C8"/>
    <w:rsid w:val="45B47DEE"/>
    <w:rsid w:val="45B57ED7"/>
    <w:rsid w:val="45B64D14"/>
    <w:rsid w:val="45B918A8"/>
    <w:rsid w:val="45BA3A6E"/>
    <w:rsid w:val="45BB73CE"/>
    <w:rsid w:val="45BC0EF9"/>
    <w:rsid w:val="45BC4EF4"/>
    <w:rsid w:val="45BD0F5F"/>
    <w:rsid w:val="45BE23EF"/>
    <w:rsid w:val="45BE6EBE"/>
    <w:rsid w:val="45C30031"/>
    <w:rsid w:val="45C5024D"/>
    <w:rsid w:val="45CC15DB"/>
    <w:rsid w:val="45CC5137"/>
    <w:rsid w:val="45CD261B"/>
    <w:rsid w:val="45CD7313"/>
    <w:rsid w:val="45CE5353"/>
    <w:rsid w:val="45CF4C28"/>
    <w:rsid w:val="45CF69D6"/>
    <w:rsid w:val="45D10865"/>
    <w:rsid w:val="45D109A0"/>
    <w:rsid w:val="45D264C6"/>
    <w:rsid w:val="45D43FEC"/>
    <w:rsid w:val="45D64208"/>
    <w:rsid w:val="45D67D64"/>
    <w:rsid w:val="45DB35CC"/>
    <w:rsid w:val="45DB537A"/>
    <w:rsid w:val="45DD7344"/>
    <w:rsid w:val="45DE130F"/>
    <w:rsid w:val="45DE4E6B"/>
    <w:rsid w:val="45E142EA"/>
    <w:rsid w:val="45E16709"/>
    <w:rsid w:val="45E16C19"/>
    <w:rsid w:val="45E32481"/>
    <w:rsid w:val="45E5559A"/>
    <w:rsid w:val="45E83F1B"/>
    <w:rsid w:val="45E85CE9"/>
    <w:rsid w:val="45E87A97"/>
    <w:rsid w:val="45EA1A61"/>
    <w:rsid w:val="45EB260F"/>
    <w:rsid w:val="45EC57D9"/>
    <w:rsid w:val="45EC7588"/>
    <w:rsid w:val="45EE1552"/>
    <w:rsid w:val="45EE4C9C"/>
    <w:rsid w:val="45EF0E26"/>
    <w:rsid w:val="45F11042"/>
    <w:rsid w:val="45F12DF0"/>
    <w:rsid w:val="45F20916"/>
    <w:rsid w:val="45F34DBA"/>
    <w:rsid w:val="45F4643C"/>
    <w:rsid w:val="45F60406"/>
    <w:rsid w:val="45F66658"/>
    <w:rsid w:val="45F67C81"/>
    <w:rsid w:val="45F823D0"/>
    <w:rsid w:val="45F96148"/>
    <w:rsid w:val="45FC3543"/>
    <w:rsid w:val="45FD79E7"/>
    <w:rsid w:val="45FE72BB"/>
    <w:rsid w:val="460074D7"/>
    <w:rsid w:val="46044B84"/>
    <w:rsid w:val="46052D96"/>
    <w:rsid w:val="460A5E25"/>
    <w:rsid w:val="4611121F"/>
    <w:rsid w:val="46130FB8"/>
    <w:rsid w:val="461421EA"/>
    <w:rsid w:val="46144D30"/>
    <w:rsid w:val="461817B6"/>
    <w:rsid w:val="46183B55"/>
    <w:rsid w:val="46195EA3"/>
    <w:rsid w:val="462211FB"/>
    <w:rsid w:val="46222FA9"/>
    <w:rsid w:val="46232982"/>
    <w:rsid w:val="46244F73"/>
    <w:rsid w:val="46256F3D"/>
    <w:rsid w:val="46260101"/>
    <w:rsid w:val="46276812"/>
    <w:rsid w:val="46277F1D"/>
    <w:rsid w:val="462A3CCD"/>
    <w:rsid w:val="462C02CC"/>
    <w:rsid w:val="462C3E28"/>
    <w:rsid w:val="462C6948"/>
    <w:rsid w:val="462E490D"/>
    <w:rsid w:val="46317690"/>
    <w:rsid w:val="463351B6"/>
    <w:rsid w:val="46340F2E"/>
    <w:rsid w:val="46364CA7"/>
    <w:rsid w:val="46380A1F"/>
    <w:rsid w:val="46392332"/>
    <w:rsid w:val="463F1DAD"/>
    <w:rsid w:val="463F7FFF"/>
    <w:rsid w:val="46401681"/>
    <w:rsid w:val="464253F9"/>
    <w:rsid w:val="4645313C"/>
    <w:rsid w:val="46454E1D"/>
    <w:rsid w:val="4646138E"/>
    <w:rsid w:val="46465D85"/>
    <w:rsid w:val="46492C2C"/>
    <w:rsid w:val="464A2500"/>
    <w:rsid w:val="464B2C73"/>
    <w:rsid w:val="464B3AC2"/>
    <w:rsid w:val="464C0026"/>
    <w:rsid w:val="464C03B4"/>
    <w:rsid w:val="464C44CA"/>
    <w:rsid w:val="464E0242"/>
    <w:rsid w:val="464E30C8"/>
    <w:rsid w:val="464F4558"/>
    <w:rsid w:val="46517D32"/>
    <w:rsid w:val="4652461A"/>
    <w:rsid w:val="4653292B"/>
    <w:rsid w:val="46535859"/>
    <w:rsid w:val="4654337F"/>
    <w:rsid w:val="4654527A"/>
    <w:rsid w:val="465A2875"/>
    <w:rsid w:val="465B295F"/>
    <w:rsid w:val="465B470D"/>
    <w:rsid w:val="465F41FD"/>
    <w:rsid w:val="46603AD2"/>
    <w:rsid w:val="46625A9C"/>
    <w:rsid w:val="46647A66"/>
    <w:rsid w:val="46671304"/>
    <w:rsid w:val="466730B2"/>
    <w:rsid w:val="466A28A1"/>
    <w:rsid w:val="466A4950"/>
    <w:rsid w:val="466B0DF4"/>
    <w:rsid w:val="466C06C8"/>
    <w:rsid w:val="466C691A"/>
    <w:rsid w:val="466E2692"/>
    <w:rsid w:val="4670640B"/>
    <w:rsid w:val="46715CDF"/>
    <w:rsid w:val="46744DE3"/>
    <w:rsid w:val="46753A21"/>
    <w:rsid w:val="467632F5"/>
    <w:rsid w:val="4678706D"/>
    <w:rsid w:val="467A1037"/>
    <w:rsid w:val="467A2DE5"/>
    <w:rsid w:val="467D0B27"/>
    <w:rsid w:val="46804174"/>
    <w:rsid w:val="46805F22"/>
    <w:rsid w:val="46810B28"/>
    <w:rsid w:val="468123C6"/>
    <w:rsid w:val="46825D28"/>
    <w:rsid w:val="4682613E"/>
    <w:rsid w:val="4685178A"/>
    <w:rsid w:val="46875502"/>
    <w:rsid w:val="468772B0"/>
    <w:rsid w:val="46885E2A"/>
    <w:rsid w:val="4689127A"/>
    <w:rsid w:val="468974CC"/>
    <w:rsid w:val="468A0B4E"/>
    <w:rsid w:val="468C0D6B"/>
    <w:rsid w:val="468E4AE3"/>
    <w:rsid w:val="46902609"/>
    <w:rsid w:val="469043B7"/>
    <w:rsid w:val="469367E2"/>
    <w:rsid w:val="4694464B"/>
    <w:rsid w:val="469519CD"/>
    <w:rsid w:val="46971BE9"/>
    <w:rsid w:val="46972D4E"/>
    <w:rsid w:val="469B0FAE"/>
    <w:rsid w:val="469C7200"/>
    <w:rsid w:val="469D0882"/>
    <w:rsid w:val="469D4D26"/>
    <w:rsid w:val="469D6AD4"/>
    <w:rsid w:val="469F284C"/>
    <w:rsid w:val="46A23569"/>
    <w:rsid w:val="46A240EA"/>
    <w:rsid w:val="46A44250"/>
    <w:rsid w:val="46A47E62"/>
    <w:rsid w:val="46A61E2C"/>
    <w:rsid w:val="46A75BA4"/>
    <w:rsid w:val="46A77C72"/>
    <w:rsid w:val="46A9191C"/>
    <w:rsid w:val="46A936CA"/>
    <w:rsid w:val="46AC4F69"/>
    <w:rsid w:val="46AE0CE1"/>
    <w:rsid w:val="46AE6F33"/>
    <w:rsid w:val="46B1257F"/>
    <w:rsid w:val="46B155F3"/>
    <w:rsid w:val="46B61944"/>
    <w:rsid w:val="46B67B95"/>
    <w:rsid w:val="46B81B60"/>
    <w:rsid w:val="46B8390E"/>
    <w:rsid w:val="46BA7686"/>
    <w:rsid w:val="46BD0F24"/>
    <w:rsid w:val="46BD675D"/>
    <w:rsid w:val="46C67DD9"/>
    <w:rsid w:val="46CB1893"/>
    <w:rsid w:val="46CC1167"/>
    <w:rsid w:val="46CE3131"/>
    <w:rsid w:val="46D00C57"/>
    <w:rsid w:val="46D0431B"/>
    <w:rsid w:val="46D07009"/>
    <w:rsid w:val="46D22C21"/>
    <w:rsid w:val="46D30747"/>
    <w:rsid w:val="46D36999"/>
    <w:rsid w:val="46D701E1"/>
    <w:rsid w:val="46D70238"/>
    <w:rsid w:val="46D71FE6"/>
    <w:rsid w:val="46DE1FCF"/>
    <w:rsid w:val="46DF0E9A"/>
    <w:rsid w:val="46E07E03"/>
    <w:rsid w:val="46E14C12"/>
    <w:rsid w:val="46E666CD"/>
    <w:rsid w:val="46E841F3"/>
    <w:rsid w:val="46EB783F"/>
    <w:rsid w:val="46EE5581"/>
    <w:rsid w:val="46EE732F"/>
    <w:rsid w:val="46EF6468"/>
    <w:rsid w:val="46F012F9"/>
    <w:rsid w:val="46F10BCE"/>
    <w:rsid w:val="46F21269"/>
    <w:rsid w:val="46F25071"/>
    <w:rsid w:val="46F62029"/>
    <w:rsid w:val="46F663C7"/>
    <w:rsid w:val="46F81F5C"/>
    <w:rsid w:val="46FB4A0B"/>
    <w:rsid w:val="46FC1A4C"/>
    <w:rsid w:val="46FC37FA"/>
    <w:rsid w:val="46FF778E"/>
    <w:rsid w:val="47005CAC"/>
    <w:rsid w:val="470152B5"/>
    <w:rsid w:val="47021D0D"/>
    <w:rsid w:val="4703102D"/>
    <w:rsid w:val="47044DA5"/>
    <w:rsid w:val="47046B53"/>
    <w:rsid w:val="470628CB"/>
    <w:rsid w:val="470D3C59"/>
    <w:rsid w:val="4712301E"/>
    <w:rsid w:val="47125265"/>
    <w:rsid w:val="47136D96"/>
    <w:rsid w:val="471517AC"/>
    <w:rsid w:val="47174AD8"/>
    <w:rsid w:val="471A1ED2"/>
    <w:rsid w:val="471E7C15"/>
    <w:rsid w:val="471F1BDF"/>
    <w:rsid w:val="47215957"/>
    <w:rsid w:val="47216726"/>
    <w:rsid w:val="47224B4B"/>
    <w:rsid w:val="4723347D"/>
    <w:rsid w:val="4723522B"/>
    <w:rsid w:val="47240FA3"/>
    <w:rsid w:val="472471F5"/>
    <w:rsid w:val="472623B2"/>
    <w:rsid w:val="47262F6D"/>
    <w:rsid w:val="47264D1B"/>
    <w:rsid w:val="47266AC9"/>
    <w:rsid w:val="47280A93"/>
    <w:rsid w:val="47283A28"/>
    <w:rsid w:val="47290367"/>
    <w:rsid w:val="4729674D"/>
    <w:rsid w:val="472D42FC"/>
    <w:rsid w:val="472D60AA"/>
    <w:rsid w:val="472D7E58"/>
    <w:rsid w:val="472E3BD0"/>
    <w:rsid w:val="472E597E"/>
    <w:rsid w:val="472F1E22"/>
    <w:rsid w:val="47307948"/>
    <w:rsid w:val="4731621B"/>
    <w:rsid w:val="473531B0"/>
    <w:rsid w:val="47376F28"/>
    <w:rsid w:val="47392CA0"/>
    <w:rsid w:val="473C62ED"/>
    <w:rsid w:val="473D3E13"/>
    <w:rsid w:val="473E2065"/>
    <w:rsid w:val="473F5DDD"/>
    <w:rsid w:val="473F7B8B"/>
    <w:rsid w:val="47406C6A"/>
    <w:rsid w:val="47411B55"/>
    <w:rsid w:val="47420FCD"/>
    <w:rsid w:val="47422765"/>
    <w:rsid w:val="474433F3"/>
    <w:rsid w:val="4746716B"/>
    <w:rsid w:val="47482EE3"/>
    <w:rsid w:val="47483757"/>
    <w:rsid w:val="47484C91"/>
    <w:rsid w:val="474A0503"/>
    <w:rsid w:val="474B6530"/>
    <w:rsid w:val="474D22A8"/>
    <w:rsid w:val="474D674C"/>
    <w:rsid w:val="474E6020"/>
    <w:rsid w:val="474E7DCE"/>
    <w:rsid w:val="47501D98"/>
    <w:rsid w:val="47503B46"/>
    <w:rsid w:val="47507FEA"/>
    <w:rsid w:val="47521D3A"/>
    <w:rsid w:val="47532CF6"/>
    <w:rsid w:val="475353E4"/>
    <w:rsid w:val="4755115C"/>
    <w:rsid w:val="475573AE"/>
    <w:rsid w:val="47571378"/>
    <w:rsid w:val="47574ED5"/>
    <w:rsid w:val="47590C4D"/>
    <w:rsid w:val="475950F1"/>
    <w:rsid w:val="475A6773"/>
    <w:rsid w:val="475C24EB"/>
    <w:rsid w:val="475C2B83"/>
    <w:rsid w:val="475D789A"/>
    <w:rsid w:val="475E2707"/>
    <w:rsid w:val="475E44B5"/>
    <w:rsid w:val="475F022D"/>
    <w:rsid w:val="47615D53"/>
    <w:rsid w:val="47631ACB"/>
    <w:rsid w:val="47655843"/>
    <w:rsid w:val="476615BC"/>
    <w:rsid w:val="47680E90"/>
    <w:rsid w:val="4769234B"/>
    <w:rsid w:val="476A2E5A"/>
    <w:rsid w:val="47700BE5"/>
    <w:rsid w:val="47701410"/>
    <w:rsid w:val="47705F96"/>
    <w:rsid w:val="47724B3E"/>
    <w:rsid w:val="477261B2"/>
    <w:rsid w:val="47737835"/>
    <w:rsid w:val="4774202F"/>
    <w:rsid w:val="4774745E"/>
    <w:rsid w:val="477535AD"/>
    <w:rsid w:val="47767F64"/>
    <w:rsid w:val="47797541"/>
    <w:rsid w:val="477D340C"/>
    <w:rsid w:val="478101A3"/>
    <w:rsid w:val="47835CCA"/>
    <w:rsid w:val="47867568"/>
    <w:rsid w:val="47881532"/>
    <w:rsid w:val="478C7274"/>
    <w:rsid w:val="478D08F6"/>
    <w:rsid w:val="478F0B12"/>
    <w:rsid w:val="478F28C0"/>
    <w:rsid w:val="478F466E"/>
    <w:rsid w:val="47906638"/>
    <w:rsid w:val="4791488A"/>
    <w:rsid w:val="47946129"/>
    <w:rsid w:val="47972677"/>
    <w:rsid w:val="47975C19"/>
    <w:rsid w:val="479779C7"/>
    <w:rsid w:val="479928B9"/>
    <w:rsid w:val="479954ED"/>
    <w:rsid w:val="4799729B"/>
    <w:rsid w:val="47997CE8"/>
    <w:rsid w:val="479C322F"/>
    <w:rsid w:val="479D123A"/>
    <w:rsid w:val="47A04ACD"/>
    <w:rsid w:val="47A10846"/>
    <w:rsid w:val="47A3636C"/>
    <w:rsid w:val="47A45C40"/>
    <w:rsid w:val="47A520E4"/>
    <w:rsid w:val="47A605B8"/>
    <w:rsid w:val="47A622EC"/>
    <w:rsid w:val="47A67C0A"/>
    <w:rsid w:val="47AC615E"/>
    <w:rsid w:val="47AD71EA"/>
    <w:rsid w:val="47AF4D11"/>
    <w:rsid w:val="47B16CDB"/>
    <w:rsid w:val="47B33460"/>
    <w:rsid w:val="47B40579"/>
    <w:rsid w:val="47B42327"/>
    <w:rsid w:val="47B440D5"/>
    <w:rsid w:val="47B57E4D"/>
    <w:rsid w:val="47B71E17"/>
    <w:rsid w:val="47B73BC5"/>
    <w:rsid w:val="47B9793D"/>
    <w:rsid w:val="47BC11DC"/>
    <w:rsid w:val="47C02A7A"/>
    <w:rsid w:val="47C3256A"/>
    <w:rsid w:val="47C37090"/>
    <w:rsid w:val="47C841F6"/>
    <w:rsid w:val="47C85DD2"/>
    <w:rsid w:val="47CA56A6"/>
    <w:rsid w:val="47CB4FE5"/>
    <w:rsid w:val="47D06A35"/>
    <w:rsid w:val="47D12ED9"/>
    <w:rsid w:val="47D420AB"/>
    <w:rsid w:val="47D6229D"/>
    <w:rsid w:val="47D93B3C"/>
    <w:rsid w:val="47DE6415"/>
    <w:rsid w:val="47DF3BBE"/>
    <w:rsid w:val="47E05BFC"/>
    <w:rsid w:val="47E26E94"/>
    <w:rsid w:val="47E339CF"/>
    <w:rsid w:val="47E36768"/>
    <w:rsid w:val="47E524E0"/>
    <w:rsid w:val="47E80223"/>
    <w:rsid w:val="47EA3F9B"/>
    <w:rsid w:val="47EB386F"/>
    <w:rsid w:val="47EC1AC1"/>
    <w:rsid w:val="47EE7652"/>
    <w:rsid w:val="47EF7803"/>
    <w:rsid w:val="47F00E85"/>
    <w:rsid w:val="47F17ACA"/>
    <w:rsid w:val="47F24BFD"/>
    <w:rsid w:val="47F44E19"/>
    <w:rsid w:val="47F47296"/>
    <w:rsid w:val="47F60B91"/>
    <w:rsid w:val="47FC782A"/>
    <w:rsid w:val="47FD7147"/>
    <w:rsid w:val="47FE12B5"/>
    <w:rsid w:val="47FE1F9A"/>
    <w:rsid w:val="47FE35A2"/>
    <w:rsid w:val="47FE5A06"/>
    <w:rsid w:val="4800731A"/>
    <w:rsid w:val="48013092"/>
    <w:rsid w:val="480212E4"/>
    <w:rsid w:val="48027536"/>
    <w:rsid w:val="48066043"/>
    <w:rsid w:val="480A63EB"/>
    <w:rsid w:val="480F1C53"/>
    <w:rsid w:val="480F5247"/>
    <w:rsid w:val="48107E1B"/>
    <w:rsid w:val="48111527"/>
    <w:rsid w:val="481132D5"/>
    <w:rsid w:val="481334F1"/>
    <w:rsid w:val="4814136D"/>
    <w:rsid w:val="48147269"/>
    <w:rsid w:val="481903DC"/>
    <w:rsid w:val="4819662E"/>
    <w:rsid w:val="481A666F"/>
    <w:rsid w:val="481B05F8"/>
    <w:rsid w:val="481C1C7A"/>
    <w:rsid w:val="481E1E96"/>
    <w:rsid w:val="4820176A"/>
    <w:rsid w:val="482024E1"/>
    <w:rsid w:val="48223734"/>
    <w:rsid w:val="482254E2"/>
    <w:rsid w:val="48256D81"/>
    <w:rsid w:val="48270D4B"/>
    <w:rsid w:val="48272AF9"/>
    <w:rsid w:val="48276F9D"/>
    <w:rsid w:val="48284AC3"/>
    <w:rsid w:val="482E20D9"/>
    <w:rsid w:val="4832149E"/>
    <w:rsid w:val="48376AB4"/>
    <w:rsid w:val="48382F58"/>
    <w:rsid w:val="483B0352"/>
    <w:rsid w:val="483B2A48"/>
    <w:rsid w:val="483B65A4"/>
    <w:rsid w:val="483D40CA"/>
    <w:rsid w:val="483E6094"/>
    <w:rsid w:val="48403BBB"/>
    <w:rsid w:val="4842386C"/>
    <w:rsid w:val="48427933"/>
    <w:rsid w:val="484418FD"/>
    <w:rsid w:val="484511D1"/>
    <w:rsid w:val="48454344"/>
    <w:rsid w:val="484713ED"/>
    <w:rsid w:val="48474F49"/>
    <w:rsid w:val="48480CC1"/>
    <w:rsid w:val="48482A6F"/>
    <w:rsid w:val="48496F13"/>
    <w:rsid w:val="484A4A39"/>
    <w:rsid w:val="484A6F23"/>
    <w:rsid w:val="484C07B1"/>
    <w:rsid w:val="484D0086"/>
    <w:rsid w:val="484E4529"/>
    <w:rsid w:val="484F2050"/>
    <w:rsid w:val="4850658B"/>
    <w:rsid w:val="48507223"/>
    <w:rsid w:val="48517B76"/>
    <w:rsid w:val="48541414"/>
    <w:rsid w:val="48561630"/>
    <w:rsid w:val="485633DE"/>
    <w:rsid w:val="48587156"/>
    <w:rsid w:val="48592ECE"/>
    <w:rsid w:val="485B09F4"/>
    <w:rsid w:val="485B3366"/>
    <w:rsid w:val="485E04E5"/>
    <w:rsid w:val="485F6737"/>
    <w:rsid w:val="486024AF"/>
    <w:rsid w:val="4860600B"/>
    <w:rsid w:val="48607974"/>
    <w:rsid w:val="48621D83"/>
    <w:rsid w:val="48653621"/>
    <w:rsid w:val="48657AC5"/>
    <w:rsid w:val="4867383D"/>
    <w:rsid w:val="48677399"/>
    <w:rsid w:val="48691363"/>
    <w:rsid w:val="486C0E54"/>
    <w:rsid w:val="486C2C02"/>
    <w:rsid w:val="486E1F78"/>
    <w:rsid w:val="486E697A"/>
    <w:rsid w:val="486F624E"/>
    <w:rsid w:val="48735D3E"/>
    <w:rsid w:val="48741AB6"/>
    <w:rsid w:val="48743864"/>
    <w:rsid w:val="48757D08"/>
    <w:rsid w:val="4877476B"/>
    <w:rsid w:val="48776B62"/>
    <w:rsid w:val="487A3570"/>
    <w:rsid w:val="487B2E45"/>
    <w:rsid w:val="487D096B"/>
    <w:rsid w:val="487D4E0F"/>
    <w:rsid w:val="487E1A6D"/>
    <w:rsid w:val="487F2935"/>
    <w:rsid w:val="48805B66"/>
    <w:rsid w:val="48825F81"/>
    <w:rsid w:val="48847F4B"/>
    <w:rsid w:val="48853CC3"/>
    <w:rsid w:val="48855A71"/>
    <w:rsid w:val="488717E9"/>
    <w:rsid w:val="48873598"/>
    <w:rsid w:val="488B752C"/>
    <w:rsid w:val="488C5052"/>
    <w:rsid w:val="488E0DCA"/>
    <w:rsid w:val="488E59A4"/>
    <w:rsid w:val="48912668"/>
    <w:rsid w:val="4893018E"/>
    <w:rsid w:val="48945CB4"/>
    <w:rsid w:val="48963ABE"/>
    <w:rsid w:val="48965ED0"/>
    <w:rsid w:val="48970ED3"/>
    <w:rsid w:val="489F2FD7"/>
    <w:rsid w:val="489F4D85"/>
    <w:rsid w:val="489F5AE5"/>
    <w:rsid w:val="48A4239B"/>
    <w:rsid w:val="48A44149"/>
    <w:rsid w:val="48A44C18"/>
    <w:rsid w:val="48A57EC2"/>
    <w:rsid w:val="48A845E3"/>
    <w:rsid w:val="48AC74A2"/>
    <w:rsid w:val="48AE4FC8"/>
    <w:rsid w:val="48B0193B"/>
    <w:rsid w:val="48B06F92"/>
    <w:rsid w:val="48B2162B"/>
    <w:rsid w:val="48B306AC"/>
    <w:rsid w:val="48B40105"/>
    <w:rsid w:val="48B60321"/>
    <w:rsid w:val="48B620CF"/>
    <w:rsid w:val="48BB76E5"/>
    <w:rsid w:val="48BD520B"/>
    <w:rsid w:val="48BF0F83"/>
    <w:rsid w:val="48BF2D31"/>
    <w:rsid w:val="48C04CFB"/>
    <w:rsid w:val="48C22822"/>
    <w:rsid w:val="48C52312"/>
    <w:rsid w:val="48C540C0"/>
    <w:rsid w:val="48C60564"/>
    <w:rsid w:val="48C7608A"/>
    <w:rsid w:val="48C77E38"/>
    <w:rsid w:val="48C85D1E"/>
    <w:rsid w:val="48CC1253"/>
    <w:rsid w:val="48D12A65"/>
    <w:rsid w:val="48D250C5"/>
    <w:rsid w:val="48D34416"/>
    <w:rsid w:val="48D367DD"/>
    <w:rsid w:val="48D6451F"/>
    <w:rsid w:val="48D662CD"/>
    <w:rsid w:val="48D923C7"/>
    <w:rsid w:val="48DA23DA"/>
    <w:rsid w:val="48DB38E3"/>
    <w:rsid w:val="48DC0511"/>
    <w:rsid w:val="48DD3AFF"/>
    <w:rsid w:val="48DD765B"/>
    <w:rsid w:val="48EC5AF0"/>
    <w:rsid w:val="48EE1869"/>
    <w:rsid w:val="48F055E1"/>
    <w:rsid w:val="48F52BF7"/>
    <w:rsid w:val="48F6071D"/>
    <w:rsid w:val="48F86243"/>
    <w:rsid w:val="48F86DE0"/>
    <w:rsid w:val="48FC3F85"/>
    <w:rsid w:val="48FC6DE4"/>
    <w:rsid w:val="48FD7CFE"/>
    <w:rsid w:val="48FF5824"/>
    <w:rsid w:val="48FF75D2"/>
    <w:rsid w:val="4901159C"/>
    <w:rsid w:val="490115D2"/>
    <w:rsid w:val="490270C2"/>
    <w:rsid w:val="49033566"/>
    <w:rsid w:val="49057F53"/>
    <w:rsid w:val="49064E04"/>
    <w:rsid w:val="49066BB2"/>
    <w:rsid w:val="49080B7C"/>
    <w:rsid w:val="490842E1"/>
    <w:rsid w:val="490A3DB9"/>
    <w:rsid w:val="490B41C9"/>
    <w:rsid w:val="490B5F77"/>
    <w:rsid w:val="490C1CEF"/>
    <w:rsid w:val="490E1F0B"/>
    <w:rsid w:val="490E5A67"/>
    <w:rsid w:val="4910358D"/>
    <w:rsid w:val="49122557"/>
    <w:rsid w:val="491312CF"/>
    <w:rsid w:val="49144E77"/>
    <w:rsid w:val="491465B8"/>
    <w:rsid w:val="491868E5"/>
    <w:rsid w:val="491A265E"/>
    <w:rsid w:val="491C0184"/>
    <w:rsid w:val="491C3609"/>
    <w:rsid w:val="491C4628"/>
    <w:rsid w:val="492139EC"/>
    <w:rsid w:val="4925753D"/>
    <w:rsid w:val="49261002"/>
    <w:rsid w:val="49262DB0"/>
    <w:rsid w:val="49290AF3"/>
    <w:rsid w:val="49295C0D"/>
    <w:rsid w:val="492B486B"/>
    <w:rsid w:val="492B6619"/>
    <w:rsid w:val="492B7622"/>
    <w:rsid w:val="492D715F"/>
    <w:rsid w:val="492E435B"/>
    <w:rsid w:val="492E7EB7"/>
    <w:rsid w:val="49311755"/>
    <w:rsid w:val="493354CD"/>
    <w:rsid w:val="49351245"/>
    <w:rsid w:val="49357497"/>
    <w:rsid w:val="49361952"/>
    <w:rsid w:val="49373210"/>
    <w:rsid w:val="49374FBE"/>
    <w:rsid w:val="49382AE4"/>
    <w:rsid w:val="49396E43"/>
    <w:rsid w:val="493D00FA"/>
    <w:rsid w:val="493F0316"/>
    <w:rsid w:val="49417BEA"/>
    <w:rsid w:val="49425710"/>
    <w:rsid w:val="49477D06"/>
    <w:rsid w:val="49494CF1"/>
    <w:rsid w:val="49496A9F"/>
    <w:rsid w:val="494B0A69"/>
    <w:rsid w:val="494B49DC"/>
    <w:rsid w:val="494D658F"/>
    <w:rsid w:val="494E0559"/>
    <w:rsid w:val="494F67AB"/>
    <w:rsid w:val="4950607F"/>
    <w:rsid w:val="49520049"/>
    <w:rsid w:val="4953791E"/>
    <w:rsid w:val="495518E8"/>
    <w:rsid w:val="4957740E"/>
    <w:rsid w:val="49583186"/>
    <w:rsid w:val="495910A3"/>
    <w:rsid w:val="495A6EFE"/>
    <w:rsid w:val="495C2C76"/>
    <w:rsid w:val="495E69EE"/>
    <w:rsid w:val="495F62C2"/>
    <w:rsid w:val="49627B61"/>
    <w:rsid w:val="49635DB3"/>
    <w:rsid w:val="49663AF5"/>
    <w:rsid w:val="4968161B"/>
    <w:rsid w:val="49695393"/>
    <w:rsid w:val="496A7EDE"/>
    <w:rsid w:val="496B2EB9"/>
    <w:rsid w:val="496B4C67"/>
    <w:rsid w:val="496B7101"/>
    <w:rsid w:val="496C3162"/>
    <w:rsid w:val="496D4E83"/>
    <w:rsid w:val="496E7691"/>
    <w:rsid w:val="496F0BFB"/>
    <w:rsid w:val="49714403"/>
    <w:rsid w:val="49724248"/>
    <w:rsid w:val="49730464"/>
    <w:rsid w:val="49746212"/>
    <w:rsid w:val="4977185E"/>
    <w:rsid w:val="49793828"/>
    <w:rsid w:val="497A30FC"/>
    <w:rsid w:val="498015D8"/>
    <w:rsid w:val="49804BB7"/>
    <w:rsid w:val="49836455"/>
    <w:rsid w:val="49861AA1"/>
    <w:rsid w:val="498A77E3"/>
    <w:rsid w:val="498B355B"/>
    <w:rsid w:val="498D2E30"/>
    <w:rsid w:val="498E6BA8"/>
    <w:rsid w:val="498F4DFA"/>
    <w:rsid w:val="49900B72"/>
    <w:rsid w:val="49957F36"/>
    <w:rsid w:val="49974C8E"/>
    <w:rsid w:val="499A554C"/>
    <w:rsid w:val="499C12C5"/>
    <w:rsid w:val="499C3073"/>
    <w:rsid w:val="499E6DEB"/>
    <w:rsid w:val="499F2B63"/>
    <w:rsid w:val="49A10689"/>
    <w:rsid w:val="49A168DB"/>
    <w:rsid w:val="49A34BDC"/>
    <w:rsid w:val="49A60395"/>
    <w:rsid w:val="49A75C13"/>
    <w:rsid w:val="49A81A17"/>
    <w:rsid w:val="49AA1C33"/>
    <w:rsid w:val="49AB1508"/>
    <w:rsid w:val="49AE2DA6"/>
    <w:rsid w:val="49AE366E"/>
    <w:rsid w:val="49AF47D6"/>
    <w:rsid w:val="49B10406"/>
    <w:rsid w:val="49B26D3A"/>
    <w:rsid w:val="49B605D8"/>
    <w:rsid w:val="49BA799D"/>
    <w:rsid w:val="49BC1967"/>
    <w:rsid w:val="49BF6D61"/>
    <w:rsid w:val="49C01457"/>
    <w:rsid w:val="49C64593"/>
    <w:rsid w:val="49C8030C"/>
    <w:rsid w:val="49CC6099"/>
    <w:rsid w:val="49CD147E"/>
    <w:rsid w:val="49CF169A"/>
    <w:rsid w:val="49CF3448"/>
    <w:rsid w:val="49D15412"/>
    <w:rsid w:val="49D30BCF"/>
    <w:rsid w:val="49D44C30"/>
    <w:rsid w:val="49DB003F"/>
    <w:rsid w:val="49DB1DED"/>
    <w:rsid w:val="49DD7950"/>
    <w:rsid w:val="49DE368B"/>
    <w:rsid w:val="49DF112C"/>
    <w:rsid w:val="49E1317B"/>
    <w:rsid w:val="49E30CA1"/>
    <w:rsid w:val="49E54A1A"/>
    <w:rsid w:val="49E81B32"/>
    <w:rsid w:val="49E8450A"/>
    <w:rsid w:val="49E862B8"/>
    <w:rsid w:val="49EA0282"/>
    <w:rsid w:val="49EA0597"/>
    <w:rsid w:val="49EB5DA8"/>
    <w:rsid w:val="49EB7B56"/>
    <w:rsid w:val="49EC5A88"/>
    <w:rsid w:val="49ED78C9"/>
    <w:rsid w:val="49ED7D72"/>
    <w:rsid w:val="49EF3AEA"/>
    <w:rsid w:val="49F033BE"/>
    <w:rsid w:val="49F230EC"/>
    <w:rsid w:val="49F26D29"/>
    <w:rsid w:val="49F42AD9"/>
    <w:rsid w:val="49F42EAF"/>
    <w:rsid w:val="49F509D5"/>
    <w:rsid w:val="49F61BB2"/>
    <w:rsid w:val="49F72B9B"/>
    <w:rsid w:val="49F7474D"/>
    <w:rsid w:val="49F96717"/>
    <w:rsid w:val="49FA5FEB"/>
    <w:rsid w:val="49FE1F7F"/>
    <w:rsid w:val="49FE52CC"/>
    <w:rsid w:val="4A001853"/>
    <w:rsid w:val="4A0155CC"/>
    <w:rsid w:val="4A02381D"/>
    <w:rsid w:val="4A0330F2"/>
    <w:rsid w:val="4A043D0F"/>
    <w:rsid w:val="4A051356"/>
    <w:rsid w:val="4A053A5E"/>
    <w:rsid w:val="4A077ABF"/>
    <w:rsid w:val="4A083129"/>
    <w:rsid w:val="4A0A0924"/>
    <w:rsid w:val="4A0D21F0"/>
    <w:rsid w:val="4A0F1A96"/>
    <w:rsid w:val="4A0F5F3A"/>
    <w:rsid w:val="4A113A61"/>
    <w:rsid w:val="4A11580F"/>
    <w:rsid w:val="4A116313"/>
    <w:rsid w:val="4A121587"/>
    <w:rsid w:val="4A1470AD"/>
    <w:rsid w:val="4A1474F2"/>
    <w:rsid w:val="4A174DEF"/>
    <w:rsid w:val="4A192915"/>
    <w:rsid w:val="4A1B48DF"/>
    <w:rsid w:val="4A1C2405"/>
    <w:rsid w:val="4A1C41B3"/>
    <w:rsid w:val="4A1E7F2C"/>
    <w:rsid w:val="4A20088A"/>
    <w:rsid w:val="4A2026F9"/>
    <w:rsid w:val="4A205A52"/>
    <w:rsid w:val="4A225C6E"/>
    <w:rsid w:val="4A253068"/>
    <w:rsid w:val="4A280C46"/>
    <w:rsid w:val="4A2819C9"/>
    <w:rsid w:val="4A295E4D"/>
    <w:rsid w:val="4A2A2D74"/>
    <w:rsid w:val="4A2C2648"/>
    <w:rsid w:val="4A2F40FA"/>
    <w:rsid w:val="4A3027A7"/>
    <w:rsid w:val="4A315EB1"/>
    <w:rsid w:val="4A317C5F"/>
    <w:rsid w:val="4A321B0B"/>
    <w:rsid w:val="4A3459A1"/>
    <w:rsid w:val="4A365275"/>
    <w:rsid w:val="4A370FED"/>
    <w:rsid w:val="4A392C3F"/>
    <w:rsid w:val="4A392FB7"/>
    <w:rsid w:val="4A394D65"/>
    <w:rsid w:val="4A396B13"/>
    <w:rsid w:val="4A3A2743"/>
    <w:rsid w:val="4A3B6D2F"/>
    <w:rsid w:val="4A3E237C"/>
    <w:rsid w:val="4A3E412A"/>
    <w:rsid w:val="4A4060F4"/>
    <w:rsid w:val="4A407EA2"/>
    <w:rsid w:val="4A4200BE"/>
    <w:rsid w:val="4A4554B8"/>
    <w:rsid w:val="4A4709FB"/>
    <w:rsid w:val="4A4831FA"/>
    <w:rsid w:val="4A4863E2"/>
    <w:rsid w:val="4A497872"/>
    <w:rsid w:val="4A4A0D21"/>
    <w:rsid w:val="4A4A2ACF"/>
    <w:rsid w:val="4A4C2CEB"/>
    <w:rsid w:val="4A4E36E4"/>
    <w:rsid w:val="4A527BD5"/>
    <w:rsid w:val="4A544985"/>
    <w:rsid w:val="4A547DF1"/>
    <w:rsid w:val="4A5676C5"/>
    <w:rsid w:val="4A574A47"/>
    <w:rsid w:val="4A58343D"/>
    <w:rsid w:val="4A5921D1"/>
    <w:rsid w:val="4A5B1180"/>
    <w:rsid w:val="4A5B2F2E"/>
    <w:rsid w:val="4A5C2802"/>
    <w:rsid w:val="4A5D6CA6"/>
    <w:rsid w:val="4A605AF9"/>
    <w:rsid w:val="4A61284F"/>
    <w:rsid w:val="4A6242BC"/>
    <w:rsid w:val="4A630034"/>
    <w:rsid w:val="4A6504DB"/>
    <w:rsid w:val="4A6718D3"/>
    <w:rsid w:val="4A6859CC"/>
    <w:rsid w:val="4A6A3171"/>
    <w:rsid w:val="4A6A5456"/>
    <w:rsid w:val="4A6B2C0C"/>
    <w:rsid w:val="4A6D4E76"/>
    <w:rsid w:val="4A6F0787"/>
    <w:rsid w:val="4A7101BF"/>
    <w:rsid w:val="4A712751"/>
    <w:rsid w:val="4A7144FF"/>
    <w:rsid w:val="4A7162AD"/>
    <w:rsid w:val="4A722025"/>
    <w:rsid w:val="4A724C2B"/>
    <w:rsid w:val="4A7364C9"/>
    <w:rsid w:val="4A761B16"/>
    <w:rsid w:val="4A7A1270"/>
    <w:rsid w:val="4A7D10F6"/>
    <w:rsid w:val="4A7D2EA4"/>
    <w:rsid w:val="4A7D4C52"/>
    <w:rsid w:val="4A7E7BF1"/>
    <w:rsid w:val="4A7F4E6E"/>
    <w:rsid w:val="4A800BE6"/>
    <w:rsid w:val="4A802994"/>
    <w:rsid w:val="4A8204BA"/>
    <w:rsid w:val="4A82495E"/>
    <w:rsid w:val="4A835FE1"/>
    <w:rsid w:val="4A842484"/>
    <w:rsid w:val="4A851D59"/>
    <w:rsid w:val="4A875AD1"/>
    <w:rsid w:val="4A8C1339"/>
    <w:rsid w:val="4A8F0E29"/>
    <w:rsid w:val="4A904BD7"/>
    <w:rsid w:val="4A9106FD"/>
    <w:rsid w:val="4A914BA1"/>
    <w:rsid w:val="4A91694F"/>
    <w:rsid w:val="4A9220C8"/>
    <w:rsid w:val="4A930919"/>
    <w:rsid w:val="4A9326C8"/>
    <w:rsid w:val="4A963F66"/>
    <w:rsid w:val="4A9947F9"/>
    <w:rsid w:val="4A9973CA"/>
    <w:rsid w:val="4A9A27AA"/>
    <w:rsid w:val="4A9B332A"/>
    <w:rsid w:val="4A9B5A20"/>
    <w:rsid w:val="4A9B77CE"/>
    <w:rsid w:val="4A9D3546"/>
    <w:rsid w:val="4A9D52F4"/>
    <w:rsid w:val="4A9D70A2"/>
    <w:rsid w:val="4A9E2E1A"/>
    <w:rsid w:val="4A9F72BE"/>
    <w:rsid w:val="4AA02F8B"/>
    <w:rsid w:val="4AA17821"/>
    <w:rsid w:val="4AA20B5D"/>
    <w:rsid w:val="4AA2290B"/>
    <w:rsid w:val="4AA30431"/>
    <w:rsid w:val="4AA448D5"/>
    <w:rsid w:val="4AA72161"/>
    <w:rsid w:val="4AA77F21"/>
    <w:rsid w:val="4AAA5C63"/>
    <w:rsid w:val="4AAE7501"/>
    <w:rsid w:val="4AAF5028"/>
    <w:rsid w:val="4AAF6DD6"/>
    <w:rsid w:val="4AB03279"/>
    <w:rsid w:val="4AB12B4E"/>
    <w:rsid w:val="4AB16FF2"/>
    <w:rsid w:val="4AB41401"/>
    <w:rsid w:val="4AB53D21"/>
    <w:rsid w:val="4AB663B6"/>
    <w:rsid w:val="4AB747AE"/>
    <w:rsid w:val="4AB83EDC"/>
    <w:rsid w:val="4AB97C54"/>
    <w:rsid w:val="4ABA5EA6"/>
    <w:rsid w:val="4ABB1C1E"/>
    <w:rsid w:val="4ABB204E"/>
    <w:rsid w:val="4ABB577A"/>
    <w:rsid w:val="4ABD3BF4"/>
    <w:rsid w:val="4ABE5084"/>
    <w:rsid w:val="4ABF34BD"/>
    <w:rsid w:val="4AC200C4"/>
    <w:rsid w:val="4AC22FAD"/>
    <w:rsid w:val="4AC42881"/>
    <w:rsid w:val="4AC5484B"/>
    <w:rsid w:val="4AC7411F"/>
    <w:rsid w:val="4ACA3C0F"/>
    <w:rsid w:val="4ACA42E7"/>
    <w:rsid w:val="4ACD7766"/>
    <w:rsid w:val="4ACE54AE"/>
    <w:rsid w:val="4AD0171C"/>
    <w:rsid w:val="4AD056CA"/>
    <w:rsid w:val="4AD4683C"/>
    <w:rsid w:val="4AD60806"/>
    <w:rsid w:val="4AD870BB"/>
    <w:rsid w:val="4ADA02F6"/>
    <w:rsid w:val="4ADA20A4"/>
    <w:rsid w:val="4ADA6548"/>
    <w:rsid w:val="4ADD1B95"/>
    <w:rsid w:val="4ADD7DE7"/>
    <w:rsid w:val="4ADF3B5F"/>
    <w:rsid w:val="4AE0056A"/>
    <w:rsid w:val="4AE01685"/>
    <w:rsid w:val="4AE051E1"/>
    <w:rsid w:val="4AE20F59"/>
    <w:rsid w:val="4AE271AB"/>
    <w:rsid w:val="4AE41175"/>
    <w:rsid w:val="4AE44CD1"/>
    <w:rsid w:val="4AE7656F"/>
    <w:rsid w:val="4AE922E8"/>
    <w:rsid w:val="4AE9678B"/>
    <w:rsid w:val="4AEC627C"/>
    <w:rsid w:val="4AF07B1A"/>
    <w:rsid w:val="4AF55130"/>
    <w:rsid w:val="4AFA44F5"/>
    <w:rsid w:val="4AFA62A3"/>
    <w:rsid w:val="4AFC64BF"/>
    <w:rsid w:val="4AFD1087"/>
    <w:rsid w:val="4AFE0ECE"/>
    <w:rsid w:val="4B007631"/>
    <w:rsid w:val="4B050CA9"/>
    <w:rsid w:val="4B054C48"/>
    <w:rsid w:val="4B0610EB"/>
    <w:rsid w:val="4B06733D"/>
    <w:rsid w:val="4B074E64"/>
    <w:rsid w:val="4B090BDC"/>
    <w:rsid w:val="4B0A4C46"/>
    <w:rsid w:val="4B0C247A"/>
    <w:rsid w:val="4B0E61F2"/>
    <w:rsid w:val="4B0E73A1"/>
    <w:rsid w:val="4B101F6A"/>
    <w:rsid w:val="4B103D18"/>
    <w:rsid w:val="4B15132F"/>
    <w:rsid w:val="4B17661E"/>
    <w:rsid w:val="4B182BCD"/>
    <w:rsid w:val="4B187071"/>
    <w:rsid w:val="4B1A6945"/>
    <w:rsid w:val="4B1B446B"/>
    <w:rsid w:val="4B1C5AA0"/>
    <w:rsid w:val="4B1D6F30"/>
    <w:rsid w:val="4B215F25"/>
    <w:rsid w:val="4B217CD3"/>
    <w:rsid w:val="4B2257F9"/>
    <w:rsid w:val="4B245A16"/>
    <w:rsid w:val="4B26353C"/>
    <w:rsid w:val="4B271062"/>
    <w:rsid w:val="4B2772B4"/>
    <w:rsid w:val="4B277FE2"/>
    <w:rsid w:val="4B2954D3"/>
    <w:rsid w:val="4B2B2900"/>
    <w:rsid w:val="4B2B2E2B"/>
    <w:rsid w:val="4B320132"/>
    <w:rsid w:val="4B337A07"/>
    <w:rsid w:val="4B35377F"/>
    <w:rsid w:val="4B3612A5"/>
    <w:rsid w:val="4B3A2B43"/>
    <w:rsid w:val="4B3A6FE7"/>
    <w:rsid w:val="4B3D6AD7"/>
    <w:rsid w:val="4B3F63AB"/>
    <w:rsid w:val="4B41375A"/>
    <w:rsid w:val="4B425E9C"/>
    <w:rsid w:val="4B4340EE"/>
    <w:rsid w:val="4B46598C"/>
    <w:rsid w:val="4B46773A"/>
    <w:rsid w:val="4B494ABD"/>
    <w:rsid w:val="4B502367"/>
    <w:rsid w:val="4B542EFC"/>
    <w:rsid w:val="4B555BCF"/>
    <w:rsid w:val="4B577B99"/>
    <w:rsid w:val="4B58121B"/>
    <w:rsid w:val="4B5856BF"/>
    <w:rsid w:val="4B5A1437"/>
    <w:rsid w:val="4B5A4F93"/>
    <w:rsid w:val="4B5A5A42"/>
    <w:rsid w:val="4B5C0D0B"/>
    <w:rsid w:val="4B5C6F5D"/>
    <w:rsid w:val="4B5D4A84"/>
    <w:rsid w:val="4B616322"/>
    <w:rsid w:val="4B6202EC"/>
    <w:rsid w:val="4B62209A"/>
    <w:rsid w:val="4B655726"/>
    <w:rsid w:val="4B667DDC"/>
    <w:rsid w:val="4B683B54"/>
    <w:rsid w:val="4B69167A"/>
    <w:rsid w:val="4B693428"/>
    <w:rsid w:val="4B7324F9"/>
    <w:rsid w:val="4B7342A7"/>
    <w:rsid w:val="4B736055"/>
    <w:rsid w:val="4B775B45"/>
    <w:rsid w:val="4B7778F3"/>
    <w:rsid w:val="4B7818BD"/>
    <w:rsid w:val="4B78366B"/>
    <w:rsid w:val="4B7A3887"/>
    <w:rsid w:val="4B7A73E4"/>
    <w:rsid w:val="4B7E5126"/>
    <w:rsid w:val="4B810772"/>
    <w:rsid w:val="4B8169C4"/>
    <w:rsid w:val="4B83273C"/>
    <w:rsid w:val="4B885FA4"/>
    <w:rsid w:val="4B893ACB"/>
    <w:rsid w:val="4B897627"/>
    <w:rsid w:val="4B8A1D1C"/>
    <w:rsid w:val="4B8B7843"/>
    <w:rsid w:val="4B8D35BB"/>
    <w:rsid w:val="4B8F473E"/>
    <w:rsid w:val="4B906C07"/>
    <w:rsid w:val="4B92518B"/>
    <w:rsid w:val="4B946020"/>
    <w:rsid w:val="4B950383"/>
    <w:rsid w:val="4B95246F"/>
    <w:rsid w:val="4B95421D"/>
    <w:rsid w:val="4B961983"/>
    <w:rsid w:val="4B9761E7"/>
    <w:rsid w:val="4B991F60"/>
    <w:rsid w:val="4B9A5CD8"/>
    <w:rsid w:val="4B9C37FE"/>
    <w:rsid w:val="4B9D30D2"/>
    <w:rsid w:val="4B9E1324"/>
    <w:rsid w:val="4B9E66C3"/>
    <w:rsid w:val="4BA001D7"/>
    <w:rsid w:val="4BA12BC2"/>
    <w:rsid w:val="4BA17066"/>
    <w:rsid w:val="4BA6642B"/>
    <w:rsid w:val="4BAB34B4"/>
    <w:rsid w:val="4BAB3A41"/>
    <w:rsid w:val="4BAD77B9"/>
    <w:rsid w:val="4BAF683C"/>
    <w:rsid w:val="4BB02E05"/>
    <w:rsid w:val="4BB072A9"/>
    <w:rsid w:val="4BB328F5"/>
    <w:rsid w:val="4BB548C0"/>
    <w:rsid w:val="4BB70638"/>
    <w:rsid w:val="4BB723E6"/>
    <w:rsid w:val="4BB84560"/>
    <w:rsid w:val="4BB9041C"/>
    <w:rsid w:val="4BB9615E"/>
    <w:rsid w:val="4BBA0128"/>
    <w:rsid w:val="4BBA3C84"/>
    <w:rsid w:val="4BBA69BC"/>
    <w:rsid w:val="4BBC5C4E"/>
    <w:rsid w:val="4BBF129A"/>
    <w:rsid w:val="4BBF74EC"/>
    <w:rsid w:val="4BC04353"/>
    <w:rsid w:val="4BC32B39"/>
    <w:rsid w:val="4BC36FDC"/>
    <w:rsid w:val="4BC468B1"/>
    <w:rsid w:val="4BC52D55"/>
    <w:rsid w:val="4BC66ACD"/>
    <w:rsid w:val="4BC845F3"/>
    <w:rsid w:val="4BC863A1"/>
    <w:rsid w:val="4BCB5E91"/>
    <w:rsid w:val="4BCD087C"/>
    <w:rsid w:val="4BCD1C09"/>
    <w:rsid w:val="4BCD7E5B"/>
    <w:rsid w:val="4BCE772F"/>
    <w:rsid w:val="4BD25472"/>
    <w:rsid w:val="4BD44D46"/>
    <w:rsid w:val="4BD50557"/>
    <w:rsid w:val="4BD50ABE"/>
    <w:rsid w:val="4BD5286C"/>
    <w:rsid w:val="4BD72A88"/>
    <w:rsid w:val="4BD9235C"/>
    <w:rsid w:val="4BD96800"/>
    <w:rsid w:val="4BDA60D4"/>
    <w:rsid w:val="4BDA6C27"/>
    <w:rsid w:val="4BDB0716"/>
    <w:rsid w:val="4BDC1E4C"/>
    <w:rsid w:val="4BDE7972"/>
    <w:rsid w:val="4BDF1609"/>
    <w:rsid w:val="4BDF36EB"/>
    <w:rsid w:val="4BE16C2F"/>
    <w:rsid w:val="4BE40D01"/>
    <w:rsid w:val="4BE551A5"/>
    <w:rsid w:val="4BE64A79"/>
    <w:rsid w:val="4BE6690B"/>
    <w:rsid w:val="4BE66A8D"/>
    <w:rsid w:val="4BE807F1"/>
    <w:rsid w:val="4BE93715"/>
    <w:rsid w:val="4BEB208F"/>
    <w:rsid w:val="4BEF7DD1"/>
    <w:rsid w:val="4BF03B4A"/>
    <w:rsid w:val="4BF21670"/>
    <w:rsid w:val="4BF24EAD"/>
    <w:rsid w:val="4BF47196"/>
    <w:rsid w:val="4BF66E2D"/>
    <w:rsid w:val="4BF70A34"/>
    <w:rsid w:val="4BF74ED8"/>
    <w:rsid w:val="4BF76C86"/>
    <w:rsid w:val="4BF929FE"/>
    <w:rsid w:val="4BFB6776"/>
    <w:rsid w:val="4BFC10B8"/>
    <w:rsid w:val="4BFC24EE"/>
    <w:rsid w:val="4BFE6267"/>
    <w:rsid w:val="4BFF0BF2"/>
    <w:rsid w:val="4C003D8D"/>
    <w:rsid w:val="4C013661"/>
    <w:rsid w:val="4C0160E3"/>
    <w:rsid w:val="4C03562B"/>
    <w:rsid w:val="4C0513A3"/>
    <w:rsid w:val="4C066EC9"/>
    <w:rsid w:val="4C07336D"/>
    <w:rsid w:val="4C082C41"/>
    <w:rsid w:val="4C0849EF"/>
    <w:rsid w:val="4C0A0767"/>
    <w:rsid w:val="4C0A0B5C"/>
    <w:rsid w:val="4C0B2731"/>
    <w:rsid w:val="4C0B44E0"/>
    <w:rsid w:val="4C0D2006"/>
    <w:rsid w:val="4C0F2222"/>
    <w:rsid w:val="4C0F5D7E"/>
    <w:rsid w:val="4C115F9A"/>
    <w:rsid w:val="4C12586E"/>
    <w:rsid w:val="4C147838"/>
    <w:rsid w:val="4C175738"/>
    <w:rsid w:val="4C194E4E"/>
    <w:rsid w:val="4C196BFC"/>
    <w:rsid w:val="4C1B0BC7"/>
    <w:rsid w:val="4C1C493F"/>
    <w:rsid w:val="4C1E06B7"/>
    <w:rsid w:val="4C1E2465"/>
    <w:rsid w:val="4C20442F"/>
    <w:rsid w:val="4C211F55"/>
    <w:rsid w:val="4C230394"/>
    <w:rsid w:val="4C235CCD"/>
    <w:rsid w:val="4C25290D"/>
    <w:rsid w:val="4C2555A1"/>
    <w:rsid w:val="4C2D26A8"/>
    <w:rsid w:val="4C2F01CE"/>
    <w:rsid w:val="4C2F4368"/>
    <w:rsid w:val="4C3103EA"/>
    <w:rsid w:val="4C341C88"/>
    <w:rsid w:val="4C365A00"/>
    <w:rsid w:val="4C3677AE"/>
    <w:rsid w:val="4C39294E"/>
    <w:rsid w:val="4C3B4B33"/>
    <w:rsid w:val="4C3B6274"/>
    <w:rsid w:val="4C3C0B3D"/>
    <w:rsid w:val="4C3D2024"/>
    <w:rsid w:val="4C3D6D8F"/>
    <w:rsid w:val="4C3E6663"/>
    <w:rsid w:val="4C417F01"/>
    <w:rsid w:val="4C4243A5"/>
    <w:rsid w:val="4C43011D"/>
    <w:rsid w:val="4C433C79"/>
    <w:rsid w:val="4C445F9F"/>
    <w:rsid w:val="4C455C43"/>
    <w:rsid w:val="4C4579F1"/>
    <w:rsid w:val="4C46376A"/>
    <w:rsid w:val="4C4A14AC"/>
    <w:rsid w:val="4C4A325A"/>
    <w:rsid w:val="4C4B0D80"/>
    <w:rsid w:val="4C4D4AF8"/>
    <w:rsid w:val="4C4F261E"/>
    <w:rsid w:val="4C51283A"/>
    <w:rsid w:val="4C523EBC"/>
    <w:rsid w:val="4C553F36"/>
    <w:rsid w:val="4C575977"/>
    <w:rsid w:val="4C577725"/>
    <w:rsid w:val="4C5916EF"/>
    <w:rsid w:val="4C59349D"/>
    <w:rsid w:val="4C5C2F8D"/>
    <w:rsid w:val="4C5C5158"/>
    <w:rsid w:val="4C60482B"/>
    <w:rsid w:val="4C6267F5"/>
    <w:rsid w:val="4C660202"/>
    <w:rsid w:val="4C681932"/>
    <w:rsid w:val="4C6836E0"/>
    <w:rsid w:val="4C687B84"/>
    <w:rsid w:val="4C6A38FC"/>
    <w:rsid w:val="4C6C1338"/>
    <w:rsid w:val="4C6F4A6E"/>
    <w:rsid w:val="4C72455F"/>
    <w:rsid w:val="4C72630D"/>
    <w:rsid w:val="4C7327B1"/>
    <w:rsid w:val="4C742085"/>
    <w:rsid w:val="4C744CC4"/>
    <w:rsid w:val="4C746529"/>
    <w:rsid w:val="4C760D25"/>
    <w:rsid w:val="4C7622A1"/>
    <w:rsid w:val="4C786216"/>
    <w:rsid w:val="4C793B3F"/>
    <w:rsid w:val="4C7B78B7"/>
    <w:rsid w:val="4C820C46"/>
    <w:rsid w:val="4C83676C"/>
    <w:rsid w:val="4C854292"/>
    <w:rsid w:val="4C871DB8"/>
    <w:rsid w:val="4C87625C"/>
    <w:rsid w:val="4C891FD4"/>
    <w:rsid w:val="4C895A5A"/>
    <w:rsid w:val="4C8A18A8"/>
    <w:rsid w:val="4C8A7AFA"/>
    <w:rsid w:val="4C8C3872"/>
    <w:rsid w:val="4C8C5620"/>
    <w:rsid w:val="4C8C73CE"/>
    <w:rsid w:val="4C8D1398"/>
    <w:rsid w:val="4C8D3147"/>
    <w:rsid w:val="4C8D6FAC"/>
    <w:rsid w:val="4C8E75EA"/>
    <w:rsid w:val="4C8F5111"/>
    <w:rsid w:val="4C910E89"/>
    <w:rsid w:val="4C9149E5"/>
    <w:rsid w:val="4C9170DB"/>
    <w:rsid w:val="4C9269AF"/>
    <w:rsid w:val="4C934C01"/>
    <w:rsid w:val="4C940979"/>
    <w:rsid w:val="4C9444D5"/>
    <w:rsid w:val="4C95573E"/>
    <w:rsid w:val="4C96649F"/>
    <w:rsid w:val="4C975D73"/>
    <w:rsid w:val="4CA26BF2"/>
    <w:rsid w:val="4CA46E0E"/>
    <w:rsid w:val="4CA54934"/>
    <w:rsid w:val="4CA706AC"/>
    <w:rsid w:val="4CAA019C"/>
    <w:rsid w:val="4CAA5AA7"/>
    <w:rsid w:val="4CAB66CF"/>
    <w:rsid w:val="4CAC181F"/>
    <w:rsid w:val="4CAC5739"/>
    <w:rsid w:val="4CAC5CC3"/>
    <w:rsid w:val="4CAE37E9"/>
    <w:rsid w:val="4CAF7561"/>
    <w:rsid w:val="4CAF7775"/>
    <w:rsid w:val="4CB16E35"/>
    <w:rsid w:val="4CB42DC9"/>
    <w:rsid w:val="4CB44B77"/>
    <w:rsid w:val="4CB86415"/>
    <w:rsid w:val="4CB9218D"/>
    <w:rsid w:val="4CBC32CC"/>
    <w:rsid w:val="4CBD1C7E"/>
    <w:rsid w:val="4CBD7ED0"/>
    <w:rsid w:val="4CC0176E"/>
    <w:rsid w:val="4CC01E3B"/>
    <w:rsid w:val="4CC13400"/>
    <w:rsid w:val="4CC36B68"/>
    <w:rsid w:val="4CC76658"/>
    <w:rsid w:val="4CC96874"/>
    <w:rsid w:val="4CCA6149"/>
    <w:rsid w:val="4CCC1EC1"/>
    <w:rsid w:val="4CCC3C6F"/>
    <w:rsid w:val="4CCC4254"/>
    <w:rsid w:val="4CCD14F5"/>
    <w:rsid w:val="4CCE79E7"/>
    <w:rsid w:val="4CD07C03"/>
    <w:rsid w:val="4CD314A1"/>
    <w:rsid w:val="4CD46FC7"/>
    <w:rsid w:val="4CD55219"/>
    <w:rsid w:val="4CD6689C"/>
    <w:rsid w:val="4CD80866"/>
    <w:rsid w:val="4CDB0356"/>
    <w:rsid w:val="4CDB2104"/>
    <w:rsid w:val="4CDC6792"/>
    <w:rsid w:val="4CE07CE4"/>
    <w:rsid w:val="4CE23492"/>
    <w:rsid w:val="4CE30FB8"/>
    <w:rsid w:val="4CE511D4"/>
    <w:rsid w:val="4CE74F4D"/>
    <w:rsid w:val="4CEA2347"/>
    <w:rsid w:val="4CEE0089"/>
    <w:rsid w:val="4CEE1E37"/>
    <w:rsid w:val="4CEE3778"/>
    <w:rsid w:val="4CEE62DB"/>
    <w:rsid w:val="4CF03E01"/>
    <w:rsid w:val="4CF06098"/>
    <w:rsid w:val="4CF10C69"/>
    <w:rsid w:val="4CF11927"/>
    <w:rsid w:val="4CF17B79"/>
    <w:rsid w:val="4CF300FE"/>
    <w:rsid w:val="4CF338F1"/>
    <w:rsid w:val="4CF61F0A"/>
    <w:rsid w:val="4CF65190"/>
    <w:rsid w:val="4CFA6A2E"/>
    <w:rsid w:val="4CFB4554"/>
    <w:rsid w:val="4CFB6302"/>
    <w:rsid w:val="4CFC5D7C"/>
    <w:rsid w:val="4CFD02CC"/>
    <w:rsid w:val="4CFE5A61"/>
    <w:rsid w:val="4CFF4044"/>
    <w:rsid w:val="4D007DBC"/>
    <w:rsid w:val="4D01701D"/>
    <w:rsid w:val="4D0258E3"/>
    <w:rsid w:val="4D0553D3"/>
    <w:rsid w:val="4D057181"/>
    <w:rsid w:val="4D090380"/>
    <w:rsid w:val="4D090A1F"/>
    <w:rsid w:val="4D094369"/>
    <w:rsid w:val="4D0A29E9"/>
    <w:rsid w:val="4D0A5610"/>
    <w:rsid w:val="4D0C050F"/>
    <w:rsid w:val="4D0E24D9"/>
    <w:rsid w:val="4D0F1DAD"/>
    <w:rsid w:val="4D0F41F2"/>
    <w:rsid w:val="4D122ED0"/>
    <w:rsid w:val="4D137AF0"/>
    <w:rsid w:val="4D151ABA"/>
    <w:rsid w:val="4D153868"/>
    <w:rsid w:val="4D155616"/>
    <w:rsid w:val="4D19541A"/>
    <w:rsid w:val="4D1A0E7E"/>
    <w:rsid w:val="4D1B4BF6"/>
    <w:rsid w:val="4D1F0243"/>
    <w:rsid w:val="4D1F1116"/>
    <w:rsid w:val="4D205169"/>
    <w:rsid w:val="4D241CFD"/>
    <w:rsid w:val="4D2515D1"/>
    <w:rsid w:val="4D260FE9"/>
    <w:rsid w:val="4D2659FF"/>
    <w:rsid w:val="4D2717ED"/>
    <w:rsid w:val="4D2834AF"/>
    <w:rsid w:val="4D2864DA"/>
    <w:rsid w:val="4D292E6F"/>
    <w:rsid w:val="4D2B308B"/>
    <w:rsid w:val="4D2C6E03"/>
    <w:rsid w:val="4D2F3ED8"/>
    <w:rsid w:val="4D316B33"/>
    <w:rsid w:val="4D341814"/>
    <w:rsid w:val="4D371A30"/>
    <w:rsid w:val="4D3857A8"/>
    <w:rsid w:val="4D3A32CE"/>
    <w:rsid w:val="4D3B2BA3"/>
    <w:rsid w:val="4D3B4D64"/>
    <w:rsid w:val="4D3C5E91"/>
    <w:rsid w:val="4D412B24"/>
    <w:rsid w:val="4D414742"/>
    <w:rsid w:val="4D422183"/>
    <w:rsid w:val="4D44414D"/>
    <w:rsid w:val="4D447CA9"/>
    <w:rsid w:val="4D461C73"/>
    <w:rsid w:val="4D491763"/>
    <w:rsid w:val="4D4C3002"/>
    <w:rsid w:val="4D4D1254"/>
    <w:rsid w:val="4D4D6AF7"/>
    <w:rsid w:val="4D5048A0"/>
    <w:rsid w:val="4D510618"/>
    <w:rsid w:val="4D537EEC"/>
    <w:rsid w:val="4D565C2E"/>
    <w:rsid w:val="4D587BF8"/>
    <w:rsid w:val="4D5B4FF3"/>
    <w:rsid w:val="4D5C1497"/>
    <w:rsid w:val="4D5F2D35"/>
    <w:rsid w:val="4D64659D"/>
    <w:rsid w:val="4D662315"/>
    <w:rsid w:val="4D671BE9"/>
    <w:rsid w:val="4D673998"/>
    <w:rsid w:val="4D6B16DA"/>
    <w:rsid w:val="4D6C7200"/>
    <w:rsid w:val="4D6E1447"/>
    <w:rsid w:val="4D6E2F78"/>
    <w:rsid w:val="4D700A9E"/>
    <w:rsid w:val="4D706CF0"/>
    <w:rsid w:val="4D73233C"/>
    <w:rsid w:val="4D73619F"/>
    <w:rsid w:val="4D77007F"/>
    <w:rsid w:val="4D783DF7"/>
    <w:rsid w:val="4D7A191D"/>
    <w:rsid w:val="4D7A7B6F"/>
    <w:rsid w:val="4D7B4640"/>
    <w:rsid w:val="4D7D7304"/>
    <w:rsid w:val="4D7F0CE1"/>
    <w:rsid w:val="4D7F33D7"/>
    <w:rsid w:val="4D7F5185"/>
    <w:rsid w:val="4D805126"/>
    <w:rsid w:val="4D812CAB"/>
    <w:rsid w:val="4D814A59"/>
    <w:rsid w:val="4D822DD2"/>
    <w:rsid w:val="4D8409ED"/>
    <w:rsid w:val="4D84279B"/>
    <w:rsid w:val="4D844549"/>
    <w:rsid w:val="4D8502C3"/>
    <w:rsid w:val="4D891815"/>
    <w:rsid w:val="4D891B60"/>
    <w:rsid w:val="4D896004"/>
    <w:rsid w:val="4D8B1D7C"/>
    <w:rsid w:val="4D8B28EC"/>
    <w:rsid w:val="4D8C1650"/>
    <w:rsid w:val="4D8C2F83"/>
    <w:rsid w:val="4D8C33FE"/>
    <w:rsid w:val="4D8E7176"/>
    <w:rsid w:val="4D901140"/>
    <w:rsid w:val="4D902EEE"/>
    <w:rsid w:val="4D92310A"/>
    <w:rsid w:val="4D926C66"/>
    <w:rsid w:val="4D9329DF"/>
    <w:rsid w:val="4D956757"/>
    <w:rsid w:val="4D97427D"/>
    <w:rsid w:val="4D981DA3"/>
    <w:rsid w:val="4D9826C4"/>
    <w:rsid w:val="4D986247"/>
    <w:rsid w:val="4D987FF5"/>
    <w:rsid w:val="4D9C1893"/>
    <w:rsid w:val="4D9E1AAF"/>
    <w:rsid w:val="4D9E2812"/>
    <w:rsid w:val="4D9E78F3"/>
    <w:rsid w:val="4D9F1383"/>
    <w:rsid w:val="4D9F75D5"/>
    <w:rsid w:val="4DA1334D"/>
    <w:rsid w:val="4DA573A0"/>
    <w:rsid w:val="4DA62712"/>
    <w:rsid w:val="4DA90454"/>
    <w:rsid w:val="4DAB5F7A"/>
    <w:rsid w:val="4DAB7D28"/>
    <w:rsid w:val="4DAD3AA0"/>
    <w:rsid w:val="4DB03590"/>
    <w:rsid w:val="4DB0533F"/>
    <w:rsid w:val="4DB26FA1"/>
    <w:rsid w:val="4DB34E2F"/>
    <w:rsid w:val="4DB36BDD"/>
    <w:rsid w:val="4DB52E11"/>
    <w:rsid w:val="4DB70DFB"/>
    <w:rsid w:val="4DB766CD"/>
    <w:rsid w:val="4DB841F3"/>
    <w:rsid w:val="4DBA7F6B"/>
    <w:rsid w:val="4DBD1158"/>
    <w:rsid w:val="4DBE5CAD"/>
    <w:rsid w:val="4DBF37D4"/>
    <w:rsid w:val="4DBF5582"/>
    <w:rsid w:val="4DC041CF"/>
    <w:rsid w:val="4DC112FA"/>
    <w:rsid w:val="4DC24EB1"/>
    <w:rsid w:val="4DC64B62"/>
    <w:rsid w:val="4DC840D7"/>
    <w:rsid w:val="4DCB03CA"/>
    <w:rsid w:val="4DCB2178"/>
    <w:rsid w:val="4DCD4142"/>
    <w:rsid w:val="4DCD5EF0"/>
    <w:rsid w:val="4DCD7C9F"/>
    <w:rsid w:val="4DCF7B07"/>
    <w:rsid w:val="4DD03C33"/>
    <w:rsid w:val="4DD2125C"/>
    <w:rsid w:val="4DD3102D"/>
    <w:rsid w:val="4DD3292B"/>
    <w:rsid w:val="4DD3727F"/>
    <w:rsid w:val="4DD454D1"/>
    <w:rsid w:val="4DD51249"/>
    <w:rsid w:val="4DD728CB"/>
    <w:rsid w:val="4DD74FC1"/>
    <w:rsid w:val="4DD9505C"/>
    <w:rsid w:val="4DDA23BB"/>
    <w:rsid w:val="4DDC4386"/>
    <w:rsid w:val="4DDF3E76"/>
    <w:rsid w:val="4DE1199C"/>
    <w:rsid w:val="4DE1374A"/>
    <w:rsid w:val="4DE4323A"/>
    <w:rsid w:val="4DE60D60"/>
    <w:rsid w:val="4DE648EC"/>
    <w:rsid w:val="4DE90850"/>
    <w:rsid w:val="4DE922F6"/>
    <w:rsid w:val="4DEA6AA2"/>
    <w:rsid w:val="4DED20EF"/>
    <w:rsid w:val="4DEF40B9"/>
    <w:rsid w:val="4DF01BDF"/>
    <w:rsid w:val="4DF47921"/>
    <w:rsid w:val="4DF571F5"/>
    <w:rsid w:val="4DF81A75"/>
    <w:rsid w:val="4DF94F37"/>
    <w:rsid w:val="4DF9516D"/>
    <w:rsid w:val="4DF96CE5"/>
    <w:rsid w:val="4DFA0CB0"/>
    <w:rsid w:val="4DFA480C"/>
    <w:rsid w:val="4DFE42FC"/>
    <w:rsid w:val="4DFF0074"/>
    <w:rsid w:val="4E035DB6"/>
    <w:rsid w:val="4E036B88"/>
    <w:rsid w:val="4E047438"/>
    <w:rsid w:val="4E067654"/>
    <w:rsid w:val="4E0833CC"/>
    <w:rsid w:val="4E08517B"/>
    <w:rsid w:val="4E094A4F"/>
    <w:rsid w:val="4E0A0EF3"/>
    <w:rsid w:val="4E0A1EFF"/>
    <w:rsid w:val="4E0B07C7"/>
    <w:rsid w:val="4E0C2777"/>
    <w:rsid w:val="4E0D09E3"/>
    <w:rsid w:val="4E0F02B7"/>
    <w:rsid w:val="4E102281"/>
    <w:rsid w:val="4E105DDD"/>
    <w:rsid w:val="4E12209D"/>
    <w:rsid w:val="4E140C20"/>
    <w:rsid w:val="4E1753BE"/>
    <w:rsid w:val="4E191136"/>
    <w:rsid w:val="4E1A545E"/>
    <w:rsid w:val="4E1C6E78"/>
    <w:rsid w:val="4E1E3989"/>
    <w:rsid w:val="4E1E7219"/>
    <w:rsid w:val="4E1F0D33"/>
    <w:rsid w:val="4E241889"/>
    <w:rsid w:val="4E255D2C"/>
    <w:rsid w:val="4E263853"/>
    <w:rsid w:val="4E2D4BE1"/>
    <w:rsid w:val="4E320449"/>
    <w:rsid w:val="4E323096"/>
    <w:rsid w:val="4E353158"/>
    <w:rsid w:val="4E3709FC"/>
    <w:rsid w:val="4E3917D8"/>
    <w:rsid w:val="4E395334"/>
    <w:rsid w:val="4E3B5550"/>
    <w:rsid w:val="4E3C3076"/>
    <w:rsid w:val="4E3C4E24"/>
    <w:rsid w:val="4E3F27FA"/>
    <w:rsid w:val="4E3F66C2"/>
    <w:rsid w:val="4E4011FA"/>
    <w:rsid w:val="4E402B66"/>
    <w:rsid w:val="4E4361B3"/>
    <w:rsid w:val="4E451F2B"/>
    <w:rsid w:val="4E452C4D"/>
    <w:rsid w:val="4E481A1B"/>
    <w:rsid w:val="4E4A12EF"/>
    <w:rsid w:val="4E4A2A5E"/>
    <w:rsid w:val="4E4A3D40"/>
    <w:rsid w:val="4E4A3EC7"/>
    <w:rsid w:val="4E4C150B"/>
    <w:rsid w:val="4E4F6905"/>
    <w:rsid w:val="4E516B22"/>
    <w:rsid w:val="4E52289A"/>
    <w:rsid w:val="4E546612"/>
    <w:rsid w:val="4E555EE6"/>
    <w:rsid w:val="4E557C94"/>
    <w:rsid w:val="4E571C5E"/>
    <w:rsid w:val="4E577EB0"/>
    <w:rsid w:val="4E5A52AA"/>
    <w:rsid w:val="4E5D60A4"/>
    <w:rsid w:val="4E600B13"/>
    <w:rsid w:val="4E6323B1"/>
    <w:rsid w:val="4E65437B"/>
    <w:rsid w:val="4E661EA1"/>
    <w:rsid w:val="4E6673B5"/>
    <w:rsid w:val="4E67203F"/>
    <w:rsid w:val="4E683E6B"/>
    <w:rsid w:val="4E6A1991"/>
    <w:rsid w:val="4E6A7BE3"/>
    <w:rsid w:val="4E6B74B7"/>
    <w:rsid w:val="4E6C5709"/>
    <w:rsid w:val="4E6D3230"/>
    <w:rsid w:val="4E6F0D56"/>
    <w:rsid w:val="4E704ACE"/>
    <w:rsid w:val="4E710F72"/>
    <w:rsid w:val="4E724CEA"/>
    <w:rsid w:val="4E742810"/>
    <w:rsid w:val="4E74458A"/>
    <w:rsid w:val="4E7445BE"/>
    <w:rsid w:val="4E7520E4"/>
    <w:rsid w:val="4E760336"/>
    <w:rsid w:val="4E775E5C"/>
    <w:rsid w:val="4E7A03FC"/>
    <w:rsid w:val="4E7B594C"/>
    <w:rsid w:val="4E7B76FB"/>
    <w:rsid w:val="4E7E543D"/>
    <w:rsid w:val="4E8011B5"/>
    <w:rsid w:val="4E830CA5"/>
    <w:rsid w:val="4E850579"/>
    <w:rsid w:val="4E870795"/>
    <w:rsid w:val="4E8A5B90"/>
    <w:rsid w:val="4E8D5680"/>
    <w:rsid w:val="4E944C60"/>
    <w:rsid w:val="4E964294"/>
    <w:rsid w:val="4E9764FE"/>
    <w:rsid w:val="4E994025"/>
    <w:rsid w:val="4E9B1B4B"/>
    <w:rsid w:val="4E9B5FEF"/>
    <w:rsid w:val="4E9C3B15"/>
    <w:rsid w:val="4E9F7F58"/>
    <w:rsid w:val="4EA053B3"/>
    <w:rsid w:val="4EA2112B"/>
    <w:rsid w:val="4EA50C1B"/>
    <w:rsid w:val="4EA64848"/>
    <w:rsid w:val="4EA74993"/>
    <w:rsid w:val="4EA75B41"/>
    <w:rsid w:val="4EA824BA"/>
    <w:rsid w:val="4EA84268"/>
    <w:rsid w:val="4EAA5D9A"/>
    <w:rsid w:val="4EAC01FC"/>
    <w:rsid w:val="4EAD471B"/>
    <w:rsid w:val="4EAF3848"/>
    <w:rsid w:val="4EAF55F6"/>
    <w:rsid w:val="4EB15812"/>
    <w:rsid w:val="4EB40E5E"/>
    <w:rsid w:val="4EB41A1D"/>
    <w:rsid w:val="4EB7039E"/>
    <w:rsid w:val="4EB8094F"/>
    <w:rsid w:val="4EB86BA1"/>
    <w:rsid w:val="4EB96F68"/>
    <w:rsid w:val="4EBB3F9B"/>
    <w:rsid w:val="4EBF6B30"/>
    <w:rsid w:val="4EC015B1"/>
    <w:rsid w:val="4EC05A55"/>
    <w:rsid w:val="4EC372F3"/>
    <w:rsid w:val="4EC54E1A"/>
    <w:rsid w:val="4EC56BC8"/>
    <w:rsid w:val="4EC77E93"/>
    <w:rsid w:val="4ECA0682"/>
    <w:rsid w:val="4ECA2430"/>
    <w:rsid w:val="4ECE07DB"/>
    <w:rsid w:val="4ECF50CE"/>
    <w:rsid w:val="4ECF7A46"/>
    <w:rsid w:val="4ED17C62"/>
    <w:rsid w:val="4ED24FA6"/>
    <w:rsid w:val="4ED432AF"/>
    <w:rsid w:val="4ED82121"/>
    <w:rsid w:val="4ED92673"/>
    <w:rsid w:val="4EDD2163"/>
    <w:rsid w:val="4EDD6607"/>
    <w:rsid w:val="4EE10A3A"/>
    <w:rsid w:val="4EE259CC"/>
    <w:rsid w:val="4EE2777A"/>
    <w:rsid w:val="4EE334F2"/>
    <w:rsid w:val="4EE400FB"/>
    <w:rsid w:val="4EE44C01"/>
    <w:rsid w:val="4EE71234"/>
    <w:rsid w:val="4EE80B08"/>
    <w:rsid w:val="4EEC05F8"/>
    <w:rsid w:val="4EED611E"/>
    <w:rsid w:val="4EEE25C2"/>
    <w:rsid w:val="4EEF00E8"/>
    <w:rsid w:val="4EF23735"/>
    <w:rsid w:val="4EF37BD9"/>
    <w:rsid w:val="4EF456FF"/>
    <w:rsid w:val="4EF70D4B"/>
    <w:rsid w:val="4EF86F9D"/>
    <w:rsid w:val="4EFA0F67"/>
    <w:rsid w:val="4EFB083B"/>
    <w:rsid w:val="4EFB4CDF"/>
    <w:rsid w:val="4EFB6A8D"/>
    <w:rsid w:val="4EFD0A57"/>
    <w:rsid w:val="4EFD2805"/>
    <w:rsid w:val="4F000151"/>
    <w:rsid w:val="4F035942"/>
    <w:rsid w:val="4F05790C"/>
    <w:rsid w:val="4F0A6CD0"/>
    <w:rsid w:val="4F0C0C9A"/>
    <w:rsid w:val="4F0D7A56"/>
    <w:rsid w:val="4F0E056F"/>
    <w:rsid w:val="4F0E4A13"/>
    <w:rsid w:val="4F0E67C1"/>
    <w:rsid w:val="4F0F42E7"/>
    <w:rsid w:val="4F127867"/>
    <w:rsid w:val="4F133DD7"/>
    <w:rsid w:val="4F147B4F"/>
    <w:rsid w:val="4F157929"/>
    <w:rsid w:val="4F161B19"/>
    <w:rsid w:val="4F1B0EDE"/>
    <w:rsid w:val="4F1B2C8C"/>
    <w:rsid w:val="4F1B712F"/>
    <w:rsid w:val="4F1C34EA"/>
    <w:rsid w:val="4F1E452A"/>
    <w:rsid w:val="4F1F277C"/>
    <w:rsid w:val="4F2272E3"/>
    <w:rsid w:val="4F231B40"/>
    <w:rsid w:val="4F244236"/>
    <w:rsid w:val="4F245FE4"/>
    <w:rsid w:val="4F2558B8"/>
    <w:rsid w:val="4F275AD4"/>
    <w:rsid w:val="4F2935FA"/>
    <w:rsid w:val="4F2C4E99"/>
    <w:rsid w:val="4F2C57AC"/>
    <w:rsid w:val="4F2C7C26"/>
    <w:rsid w:val="4F302BDB"/>
    <w:rsid w:val="4F3124AF"/>
    <w:rsid w:val="4F330D6B"/>
    <w:rsid w:val="4F343D4D"/>
    <w:rsid w:val="4F344EE5"/>
    <w:rsid w:val="4F363F69"/>
    <w:rsid w:val="4F371833"/>
    <w:rsid w:val="4F3B1580"/>
    <w:rsid w:val="4F3B1644"/>
    <w:rsid w:val="4F3B332E"/>
    <w:rsid w:val="4F3B46AA"/>
    <w:rsid w:val="4F3B50DC"/>
    <w:rsid w:val="4F3D70A6"/>
    <w:rsid w:val="4F3E697A"/>
    <w:rsid w:val="4F3F4BCC"/>
    <w:rsid w:val="4F4026F2"/>
    <w:rsid w:val="4F4246BC"/>
    <w:rsid w:val="4F425205"/>
    <w:rsid w:val="4F425A99"/>
    <w:rsid w:val="4F443F90"/>
    <w:rsid w:val="4F4519D9"/>
    <w:rsid w:val="4F471CD3"/>
    <w:rsid w:val="4F473A81"/>
    <w:rsid w:val="4F4A531F"/>
    <w:rsid w:val="4F4B17C3"/>
    <w:rsid w:val="4F4C1097"/>
    <w:rsid w:val="4F4C72E9"/>
    <w:rsid w:val="4F4E12B3"/>
    <w:rsid w:val="4F4F0B87"/>
    <w:rsid w:val="4F552641"/>
    <w:rsid w:val="4F582AB5"/>
    <w:rsid w:val="4F583EE0"/>
    <w:rsid w:val="4F5B4834"/>
    <w:rsid w:val="4F5B577E"/>
    <w:rsid w:val="4F5B752C"/>
    <w:rsid w:val="4F5D5052"/>
    <w:rsid w:val="4F5F701C"/>
    <w:rsid w:val="4F604F02"/>
    <w:rsid w:val="4F610FE6"/>
    <w:rsid w:val="4F626B0C"/>
    <w:rsid w:val="4F664600"/>
    <w:rsid w:val="4F6665FD"/>
    <w:rsid w:val="4F675A90"/>
    <w:rsid w:val="4F675ED1"/>
    <w:rsid w:val="4F686F20"/>
    <w:rsid w:val="4F6939F7"/>
    <w:rsid w:val="4F6A47C2"/>
    <w:rsid w:val="4F6C1739"/>
    <w:rsid w:val="4F6C34E7"/>
    <w:rsid w:val="4F702FD7"/>
    <w:rsid w:val="4F710AFD"/>
    <w:rsid w:val="4F734876"/>
    <w:rsid w:val="4F754A92"/>
    <w:rsid w:val="4F764366"/>
    <w:rsid w:val="4F7725B8"/>
    <w:rsid w:val="4F7815E6"/>
    <w:rsid w:val="4F7A3F06"/>
    <w:rsid w:val="4F7D3946"/>
    <w:rsid w:val="4F7F321A"/>
    <w:rsid w:val="4F824AB9"/>
    <w:rsid w:val="4F833B28"/>
    <w:rsid w:val="4F860A4D"/>
    <w:rsid w:val="4F8627FB"/>
    <w:rsid w:val="4F88250B"/>
    <w:rsid w:val="4F895E47"/>
    <w:rsid w:val="4F8B7E11"/>
    <w:rsid w:val="4F8D0EEC"/>
    <w:rsid w:val="4F8D1DDB"/>
    <w:rsid w:val="4F912F4E"/>
    <w:rsid w:val="4F93316A"/>
    <w:rsid w:val="4F934F18"/>
    <w:rsid w:val="4F9547EC"/>
    <w:rsid w:val="4F960564"/>
    <w:rsid w:val="4F97342E"/>
    <w:rsid w:val="4F980780"/>
    <w:rsid w:val="4F9A44F8"/>
    <w:rsid w:val="4F9C201E"/>
    <w:rsid w:val="4F9C3DCC"/>
    <w:rsid w:val="4F9D18F3"/>
    <w:rsid w:val="4F9D1E71"/>
    <w:rsid w:val="4F9D5D96"/>
    <w:rsid w:val="4F9E3301"/>
    <w:rsid w:val="4F9F1B0F"/>
    <w:rsid w:val="4FA17635"/>
    <w:rsid w:val="4FA26F09"/>
    <w:rsid w:val="4FA40ED3"/>
    <w:rsid w:val="4FA42C81"/>
    <w:rsid w:val="4FA62638"/>
    <w:rsid w:val="4FA62E9D"/>
    <w:rsid w:val="4FA64C4B"/>
    <w:rsid w:val="4FA669F9"/>
    <w:rsid w:val="4FA90297"/>
    <w:rsid w:val="4FAA2460"/>
    <w:rsid w:val="4FAB4475"/>
    <w:rsid w:val="4FB05ACA"/>
    <w:rsid w:val="4FB07878"/>
    <w:rsid w:val="4FB1539E"/>
    <w:rsid w:val="4FB235F0"/>
    <w:rsid w:val="4FB355BA"/>
    <w:rsid w:val="4FB85879"/>
    <w:rsid w:val="4FB95338"/>
    <w:rsid w:val="4FBA6948"/>
    <w:rsid w:val="4FBB7FCB"/>
    <w:rsid w:val="4FBC621D"/>
    <w:rsid w:val="4FBE28EB"/>
    <w:rsid w:val="4FC0515C"/>
    <w:rsid w:val="4FC13833"/>
    <w:rsid w:val="4FC275AB"/>
    <w:rsid w:val="4FC33B8C"/>
    <w:rsid w:val="4FC357FD"/>
    <w:rsid w:val="4FC43323"/>
    <w:rsid w:val="4FC652ED"/>
    <w:rsid w:val="4FC6709B"/>
    <w:rsid w:val="4FC96B8B"/>
    <w:rsid w:val="4FCB46B2"/>
    <w:rsid w:val="4FCC15FF"/>
    <w:rsid w:val="4FCE41A2"/>
    <w:rsid w:val="4FD01CC8"/>
    <w:rsid w:val="4FD03A76"/>
    <w:rsid w:val="4FD321E8"/>
    <w:rsid w:val="4FD33566"/>
    <w:rsid w:val="4FD35314"/>
    <w:rsid w:val="4FD5070A"/>
    <w:rsid w:val="4FD5108C"/>
    <w:rsid w:val="4FD55FA1"/>
    <w:rsid w:val="4FDA247C"/>
    <w:rsid w:val="4FDA2B47"/>
    <w:rsid w:val="4FDA48F5"/>
    <w:rsid w:val="4FDC4C2E"/>
    <w:rsid w:val="4FDE2637"/>
    <w:rsid w:val="4FDE45C6"/>
    <w:rsid w:val="4FE02C25"/>
    <w:rsid w:val="4FE055FC"/>
    <w:rsid w:val="4FE15C83"/>
    <w:rsid w:val="4FE305A5"/>
    <w:rsid w:val="4FE319FB"/>
    <w:rsid w:val="4FE41A35"/>
    <w:rsid w:val="4FE535DF"/>
    <w:rsid w:val="4FE63299"/>
    <w:rsid w:val="4FE70DC0"/>
    <w:rsid w:val="4FE85264"/>
    <w:rsid w:val="4FE94B38"/>
    <w:rsid w:val="4FEB08B0"/>
    <w:rsid w:val="4FEC1657"/>
    <w:rsid w:val="4FEC67A8"/>
    <w:rsid w:val="4FED4228"/>
    <w:rsid w:val="4FEF6B40"/>
    <w:rsid w:val="4FF21C3E"/>
    <w:rsid w:val="4FF27E90"/>
    <w:rsid w:val="4FF359B6"/>
    <w:rsid w:val="4FF37764"/>
    <w:rsid w:val="4FF5172F"/>
    <w:rsid w:val="4FF534DD"/>
    <w:rsid w:val="4FF82FCD"/>
    <w:rsid w:val="4FF9121F"/>
    <w:rsid w:val="4FFA0AF3"/>
    <w:rsid w:val="4FFB08D5"/>
    <w:rsid w:val="4FFC0D0F"/>
    <w:rsid w:val="4FFC288D"/>
    <w:rsid w:val="4FFC2ABD"/>
    <w:rsid w:val="4FFF435B"/>
    <w:rsid w:val="4FFF6109"/>
    <w:rsid w:val="500100D3"/>
    <w:rsid w:val="50016325"/>
    <w:rsid w:val="5003209D"/>
    <w:rsid w:val="50055E16"/>
    <w:rsid w:val="500876B4"/>
    <w:rsid w:val="500951DA"/>
    <w:rsid w:val="50096F88"/>
    <w:rsid w:val="500B71A4"/>
    <w:rsid w:val="500D0826"/>
    <w:rsid w:val="50100316"/>
    <w:rsid w:val="50100A52"/>
    <w:rsid w:val="50113623"/>
    <w:rsid w:val="501222E0"/>
    <w:rsid w:val="50125E3D"/>
    <w:rsid w:val="50131BB5"/>
    <w:rsid w:val="50137E07"/>
    <w:rsid w:val="50141FA4"/>
    <w:rsid w:val="50151DD1"/>
    <w:rsid w:val="50153B7F"/>
    <w:rsid w:val="50184D13"/>
    <w:rsid w:val="501A5E16"/>
    <w:rsid w:val="501C315F"/>
    <w:rsid w:val="501C6CBB"/>
    <w:rsid w:val="50222E67"/>
    <w:rsid w:val="502246FD"/>
    <w:rsid w:val="5023004A"/>
    <w:rsid w:val="5024289C"/>
    <w:rsid w:val="50245B70"/>
    <w:rsid w:val="5026383C"/>
    <w:rsid w:val="502838B2"/>
    <w:rsid w:val="502A2417"/>
    <w:rsid w:val="502B33A2"/>
    <w:rsid w:val="502B5150"/>
    <w:rsid w:val="502B565A"/>
    <w:rsid w:val="502D0EC8"/>
    <w:rsid w:val="502E1AD5"/>
    <w:rsid w:val="502E571C"/>
    <w:rsid w:val="502F2E92"/>
    <w:rsid w:val="503009B9"/>
    <w:rsid w:val="5032028D"/>
    <w:rsid w:val="50342257"/>
    <w:rsid w:val="50355FCF"/>
    <w:rsid w:val="50373AF5"/>
    <w:rsid w:val="5038161B"/>
    <w:rsid w:val="5039786D"/>
    <w:rsid w:val="503A5393"/>
    <w:rsid w:val="503B1837"/>
    <w:rsid w:val="503C55AF"/>
    <w:rsid w:val="503D7A6F"/>
    <w:rsid w:val="503E1327"/>
    <w:rsid w:val="503E25E0"/>
    <w:rsid w:val="503E30D6"/>
    <w:rsid w:val="503F0BFC"/>
    <w:rsid w:val="50446660"/>
    <w:rsid w:val="50447942"/>
    <w:rsid w:val="50483F54"/>
    <w:rsid w:val="50485D02"/>
    <w:rsid w:val="50487AB0"/>
    <w:rsid w:val="504B134F"/>
    <w:rsid w:val="504D3319"/>
    <w:rsid w:val="504F7091"/>
    <w:rsid w:val="50506965"/>
    <w:rsid w:val="505178DB"/>
    <w:rsid w:val="505446A7"/>
    <w:rsid w:val="50546455"/>
    <w:rsid w:val="50577CF3"/>
    <w:rsid w:val="5058366F"/>
    <w:rsid w:val="50595A82"/>
    <w:rsid w:val="505C2FF8"/>
    <w:rsid w:val="505D24D0"/>
    <w:rsid w:val="505E1082"/>
    <w:rsid w:val="50610B72"/>
    <w:rsid w:val="50616DC4"/>
    <w:rsid w:val="50632B3C"/>
    <w:rsid w:val="50642410"/>
    <w:rsid w:val="50680152"/>
    <w:rsid w:val="506A3ECB"/>
    <w:rsid w:val="506B422D"/>
    <w:rsid w:val="506C56BD"/>
    <w:rsid w:val="506D39BB"/>
    <w:rsid w:val="507329BF"/>
    <w:rsid w:val="507408A5"/>
    <w:rsid w:val="50744D49"/>
    <w:rsid w:val="50746AF7"/>
    <w:rsid w:val="5075461D"/>
    <w:rsid w:val="5076286F"/>
    <w:rsid w:val="50772144"/>
    <w:rsid w:val="507927A2"/>
    <w:rsid w:val="50795EBC"/>
    <w:rsid w:val="507B60D8"/>
    <w:rsid w:val="507C775A"/>
    <w:rsid w:val="5080053F"/>
    <w:rsid w:val="508036EE"/>
    <w:rsid w:val="50811214"/>
    <w:rsid w:val="50812FC2"/>
    <w:rsid w:val="50874A7C"/>
    <w:rsid w:val="508A1E77"/>
    <w:rsid w:val="508B0636"/>
    <w:rsid w:val="508B64AF"/>
    <w:rsid w:val="508D1967"/>
    <w:rsid w:val="508D7BB9"/>
    <w:rsid w:val="50901457"/>
    <w:rsid w:val="50926F7D"/>
    <w:rsid w:val="50947199"/>
    <w:rsid w:val="50962F12"/>
    <w:rsid w:val="509947B0"/>
    <w:rsid w:val="509E5922"/>
    <w:rsid w:val="50A142FC"/>
    <w:rsid w:val="50A373DC"/>
    <w:rsid w:val="50A62A29"/>
    <w:rsid w:val="50A70C7B"/>
    <w:rsid w:val="50A76ECD"/>
    <w:rsid w:val="50AA2519"/>
    <w:rsid w:val="50AB003F"/>
    <w:rsid w:val="50AD025B"/>
    <w:rsid w:val="50AE307B"/>
    <w:rsid w:val="50AF7B2F"/>
    <w:rsid w:val="50B05655"/>
    <w:rsid w:val="50B11AF9"/>
    <w:rsid w:val="50B138A7"/>
    <w:rsid w:val="50B27620"/>
    <w:rsid w:val="50B41DBA"/>
    <w:rsid w:val="50B45146"/>
    <w:rsid w:val="50B67110"/>
    <w:rsid w:val="50B74C36"/>
    <w:rsid w:val="50B76522"/>
    <w:rsid w:val="50B8067E"/>
    <w:rsid w:val="50B9275C"/>
    <w:rsid w:val="50B96C00"/>
    <w:rsid w:val="50BA160C"/>
    <w:rsid w:val="50BA3A13"/>
    <w:rsid w:val="50BE5FC4"/>
    <w:rsid w:val="50BE7D72"/>
    <w:rsid w:val="50C01D3C"/>
    <w:rsid w:val="50C03AEB"/>
    <w:rsid w:val="50C23D07"/>
    <w:rsid w:val="50CA6717"/>
    <w:rsid w:val="50CC06E1"/>
    <w:rsid w:val="50CC248F"/>
    <w:rsid w:val="50CD4459"/>
    <w:rsid w:val="50CE26AB"/>
    <w:rsid w:val="50D03E52"/>
    <w:rsid w:val="50D13F4A"/>
    <w:rsid w:val="50D17AA6"/>
    <w:rsid w:val="50D37CC2"/>
    <w:rsid w:val="50D43A3A"/>
    <w:rsid w:val="50D531EC"/>
    <w:rsid w:val="50D61560"/>
    <w:rsid w:val="50D6330E"/>
    <w:rsid w:val="50D650BC"/>
    <w:rsid w:val="50D7566F"/>
    <w:rsid w:val="50D852D8"/>
    <w:rsid w:val="50D91050"/>
    <w:rsid w:val="50D92DFE"/>
    <w:rsid w:val="50DB26D2"/>
    <w:rsid w:val="50DB36C9"/>
    <w:rsid w:val="50DD469C"/>
    <w:rsid w:val="50DF429E"/>
    <w:rsid w:val="50E27F05"/>
    <w:rsid w:val="50E377D9"/>
    <w:rsid w:val="50E53551"/>
    <w:rsid w:val="50E56B12"/>
    <w:rsid w:val="50E61077"/>
    <w:rsid w:val="50E84DEF"/>
    <w:rsid w:val="50E905B7"/>
    <w:rsid w:val="50EA0B67"/>
    <w:rsid w:val="50EC0D83"/>
    <w:rsid w:val="50EC48E0"/>
    <w:rsid w:val="50ED0658"/>
    <w:rsid w:val="50EE4AFC"/>
    <w:rsid w:val="50EF2622"/>
    <w:rsid w:val="50EF43D0"/>
    <w:rsid w:val="50F10148"/>
    <w:rsid w:val="50F11EF6"/>
    <w:rsid w:val="50F1639A"/>
    <w:rsid w:val="50F22714"/>
    <w:rsid w:val="50F84E45"/>
    <w:rsid w:val="50F8681E"/>
    <w:rsid w:val="50FC0647"/>
    <w:rsid w:val="50FC089B"/>
    <w:rsid w:val="50FD6AED"/>
    <w:rsid w:val="51002139"/>
    <w:rsid w:val="5100482F"/>
    <w:rsid w:val="510065DD"/>
    <w:rsid w:val="51024103"/>
    <w:rsid w:val="51031C29"/>
    <w:rsid w:val="510559A1"/>
    <w:rsid w:val="51071719"/>
    <w:rsid w:val="510734C7"/>
    <w:rsid w:val="51087240"/>
    <w:rsid w:val="510936E3"/>
    <w:rsid w:val="51095DCA"/>
    <w:rsid w:val="510A120A"/>
    <w:rsid w:val="510A745C"/>
    <w:rsid w:val="510C4F82"/>
    <w:rsid w:val="510C5E8C"/>
    <w:rsid w:val="510D2AA8"/>
    <w:rsid w:val="510D731C"/>
    <w:rsid w:val="510F4A72"/>
    <w:rsid w:val="510F6820"/>
    <w:rsid w:val="51114346"/>
    <w:rsid w:val="51121E6C"/>
    <w:rsid w:val="51134562"/>
    <w:rsid w:val="51142088"/>
    <w:rsid w:val="51145BE4"/>
    <w:rsid w:val="51165E00"/>
    <w:rsid w:val="511701B4"/>
    <w:rsid w:val="511B3417"/>
    <w:rsid w:val="511D718F"/>
    <w:rsid w:val="51204589"/>
    <w:rsid w:val="512322CB"/>
    <w:rsid w:val="51244113"/>
    <w:rsid w:val="51256043"/>
    <w:rsid w:val="51265D83"/>
    <w:rsid w:val="51271DBC"/>
    <w:rsid w:val="51281690"/>
    <w:rsid w:val="51295B34"/>
    <w:rsid w:val="512A18AC"/>
    <w:rsid w:val="512A365A"/>
    <w:rsid w:val="512C73D2"/>
    <w:rsid w:val="512F6EC2"/>
    <w:rsid w:val="51312C3A"/>
    <w:rsid w:val="513242BC"/>
    <w:rsid w:val="5133145B"/>
    <w:rsid w:val="51335756"/>
    <w:rsid w:val="51353957"/>
    <w:rsid w:val="51356109"/>
    <w:rsid w:val="51361FFF"/>
    <w:rsid w:val="513B0F0A"/>
    <w:rsid w:val="513B5867"/>
    <w:rsid w:val="513B7615"/>
    <w:rsid w:val="513D513B"/>
    <w:rsid w:val="513E0EB3"/>
    <w:rsid w:val="513E2C61"/>
    <w:rsid w:val="513E614A"/>
    <w:rsid w:val="51404C2B"/>
    <w:rsid w:val="514209A3"/>
    <w:rsid w:val="514566E6"/>
    <w:rsid w:val="514A5AAA"/>
    <w:rsid w:val="514A7858"/>
    <w:rsid w:val="514B3CFC"/>
    <w:rsid w:val="514C1822"/>
    <w:rsid w:val="514E10F6"/>
    <w:rsid w:val="514E7348"/>
    <w:rsid w:val="5151508A"/>
    <w:rsid w:val="51516E38"/>
    <w:rsid w:val="515406D7"/>
    <w:rsid w:val="51552F41"/>
    <w:rsid w:val="51556929"/>
    <w:rsid w:val="515661FD"/>
    <w:rsid w:val="51566FA2"/>
    <w:rsid w:val="51586419"/>
    <w:rsid w:val="515A3F3F"/>
    <w:rsid w:val="515D758B"/>
    <w:rsid w:val="51600E2A"/>
    <w:rsid w:val="51621046"/>
    <w:rsid w:val="51634C20"/>
    <w:rsid w:val="516415A6"/>
    <w:rsid w:val="51656440"/>
    <w:rsid w:val="516721B8"/>
    <w:rsid w:val="516A7EFA"/>
    <w:rsid w:val="516C3C72"/>
    <w:rsid w:val="516C77CE"/>
    <w:rsid w:val="516E18FE"/>
    <w:rsid w:val="516F72BF"/>
    <w:rsid w:val="51735001"/>
    <w:rsid w:val="51736DAF"/>
    <w:rsid w:val="51750D79"/>
    <w:rsid w:val="51774E4B"/>
    <w:rsid w:val="51780EAC"/>
    <w:rsid w:val="51791EEB"/>
    <w:rsid w:val="517A638F"/>
    <w:rsid w:val="517B2107"/>
    <w:rsid w:val="517F39A6"/>
    <w:rsid w:val="517F5754"/>
    <w:rsid w:val="51824063"/>
    <w:rsid w:val="5184487E"/>
    <w:rsid w:val="51856AE2"/>
    <w:rsid w:val="518C60C3"/>
    <w:rsid w:val="518E3BE9"/>
    <w:rsid w:val="51905BB3"/>
    <w:rsid w:val="51907961"/>
    <w:rsid w:val="519136D9"/>
    <w:rsid w:val="51915487"/>
    <w:rsid w:val="519311FF"/>
    <w:rsid w:val="51932FAD"/>
    <w:rsid w:val="51946F44"/>
    <w:rsid w:val="51956D25"/>
    <w:rsid w:val="51960CEF"/>
    <w:rsid w:val="51986815"/>
    <w:rsid w:val="51990EDC"/>
    <w:rsid w:val="51992C0E"/>
    <w:rsid w:val="519B4246"/>
    <w:rsid w:val="519D207E"/>
    <w:rsid w:val="519F4057"/>
    <w:rsid w:val="519F61D6"/>
    <w:rsid w:val="51A056CA"/>
    <w:rsid w:val="51A11B6E"/>
    <w:rsid w:val="51A451BA"/>
    <w:rsid w:val="51A72EFC"/>
    <w:rsid w:val="51A927D1"/>
    <w:rsid w:val="51A96C75"/>
    <w:rsid w:val="51AB479B"/>
    <w:rsid w:val="51AC0513"/>
    <w:rsid w:val="51AC406F"/>
    <w:rsid w:val="51B3364F"/>
    <w:rsid w:val="51B80C66"/>
    <w:rsid w:val="51B86EB8"/>
    <w:rsid w:val="51BA49DE"/>
    <w:rsid w:val="51BC69A8"/>
    <w:rsid w:val="51BD627C"/>
    <w:rsid w:val="51BF1FF4"/>
    <w:rsid w:val="51C13FBE"/>
    <w:rsid w:val="51C15D6C"/>
    <w:rsid w:val="51C21AE4"/>
    <w:rsid w:val="51C27D36"/>
    <w:rsid w:val="51C4760A"/>
    <w:rsid w:val="51C55131"/>
    <w:rsid w:val="51C615D4"/>
    <w:rsid w:val="51C70EA9"/>
    <w:rsid w:val="51C8534D"/>
    <w:rsid w:val="51CB489B"/>
    <w:rsid w:val="51CB6BEB"/>
    <w:rsid w:val="51D058C8"/>
    <w:rsid w:val="51D341A1"/>
    <w:rsid w:val="51D35A9F"/>
    <w:rsid w:val="51D57A6A"/>
    <w:rsid w:val="51D6733E"/>
    <w:rsid w:val="51D75590"/>
    <w:rsid w:val="51D81308"/>
    <w:rsid w:val="51DA5B70"/>
    <w:rsid w:val="51DD06CC"/>
    <w:rsid w:val="51DD247A"/>
    <w:rsid w:val="51DF4444"/>
    <w:rsid w:val="51E02979"/>
    <w:rsid w:val="51E27E6A"/>
    <w:rsid w:val="51E41A5B"/>
    <w:rsid w:val="51E5072A"/>
    <w:rsid w:val="51E7154B"/>
    <w:rsid w:val="51E755E3"/>
    <w:rsid w:val="51E8779D"/>
    <w:rsid w:val="51E90EF4"/>
    <w:rsid w:val="51E952C3"/>
    <w:rsid w:val="51EC0518"/>
    <w:rsid w:val="51ED6B61"/>
    <w:rsid w:val="51F779E0"/>
    <w:rsid w:val="51F85506"/>
    <w:rsid w:val="51F872B4"/>
    <w:rsid w:val="51FA302C"/>
    <w:rsid w:val="51FC6DA4"/>
    <w:rsid w:val="51FF0643"/>
    <w:rsid w:val="51FF7392"/>
    <w:rsid w:val="520143BB"/>
    <w:rsid w:val="520420FD"/>
    <w:rsid w:val="520619D1"/>
    <w:rsid w:val="52064694"/>
    <w:rsid w:val="52064896"/>
    <w:rsid w:val="52065E75"/>
    <w:rsid w:val="520914C1"/>
    <w:rsid w:val="5209326F"/>
    <w:rsid w:val="520A3FF5"/>
    <w:rsid w:val="520D53A9"/>
    <w:rsid w:val="520D7203"/>
    <w:rsid w:val="520F560A"/>
    <w:rsid w:val="52102850"/>
    <w:rsid w:val="521265C8"/>
    <w:rsid w:val="52151C14"/>
    <w:rsid w:val="52157E66"/>
    <w:rsid w:val="52171E30"/>
    <w:rsid w:val="52174AA4"/>
    <w:rsid w:val="5217598C"/>
    <w:rsid w:val="5218167A"/>
    <w:rsid w:val="52181704"/>
    <w:rsid w:val="52192B0A"/>
    <w:rsid w:val="521A722A"/>
    <w:rsid w:val="521D6D1B"/>
    <w:rsid w:val="521F2A93"/>
    <w:rsid w:val="52214C04"/>
    <w:rsid w:val="52232583"/>
    <w:rsid w:val="52263E21"/>
    <w:rsid w:val="52266585"/>
    <w:rsid w:val="52293911"/>
    <w:rsid w:val="522B58DB"/>
    <w:rsid w:val="522D1654"/>
    <w:rsid w:val="522D51B0"/>
    <w:rsid w:val="522E0F28"/>
    <w:rsid w:val="52306A4E"/>
    <w:rsid w:val="523227C6"/>
    <w:rsid w:val="52344790"/>
    <w:rsid w:val="52344B3E"/>
    <w:rsid w:val="52346545"/>
    <w:rsid w:val="52374C03"/>
    <w:rsid w:val="5237602E"/>
    <w:rsid w:val="52377959"/>
    <w:rsid w:val="523C7564"/>
    <w:rsid w:val="523D4185"/>
    <w:rsid w:val="523E560F"/>
    <w:rsid w:val="523E73BD"/>
    <w:rsid w:val="523F3135"/>
    <w:rsid w:val="52412A09"/>
    <w:rsid w:val="52426781"/>
    <w:rsid w:val="524349D3"/>
    <w:rsid w:val="5245699D"/>
    <w:rsid w:val="5246001F"/>
    <w:rsid w:val="524644C3"/>
    <w:rsid w:val="52466136"/>
    <w:rsid w:val="52466271"/>
    <w:rsid w:val="52495D62"/>
    <w:rsid w:val="524A3FB4"/>
    <w:rsid w:val="524E3378"/>
    <w:rsid w:val="524F15CA"/>
    <w:rsid w:val="525210BA"/>
    <w:rsid w:val="52552958"/>
    <w:rsid w:val="52576383"/>
    <w:rsid w:val="525766D1"/>
    <w:rsid w:val="52584692"/>
    <w:rsid w:val="525A3ACB"/>
    <w:rsid w:val="525A7F6F"/>
    <w:rsid w:val="525B28BD"/>
    <w:rsid w:val="525E35BB"/>
    <w:rsid w:val="525E7A5F"/>
    <w:rsid w:val="525F10E1"/>
    <w:rsid w:val="526037D7"/>
    <w:rsid w:val="52636258"/>
    <w:rsid w:val="52666914"/>
    <w:rsid w:val="5268443A"/>
    <w:rsid w:val="526861E8"/>
    <w:rsid w:val="526A25D9"/>
    <w:rsid w:val="526D37FE"/>
    <w:rsid w:val="526F57C8"/>
    <w:rsid w:val="527032EE"/>
    <w:rsid w:val="52741FD4"/>
    <w:rsid w:val="52756B57"/>
    <w:rsid w:val="527A416D"/>
    <w:rsid w:val="527E3C5D"/>
    <w:rsid w:val="527F3531"/>
    <w:rsid w:val="5281374D"/>
    <w:rsid w:val="528154FB"/>
    <w:rsid w:val="52833022"/>
    <w:rsid w:val="52846D9A"/>
    <w:rsid w:val="52871B8B"/>
    <w:rsid w:val="528800E1"/>
    <w:rsid w:val="5288688A"/>
    <w:rsid w:val="528A0854"/>
    <w:rsid w:val="528D20F2"/>
    <w:rsid w:val="52903990"/>
    <w:rsid w:val="52923265"/>
    <w:rsid w:val="52950FA7"/>
    <w:rsid w:val="52952D55"/>
    <w:rsid w:val="52972F71"/>
    <w:rsid w:val="52974D1F"/>
    <w:rsid w:val="52990A97"/>
    <w:rsid w:val="529A036B"/>
    <w:rsid w:val="529C40E3"/>
    <w:rsid w:val="529D77FC"/>
    <w:rsid w:val="529E42FF"/>
    <w:rsid w:val="529F12A2"/>
    <w:rsid w:val="529F5982"/>
    <w:rsid w:val="52A01E26"/>
    <w:rsid w:val="52A1794C"/>
    <w:rsid w:val="52A31916"/>
    <w:rsid w:val="52A336C4"/>
    <w:rsid w:val="52A42F98"/>
    <w:rsid w:val="52A511EA"/>
    <w:rsid w:val="52A631B4"/>
    <w:rsid w:val="52A86F2C"/>
    <w:rsid w:val="52AA4A52"/>
    <w:rsid w:val="52AD009F"/>
    <w:rsid w:val="52AF02BB"/>
    <w:rsid w:val="52B21B59"/>
    <w:rsid w:val="52B551A5"/>
    <w:rsid w:val="52B70F1D"/>
    <w:rsid w:val="52B753C1"/>
    <w:rsid w:val="52B94C95"/>
    <w:rsid w:val="52B96A43"/>
    <w:rsid w:val="52BB0A0D"/>
    <w:rsid w:val="52C11D9C"/>
    <w:rsid w:val="52C13B4A"/>
    <w:rsid w:val="52C553E8"/>
    <w:rsid w:val="52C84ED8"/>
    <w:rsid w:val="52CA0C50"/>
    <w:rsid w:val="52CB56EE"/>
    <w:rsid w:val="52CB6777"/>
    <w:rsid w:val="52CD0741"/>
    <w:rsid w:val="52CD24EF"/>
    <w:rsid w:val="52CD6993"/>
    <w:rsid w:val="52D03D8D"/>
    <w:rsid w:val="52D23FA9"/>
    <w:rsid w:val="52D41ACF"/>
    <w:rsid w:val="52D52E8A"/>
    <w:rsid w:val="52D7336D"/>
    <w:rsid w:val="52DB2E5E"/>
    <w:rsid w:val="52DD1244"/>
    <w:rsid w:val="52DE294E"/>
    <w:rsid w:val="52DE46FC"/>
    <w:rsid w:val="52DE793E"/>
    <w:rsid w:val="52E2243E"/>
    <w:rsid w:val="52E26A0A"/>
    <w:rsid w:val="52E33AC0"/>
    <w:rsid w:val="52E37F64"/>
    <w:rsid w:val="52E87329"/>
    <w:rsid w:val="52EA30A1"/>
    <w:rsid w:val="52EB2434"/>
    <w:rsid w:val="52ED493F"/>
    <w:rsid w:val="52ED77D4"/>
    <w:rsid w:val="52EF4B5B"/>
    <w:rsid w:val="52F061DD"/>
    <w:rsid w:val="52F43F1F"/>
    <w:rsid w:val="52F61A46"/>
    <w:rsid w:val="52F65EE9"/>
    <w:rsid w:val="52F97788"/>
    <w:rsid w:val="52FC4B82"/>
    <w:rsid w:val="52FF677B"/>
    <w:rsid w:val="530028C4"/>
    <w:rsid w:val="53046FC0"/>
    <w:rsid w:val="53050450"/>
    <w:rsid w:val="53073C53"/>
    <w:rsid w:val="53091D6B"/>
    <w:rsid w:val="530A3743"/>
    <w:rsid w:val="530A729F"/>
    <w:rsid w:val="530C3017"/>
    <w:rsid w:val="530C5752"/>
    <w:rsid w:val="530D4FE1"/>
    <w:rsid w:val="53113FE4"/>
    <w:rsid w:val="53116998"/>
    <w:rsid w:val="531243A6"/>
    <w:rsid w:val="53132A54"/>
    <w:rsid w:val="5314410A"/>
    <w:rsid w:val="53151F1F"/>
    <w:rsid w:val="531540B7"/>
    <w:rsid w:val="531620E8"/>
    <w:rsid w:val="53163E96"/>
    <w:rsid w:val="531719BC"/>
    <w:rsid w:val="53195734"/>
    <w:rsid w:val="531B14AC"/>
    <w:rsid w:val="531C2882"/>
    <w:rsid w:val="531D5224"/>
    <w:rsid w:val="531E2D4A"/>
    <w:rsid w:val="531E71EE"/>
    <w:rsid w:val="53204D14"/>
    <w:rsid w:val="5322283B"/>
    <w:rsid w:val="532366DF"/>
    <w:rsid w:val="532434B2"/>
    <w:rsid w:val="5325057D"/>
    <w:rsid w:val="5326466C"/>
    <w:rsid w:val="532760A3"/>
    <w:rsid w:val="532A16EF"/>
    <w:rsid w:val="532F4F57"/>
    <w:rsid w:val="5331340C"/>
    <w:rsid w:val="533308FD"/>
    <w:rsid w:val="53346A12"/>
    <w:rsid w:val="53364538"/>
    <w:rsid w:val="53371A3E"/>
    <w:rsid w:val="53394028"/>
    <w:rsid w:val="533C41C5"/>
    <w:rsid w:val="533D58C6"/>
    <w:rsid w:val="533D75EA"/>
    <w:rsid w:val="533E33EC"/>
    <w:rsid w:val="533E519B"/>
    <w:rsid w:val="53422EDD"/>
    <w:rsid w:val="534529CD"/>
    <w:rsid w:val="5345477B"/>
    <w:rsid w:val="53486019"/>
    <w:rsid w:val="53487DC7"/>
    <w:rsid w:val="534A1D91"/>
    <w:rsid w:val="534A7FE3"/>
    <w:rsid w:val="534C3D5B"/>
    <w:rsid w:val="534F1156"/>
    <w:rsid w:val="53513120"/>
    <w:rsid w:val="53530C46"/>
    <w:rsid w:val="53553DC2"/>
    <w:rsid w:val="53560736"/>
    <w:rsid w:val="535624E4"/>
    <w:rsid w:val="535844AE"/>
    <w:rsid w:val="53592617"/>
    <w:rsid w:val="535B3F9E"/>
    <w:rsid w:val="535B5D4C"/>
    <w:rsid w:val="535E583D"/>
    <w:rsid w:val="53603363"/>
    <w:rsid w:val="53623F5A"/>
    <w:rsid w:val="536270DB"/>
    <w:rsid w:val="53634C01"/>
    <w:rsid w:val="5364772A"/>
    <w:rsid w:val="53670B95"/>
    <w:rsid w:val="536A41E2"/>
    <w:rsid w:val="536C721C"/>
    <w:rsid w:val="536F17F8"/>
    <w:rsid w:val="53702858"/>
    <w:rsid w:val="53715570"/>
    <w:rsid w:val="537312E8"/>
    <w:rsid w:val="53734A39"/>
    <w:rsid w:val="53753280"/>
    <w:rsid w:val="53755060"/>
    <w:rsid w:val="53760DD8"/>
    <w:rsid w:val="53762B86"/>
    <w:rsid w:val="537806AC"/>
    <w:rsid w:val="537904C0"/>
    <w:rsid w:val="53795C84"/>
    <w:rsid w:val="537B019D"/>
    <w:rsid w:val="537C0582"/>
    <w:rsid w:val="537D5CC3"/>
    <w:rsid w:val="53803A05"/>
    <w:rsid w:val="53803A59"/>
    <w:rsid w:val="53807561"/>
    <w:rsid w:val="5382152B"/>
    <w:rsid w:val="538503C3"/>
    <w:rsid w:val="53861634"/>
    <w:rsid w:val="5386726D"/>
    <w:rsid w:val="538708F0"/>
    <w:rsid w:val="53872AC4"/>
    <w:rsid w:val="53886B25"/>
    <w:rsid w:val="538A03E0"/>
    <w:rsid w:val="538C05FC"/>
    <w:rsid w:val="538C2FF8"/>
    <w:rsid w:val="538C5F06"/>
    <w:rsid w:val="538E1C7E"/>
    <w:rsid w:val="53901E9A"/>
    <w:rsid w:val="5391176E"/>
    <w:rsid w:val="53933738"/>
    <w:rsid w:val="53937294"/>
    <w:rsid w:val="53982AFD"/>
    <w:rsid w:val="539A6875"/>
    <w:rsid w:val="539D1E5C"/>
    <w:rsid w:val="539D6365"/>
    <w:rsid w:val="539F3E8B"/>
    <w:rsid w:val="53A019B1"/>
    <w:rsid w:val="53A07C03"/>
    <w:rsid w:val="53A414A2"/>
    <w:rsid w:val="53A5521A"/>
    <w:rsid w:val="53A56FC8"/>
    <w:rsid w:val="53A96AB8"/>
    <w:rsid w:val="53AA0A2F"/>
    <w:rsid w:val="53AB0A82"/>
    <w:rsid w:val="53AE0572"/>
    <w:rsid w:val="53AE2320"/>
    <w:rsid w:val="53B37937"/>
    <w:rsid w:val="53B4545D"/>
    <w:rsid w:val="53B603F7"/>
    <w:rsid w:val="53B70462"/>
    <w:rsid w:val="53B73033"/>
    <w:rsid w:val="53B813F1"/>
    <w:rsid w:val="53B84F4D"/>
    <w:rsid w:val="53B84F69"/>
    <w:rsid w:val="53BA0CC5"/>
    <w:rsid w:val="53BA19C2"/>
    <w:rsid w:val="53BD07B5"/>
    <w:rsid w:val="53BD2563"/>
    <w:rsid w:val="53BF62DB"/>
    <w:rsid w:val="53C02053"/>
    <w:rsid w:val="53C03E02"/>
    <w:rsid w:val="53C26D59"/>
    <w:rsid w:val="53C270FC"/>
    <w:rsid w:val="53C27B7A"/>
    <w:rsid w:val="53C51418"/>
    <w:rsid w:val="53C658BC"/>
    <w:rsid w:val="53C66AC7"/>
    <w:rsid w:val="53C953AC"/>
    <w:rsid w:val="53CB2ED2"/>
    <w:rsid w:val="53CB7AF9"/>
    <w:rsid w:val="53CC27A6"/>
    <w:rsid w:val="53CC6C4A"/>
    <w:rsid w:val="53CE29C2"/>
    <w:rsid w:val="53CE651E"/>
    <w:rsid w:val="53D004E8"/>
    <w:rsid w:val="53D14261"/>
    <w:rsid w:val="53D1600F"/>
    <w:rsid w:val="53D17DBD"/>
    <w:rsid w:val="53D224B3"/>
    <w:rsid w:val="53D37FD9"/>
    <w:rsid w:val="53D61877"/>
    <w:rsid w:val="53D72ACA"/>
    <w:rsid w:val="53D855EF"/>
    <w:rsid w:val="53DA4EC3"/>
    <w:rsid w:val="53DB0C3B"/>
    <w:rsid w:val="53DB0F9E"/>
    <w:rsid w:val="53DC50DF"/>
    <w:rsid w:val="53DD0E57"/>
    <w:rsid w:val="53DF072C"/>
    <w:rsid w:val="53DF24DA"/>
    <w:rsid w:val="53E144A4"/>
    <w:rsid w:val="53E21FCA"/>
    <w:rsid w:val="53E24B5F"/>
    <w:rsid w:val="53E35FEF"/>
    <w:rsid w:val="53E467E5"/>
    <w:rsid w:val="53E61ABA"/>
    <w:rsid w:val="53E73A84"/>
    <w:rsid w:val="53E75832"/>
    <w:rsid w:val="53E775E0"/>
    <w:rsid w:val="53EB5322"/>
    <w:rsid w:val="53EC4BF7"/>
    <w:rsid w:val="53EE096F"/>
    <w:rsid w:val="53EE0EFD"/>
    <w:rsid w:val="53EE6BC1"/>
    <w:rsid w:val="53EF7163"/>
    <w:rsid w:val="53F13769"/>
    <w:rsid w:val="53F24654"/>
    <w:rsid w:val="53F266B1"/>
    <w:rsid w:val="53F32429"/>
    <w:rsid w:val="53F73CC7"/>
    <w:rsid w:val="53F81956"/>
    <w:rsid w:val="53FA25B4"/>
    <w:rsid w:val="53FA5565"/>
    <w:rsid w:val="53FC12DE"/>
    <w:rsid w:val="53FD32A8"/>
    <w:rsid w:val="53FD5056"/>
    <w:rsid w:val="53FD6E04"/>
    <w:rsid w:val="54041F40"/>
    <w:rsid w:val="5406215C"/>
    <w:rsid w:val="5408144B"/>
    <w:rsid w:val="540957A8"/>
    <w:rsid w:val="540C5299"/>
    <w:rsid w:val="540D125C"/>
    <w:rsid w:val="54102FDB"/>
    <w:rsid w:val="5415239F"/>
    <w:rsid w:val="5415414D"/>
    <w:rsid w:val="54163A4F"/>
    <w:rsid w:val="54183C3E"/>
    <w:rsid w:val="541859EC"/>
    <w:rsid w:val="541977FF"/>
    <w:rsid w:val="541D3002"/>
    <w:rsid w:val="54210D44"/>
    <w:rsid w:val="54232D0E"/>
    <w:rsid w:val="54240834"/>
    <w:rsid w:val="54244390"/>
    <w:rsid w:val="54260108"/>
    <w:rsid w:val="54273E81"/>
    <w:rsid w:val="54280325"/>
    <w:rsid w:val="542919A7"/>
    <w:rsid w:val="54297BF9"/>
    <w:rsid w:val="542A1C14"/>
    <w:rsid w:val="542A351E"/>
    <w:rsid w:val="542B571F"/>
    <w:rsid w:val="542C1497"/>
    <w:rsid w:val="542E3461"/>
    <w:rsid w:val="54316AAD"/>
    <w:rsid w:val="54322F51"/>
    <w:rsid w:val="5435659E"/>
    <w:rsid w:val="543842E0"/>
    <w:rsid w:val="543A1E06"/>
    <w:rsid w:val="5440557B"/>
    <w:rsid w:val="54413194"/>
    <w:rsid w:val="5442772A"/>
    <w:rsid w:val="54442C85"/>
    <w:rsid w:val="54493DF7"/>
    <w:rsid w:val="544B5DC1"/>
    <w:rsid w:val="544D1B39"/>
    <w:rsid w:val="544D2950"/>
    <w:rsid w:val="544E2750"/>
    <w:rsid w:val="544E58B1"/>
    <w:rsid w:val="54501629"/>
    <w:rsid w:val="54505070"/>
    <w:rsid w:val="54510F13"/>
    <w:rsid w:val="54532EC8"/>
    <w:rsid w:val="5455279C"/>
    <w:rsid w:val="54554E92"/>
    <w:rsid w:val="545729B8"/>
    <w:rsid w:val="54576514"/>
    <w:rsid w:val="5458228C"/>
    <w:rsid w:val="545A24A8"/>
    <w:rsid w:val="546155E5"/>
    <w:rsid w:val="54622402"/>
    <w:rsid w:val="54624EB9"/>
    <w:rsid w:val="54646E83"/>
    <w:rsid w:val="546649A9"/>
    <w:rsid w:val="54670726"/>
    <w:rsid w:val="54680721"/>
    <w:rsid w:val="54684BC5"/>
    <w:rsid w:val="54696247"/>
    <w:rsid w:val="546A70A7"/>
    <w:rsid w:val="546B0211"/>
    <w:rsid w:val="546B1FBF"/>
    <w:rsid w:val="546F50A2"/>
    <w:rsid w:val="54703A7A"/>
    <w:rsid w:val="547370C6"/>
    <w:rsid w:val="54745318"/>
    <w:rsid w:val="54762ACB"/>
    <w:rsid w:val="54770964"/>
    <w:rsid w:val="547846DC"/>
    <w:rsid w:val="54790B80"/>
    <w:rsid w:val="54795557"/>
    <w:rsid w:val="547C41CC"/>
    <w:rsid w:val="547F5A6B"/>
    <w:rsid w:val="54800D20"/>
    <w:rsid w:val="5483555B"/>
    <w:rsid w:val="54856390"/>
    <w:rsid w:val="5486329D"/>
    <w:rsid w:val="54866DF9"/>
    <w:rsid w:val="548712BD"/>
    <w:rsid w:val="548968E9"/>
    <w:rsid w:val="548B08B3"/>
    <w:rsid w:val="548B2661"/>
    <w:rsid w:val="548D0188"/>
    <w:rsid w:val="548E5CAE"/>
    <w:rsid w:val="54901A26"/>
    <w:rsid w:val="54905ECA"/>
    <w:rsid w:val="549332C4"/>
    <w:rsid w:val="549534E0"/>
    <w:rsid w:val="5495528E"/>
    <w:rsid w:val="54966375"/>
    <w:rsid w:val="54971006"/>
    <w:rsid w:val="54976AA9"/>
    <w:rsid w:val="54977258"/>
    <w:rsid w:val="549A4653"/>
    <w:rsid w:val="549C03CB"/>
    <w:rsid w:val="549C0AA6"/>
    <w:rsid w:val="549E4143"/>
    <w:rsid w:val="549F7EBB"/>
    <w:rsid w:val="54A074F3"/>
    <w:rsid w:val="54A13C33"/>
    <w:rsid w:val="54A35BFD"/>
    <w:rsid w:val="54A43723"/>
    <w:rsid w:val="54A569B6"/>
    <w:rsid w:val="54A61249"/>
    <w:rsid w:val="54A656ED"/>
    <w:rsid w:val="54AA6F8B"/>
    <w:rsid w:val="54AB4AB2"/>
    <w:rsid w:val="54AB6860"/>
    <w:rsid w:val="54AD049A"/>
    <w:rsid w:val="54AD4386"/>
    <w:rsid w:val="54AE5A8C"/>
    <w:rsid w:val="54AF6350"/>
    <w:rsid w:val="54B0031A"/>
    <w:rsid w:val="54B27BEE"/>
    <w:rsid w:val="54B418FE"/>
    <w:rsid w:val="54B41BB8"/>
    <w:rsid w:val="54B5148C"/>
    <w:rsid w:val="54B75204"/>
    <w:rsid w:val="54BA6AA3"/>
    <w:rsid w:val="54BC0A6D"/>
    <w:rsid w:val="54BC6CBF"/>
    <w:rsid w:val="54BE6593"/>
    <w:rsid w:val="54BF230B"/>
    <w:rsid w:val="54C16083"/>
    <w:rsid w:val="54C3004D"/>
    <w:rsid w:val="54C47921"/>
    <w:rsid w:val="54C55B73"/>
    <w:rsid w:val="54C618EB"/>
    <w:rsid w:val="54C65448"/>
    <w:rsid w:val="54C65951"/>
    <w:rsid w:val="54CA318A"/>
    <w:rsid w:val="54CD67D6"/>
    <w:rsid w:val="54D019CD"/>
    <w:rsid w:val="54D062C6"/>
    <w:rsid w:val="54D2203E"/>
    <w:rsid w:val="54D45DB6"/>
    <w:rsid w:val="54D51B2F"/>
    <w:rsid w:val="54D538DD"/>
    <w:rsid w:val="54D620C6"/>
    <w:rsid w:val="54D758A7"/>
    <w:rsid w:val="54D77655"/>
    <w:rsid w:val="54D9161F"/>
    <w:rsid w:val="54D933CD"/>
    <w:rsid w:val="54D9517B"/>
    <w:rsid w:val="54DB4AA8"/>
    <w:rsid w:val="54DC110F"/>
    <w:rsid w:val="54DC21B6"/>
    <w:rsid w:val="54E05D49"/>
    <w:rsid w:val="54E104D3"/>
    <w:rsid w:val="54E1091A"/>
    <w:rsid w:val="54E12281"/>
    <w:rsid w:val="54E3424B"/>
    <w:rsid w:val="54E35FFA"/>
    <w:rsid w:val="54E63A41"/>
    <w:rsid w:val="54E65AEA"/>
    <w:rsid w:val="54E7786F"/>
    <w:rsid w:val="54E81862"/>
    <w:rsid w:val="54E87AB4"/>
    <w:rsid w:val="54EA3781"/>
    <w:rsid w:val="54EB1352"/>
    <w:rsid w:val="54EB4EAE"/>
    <w:rsid w:val="54ED0C26"/>
    <w:rsid w:val="54ED376F"/>
    <w:rsid w:val="54ED50CA"/>
    <w:rsid w:val="54ED6E78"/>
    <w:rsid w:val="54F326AE"/>
    <w:rsid w:val="54FA3343"/>
    <w:rsid w:val="54FC355F"/>
    <w:rsid w:val="54FC70BB"/>
    <w:rsid w:val="54FE4BE1"/>
    <w:rsid w:val="55005333"/>
    <w:rsid w:val="55006BAB"/>
    <w:rsid w:val="550348EE"/>
    <w:rsid w:val="5503669C"/>
    <w:rsid w:val="55050666"/>
    <w:rsid w:val="55061CE8"/>
    <w:rsid w:val="55085A60"/>
    <w:rsid w:val="550A17D8"/>
    <w:rsid w:val="550C7292"/>
    <w:rsid w:val="550D12C8"/>
    <w:rsid w:val="550D3076"/>
    <w:rsid w:val="550D751A"/>
    <w:rsid w:val="55124B31"/>
    <w:rsid w:val="551408A9"/>
    <w:rsid w:val="55141A67"/>
    <w:rsid w:val="55144405"/>
    <w:rsid w:val="5516017D"/>
    <w:rsid w:val="55160C9A"/>
    <w:rsid w:val="55167559"/>
    <w:rsid w:val="55173EF5"/>
    <w:rsid w:val="55191A1B"/>
    <w:rsid w:val="55197363"/>
    <w:rsid w:val="551B5793"/>
    <w:rsid w:val="551D59AF"/>
    <w:rsid w:val="551E7032"/>
    <w:rsid w:val="55214D74"/>
    <w:rsid w:val="55236D3E"/>
    <w:rsid w:val="55252FED"/>
    <w:rsid w:val="55265A7D"/>
    <w:rsid w:val="552705DC"/>
    <w:rsid w:val="55284354"/>
    <w:rsid w:val="55286102"/>
    <w:rsid w:val="5529453F"/>
    <w:rsid w:val="552979ED"/>
    <w:rsid w:val="552B02EF"/>
    <w:rsid w:val="552B174F"/>
    <w:rsid w:val="552D196B"/>
    <w:rsid w:val="552F123F"/>
    <w:rsid w:val="552F7491"/>
    <w:rsid w:val="55306D65"/>
    <w:rsid w:val="55320D2F"/>
    <w:rsid w:val="55342CF9"/>
    <w:rsid w:val="55366A71"/>
    <w:rsid w:val="55376345"/>
    <w:rsid w:val="55384597"/>
    <w:rsid w:val="553B5E36"/>
    <w:rsid w:val="553E564A"/>
    <w:rsid w:val="553E76D4"/>
    <w:rsid w:val="5540005A"/>
    <w:rsid w:val="5540169E"/>
    <w:rsid w:val="5540344C"/>
    <w:rsid w:val="554051FA"/>
    <w:rsid w:val="55410F72"/>
    <w:rsid w:val="55434CEA"/>
    <w:rsid w:val="55437CB7"/>
    <w:rsid w:val="55466588"/>
    <w:rsid w:val="554923E8"/>
    <w:rsid w:val="554A7E27"/>
    <w:rsid w:val="554D21F9"/>
    <w:rsid w:val="554D7917"/>
    <w:rsid w:val="554E3689"/>
    <w:rsid w:val="554F283B"/>
    <w:rsid w:val="5551374B"/>
    <w:rsid w:val="55524F2D"/>
    <w:rsid w:val="55540CA5"/>
    <w:rsid w:val="55570796"/>
    <w:rsid w:val="555962BC"/>
    <w:rsid w:val="555B0286"/>
    <w:rsid w:val="555B2034"/>
    <w:rsid w:val="555C7B5A"/>
    <w:rsid w:val="555E1B24"/>
    <w:rsid w:val="5561705E"/>
    <w:rsid w:val="5563066D"/>
    <w:rsid w:val="55651104"/>
    <w:rsid w:val="55654C60"/>
    <w:rsid w:val="55674E7D"/>
    <w:rsid w:val="55676C2B"/>
    <w:rsid w:val="55717AA9"/>
    <w:rsid w:val="55741347"/>
    <w:rsid w:val="55760C1C"/>
    <w:rsid w:val="5579070C"/>
    <w:rsid w:val="557D01FC"/>
    <w:rsid w:val="557E5D22"/>
    <w:rsid w:val="557F3BF8"/>
    <w:rsid w:val="55821CB6"/>
    <w:rsid w:val="5583158B"/>
    <w:rsid w:val="55844E99"/>
    <w:rsid w:val="558570B1"/>
    <w:rsid w:val="55872E29"/>
    <w:rsid w:val="55884F5B"/>
    <w:rsid w:val="55894DF3"/>
    <w:rsid w:val="558A46C7"/>
    <w:rsid w:val="558C043F"/>
    <w:rsid w:val="55915A56"/>
    <w:rsid w:val="55943798"/>
    <w:rsid w:val="559519EA"/>
    <w:rsid w:val="559612BE"/>
    <w:rsid w:val="55966691"/>
    <w:rsid w:val="55967510"/>
    <w:rsid w:val="55985036"/>
    <w:rsid w:val="55990DAE"/>
    <w:rsid w:val="55992B5C"/>
    <w:rsid w:val="559B2D78"/>
    <w:rsid w:val="559B4B26"/>
    <w:rsid w:val="559D264C"/>
    <w:rsid w:val="559D43FA"/>
    <w:rsid w:val="559E0172"/>
    <w:rsid w:val="559F4616"/>
    <w:rsid w:val="55A0213D"/>
    <w:rsid w:val="55A20422"/>
    <w:rsid w:val="55A2472C"/>
    <w:rsid w:val="55A27C63"/>
    <w:rsid w:val="55A32FF3"/>
    <w:rsid w:val="55A559A5"/>
    <w:rsid w:val="55A75279"/>
    <w:rsid w:val="55AA02F5"/>
    <w:rsid w:val="55AB1785"/>
    <w:rsid w:val="55B33C1E"/>
    <w:rsid w:val="55B538C9"/>
    <w:rsid w:val="55B94FAC"/>
    <w:rsid w:val="55BB0D24"/>
    <w:rsid w:val="55BB6F76"/>
    <w:rsid w:val="55BE25C3"/>
    <w:rsid w:val="55BF0815"/>
    <w:rsid w:val="55C0458D"/>
    <w:rsid w:val="55C0633B"/>
    <w:rsid w:val="55C2109F"/>
    <w:rsid w:val="55C23E61"/>
    <w:rsid w:val="55C24E3B"/>
    <w:rsid w:val="55C30E9C"/>
    <w:rsid w:val="55C4407D"/>
    <w:rsid w:val="55C71477"/>
    <w:rsid w:val="55C73B6D"/>
    <w:rsid w:val="55CA0F67"/>
    <w:rsid w:val="55CB585D"/>
    <w:rsid w:val="55CE0A58"/>
    <w:rsid w:val="55CE6CAA"/>
    <w:rsid w:val="55D10548"/>
    <w:rsid w:val="55D17581"/>
    <w:rsid w:val="55D342C0"/>
    <w:rsid w:val="55D3606E"/>
    <w:rsid w:val="55D63DB0"/>
    <w:rsid w:val="55D6790C"/>
    <w:rsid w:val="55DB3175"/>
    <w:rsid w:val="55DC0515"/>
    <w:rsid w:val="55DD1A43"/>
    <w:rsid w:val="55DD513F"/>
    <w:rsid w:val="55DF2C65"/>
    <w:rsid w:val="55E069DD"/>
    <w:rsid w:val="55E24503"/>
    <w:rsid w:val="55E262B1"/>
    <w:rsid w:val="55E4027B"/>
    <w:rsid w:val="55E41916"/>
    <w:rsid w:val="55E42245"/>
    <w:rsid w:val="55E464CD"/>
    <w:rsid w:val="55E52DA6"/>
    <w:rsid w:val="55E62245"/>
    <w:rsid w:val="55E738C7"/>
    <w:rsid w:val="55E92BB7"/>
    <w:rsid w:val="55EA33B8"/>
    <w:rsid w:val="55EB15A9"/>
    <w:rsid w:val="55EB785C"/>
    <w:rsid w:val="55EB7CCC"/>
    <w:rsid w:val="55EC35D4"/>
    <w:rsid w:val="55EE4C56"/>
    <w:rsid w:val="55EF09CE"/>
    <w:rsid w:val="55F06C20"/>
    <w:rsid w:val="55F304BE"/>
    <w:rsid w:val="55F52488"/>
    <w:rsid w:val="55F528C1"/>
    <w:rsid w:val="55F61D5C"/>
    <w:rsid w:val="55F935FB"/>
    <w:rsid w:val="55FB150F"/>
    <w:rsid w:val="55FB7373"/>
    <w:rsid w:val="55FC3817"/>
    <w:rsid w:val="560222CE"/>
    <w:rsid w:val="56026953"/>
    <w:rsid w:val="560426CB"/>
    <w:rsid w:val="56051FA0"/>
    <w:rsid w:val="56064695"/>
    <w:rsid w:val="56073F6A"/>
    <w:rsid w:val="560A5808"/>
    <w:rsid w:val="560C1580"/>
    <w:rsid w:val="560C332E"/>
    <w:rsid w:val="560E52F8"/>
    <w:rsid w:val="560E70A6"/>
    <w:rsid w:val="56101070"/>
    <w:rsid w:val="56114DE8"/>
    <w:rsid w:val="56130B60"/>
    <w:rsid w:val="561A1EEF"/>
    <w:rsid w:val="561B17C3"/>
    <w:rsid w:val="561B7A15"/>
    <w:rsid w:val="561D378D"/>
    <w:rsid w:val="561D553B"/>
    <w:rsid w:val="561F7505"/>
    <w:rsid w:val="5621502B"/>
    <w:rsid w:val="56226FF5"/>
    <w:rsid w:val="56262642"/>
    <w:rsid w:val="56270168"/>
    <w:rsid w:val="562763BA"/>
    <w:rsid w:val="56293EE0"/>
    <w:rsid w:val="562B7C58"/>
    <w:rsid w:val="562D159C"/>
    <w:rsid w:val="56310FE7"/>
    <w:rsid w:val="5632548A"/>
    <w:rsid w:val="56332FB1"/>
    <w:rsid w:val="56352885"/>
    <w:rsid w:val="56356D29"/>
    <w:rsid w:val="5637484F"/>
    <w:rsid w:val="56397B3F"/>
    <w:rsid w:val="563A60ED"/>
    <w:rsid w:val="563B245F"/>
    <w:rsid w:val="563C00B7"/>
    <w:rsid w:val="563F3703"/>
    <w:rsid w:val="56400C58"/>
    <w:rsid w:val="5647080A"/>
    <w:rsid w:val="564B654C"/>
    <w:rsid w:val="564C5E20"/>
    <w:rsid w:val="564C7BCE"/>
    <w:rsid w:val="564D4072"/>
    <w:rsid w:val="564F3646"/>
    <w:rsid w:val="56505911"/>
    <w:rsid w:val="565076BF"/>
    <w:rsid w:val="56513437"/>
    <w:rsid w:val="565371AF"/>
    <w:rsid w:val="56576C9F"/>
    <w:rsid w:val="565A053D"/>
    <w:rsid w:val="565A22EB"/>
    <w:rsid w:val="565A6E77"/>
    <w:rsid w:val="565C2507"/>
    <w:rsid w:val="566273F2"/>
    <w:rsid w:val="56665134"/>
    <w:rsid w:val="566B44F9"/>
    <w:rsid w:val="566B62A7"/>
    <w:rsid w:val="566C201F"/>
    <w:rsid w:val="566C7508"/>
    <w:rsid w:val="566C7598"/>
    <w:rsid w:val="566E5D97"/>
    <w:rsid w:val="566E5F5F"/>
    <w:rsid w:val="566F134E"/>
    <w:rsid w:val="56701B0F"/>
    <w:rsid w:val="567315FF"/>
    <w:rsid w:val="567333AD"/>
    <w:rsid w:val="56737851"/>
    <w:rsid w:val="567535C9"/>
    <w:rsid w:val="567A0BDF"/>
    <w:rsid w:val="567A298E"/>
    <w:rsid w:val="567A72D5"/>
    <w:rsid w:val="567C04B4"/>
    <w:rsid w:val="567D422C"/>
    <w:rsid w:val="567F7702"/>
    <w:rsid w:val="56813D1C"/>
    <w:rsid w:val="568630E0"/>
    <w:rsid w:val="56867584"/>
    <w:rsid w:val="56892BD1"/>
    <w:rsid w:val="568B06F7"/>
    <w:rsid w:val="568B73E6"/>
    <w:rsid w:val="568C3F8D"/>
    <w:rsid w:val="568D0913"/>
    <w:rsid w:val="568D1D06"/>
    <w:rsid w:val="568F468B"/>
    <w:rsid w:val="569071B7"/>
    <w:rsid w:val="56923790"/>
    <w:rsid w:val="56931CA9"/>
    <w:rsid w:val="569752EE"/>
    <w:rsid w:val="56981066"/>
    <w:rsid w:val="569D042A"/>
    <w:rsid w:val="569D43CC"/>
    <w:rsid w:val="56A23F04"/>
    <w:rsid w:val="56A417B8"/>
    <w:rsid w:val="56A47A0A"/>
    <w:rsid w:val="56A8690E"/>
    <w:rsid w:val="56A95021"/>
    <w:rsid w:val="56AA353D"/>
    <w:rsid w:val="56AD2D63"/>
    <w:rsid w:val="56B22127"/>
    <w:rsid w:val="56B37C4E"/>
    <w:rsid w:val="56B75990"/>
    <w:rsid w:val="56B77B44"/>
    <w:rsid w:val="56B91708"/>
    <w:rsid w:val="56BA1E60"/>
    <w:rsid w:val="56BD287A"/>
    <w:rsid w:val="56C105BC"/>
    <w:rsid w:val="56C360E3"/>
    <w:rsid w:val="56C63E25"/>
    <w:rsid w:val="56C67981"/>
    <w:rsid w:val="56C7337E"/>
    <w:rsid w:val="56C9121F"/>
    <w:rsid w:val="56CA56C3"/>
    <w:rsid w:val="56CF2CD9"/>
    <w:rsid w:val="56D114C7"/>
    <w:rsid w:val="56D24578"/>
    <w:rsid w:val="56D26326"/>
    <w:rsid w:val="56D402F0"/>
    <w:rsid w:val="56D4449B"/>
    <w:rsid w:val="56DA167E"/>
    <w:rsid w:val="56DB78D0"/>
    <w:rsid w:val="56DC0F52"/>
    <w:rsid w:val="56DC71A4"/>
    <w:rsid w:val="56DE2F1C"/>
    <w:rsid w:val="56E10F23"/>
    <w:rsid w:val="56E30533"/>
    <w:rsid w:val="56E542AB"/>
    <w:rsid w:val="56E66275"/>
    <w:rsid w:val="56E9366F"/>
    <w:rsid w:val="56EB73E7"/>
    <w:rsid w:val="56EE27E4"/>
    <w:rsid w:val="56EE4BBF"/>
    <w:rsid w:val="56EF2533"/>
    <w:rsid w:val="56F2105C"/>
    <w:rsid w:val="56F25BB1"/>
    <w:rsid w:val="56F269C8"/>
    <w:rsid w:val="56F3629C"/>
    <w:rsid w:val="56F40992"/>
    <w:rsid w:val="56F42740"/>
    <w:rsid w:val="56F73FDE"/>
    <w:rsid w:val="56F91B04"/>
    <w:rsid w:val="56FA587C"/>
    <w:rsid w:val="570109B9"/>
    <w:rsid w:val="57014E5D"/>
    <w:rsid w:val="57034731"/>
    <w:rsid w:val="570404A9"/>
    <w:rsid w:val="570606C5"/>
    <w:rsid w:val="570A5ABF"/>
    <w:rsid w:val="570A713B"/>
    <w:rsid w:val="570B1838"/>
    <w:rsid w:val="570D55B0"/>
    <w:rsid w:val="570F1328"/>
    <w:rsid w:val="57102FAD"/>
    <w:rsid w:val="57115946"/>
    <w:rsid w:val="5712700E"/>
    <w:rsid w:val="571701DC"/>
    <w:rsid w:val="5717642E"/>
    <w:rsid w:val="571903F8"/>
    <w:rsid w:val="571921A6"/>
    <w:rsid w:val="57193F55"/>
    <w:rsid w:val="571A1A7B"/>
    <w:rsid w:val="571C2C91"/>
    <w:rsid w:val="571E55B1"/>
    <w:rsid w:val="571E77BD"/>
    <w:rsid w:val="57201787"/>
    <w:rsid w:val="57202D37"/>
    <w:rsid w:val="57203535"/>
    <w:rsid w:val="57212E09"/>
    <w:rsid w:val="57236B81"/>
    <w:rsid w:val="57250B4B"/>
    <w:rsid w:val="57256D9D"/>
    <w:rsid w:val="5726041F"/>
    <w:rsid w:val="57266671"/>
    <w:rsid w:val="5728063B"/>
    <w:rsid w:val="572823EA"/>
    <w:rsid w:val="57284198"/>
    <w:rsid w:val="572C6094"/>
    <w:rsid w:val="572D17AE"/>
    <w:rsid w:val="5730129E"/>
    <w:rsid w:val="57315742"/>
    <w:rsid w:val="57340166"/>
    <w:rsid w:val="57347BDD"/>
    <w:rsid w:val="5737087F"/>
    <w:rsid w:val="57392849"/>
    <w:rsid w:val="573945F7"/>
    <w:rsid w:val="573B211D"/>
    <w:rsid w:val="573B502A"/>
    <w:rsid w:val="573C40E7"/>
    <w:rsid w:val="573E12A4"/>
    <w:rsid w:val="5740094B"/>
    <w:rsid w:val="57405985"/>
    <w:rsid w:val="57435475"/>
    <w:rsid w:val="57454D4A"/>
    <w:rsid w:val="57460AC2"/>
    <w:rsid w:val="57476D14"/>
    <w:rsid w:val="574865E8"/>
    <w:rsid w:val="574A2360"/>
    <w:rsid w:val="574A6804"/>
    <w:rsid w:val="574A7A89"/>
    <w:rsid w:val="574D00A2"/>
    <w:rsid w:val="574D1E50"/>
    <w:rsid w:val="57521214"/>
    <w:rsid w:val="57535931"/>
    <w:rsid w:val="57541992"/>
    <w:rsid w:val="57544F8D"/>
    <w:rsid w:val="575651A9"/>
    <w:rsid w:val="57566F57"/>
    <w:rsid w:val="57574A7D"/>
    <w:rsid w:val="575E5E0B"/>
    <w:rsid w:val="575F2360"/>
    <w:rsid w:val="57607DD5"/>
    <w:rsid w:val="576176AA"/>
    <w:rsid w:val="57635426"/>
    <w:rsid w:val="576553EC"/>
    <w:rsid w:val="5765719A"/>
    <w:rsid w:val="57664CC0"/>
    <w:rsid w:val="576722F4"/>
    <w:rsid w:val="57681298"/>
    <w:rsid w:val="576C0528"/>
    <w:rsid w:val="57727B09"/>
    <w:rsid w:val="57744C6A"/>
    <w:rsid w:val="577675F9"/>
    <w:rsid w:val="577800C0"/>
    <w:rsid w:val="57790E97"/>
    <w:rsid w:val="577B076B"/>
    <w:rsid w:val="57805D82"/>
    <w:rsid w:val="57815511"/>
    <w:rsid w:val="57827D4C"/>
    <w:rsid w:val="57831D16"/>
    <w:rsid w:val="57835EA0"/>
    <w:rsid w:val="57841166"/>
    <w:rsid w:val="57853398"/>
    <w:rsid w:val="57875362"/>
    <w:rsid w:val="5789732C"/>
    <w:rsid w:val="578A6C00"/>
    <w:rsid w:val="578C2978"/>
    <w:rsid w:val="578D66F1"/>
    <w:rsid w:val="578E4942"/>
    <w:rsid w:val="57917F8F"/>
    <w:rsid w:val="57923D07"/>
    <w:rsid w:val="579637F7"/>
    <w:rsid w:val="579730CB"/>
    <w:rsid w:val="5798756F"/>
    <w:rsid w:val="579954F5"/>
    <w:rsid w:val="579B705F"/>
    <w:rsid w:val="579D6934"/>
    <w:rsid w:val="579E08FE"/>
    <w:rsid w:val="579E26AC"/>
    <w:rsid w:val="57A001D2"/>
    <w:rsid w:val="57A16858"/>
    <w:rsid w:val="57A31A70"/>
    <w:rsid w:val="57A328B9"/>
    <w:rsid w:val="57A37CC2"/>
    <w:rsid w:val="57A53A3A"/>
    <w:rsid w:val="57A602F7"/>
    <w:rsid w:val="57A71560"/>
    <w:rsid w:val="57A75A04"/>
    <w:rsid w:val="57A9177C"/>
    <w:rsid w:val="57AA2DFF"/>
    <w:rsid w:val="57AC301B"/>
    <w:rsid w:val="57AE6D93"/>
    <w:rsid w:val="57AF2B0B"/>
    <w:rsid w:val="57AF6667"/>
    <w:rsid w:val="57B10631"/>
    <w:rsid w:val="57B31820"/>
    <w:rsid w:val="57B343A9"/>
    <w:rsid w:val="57B36157"/>
    <w:rsid w:val="57B41ECF"/>
    <w:rsid w:val="57B420FD"/>
    <w:rsid w:val="57B63E99"/>
    <w:rsid w:val="57B65C47"/>
    <w:rsid w:val="57B819BF"/>
    <w:rsid w:val="57B95737"/>
    <w:rsid w:val="57B974E6"/>
    <w:rsid w:val="57BB325E"/>
    <w:rsid w:val="57BB500C"/>
    <w:rsid w:val="57C03270"/>
    <w:rsid w:val="57C04EC9"/>
    <w:rsid w:val="57C2283E"/>
    <w:rsid w:val="57C31275"/>
    <w:rsid w:val="57C33EC0"/>
    <w:rsid w:val="57C40364"/>
    <w:rsid w:val="57C57C38"/>
    <w:rsid w:val="57C71C02"/>
    <w:rsid w:val="57C739B1"/>
    <w:rsid w:val="57CB1AC4"/>
    <w:rsid w:val="57CC0FC7"/>
    <w:rsid w:val="57CC546B"/>
    <w:rsid w:val="57CF6D09"/>
    <w:rsid w:val="57D305A7"/>
    <w:rsid w:val="57D32355"/>
    <w:rsid w:val="57D63BF4"/>
    <w:rsid w:val="57D83E10"/>
    <w:rsid w:val="57D90B8E"/>
    <w:rsid w:val="57DA7B88"/>
    <w:rsid w:val="57DB56AE"/>
    <w:rsid w:val="57DE0CFA"/>
    <w:rsid w:val="57DE6F4C"/>
    <w:rsid w:val="57E02CC4"/>
    <w:rsid w:val="57E0554B"/>
    <w:rsid w:val="57E06CAB"/>
    <w:rsid w:val="57E207EA"/>
    <w:rsid w:val="57E36310"/>
    <w:rsid w:val="57E44562"/>
    <w:rsid w:val="57E502DB"/>
    <w:rsid w:val="57E91B79"/>
    <w:rsid w:val="57EA3B43"/>
    <w:rsid w:val="57EE3633"/>
    <w:rsid w:val="57EF1159"/>
    <w:rsid w:val="57F10A2D"/>
    <w:rsid w:val="57F15AAE"/>
    <w:rsid w:val="57F16C7F"/>
    <w:rsid w:val="57F323C7"/>
    <w:rsid w:val="57F329F7"/>
    <w:rsid w:val="57F56770"/>
    <w:rsid w:val="57F86260"/>
    <w:rsid w:val="57FA3D86"/>
    <w:rsid w:val="57FB7AFE"/>
    <w:rsid w:val="57FD5624"/>
    <w:rsid w:val="57FF75EE"/>
    <w:rsid w:val="58006EC2"/>
    <w:rsid w:val="58020E8D"/>
    <w:rsid w:val="58022C3B"/>
    <w:rsid w:val="58030761"/>
    <w:rsid w:val="580469B3"/>
    <w:rsid w:val="580660F5"/>
    <w:rsid w:val="580764A3"/>
    <w:rsid w:val="58096A49"/>
    <w:rsid w:val="580B4386"/>
    <w:rsid w:val="580C5867"/>
    <w:rsid w:val="580E15DF"/>
    <w:rsid w:val="580E5A83"/>
    <w:rsid w:val="580E7831"/>
    <w:rsid w:val="580F5357"/>
    <w:rsid w:val="580F6D68"/>
    <w:rsid w:val="581035A9"/>
    <w:rsid w:val="581110D0"/>
    <w:rsid w:val="58117322"/>
    <w:rsid w:val="5812357A"/>
    <w:rsid w:val="5813309A"/>
    <w:rsid w:val="58150BC0"/>
    <w:rsid w:val="58160494"/>
    <w:rsid w:val="581B1F4E"/>
    <w:rsid w:val="581D7A74"/>
    <w:rsid w:val="5822508B"/>
    <w:rsid w:val="58240E03"/>
    <w:rsid w:val="58256929"/>
    <w:rsid w:val="58262DCD"/>
    <w:rsid w:val="582726A1"/>
    <w:rsid w:val="582901C7"/>
    <w:rsid w:val="582A3F3F"/>
    <w:rsid w:val="582B2191"/>
    <w:rsid w:val="582C5F09"/>
    <w:rsid w:val="582E7771"/>
    <w:rsid w:val="583059FA"/>
    <w:rsid w:val="58311544"/>
    <w:rsid w:val="58313520"/>
    <w:rsid w:val="58331046"/>
    <w:rsid w:val="58346B6C"/>
    <w:rsid w:val="58354DBE"/>
    <w:rsid w:val="58365DDC"/>
    <w:rsid w:val="58386F6C"/>
    <w:rsid w:val="583A6878"/>
    <w:rsid w:val="583E1DE6"/>
    <w:rsid w:val="58405511"/>
    <w:rsid w:val="58417C07"/>
    <w:rsid w:val="584414A5"/>
    <w:rsid w:val="58450D79"/>
    <w:rsid w:val="58466FCB"/>
    <w:rsid w:val="58472D43"/>
    <w:rsid w:val="58474AF1"/>
    <w:rsid w:val="5847689F"/>
    <w:rsid w:val="58492617"/>
    <w:rsid w:val="584A43BC"/>
    <w:rsid w:val="584A6390"/>
    <w:rsid w:val="584B2834"/>
    <w:rsid w:val="584C2108"/>
    <w:rsid w:val="584E7C2E"/>
    <w:rsid w:val="58502ABA"/>
    <w:rsid w:val="585039A6"/>
    <w:rsid w:val="58515970"/>
    <w:rsid w:val="58533496"/>
    <w:rsid w:val="5855720E"/>
    <w:rsid w:val="58562F86"/>
    <w:rsid w:val="585A2A77"/>
    <w:rsid w:val="585A4825"/>
    <w:rsid w:val="585D4315"/>
    <w:rsid w:val="585E7C8F"/>
    <w:rsid w:val="585F008D"/>
    <w:rsid w:val="585F62DF"/>
    <w:rsid w:val="586025AF"/>
    <w:rsid w:val="58613E05"/>
    <w:rsid w:val="58675193"/>
    <w:rsid w:val="58676F42"/>
    <w:rsid w:val="58684010"/>
    <w:rsid w:val="58692CBA"/>
    <w:rsid w:val="586B07E0"/>
    <w:rsid w:val="586B6A32"/>
    <w:rsid w:val="586C0B52"/>
    <w:rsid w:val="586C4558"/>
    <w:rsid w:val="586C6306"/>
    <w:rsid w:val="586D09FC"/>
    <w:rsid w:val="58731200"/>
    <w:rsid w:val="58737694"/>
    <w:rsid w:val="5875165E"/>
    <w:rsid w:val="58773629"/>
    <w:rsid w:val="587753D7"/>
    <w:rsid w:val="58782EFD"/>
    <w:rsid w:val="587A4EC7"/>
    <w:rsid w:val="587A6C75"/>
    <w:rsid w:val="587B71B7"/>
    <w:rsid w:val="587C29ED"/>
    <w:rsid w:val="58800458"/>
    <w:rsid w:val="58816255"/>
    <w:rsid w:val="5886386C"/>
    <w:rsid w:val="58873140"/>
    <w:rsid w:val="58877908"/>
    <w:rsid w:val="58880D76"/>
    <w:rsid w:val="588875E4"/>
    <w:rsid w:val="5889510A"/>
    <w:rsid w:val="58896EB8"/>
    <w:rsid w:val="588B6CAC"/>
    <w:rsid w:val="58903385"/>
    <w:rsid w:val="58906498"/>
    <w:rsid w:val="58911265"/>
    <w:rsid w:val="58921AD3"/>
    <w:rsid w:val="58931AE5"/>
    <w:rsid w:val="58935F89"/>
    <w:rsid w:val="5895585D"/>
    <w:rsid w:val="5898359F"/>
    <w:rsid w:val="589A10C5"/>
    <w:rsid w:val="589A2E73"/>
    <w:rsid w:val="58A81A34"/>
    <w:rsid w:val="58AB5D82"/>
    <w:rsid w:val="58AB7726"/>
    <w:rsid w:val="58AD704A"/>
    <w:rsid w:val="58B52A3A"/>
    <w:rsid w:val="58B54EB4"/>
    <w:rsid w:val="58B55EFF"/>
    <w:rsid w:val="58B7104F"/>
    <w:rsid w:val="58BB59C9"/>
    <w:rsid w:val="58BC06AB"/>
    <w:rsid w:val="58BD4DB3"/>
    <w:rsid w:val="58BD6B62"/>
    <w:rsid w:val="58BF28DA"/>
    <w:rsid w:val="58BF6D7E"/>
    <w:rsid w:val="58C16652"/>
    <w:rsid w:val="58C47EF0"/>
    <w:rsid w:val="58C6010C"/>
    <w:rsid w:val="58C63C68"/>
    <w:rsid w:val="58C85C32"/>
    <w:rsid w:val="58C93758"/>
    <w:rsid w:val="58CB5722"/>
    <w:rsid w:val="58CB74D0"/>
    <w:rsid w:val="58CD149A"/>
    <w:rsid w:val="58CD4FF7"/>
    <w:rsid w:val="58D07FB1"/>
    <w:rsid w:val="58D2085F"/>
    <w:rsid w:val="58D345D7"/>
    <w:rsid w:val="58D42A81"/>
    <w:rsid w:val="58D8399B"/>
    <w:rsid w:val="58DC348C"/>
    <w:rsid w:val="58DD0FB2"/>
    <w:rsid w:val="58DF4D2A"/>
    <w:rsid w:val="58E16CF4"/>
    <w:rsid w:val="58E30CBE"/>
    <w:rsid w:val="58E467E4"/>
    <w:rsid w:val="58E6430A"/>
    <w:rsid w:val="58E80082"/>
    <w:rsid w:val="58E81E30"/>
    <w:rsid w:val="58E862D4"/>
    <w:rsid w:val="58E93DFA"/>
    <w:rsid w:val="58E95BA9"/>
    <w:rsid w:val="58ED52CF"/>
    <w:rsid w:val="58ED5699"/>
    <w:rsid w:val="58F22CAF"/>
    <w:rsid w:val="58F46A27"/>
    <w:rsid w:val="58F5454D"/>
    <w:rsid w:val="58FA6008"/>
    <w:rsid w:val="58FA7293"/>
    <w:rsid w:val="58FC1D80"/>
    <w:rsid w:val="58FC3B2E"/>
    <w:rsid w:val="58FD7D40"/>
    <w:rsid w:val="58FE588D"/>
    <w:rsid w:val="58FE78A6"/>
    <w:rsid w:val="58FF717A"/>
    <w:rsid w:val="59036C6A"/>
    <w:rsid w:val="59041A49"/>
    <w:rsid w:val="590429E2"/>
    <w:rsid w:val="59044790"/>
    <w:rsid w:val="590649AC"/>
    <w:rsid w:val="59080725"/>
    <w:rsid w:val="590824D3"/>
    <w:rsid w:val="59091DA7"/>
    <w:rsid w:val="59097FF9"/>
    <w:rsid w:val="590B7573"/>
    <w:rsid w:val="590C4F28"/>
    <w:rsid w:val="590D1897"/>
    <w:rsid w:val="590E560F"/>
    <w:rsid w:val="591250FF"/>
    <w:rsid w:val="59125193"/>
    <w:rsid w:val="59142684"/>
    <w:rsid w:val="591470C9"/>
    <w:rsid w:val="59172716"/>
    <w:rsid w:val="5919023C"/>
    <w:rsid w:val="591A3FB4"/>
    <w:rsid w:val="591B0458"/>
    <w:rsid w:val="591F15CA"/>
    <w:rsid w:val="59205A6E"/>
    <w:rsid w:val="592310BA"/>
    <w:rsid w:val="59260BAB"/>
    <w:rsid w:val="59262959"/>
    <w:rsid w:val="59284923"/>
    <w:rsid w:val="592941F7"/>
    <w:rsid w:val="592B204C"/>
    <w:rsid w:val="592B4413"/>
    <w:rsid w:val="592B7F6F"/>
    <w:rsid w:val="592D3CE7"/>
    <w:rsid w:val="592F5CB1"/>
    <w:rsid w:val="59301A29"/>
    <w:rsid w:val="593212FE"/>
    <w:rsid w:val="593257A1"/>
    <w:rsid w:val="59335C0C"/>
    <w:rsid w:val="59350DEE"/>
    <w:rsid w:val="59352B9C"/>
    <w:rsid w:val="593908DE"/>
    <w:rsid w:val="59396B30"/>
    <w:rsid w:val="593A6404"/>
    <w:rsid w:val="593B4656"/>
    <w:rsid w:val="593C217C"/>
    <w:rsid w:val="593F3A1A"/>
    <w:rsid w:val="59411541"/>
    <w:rsid w:val="59411E8C"/>
    <w:rsid w:val="59413C36"/>
    <w:rsid w:val="5943350B"/>
    <w:rsid w:val="594352B9"/>
    <w:rsid w:val="59464DA9"/>
    <w:rsid w:val="59480B21"/>
    <w:rsid w:val="594828CF"/>
    <w:rsid w:val="594B0611"/>
    <w:rsid w:val="594D2DC3"/>
    <w:rsid w:val="594D4389"/>
    <w:rsid w:val="594F0101"/>
    <w:rsid w:val="594F3C5E"/>
    <w:rsid w:val="59505C28"/>
    <w:rsid w:val="595079D6"/>
    <w:rsid w:val="59513E7A"/>
    <w:rsid w:val="595219A0"/>
    <w:rsid w:val="59545718"/>
    <w:rsid w:val="595474C6"/>
    <w:rsid w:val="5955323E"/>
    <w:rsid w:val="595C79E9"/>
    <w:rsid w:val="595E0345"/>
    <w:rsid w:val="595F65EA"/>
    <w:rsid w:val="59605E6B"/>
    <w:rsid w:val="59611BE3"/>
    <w:rsid w:val="59613991"/>
    <w:rsid w:val="59633BAD"/>
    <w:rsid w:val="5963595B"/>
    <w:rsid w:val="59635E70"/>
    <w:rsid w:val="59660CF9"/>
    <w:rsid w:val="5966366C"/>
    <w:rsid w:val="596671F9"/>
    <w:rsid w:val="596C2A61"/>
    <w:rsid w:val="596D4A2C"/>
    <w:rsid w:val="596F471E"/>
    <w:rsid w:val="59704E92"/>
    <w:rsid w:val="59730786"/>
    <w:rsid w:val="59747B68"/>
    <w:rsid w:val="597638E0"/>
    <w:rsid w:val="5976568E"/>
    <w:rsid w:val="597745F1"/>
    <w:rsid w:val="59777658"/>
    <w:rsid w:val="597808DF"/>
    <w:rsid w:val="59782AEE"/>
    <w:rsid w:val="597C07CB"/>
    <w:rsid w:val="59822285"/>
    <w:rsid w:val="59827FC3"/>
    <w:rsid w:val="59831B59"/>
    <w:rsid w:val="59837DAB"/>
    <w:rsid w:val="59853B23"/>
    <w:rsid w:val="598952C5"/>
    <w:rsid w:val="598B3EF7"/>
    <w:rsid w:val="598C4EB2"/>
    <w:rsid w:val="598D4786"/>
    <w:rsid w:val="598E7CA7"/>
    <w:rsid w:val="598F04FE"/>
    <w:rsid w:val="598F3D08"/>
    <w:rsid w:val="5991071A"/>
    <w:rsid w:val="59914276"/>
    <w:rsid w:val="59941AC5"/>
    <w:rsid w:val="59943D66"/>
    <w:rsid w:val="5996188C"/>
    <w:rsid w:val="5998392A"/>
    <w:rsid w:val="5999137D"/>
    <w:rsid w:val="59995821"/>
    <w:rsid w:val="599C2C1B"/>
    <w:rsid w:val="599D70BF"/>
    <w:rsid w:val="599E4BE5"/>
    <w:rsid w:val="599E6993"/>
    <w:rsid w:val="599F1DFF"/>
    <w:rsid w:val="59A044B9"/>
    <w:rsid w:val="59A26483"/>
    <w:rsid w:val="59A33FA9"/>
    <w:rsid w:val="59A401E1"/>
    <w:rsid w:val="59A41ECD"/>
    <w:rsid w:val="59A435EF"/>
    <w:rsid w:val="59A85A64"/>
    <w:rsid w:val="59AA358A"/>
    <w:rsid w:val="59AC5554"/>
    <w:rsid w:val="59AD46C0"/>
    <w:rsid w:val="59AF6DF2"/>
    <w:rsid w:val="59B2243E"/>
    <w:rsid w:val="59B241EC"/>
    <w:rsid w:val="59B30690"/>
    <w:rsid w:val="59B368E2"/>
    <w:rsid w:val="59B44408"/>
    <w:rsid w:val="59B61F2F"/>
    <w:rsid w:val="59B63CDD"/>
    <w:rsid w:val="59B66EB3"/>
    <w:rsid w:val="59B91A1F"/>
    <w:rsid w:val="59B937CD"/>
    <w:rsid w:val="59BD32BD"/>
    <w:rsid w:val="59BD6D86"/>
    <w:rsid w:val="59C06909"/>
    <w:rsid w:val="59C3464B"/>
    <w:rsid w:val="59C363FA"/>
    <w:rsid w:val="59C503C4"/>
    <w:rsid w:val="59C53DD7"/>
    <w:rsid w:val="59C81C62"/>
    <w:rsid w:val="59C83E99"/>
    <w:rsid w:val="59CA7788"/>
    <w:rsid w:val="59CD1026"/>
    <w:rsid w:val="59CE0975"/>
    <w:rsid w:val="59CE54CA"/>
    <w:rsid w:val="59CF65CA"/>
    <w:rsid w:val="59D2663D"/>
    <w:rsid w:val="59D2668C"/>
    <w:rsid w:val="59D800F7"/>
    <w:rsid w:val="59D81EA5"/>
    <w:rsid w:val="59D95C1D"/>
    <w:rsid w:val="59D979CB"/>
    <w:rsid w:val="59DB1995"/>
    <w:rsid w:val="59DB4125"/>
    <w:rsid w:val="59DD74BB"/>
    <w:rsid w:val="59DF76D7"/>
    <w:rsid w:val="59E00D5A"/>
    <w:rsid w:val="59E22D24"/>
    <w:rsid w:val="59E3084A"/>
    <w:rsid w:val="59E30AA1"/>
    <w:rsid w:val="59E44CEE"/>
    <w:rsid w:val="59E56370"/>
    <w:rsid w:val="59E711F8"/>
    <w:rsid w:val="59E7658C"/>
    <w:rsid w:val="59E94913"/>
    <w:rsid w:val="59EA1BD8"/>
    <w:rsid w:val="59EA607C"/>
    <w:rsid w:val="59EA7E2A"/>
    <w:rsid w:val="59F11964"/>
    <w:rsid w:val="59F14D15"/>
    <w:rsid w:val="59F36CDF"/>
    <w:rsid w:val="59F42A57"/>
    <w:rsid w:val="59F44805"/>
    <w:rsid w:val="59F52EB6"/>
    <w:rsid w:val="59F82547"/>
    <w:rsid w:val="59F842F5"/>
    <w:rsid w:val="59FB2037"/>
    <w:rsid w:val="5A0013FC"/>
    <w:rsid w:val="5A0053F8"/>
    <w:rsid w:val="5A026F22"/>
    <w:rsid w:val="5A0802B0"/>
    <w:rsid w:val="5A094754"/>
    <w:rsid w:val="5A096502"/>
    <w:rsid w:val="5A0A04CC"/>
    <w:rsid w:val="5A0A227A"/>
    <w:rsid w:val="5A0C7CAD"/>
    <w:rsid w:val="5A0F163F"/>
    <w:rsid w:val="5A0F6D01"/>
    <w:rsid w:val="5A0F7891"/>
    <w:rsid w:val="5A113609"/>
    <w:rsid w:val="5A131C45"/>
    <w:rsid w:val="5A132EDD"/>
    <w:rsid w:val="5A144EA7"/>
    <w:rsid w:val="5A146C55"/>
    <w:rsid w:val="5A171214"/>
    <w:rsid w:val="5A1804F3"/>
    <w:rsid w:val="5A18180B"/>
    <w:rsid w:val="5A186745"/>
    <w:rsid w:val="5A1B4488"/>
    <w:rsid w:val="5A1B7FE4"/>
    <w:rsid w:val="5A1D1FAE"/>
    <w:rsid w:val="5A1E1882"/>
    <w:rsid w:val="5A1F5D26"/>
    <w:rsid w:val="5A1F7AD4"/>
    <w:rsid w:val="5A2055FA"/>
    <w:rsid w:val="5A2275C4"/>
    <w:rsid w:val="5A2309DB"/>
    <w:rsid w:val="5A24333C"/>
    <w:rsid w:val="5A274D1D"/>
    <w:rsid w:val="5A2A46CB"/>
    <w:rsid w:val="5A2C0443"/>
    <w:rsid w:val="5A2C21F1"/>
    <w:rsid w:val="5A2C5B56"/>
    <w:rsid w:val="5A2E7D17"/>
    <w:rsid w:val="5A30765B"/>
    <w:rsid w:val="5A3317D1"/>
    <w:rsid w:val="5A366BCB"/>
    <w:rsid w:val="5A372C69"/>
    <w:rsid w:val="5A382944"/>
    <w:rsid w:val="5A3966BC"/>
    <w:rsid w:val="5A3A2B60"/>
    <w:rsid w:val="5A3A490E"/>
    <w:rsid w:val="5A3B68D8"/>
    <w:rsid w:val="5A3E3CD2"/>
    <w:rsid w:val="5A3F3FCC"/>
    <w:rsid w:val="5A403EEE"/>
    <w:rsid w:val="5A47527D"/>
    <w:rsid w:val="5A497C4F"/>
    <w:rsid w:val="5A4B6B1B"/>
    <w:rsid w:val="5A4C39FF"/>
    <w:rsid w:val="5A4C63EF"/>
    <w:rsid w:val="5A4E03B9"/>
    <w:rsid w:val="5A4E2167"/>
    <w:rsid w:val="5A4F7C8D"/>
    <w:rsid w:val="5A502380"/>
    <w:rsid w:val="5A503810"/>
    <w:rsid w:val="5A511C57"/>
    <w:rsid w:val="5A513A05"/>
    <w:rsid w:val="5A533C21"/>
    <w:rsid w:val="5A5359CF"/>
    <w:rsid w:val="5A56101C"/>
    <w:rsid w:val="5A56726E"/>
    <w:rsid w:val="5A571057"/>
    <w:rsid w:val="5A581238"/>
    <w:rsid w:val="5A591BD7"/>
    <w:rsid w:val="5A5B2AD6"/>
    <w:rsid w:val="5A5E5E14"/>
    <w:rsid w:val="5A5F6122"/>
    <w:rsid w:val="5A601E9A"/>
    <w:rsid w:val="5A61633E"/>
    <w:rsid w:val="5A625C12"/>
    <w:rsid w:val="5A643739"/>
    <w:rsid w:val="5A647BDD"/>
    <w:rsid w:val="5A663955"/>
    <w:rsid w:val="5A673229"/>
    <w:rsid w:val="5A690D4F"/>
    <w:rsid w:val="5A6951F3"/>
    <w:rsid w:val="5A696FA1"/>
    <w:rsid w:val="5A6A4571"/>
    <w:rsid w:val="5A6A4AC7"/>
    <w:rsid w:val="5A6A798B"/>
    <w:rsid w:val="5A6C083F"/>
    <w:rsid w:val="5A6C6A91"/>
    <w:rsid w:val="5A6D4479"/>
    <w:rsid w:val="5A6D7CB2"/>
    <w:rsid w:val="5A6F03CD"/>
    <w:rsid w:val="5A6F20DD"/>
    <w:rsid w:val="5A6F322D"/>
    <w:rsid w:val="5A715E56"/>
    <w:rsid w:val="5A7476F4"/>
    <w:rsid w:val="5A751DEA"/>
    <w:rsid w:val="5A7A11AE"/>
    <w:rsid w:val="5A7C4F26"/>
    <w:rsid w:val="5A7D2A4C"/>
    <w:rsid w:val="5A7D47FA"/>
    <w:rsid w:val="5A7D69C6"/>
    <w:rsid w:val="5A7F0572"/>
    <w:rsid w:val="5A7F4A16"/>
    <w:rsid w:val="5A7F67C4"/>
    <w:rsid w:val="5A81078E"/>
    <w:rsid w:val="5A84202D"/>
    <w:rsid w:val="5A843DDB"/>
    <w:rsid w:val="5A851901"/>
    <w:rsid w:val="5A865020"/>
    <w:rsid w:val="5A865DA5"/>
    <w:rsid w:val="5A871B1D"/>
    <w:rsid w:val="5A875679"/>
    <w:rsid w:val="5A89132E"/>
    <w:rsid w:val="5A8913F1"/>
    <w:rsid w:val="5A89377C"/>
    <w:rsid w:val="5A8A6572"/>
    <w:rsid w:val="5A8A6DCB"/>
    <w:rsid w:val="5A8B33BB"/>
    <w:rsid w:val="5A8B4E31"/>
    <w:rsid w:val="5A8C0EE1"/>
    <w:rsid w:val="5A8C2C8F"/>
    <w:rsid w:val="5A8C7845"/>
    <w:rsid w:val="5A8E07B6"/>
    <w:rsid w:val="5A8E4C59"/>
    <w:rsid w:val="5A9009D2"/>
    <w:rsid w:val="5A9102A6"/>
    <w:rsid w:val="5A9261C2"/>
    <w:rsid w:val="5A9304C2"/>
    <w:rsid w:val="5A942FC3"/>
    <w:rsid w:val="5A957D96"/>
    <w:rsid w:val="5A963B0E"/>
    <w:rsid w:val="5A971D60"/>
    <w:rsid w:val="5A992006"/>
    <w:rsid w:val="5A9A1850"/>
    <w:rsid w:val="5A9D2736"/>
    <w:rsid w:val="5AA12BDF"/>
    <w:rsid w:val="5AA16D85"/>
    <w:rsid w:val="5AA63D51"/>
    <w:rsid w:val="5AA80549"/>
    <w:rsid w:val="5AAC3332"/>
    <w:rsid w:val="5AAD1584"/>
    <w:rsid w:val="5AB02E22"/>
    <w:rsid w:val="5AB0697E"/>
    <w:rsid w:val="5AB10D16"/>
    <w:rsid w:val="5AB126F6"/>
    <w:rsid w:val="5AB26B9A"/>
    <w:rsid w:val="5AB31651"/>
    <w:rsid w:val="5AB32912"/>
    <w:rsid w:val="5AB346C0"/>
    <w:rsid w:val="5AB82170"/>
    <w:rsid w:val="5AB87F28"/>
    <w:rsid w:val="5ABA3CA0"/>
    <w:rsid w:val="5ABA5A4E"/>
    <w:rsid w:val="5ABB5323"/>
    <w:rsid w:val="5ABC3575"/>
    <w:rsid w:val="5ABF3065"/>
    <w:rsid w:val="5ABF4E13"/>
    <w:rsid w:val="5AC02939"/>
    <w:rsid w:val="5AC051B0"/>
    <w:rsid w:val="5AC10B8B"/>
    <w:rsid w:val="5AC226A1"/>
    <w:rsid w:val="5AC42429"/>
    <w:rsid w:val="5AC468CD"/>
    <w:rsid w:val="5AC72DCD"/>
    <w:rsid w:val="5ACA1CC9"/>
    <w:rsid w:val="5ACB22C3"/>
    <w:rsid w:val="5ACE5056"/>
    <w:rsid w:val="5AD07020"/>
    <w:rsid w:val="5AD54636"/>
    <w:rsid w:val="5AD703AE"/>
    <w:rsid w:val="5ADA39FB"/>
    <w:rsid w:val="5ADC5E19"/>
    <w:rsid w:val="5ADE7A0E"/>
    <w:rsid w:val="5ADF54B5"/>
    <w:rsid w:val="5AE1122D"/>
    <w:rsid w:val="5AE12FDB"/>
    <w:rsid w:val="5AE14D89"/>
    <w:rsid w:val="5AE20B01"/>
    <w:rsid w:val="5AE21C8B"/>
    <w:rsid w:val="5AE40D1D"/>
    <w:rsid w:val="5AE66844"/>
    <w:rsid w:val="5AE85938"/>
    <w:rsid w:val="5AE900E2"/>
    <w:rsid w:val="5AE96334"/>
    <w:rsid w:val="5AEB0587"/>
    <w:rsid w:val="5AEB3E5A"/>
    <w:rsid w:val="5AEB5C08"/>
    <w:rsid w:val="5AED5471"/>
    <w:rsid w:val="5AEE394A"/>
    <w:rsid w:val="5AF076C2"/>
    <w:rsid w:val="5AF153C1"/>
    <w:rsid w:val="5AF34ABD"/>
    <w:rsid w:val="5AF50835"/>
    <w:rsid w:val="5AF54CD9"/>
    <w:rsid w:val="5AF55530"/>
    <w:rsid w:val="5AF56A87"/>
    <w:rsid w:val="5AF80325"/>
    <w:rsid w:val="5AFA5E4B"/>
    <w:rsid w:val="5AFA67C7"/>
    <w:rsid w:val="5AFA7F12"/>
    <w:rsid w:val="5AFB7D2F"/>
    <w:rsid w:val="5AFC1BC3"/>
    <w:rsid w:val="5AFC2CAA"/>
    <w:rsid w:val="5B006EFC"/>
    <w:rsid w:val="5B01542B"/>
    <w:rsid w:val="5B022F52"/>
    <w:rsid w:val="5B034190"/>
    <w:rsid w:val="5B042454"/>
    <w:rsid w:val="5B062A42"/>
    <w:rsid w:val="5B0647F0"/>
    <w:rsid w:val="5B0942E0"/>
    <w:rsid w:val="5B0B0058"/>
    <w:rsid w:val="5B0B44FC"/>
    <w:rsid w:val="5B0B62AA"/>
    <w:rsid w:val="5B0D2022"/>
    <w:rsid w:val="5B0D5B7E"/>
    <w:rsid w:val="5B0E60D7"/>
    <w:rsid w:val="5B0E7B48"/>
    <w:rsid w:val="5B12588A"/>
    <w:rsid w:val="5B1533D9"/>
    <w:rsid w:val="5B155FAA"/>
    <w:rsid w:val="5B1653BF"/>
    <w:rsid w:val="5B1708CA"/>
    <w:rsid w:val="5B174C4F"/>
    <w:rsid w:val="5B184523"/>
    <w:rsid w:val="5B1C04B7"/>
    <w:rsid w:val="5B1C2A1D"/>
    <w:rsid w:val="5B1E607B"/>
    <w:rsid w:val="5B1E7D8B"/>
    <w:rsid w:val="5B1F58B2"/>
    <w:rsid w:val="5B207260"/>
    <w:rsid w:val="5B207980"/>
    <w:rsid w:val="5B24111A"/>
    <w:rsid w:val="5B242EC8"/>
    <w:rsid w:val="5B280C0A"/>
    <w:rsid w:val="5B2A416F"/>
    <w:rsid w:val="5B2B2F4C"/>
    <w:rsid w:val="5B2D7FCE"/>
    <w:rsid w:val="5B2F1F99"/>
    <w:rsid w:val="5B2F5EDC"/>
    <w:rsid w:val="5B347DF2"/>
    <w:rsid w:val="5B351579"/>
    <w:rsid w:val="5B3752F1"/>
    <w:rsid w:val="5B394BC5"/>
    <w:rsid w:val="5B395400"/>
    <w:rsid w:val="5B3A26EB"/>
    <w:rsid w:val="5B3B50F4"/>
    <w:rsid w:val="5B3C1155"/>
    <w:rsid w:val="5B3C46B5"/>
    <w:rsid w:val="5B3C4B1C"/>
    <w:rsid w:val="5B3E042E"/>
    <w:rsid w:val="5B4041A6"/>
    <w:rsid w:val="5B406354"/>
    <w:rsid w:val="5B411CCC"/>
    <w:rsid w:val="5B4127FC"/>
    <w:rsid w:val="5B413A7A"/>
    <w:rsid w:val="5B4223F6"/>
    <w:rsid w:val="5B4377F2"/>
    <w:rsid w:val="5B465534"/>
    <w:rsid w:val="5B48305A"/>
    <w:rsid w:val="5B484E08"/>
    <w:rsid w:val="5B4A6DD2"/>
    <w:rsid w:val="5B4F263B"/>
    <w:rsid w:val="5B500161"/>
    <w:rsid w:val="5B503CBD"/>
    <w:rsid w:val="5B515E3D"/>
    <w:rsid w:val="5B5714EF"/>
    <w:rsid w:val="5B57329D"/>
    <w:rsid w:val="5B575D5D"/>
    <w:rsid w:val="5B595267"/>
    <w:rsid w:val="5B597015"/>
    <w:rsid w:val="5B5A4B3C"/>
    <w:rsid w:val="5B5C727B"/>
    <w:rsid w:val="5B5F2152"/>
    <w:rsid w:val="5B652F32"/>
    <w:rsid w:val="5B657D8E"/>
    <w:rsid w:val="5B6854AA"/>
    <w:rsid w:val="5B687259"/>
    <w:rsid w:val="5B694D7F"/>
    <w:rsid w:val="5B6A1223"/>
    <w:rsid w:val="5B6B4F9B"/>
    <w:rsid w:val="5B6B6D49"/>
    <w:rsid w:val="5B6C5663"/>
    <w:rsid w:val="5B6D0D13"/>
    <w:rsid w:val="5B6D486F"/>
    <w:rsid w:val="5B7065CB"/>
    <w:rsid w:val="5B7200D7"/>
    <w:rsid w:val="5B721E85"/>
    <w:rsid w:val="5B7420A1"/>
    <w:rsid w:val="5B743E4F"/>
    <w:rsid w:val="5B765E19"/>
    <w:rsid w:val="5B767BC7"/>
    <w:rsid w:val="5B77749C"/>
    <w:rsid w:val="5B783C06"/>
    <w:rsid w:val="5B7D5DE9"/>
    <w:rsid w:val="5B7F45A2"/>
    <w:rsid w:val="5B827889"/>
    <w:rsid w:val="5B841BB9"/>
    <w:rsid w:val="5B85620A"/>
    <w:rsid w:val="5B863B83"/>
    <w:rsid w:val="5B8B37BD"/>
    <w:rsid w:val="5B8C73EB"/>
    <w:rsid w:val="5B8D4F11"/>
    <w:rsid w:val="5B8D6CBF"/>
    <w:rsid w:val="5B8E48E6"/>
    <w:rsid w:val="5B8E5344"/>
    <w:rsid w:val="5B8F1E8D"/>
    <w:rsid w:val="5B8F2A37"/>
    <w:rsid w:val="5B8F6EDB"/>
    <w:rsid w:val="5B90055D"/>
    <w:rsid w:val="5B92737E"/>
    <w:rsid w:val="5B9462A0"/>
    <w:rsid w:val="5B962018"/>
    <w:rsid w:val="5B977B3E"/>
    <w:rsid w:val="5B9938B6"/>
    <w:rsid w:val="5B9C33A6"/>
    <w:rsid w:val="5B9E0ECC"/>
    <w:rsid w:val="5B9E2C7A"/>
    <w:rsid w:val="5B9F78DC"/>
    <w:rsid w:val="5BA047C5"/>
    <w:rsid w:val="5BA22F24"/>
    <w:rsid w:val="5BA67D81"/>
    <w:rsid w:val="5BA74225"/>
    <w:rsid w:val="5BAA5AC3"/>
    <w:rsid w:val="5BAB43DA"/>
    <w:rsid w:val="5BAD110F"/>
    <w:rsid w:val="5BAF6C35"/>
    <w:rsid w:val="5BB029AE"/>
    <w:rsid w:val="5BB10BFF"/>
    <w:rsid w:val="5BB13D97"/>
    <w:rsid w:val="5BB16E51"/>
    <w:rsid w:val="5BB24978"/>
    <w:rsid w:val="5BB26726"/>
    <w:rsid w:val="5BB46942"/>
    <w:rsid w:val="5BB56F7B"/>
    <w:rsid w:val="5BB57237"/>
    <w:rsid w:val="5BB66216"/>
    <w:rsid w:val="5BB701E0"/>
    <w:rsid w:val="5BB97AB4"/>
    <w:rsid w:val="5BBA55DA"/>
    <w:rsid w:val="5BC052E6"/>
    <w:rsid w:val="5BC07095"/>
    <w:rsid w:val="5BC3428D"/>
    <w:rsid w:val="5BC528FD"/>
    <w:rsid w:val="5BC546AB"/>
    <w:rsid w:val="5BC56459"/>
    <w:rsid w:val="5BC80B8E"/>
    <w:rsid w:val="5BC85F49"/>
    <w:rsid w:val="5BCD355F"/>
    <w:rsid w:val="5BCD4A00"/>
    <w:rsid w:val="5BCE181A"/>
    <w:rsid w:val="5BCF0AD5"/>
    <w:rsid w:val="5BCF1086"/>
    <w:rsid w:val="5BCF552A"/>
    <w:rsid w:val="5BD14DFE"/>
    <w:rsid w:val="5BD20B76"/>
    <w:rsid w:val="5BD62414"/>
    <w:rsid w:val="5BD743DE"/>
    <w:rsid w:val="5BD90156"/>
    <w:rsid w:val="5BDB3ECE"/>
    <w:rsid w:val="5BDB5C7C"/>
    <w:rsid w:val="5BDC37A3"/>
    <w:rsid w:val="5BE30FD5"/>
    <w:rsid w:val="5BE66175"/>
    <w:rsid w:val="5BE70AC5"/>
    <w:rsid w:val="5BE72873"/>
    <w:rsid w:val="5BE80399"/>
    <w:rsid w:val="5BED3C02"/>
    <w:rsid w:val="5BED59B0"/>
    <w:rsid w:val="5BEF1728"/>
    <w:rsid w:val="5BEF34D6"/>
    <w:rsid w:val="5BF136F2"/>
    <w:rsid w:val="5BF13808"/>
    <w:rsid w:val="5BF166BD"/>
    <w:rsid w:val="5BF40AEC"/>
    <w:rsid w:val="5BF44F90"/>
    <w:rsid w:val="5BF60D08"/>
    <w:rsid w:val="5BF8682E"/>
    <w:rsid w:val="5BF907F8"/>
    <w:rsid w:val="5BFB00CD"/>
    <w:rsid w:val="5BFB1E7B"/>
    <w:rsid w:val="5BFC2075"/>
    <w:rsid w:val="5BFE5E0F"/>
    <w:rsid w:val="5C001B87"/>
    <w:rsid w:val="5C0056E3"/>
    <w:rsid w:val="5C010D1F"/>
    <w:rsid w:val="5C013209"/>
    <w:rsid w:val="5C0138F0"/>
    <w:rsid w:val="5C0276AD"/>
    <w:rsid w:val="5C052CF9"/>
    <w:rsid w:val="5C07081F"/>
    <w:rsid w:val="5C076A71"/>
    <w:rsid w:val="5C0827EA"/>
    <w:rsid w:val="5C092082"/>
    <w:rsid w:val="5C0A47B4"/>
    <w:rsid w:val="5C0A5D95"/>
    <w:rsid w:val="5C0F3B78"/>
    <w:rsid w:val="5C0F5926"/>
    <w:rsid w:val="5C1218C1"/>
    <w:rsid w:val="5C121CA4"/>
    <w:rsid w:val="5C1318BA"/>
    <w:rsid w:val="5C134471"/>
    <w:rsid w:val="5C157EE6"/>
    <w:rsid w:val="5C182A2D"/>
    <w:rsid w:val="5C190553"/>
    <w:rsid w:val="5C1B076F"/>
    <w:rsid w:val="5C1B251D"/>
    <w:rsid w:val="5C1B6987"/>
    <w:rsid w:val="5C1D44E7"/>
    <w:rsid w:val="5C207B33"/>
    <w:rsid w:val="5C2313D1"/>
    <w:rsid w:val="5C245875"/>
    <w:rsid w:val="5C25514A"/>
    <w:rsid w:val="5C270EC2"/>
    <w:rsid w:val="5C272C70"/>
    <w:rsid w:val="5C295359"/>
    <w:rsid w:val="5C2B7692"/>
    <w:rsid w:val="5C2C0286"/>
    <w:rsid w:val="5C2C64D8"/>
    <w:rsid w:val="5C2E7D3B"/>
    <w:rsid w:val="5C313AEE"/>
    <w:rsid w:val="5C321615"/>
    <w:rsid w:val="5C335AB8"/>
    <w:rsid w:val="5C341831"/>
    <w:rsid w:val="5C34538D"/>
    <w:rsid w:val="5C357C0E"/>
    <w:rsid w:val="5C361105"/>
    <w:rsid w:val="5C3655A9"/>
    <w:rsid w:val="5C381321"/>
    <w:rsid w:val="5C381F5A"/>
    <w:rsid w:val="5C3929A3"/>
    <w:rsid w:val="5C3A36EF"/>
    <w:rsid w:val="5C3C4F10"/>
    <w:rsid w:val="5C3D06E5"/>
    <w:rsid w:val="5C3D44B6"/>
    <w:rsid w:val="5C3D6937"/>
    <w:rsid w:val="5C3E7FB9"/>
    <w:rsid w:val="5C3F445D"/>
    <w:rsid w:val="5C403D31"/>
    <w:rsid w:val="5C433822"/>
    <w:rsid w:val="5C43431F"/>
    <w:rsid w:val="5C447CC6"/>
    <w:rsid w:val="5C4557EC"/>
    <w:rsid w:val="5C45759A"/>
    <w:rsid w:val="5C471564"/>
    <w:rsid w:val="5C473312"/>
    <w:rsid w:val="5C4834B3"/>
    <w:rsid w:val="5C4837B2"/>
    <w:rsid w:val="5C4A7263"/>
    <w:rsid w:val="5C4C0928"/>
    <w:rsid w:val="5C4C6B7A"/>
    <w:rsid w:val="5C4E644E"/>
    <w:rsid w:val="5C5477DD"/>
    <w:rsid w:val="5C5679F9"/>
    <w:rsid w:val="5C583771"/>
    <w:rsid w:val="5C5B01E8"/>
    <w:rsid w:val="5C5D2B35"/>
    <w:rsid w:val="5C5D48E3"/>
    <w:rsid w:val="5C5F68AD"/>
    <w:rsid w:val="5C6914DA"/>
    <w:rsid w:val="5C6C0FCA"/>
    <w:rsid w:val="5C6C4B26"/>
    <w:rsid w:val="5C6E6AF1"/>
    <w:rsid w:val="5C704374"/>
    <w:rsid w:val="5C71038F"/>
    <w:rsid w:val="5C734186"/>
    <w:rsid w:val="5C7922E1"/>
    <w:rsid w:val="5C794941"/>
    <w:rsid w:val="5C797243"/>
    <w:rsid w:val="5C7A36E7"/>
    <w:rsid w:val="5C7A41F8"/>
    <w:rsid w:val="5C7D31D8"/>
    <w:rsid w:val="5C7E46C1"/>
    <w:rsid w:val="5C7E6153"/>
    <w:rsid w:val="5C7F0CFE"/>
    <w:rsid w:val="5C82259C"/>
    <w:rsid w:val="5C82434A"/>
    <w:rsid w:val="5C8400C2"/>
    <w:rsid w:val="5C846314"/>
    <w:rsid w:val="5C855BE8"/>
    <w:rsid w:val="5C8811F7"/>
    <w:rsid w:val="5C891DD6"/>
    <w:rsid w:val="5C8A1451"/>
    <w:rsid w:val="5C8A31FF"/>
    <w:rsid w:val="5C8C51C9"/>
    <w:rsid w:val="5C8E7193"/>
    <w:rsid w:val="5C8F6A67"/>
    <w:rsid w:val="5C91458D"/>
    <w:rsid w:val="5C936557"/>
    <w:rsid w:val="5C950521"/>
    <w:rsid w:val="5C966047"/>
    <w:rsid w:val="5C981DBF"/>
    <w:rsid w:val="5C9A78E6"/>
    <w:rsid w:val="5C9B567B"/>
    <w:rsid w:val="5C9D7E00"/>
    <w:rsid w:val="5C9F4EFC"/>
    <w:rsid w:val="5CA16EC6"/>
    <w:rsid w:val="5CA442C0"/>
    <w:rsid w:val="5CA5018C"/>
    <w:rsid w:val="5CA70254"/>
    <w:rsid w:val="5CA72002"/>
    <w:rsid w:val="5CA73DB1"/>
    <w:rsid w:val="5CAA564F"/>
    <w:rsid w:val="5CAB5170"/>
    <w:rsid w:val="5CAE3391"/>
    <w:rsid w:val="5CAE513F"/>
    <w:rsid w:val="5CAF2C65"/>
    <w:rsid w:val="5CB00616"/>
    <w:rsid w:val="5CB36BF9"/>
    <w:rsid w:val="5CB52971"/>
    <w:rsid w:val="5CB564CD"/>
    <w:rsid w:val="5CB62246"/>
    <w:rsid w:val="5CB63FF4"/>
    <w:rsid w:val="5CB70498"/>
    <w:rsid w:val="5CB85FBE"/>
    <w:rsid w:val="5CB87D6C"/>
    <w:rsid w:val="5CBB6F91"/>
    <w:rsid w:val="5CBC3D00"/>
    <w:rsid w:val="5CBF734C"/>
    <w:rsid w:val="5CC04E72"/>
    <w:rsid w:val="5CC21F67"/>
    <w:rsid w:val="5CC46711"/>
    <w:rsid w:val="5CC52489"/>
    <w:rsid w:val="5CC64C09"/>
    <w:rsid w:val="5CC73208"/>
    <w:rsid w:val="5CC76201"/>
    <w:rsid w:val="5CC901CB"/>
    <w:rsid w:val="5CCB7A9F"/>
    <w:rsid w:val="5CCE49FF"/>
    <w:rsid w:val="5CD050B5"/>
    <w:rsid w:val="5CD057E7"/>
    <w:rsid w:val="5CD526CC"/>
    <w:rsid w:val="5CD5580C"/>
    <w:rsid w:val="5CD56B70"/>
    <w:rsid w:val="5CD64D27"/>
    <w:rsid w:val="5CD728E8"/>
    <w:rsid w:val="5CD8040E"/>
    <w:rsid w:val="5CDA23D8"/>
    <w:rsid w:val="5CDC1CAC"/>
    <w:rsid w:val="5CDD3C76"/>
    <w:rsid w:val="5CDD6F59"/>
    <w:rsid w:val="5CDD77D2"/>
    <w:rsid w:val="5CDF148F"/>
    <w:rsid w:val="5CE46DB3"/>
    <w:rsid w:val="5CE609DA"/>
    <w:rsid w:val="5CE60D7D"/>
    <w:rsid w:val="5CE84AF5"/>
    <w:rsid w:val="5CEA1173"/>
    <w:rsid w:val="5CEB1EEF"/>
    <w:rsid w:val="5CEB6393"/>
    <w:rsid w:val="5CED6301"/>
    <w:rsid w:val="5CEE19DF"/>
    <w:rsid w:val="5CEE378D"/>
    <w:rsid w:val="5CF07506"/>
    <w:rsid w:val="5CF674C5"/>
    <w:rsid w:val="5CF8460C"/>
    <w:rsid w:val="5CFA0384"/>
    <w:rsid w:val="5CFA6097"/>
    <w:rsid w:val="5CFD1C22"/>
    <w:rsid w:val="5CFE264B"/>
    <w:rsid w:val="5CFF599B"/>
    <w:rsid w:val="5D011713"/>
    <w:rsid w:val="5D041203"/>
    <w:rsid w:val="5D042FB1"/>
    <w:rsid w:val="5D047455"/>
    <w:rsid w:val="5D064F7B"/>
    <w:rsid w:val="5D086F45"/>
    <w:rsid w:val="5D096819"/>
    <w:rsid w:val="5D0C00B7"/>
    <w:rsid w:val="5D0C307D"/>
    <w:rsid w:val="5D0E3E30"/>
    <w:rsid w:val="5D102E8E"/>
    <w:rsid w:val="5D131446"/>
    <w:rsid w:val="5D1551BE"/>
    <w:rsid w:val="5D1721CE"/>
    <w:rsid w:val="5D172CE4"/>
    <w:rsid w:val="5D182D61"/>
    <w:rsid w:val="5D1A27D4"/>
    <w:rsid w:val="5D1D4073"/>
    <w:rsid w:val="5D1F603D"/>
    <w:rsid w:val="5D213B63"/>
    <w:rsid w:val="5D221689"/>
    <w:rsid w:val="5D235B2D"/>
    <w:rsid w:val="5D243653"/>
    <w:rsid w:val="5D245401"/>
    <w:rsid w:val="5D262320"/>
    <w:rsid w:val="5D263C24"/>
    <w:rsid w:val="5D26561D"/>
    <w:rsid w:val="5D2A259D"/>
    <w:rsid w:val="5D2B2C34"/>
    <w:rsid w:val="5D2C42B6"/>
    <w:rsid w:val="5D301FF8"/>
    <w:rsid w:val="5D323FC2"/>
    <w:rsid w:val="5D327B1E"/>
    <w:rsid w:val="5D333896"/>
    <w:rsid w:val="5D335644"/>
    <w:rsid w:val="5D342320"/>
    <w:rsid w:val="5D3476B8"/>
    <w:rsid w:val="5D3513BC"/>
    <w:rsid w:val="5D3970FE"/>
    <w:rsid w:val="5D3C0A1B"/>
    <w:rsid w:val="5D3D64C3"/>
    <w:rsid w:val="5D3F048D"/>
    <w:rsid w:val="5D3F223B"/>
    <w:rsid w:val="5D40739C"/>
    <w:rsid w:val="5D414205"/>
    <w:rsid w:val="5D415FB3"/>
    <w:rsid w:val="5D42488D"/>
    <w:rsid w:val="5D430142"/>
    <w:rsid w:val="5D437F7D"/>
    <w:rsid w:val="5D465377"/>
    <w:rsid w:val="5D477C5D"/>
    <w:rsid w:val="5D494E68"/>
    <w:rsid w:val="5D4A130C"/>
    <w:rsid w:val="5D4D2BAA"/>
    <w:rsid w:val="5D4D4958"/>
    <w:rsid w:val="5D4E06D0"/>
    <w:rsid w:val="5D4F42C0"/>
    <w:rsid w:val="5D5020B4"/>
    <w:rsid w:val="5D577585"/>
    <w:rsid w:val="5D5B70A6"/>
    <w:rsid w:val="5D5C103F"/>
    <w:rsid w:val="5D5E0913"/>
    <w:rsid w:val="5D5F5DF3"/>
    <w:rsid w:val="5D600B2F"/>
    <w:rsid w:val="5D63417B"/>
    <w:rsid w:val="5D647EF4"/>
    <w:rsid w:val="5D662547"/>
    <w:rsid w:val="5D665A1A"/>
    <w:rsid w:val="5D681792"/>
    <w:rsid w:val="5D69550A"/>
    <w:rsid w:val="5D6E48CE"/>
    <w:rsid w:val="5D706898"/>
    <w:rsid w:val="5D722610"/>
    <w:rsid w:val="5D7336BB"/>
    <w:rsid w:val="5D752101"/>
    <w:rsid w:val="5D754F21"/>
    <w:rsid w:val="5D7551E4"/>
    <w:rsid w:val="5D755C5D"/>
    <w:rsid w:val="5D79752D"/>
    <w:rsid w:val="5D7A14C5"/>
    <w:rsid w:val="5D7A3273"/>
    <w:rsid w:val="5D7C523D"/>
    <w:rsid w:val="5D7E0FB5"/>
    <w:rsid w:val="5D7E2D63"/>
    <w:rsid w:val="5D7F339F"/>
    <w:rsid w:val="5D7F6ADB"/>
    <w:rsid w:val="5D804D2D"/>
    <w:rsid w:val="5D8440F2"/>
    <w:rsid w:val="5D850596"/>
    <w:rsid w:val="5D8660BC"/>
    <w:rsid w:val="5D883BE2"/>
    <w:rsid w:val="5D8C59A3"/>
    <w:rsid w:val="5D8E1363"/>
    <w:rsid w:val="5D8F31C2"/>
    <w:rsid w:val="5D8F4F70"/>
    <w:rsid w:val="5D902A97"/>
    <w:rsid w:val="5D92046B"/>
    <w:rsid w:val="5D9205BD"/>
    <w:rsid w:val="5D9407D9"/>
    <w:rsid w:val="5D944335"/>
    <w:rsid w:val="5D9562FF"/>
    <w:rsid w:val="5D9A150F"/>
    <w:rsid w:val="5D9A2CAA"/>
    <w:rsid w:val="5D9A3915"/>
    <w:rsid w:val="5D9D51E6"/>
    <w:rsid w:val="5D9E6F62"/>
    <w:rsid w:val="5D9F1247"/>
    <w:rsid w:val="5DA12EF6"/>
    <w:rsid w:val="5DA36C6E"/>
    <w:rsid w:val="5DA6050C"/>
    <w:rsid w:val="5DA87DE0"/>
    <w:rsid w:val="5DAA7FFC"/>
    <w:rsid w:val="5DAB167E"/>
    <w:rsid w:val="5DAB78D0"/>
    <w:rsid w:val="5DAD189A"/>
    <w:rsid w:val="5DAF5613"/>
    <w:rsid w:val="5DB06C95"/>
    <w:rsid w:val="5DB073BD"/>
    <w:rsid w:val="5DB1622D"/>
    <w:rsid w:val="5DB26D32"/>
    <w:rsid w:val="5DB26EB1"/>
    <w:rsid w:val="5DB6074F"/>
    <w:rsid w:val="5DB669A1"/>
    <w:rsid w:val="5DB70023"/>
    <w:rsid w:val="5DB76275"/>
    <w:rsid w:val="5DB93D9B"/>
    <w:rsid w:val="5DBA5E4F"/>
    <w:rsid w:val="5DBB3FB7"/>
    <w:rsid w:val="5DBE321D"/>
    <w:rsid w:val="5DBE5856"/>
    <w:rsid w:val="5DC13151"/>
    <w:rsid w:val="5DC170F4"/>
    <w:rsid w:val="5DC21AC7"/>
    <w:rsid w:val="5DC50992"/>
    <w:rsid w:val="5DC7295C"/>
    <w:rsid w:val="5DCB1D21"/>
    <w:rsid w:val="5DCD3CEB"/>
    <w:rsid w:val="5DCD5A99"/>
    <w:rsid w:val="5DCF35BF"/>
    <w:rsid w:val="5DD13320"/>
    <w:rsid w:val="5DD26CE9"/>
    <w:rsid w:val="5DD369F6"/>
    <w:rsid w:val="5DD5494D"/>
    <w:rsid w:val="5DD706C5"/>
    <w:rsid w:val="5DD72473"/>
    <w:rsid w:val="5DD92690"/>
    <w:rsid w:val="5DDC3F2E"/>
    <w:rsid w:val="5DDE1A54"/>
    <w:rsid w:val="5DE27796"/>
    <w:rsid w:val="5DE54B90"/>
    <w:rsid w:val="5DE63E66"/>
    <w:rsid w:val="5DEA03F9"/>
    <w:rsid w:val="5DEA21A7"/>
    <w:rsid w:val="5DEB4C7D"/>
    <w:rsid w:val="5DEC3D75"/>
    <w:rsid w:val="5DED613B"/>
    <w:rsid w:val="5DEE2AD4"/>
    <w:rsid w:val="5DF11787"/>
    <w:rsid w:val="5DF179D9"/>
    <w:rsid w:val="5DF23751"/>
    <w:rsid w:val="5DF41277"/>
    <w:rsid w:val="5DF72B16"/>
    <w:rsid w:val="5DF748C4"/>
    <w:rsid w:val="5DF75DF1"/>
    <w:rsid w:val="5DF80F06"/>
    <w:rsid w:val="5DF94AE0"/>
    <w:rsid w:val="5DFC012C"/>
    <w:rsid w:val="5DFE20F6"/>
    <w:rsid w:val="5E000947"/>
    <w:rsid w:val="5E005E6E"/>
    <w:rsid w:val="5E007C1C"/>
    <w:rsid w:val="5E015742"/>
    <w:rsid w:val="5E023994"/>
    <w:rsid w:val="5E027151"/>
    <w:rsid w:val="5E034394"/>
    <w:rsid w:val="5E03770C"/>
    <w:rsid w:val="5E053485"/>
    <w:rsid w:val="5E056FE1"/>
    <w:rsid w:val="5E061034"/>
    <w:rsid w:val="5E08087F"/>
    <w:rsid w:val="5E086AD1"/>
    <w:rsid w:val="5E0A77C1"/>
    <w:rsid w:val="5E0C4813"/>
    <w:rsid w:val="5E0C65C1"/>
    <w:rsid w:val="5E0D2339"/>
    <w:rsid w:val="5E0F1C0D"/>
    <w:rsid w:val="5E106C49"/>
    <w:rsid w:val="5E111569"/>
    <w:rsid w:val="5E113BD7"/>
    <w:rsid w:val="5E145476"/>
    <w:rsid w:val="5E160396"/>
    <w:rsid w:val="5E162F9C"/>
    <w:rsid w:val="5E174F66"/>
    <w:rsid w:val="5E196F30"/>
    <w:rsid w:val="5E1D07CE"/>
    <w:rsid w:val="5E225DE5"/>
    <w:rsid w:val="5E2751A9"/>
    <w:rsid w:val="5E280F21"/>
    <w:rsid w:val="5E282CCF"/>
    <w:rsid w:val="5E295E21"/>
    <w:rsid w:val="5E2B7E24"/>
    <w:rsid w:val="5E2C0A11"/>
    <w:rsid w:val="5E2C6C63"/>
    <w:rsid w:val="5E2D6537"/>
    <w:rsid w:val="5E31427A"/>
    <w:rsid w:val="5E321B48"/>
    <w:rsid w:val="5E323B4E"/>
    <w:rsid w:val="5E3574D4"/>
    <w:rsid w:val="5E360964"/>
    <w:rsid w:val="5E361890"/>
    <w:rsid w:val="5E391380"/>
    <w:rsid w:val="5E3A7034"/>
    <w:rsid w:val="5E3B0C54"/>
    <w:rsid w:val="5E3B1C05"/>
    <w:rsid w:val="5E3B6EA6"/>
    <w:rsid w:val="5E3C5C66"/>
    <w:rsid w:val="5E3D49CC"/>
    <w:rsid w:val="5E3E24F3"/>
    <w:rsid w:val="5E420235"/>
    <w:rsid w:val="5E421FE3"/>
    <w:rsid w:val="5E431B60"/>
    <w:rsid w:val="5E451AD3"/>
    <w:rsid w:val="5E45329D"/>
    <w:rsid w:val="5E473A9D"/>
    <w:rsid w:val="5E49393E"/>
    <w:rsid w:val="5E4A0E97"/>
    <w:rsid w:val="5E4B16FA"/>
    <w:rsid w:val="5E4D2736"/>
    <w:rsid w:val="5E4E4E2C"/>
    <w:rsid w:val="5E4F2952"/>
    <w:rsid w:val="5E51556C"/>
    <w:rsid w:val="5E5166CA"/>
    <w:rsid w:val="5E520847"/>
    <w:rsid w:val="5E525F9E"/>
    <w:rsid w:val="5E53131C"/>
    <w:rsid w:val="5E532442"/>
    <w:rsid w:val="5E547F68"/>
    <w:rsid w:val="5E563CE0"/>
    <w:rsid w:val="5E565A8E"/>
    <w:rsid w:val="5E577EF0"/>
    <w:rsid w:val="5E5A0F96"/>
    <w:rsid w:val="5E5F0DE7"/>
    <w:rsid w:val="5E602469"/>
    <w:rsid w:val="5E60690D"/>
    <w:rsid w:val="5E6122C6"/>
    <w:rsid w:val="5E613920"/>
    <w:rsid w:val="5E6261E1"/>
    <w:rsid w:val="5E6301AB"/>
    <w:rsid w:val="5E6463FD"/>
    <w:rsid w:val="5E653F23"/>
    <w:rsid w:val="5E655CD1"/>
    <w:rsid w:val="5E6737F7"/>
    <w:rsid w:val="5E677C9B"/>
    <w:rsid w:val="5E68756F"/>
    <w:rsid w:val="5E6A153A"/>
    <w:rsid w:val="5E6D1EC3"/>
    <w:rsid w:val="5E734892"/>
    <w:rsid w:val="5E744166"/>
    <w:rsid w:val="5E745F14"/>
    <w:rsid w:val="5E767EDE"/>
    <w:rsid w:val="5E79177D"/>
    <w:rsid w:val="5E79352B"/>
    <w:rsid w:val="5E7A5C21"/>
    <w:rsid w:val="5E7A79CF"/>
    <w:rsid w:val="5E7D301B"/>
    <w:rsid w:val="5E7F4FE5"/>
    <w:rsid w:val="5E800D5D"/>
    <w:rsid w:val="5E803118"/>
    <w:rsid w:val="5E826883"/>
    <w:rsid w:val="5E84084D"/>
    <w:rsid w:val="5E8545C5"/>
    <w:rsid w:val="5E8819C0"/>
    <w:rsid w:val="5E895E64"/>
    <w:rsid w:val="5E8B1BDC"/>
    <w:rsid w:val="5E8B4A81"/>
    <w:rsid w:val="5E8B544C"/>
    <w:rsid w:val="5E8B6B8D"/>
    <w:rsid w:val="5E8C7702"/>
    <w:rsid w:val="5E8F2D4E"/>
    <w:rsid w:val="5E912ACB"/>
    <w:rsid w:val="5E912F6A"/>
    <w:rsid w:val="5E916AC6"/>
    <w:rsid w:val="5E954808"/>
    <w:rsid w:val="5E96232F"/>
    <w:rsid w:val="5E9A1E1F"/>
    <w:rsid w:val="5EA04F5B"/>
    <w:rsid w:val="5EA22A81"/>
    <w:rsid w:val="5EA26944"/>
    <w:rsid w:val="5EA26F25"/>
    <w:rsid w:val="5EA54320"/>
    <w:rsid w:val="5EA860B5"/>
    <w:rsid w:val="5EA93E10"/>
    <w:rsid w:val="5EAA5DDA"/>
    <w:rsid w:val="5EAB402C"/>
    <w:rsid w:val="5EAC3900"/>
    <w:rsid w:val="5EAD7356"/>
    <w:rsid w:val="5EAE7678"/>
    <w:rsid w:val="5EB00087"/>
    <w:rsid w:val="5EB033F0"/>
    <w:rsid w:val="5EB03DEE"/>
    <w:rsid w:val="5EB16DF2"/>
    <w:rsid w:val="5EB34C8F"/>
    <w:rsid w:val="5EB44658"/>
    <w:rsid w:val="5EB558FD"/>
    <w:rsid w:val="5EB629D1"/>
    <w:rsid w:val="5EB6652D"/>
    <w:rsid w:val="5EB72FD9"/>
    <w:rsid w:val="5EB804F7"/>
    <w:rsid w:val="5EB8489D"/>
    <w:rsid w:val="5EBA601D"/>
    <w:rsid w:val="5EBB1D95"/>
    <w:rsid w:val="5EBB7FE7"/>
    <w:rsid w:val="5EBD5B0D"/>
    <w:rsid w:val="5EBF6905"/>
    <w:rsid w:val="5EC073AC"/>
    <w:rsid w:val="5EC23124"/>
    <w:rsid w:val="5EC24ED2"/>
    <w:rsid w:val="5EC450EE"/>
    <w:rsid w:val="5EC46E9C"/>
    <w:rsid w:val="5EC944B2"/>
    <w:rsid w:val="5ECB022A"/>
    <w:rsid w:val="5ECC3FA2"/>
    <w:rsid w:val="5ECE1AC8"/>
    <w:rsid w:val="5ECE551D"/>
    <w:rsid w:val="5ECF68B0"/>
    <w:rsid w:val="5ED11953"/>
    <w:rsid w:val="5ED13367"/>
    <w:rsid w:val="5ED52E57"/>
    <w:rsid w:val="5ED725C3"/>
    <w:rsid w:val="5ED82947"/>
    <w:rsid w:val="5ED83A53"/>
    <w:rsid w:val="5ED846F5"/>
    <w:rsid w:val="5ED864A3"/>
    <w:rsid w:val="5EDA046D"/>
    <w:rsid w:val="5EDA6373"/>
    <w:rsid w:val="5EDB41E5"/>
    <w:rsid w:val="5EDC2437"/>
    <w:rsid w:val="5EDD7F5D"/>
    <w:rsid w:val="5EDE0D55"/>
    <w:rsid w:val="5EDE53BC"/>
    <w:rsid w:val="5EDF3CD6"/>
    <w:rsid w:val="5EE04DB6"/>
    <w:rsid w:val="5EE25574"/>
    <w:rsid w:val="5EE27322"/>
    <w:rsid w:val="5EE276D6"/>
    <w:rsid w:val="5EE44E48"/>
    <w:rsid w:val="5EE44F66"/>
    <w:rsid w:val="5EE65064"/>
    <w:rsid w:val="5EE66E12"/>
    <w:rsid w:val="5EE70DDC"/>
    <w:rsid w:val="5EEB267A"/>
    <w:rsid w:val="5EEB4428"/>
    <w:rsid w:val="5EED73BA"/>
    <w:rsid w:val="5EF157B7"/>
    <w:rsid w:val="5EF37781"/>
    <w:rsid w:val="5EF41EF5"/>
    <w:rsid w:val="5EF52F7B"/>
    <w:rsid w:val="5EF560ED"/>
    <w:rsid w:val="5EF57055"/>
    <w:rsid w:val="5EF61C4D"/>
    <w:rsid w:val="5EF86B45"/>
    <w:rsid w:val="5EFA466C"/>
    <w:rsid w:val="5EFC4888"/>
    <w:rsid w:val="5EFC6636"/>
    <w:rsid w:val="5EFD0600"/>
    <w:rsid w:val="5EFF7ED4"/>
    <w:rsid w:val="5F021772"/>
    <w:rsid w:val="5F053F00"/>
    <w:rsid w:val="5F08322C"/>
    <w:rsid w:val="5F096FA4"/>
    <w:rsid w:val="5F0E0117"/>
    <w:rsid w:val="5F0E45BB"/>
    <w:rsid w:val="5F0F66F3"/>
    <w:rsid w:val="5F1020E1"/>
    <w:rsid w:val="5F103E8F"/>
    <w:rsid w:val="5F1267B5"/>
    <w:rsid w:val="5F131BD1"/>
    <w:rsid w:val="5F13397F"/>
    <w:rsid w:val="5F1514A5"/>
    <w:rsid w:val="5F155949"/>
    <w:rsid w:val="5F163E40"/>
    <w:rsid w:val="5F180F96"/>
    <w:rsid w:val="5F1A4DAA"/>
    <w:rsid w:val="5F1A6ABC"/>
    <w:rsid w:val="5F1C2834"/>
    <w:rsid w:val="5F1D65AC"/>
    <w:rsid w:val="5F1F0576"/>
    <w:rsid w:val="5F1F40D2"/>
    <w:rsid w:val="5F230066"/>
    <w:rsid w:val="5F230BC9"/>
    <w:rsid w:val="5F2416E8"/>
    <w:rsid w:val="5F265461"/>
    <w:rsid w:val="5F27742B"/>
    <w:rsid w:val="5F294F51"/>
    <w:rsid w:val="5F2A118F"/>
    <w:rsid w:val="5F2B2A77"/>
    <w:rsid w:val="5F2C237B"/>
    <w:rsid w:val="5F2D4A41"/>
    <w:rsid w:val="5F304531"/>
    <w:rsid w:val="5F304BF4"/>
    <w:rsid w:val="5F3167B5"/>
    <w:rsid w:val="5F3202A9"/>
    <w:rsid w:val="5F322057"/>
    <w:rsid w:val="5F337B7D"/>
    <w:rsid w:val="5F36141C"/>
    <w:rsid w:val="5F3A0F0C"/>
    <w:rsid w:val="5F3C2ED6"/>
    <w:rsid w:val="5F3D09FC"/>
    <w:rsid w:val="5F3F29C6"/>
    <w:rsid w:val="5F427DC1"/>
    <w:rsid w:val="5F4311BF"/>
    <w:rsid w:val="5F434264"/>
    <w:rsid w:val="5F462822"/>
    <w:rsid w:val="5F481454"/>
    <w:rsid w:val="5F4973A1"/>
    <w:rsid w:val="5F4A5A61"/>
    <w:rsid w:val="5F4E49B7"/>
    <w:rsid w:val="5F4F0E5B"/>
    <w:rsid w:val="5F50072F"/>
    <w:rsid w:val="5F5024DD"/>
    <w:rsid w:val="5F5064A5"/>
    <w:rsid w:val="5F526256"/>
    <w:rsid w:val="5F5C70D4"/>
    <w:rsid w:val="5F5E109E"/>
    <w:rsid w:val="5F5F367A"/>
    <w:rsid w:val="5F61293D"/>
    <w:rsid w:val="5F622211"/>
    <w:rsid w:val="5F630463"/>
    <w:rsid w:val="5F6366B5"/>
    <w:rsid w:val="5F6441DB"/>
    <w:rsid w:val="5F6661A5"/>
    <w:rsid w:val="5F67292D"/>
    <w:rsid w:val="5F6917F1"/>
    <w:rsid w:val="5F697A43"/>
    <w:rsid w:val="5F6B37BB"/>
    <w:rsid w:val="5F6B7317"/>
    <w:rsid w:val="5F6D12E1"/>
    <w:rsid w:val="5F700DD2"/>
    <w:rsid w:val="5F710660"/>
    <w:rsid w:val="5F7268F8"/>
    <w:rsid w:val="5F73441E"/>
    <w:rsid w:val="5F760FB9"/>
    <w:rsid w:val="5F773F0E"/>
    <w:rsid w:val="5F775CBC"/>
    <w:rsid w:val="5F7A755A"/>
    <w:rsid w:val="5F7B05F6"/>
    <w:rsid w:val="5F7C7776"/>
    <w:rsid w:val="5F7F7267"/>
    <w:rsid w:val="5F8328B3"/>
    <w:rsid w:val="5F8623A3"/>
    <w:rsid w:val="5F864151"/>
    <w:rsid w:val="5F8959EF"/>
    <w:rsid w:val="5F8B79B9"/>
    <w:rsid w:val="5F8D54E0"/>
    <w:rsid w:val="5F8D65FE"/>
    <w:rsid w:val="5F8E3006"/>
    <w:rsid w:val="5F903222"/>
    <w:rsid w:val="5F906D7E"/>
    <w:rsid w:val="5F93686E"/>
    <w:rsid w:val="5F95465C"/>
    <w:rsid w:val="5F9745B0"/>
    <w:rsid w:val="5F97635E"/>
    <w:rsid w:val="5F993E84"/>
    <w:rsid w:val="5F9A5E4E"/>
    <w:rsid w:val="5F9C1BC7"/>
    <w:rsid w:val="5F9E149B"/>
    <w:rsid w:val="5FA32F55"/>
    <w:rsid w:val="5FA56CCD"/>
    <w:rsid w:val="5FA6034F"/>
    <w:rsid w:val="5FA647F3"/>
    <w:rsid w:val="5FA82319"/>
    <w:rsid w:val="5FA840C8"/>
    <w:rsid w:val="5FA97E40"/>
    <w:rsid w:val="5FAA42E4"/>
    <w:rsid w:val="5FAB005C"/>
    <w:rsid w:val="5FAB1E0A"/>
    <w:rsid w:val="5FAC547E"/>
    <w:rsid w:val="5FAD45A1"/>
    <w:rsid w:val="5FAD7930"/>
    <w:rsid w:val="5FAF2C6F"/>
    <w:rsid w:val="5FB011CE"/>
    <w:rsid w:val="5FB213EA"/>
    <w:rsid w:val="5FB40CBE"/>
    <w:rsid w:val="5FB54A36"/>
    <w:rsid w:val="5FB92779"/>
    <w:rsid w:val="5FBA204D"/>
    <w:rsid w:val="5FBB44F8"/>
    <w:rsid w:val="5FBC7B73"/>
    <w:rsid w:val="5FBD2955"/>
    <w:rsid w:val="5FBE00B9"/>
    <w:rsid w:val="5FBE00F7"/>
    <w:rsid w:val="5FBE295E"/>
    <w:rsid w:val="5FBE38EB"/>
    <w:rsid w:val="5FBE7D8F"/>
    <w:rsid w:val="5FC03B07"/>
    <w:rsid w:val="5FC07E46"/>
    <w:rsid w:val="5FC15189"/>
    <w:rsid w:val="5FC264CC"/>
    <w:rsid w:val="5FC30F01"/>
    <w:rsid w:val="5FC367C7"/>
    <w:rsid w:val="5FC627A0"/>
    <w:rsid w:val="5FC66BD7"/>
    <w:rsid w:val="5FC66C44"/>
    <w:rsid w:val="5FC92290"/>
    <w:rsid w:val="5FCA6734"/>
    <w:rsid w:val="5FCB425A"/>
    <w:rsid w:val="5FCC26FB"/>
    <w:rsid w:val="5FCD3B2E"/>
    <w:rsid w:val="5FD17AC2"/>
    <w:rsid w:val="5FD2383A"/>
    <w:rsid w:val="5FD537AD"/>
    <w:rsid w:val="5FD72BFF"/>
    <w:rsid w:val="5FD96977"/>
    <w:rsid w:val="5FDA624B"/>
    <w:rsid w:val="5FDE21DF"/>
    <w:rsid w:val="5FE1582B"/>
    <w:rsid w:val="5FE315A4"/>
    <w:rsid w:val="5FEA0B84"/>
    <w:rsid w:val="5FED2422"/>
    <w:rsid w:val="5FED5F7E"/>
    <w:rsid w:val="5FF05A6E"/>
    <w:rsid w:val="5FF501C6"/>
    <w:rsid w:val="5FF53085"/>
    <w:rsid w:val="5FF6244C"/>
    <w:rsid w:val="5FF92B75"/>
    <w:rsid w:val="5FFA069B"/>
    <w:rsid w:val="5FFD6F2A"/>
    <w:rsid w:val="5FFE018B"/>
    <w:rsid w:val="5FFE1F39"/>
    <w:rsid w:val="5FFE63DD"/>
    <w:rsid w:val="60016769"/>
    <w:rsid w:val="60033159"/>
    <w:rsid w:val="60063D1C"/>
    <w:rsid w:val="60082DB8"/>
    <w:rsid w:val="6008725C"/>
    <w:rsid w:val="600A4D82"/>
    <w:rsid w:val="600B4656"/>
    <w:rsid w:val="600C0AFA"/>
    <w:rsid w:val="600F2399"/>
    <w:rsid w:val="600F4147"/>
    <w:rsid w:val="60116111"/>
    <w:rsid w:val="601259E5"/>
    <w:rsid w:val="60145C01"/>
    <w:rsid w:val="601479AF"/>
    <w:rsid w:val="60163727"/>
    <w:rsid w:val="60172FFB"/>
    <w:rsid w:val="60174CA1"/>
    <w:rsid w:val="60194FC5"/>
    <w:rsid w:val="6019633C"/>
    <w:rsid w:val="601B0D3D"/>
    <w:rsid w:val="602120CC"/>
    <w:rsid w:val="6022031E"/>
    <w:rsid w:val="60261490"/>
    <w:rsid w:val="60275934"/>
    <w:rsid w:val="602776E2"/>
    <w:rsid w:val="60285208"/>
    <w:rsid w:val="602A2D2E"/>
    <w:rsid w:val="602A71D2"/>
    <w:rsid w:val="602A7EDE"/>
    <w:rsid w:val="602C4CF9"/>
    <w:rsid w:val="602D281F"/>
    <w:rsid w:val="602F2A3B"/>
    <w:rsid w:val="60327E35"/>
    <w:rsid w:val="60343BAD"/>
    <w:rsid w:val="60355659"/>
    <w:rsid w:val="60357838"/>
    <w:rsid w:val="60372B4A"/>
    <w:rsid w:val="60395667"/>
    <w:rsid w:val="603B14CB"/>
    <w:rsid w:val="603C0CB4"/>
    <w:rsid w:val="603D5158"/>
    <w:rsid w:val="603E4A2C"/>
    <w:rsid w:val="604007A4"/>
    <w:rsid w:val="60402552"/>
    <w:rsid w:val="604069F6"/>
    <w:rsid w:val="60430294"/>
    <w:rsid w:val="60455DBA"/>
    <w:rsid w:val="604638E0"/>
    <w:rsid w:val="60471B32"/>
    <w:rsid w:val="60487659"/>
    <w:rsid w:val="604967F1"/>
    <w:rsid w:val="604A1623"/>
    <w:rsid w:val="60522285"/>
    <w:rsid w:val="6054233F"/>
    <w:rsid w:val="60563B24"/>
    <w:rsid w:val="60566219"/>
    <w:rsid w:val="60584385"/>
    <w:rsid w:val="605B3830"/>
    <w:rsid w:val="605B6A2E"/>
    <w:rsid w:val="605C4EB2"/>
    <w:rsid w:val="605D1356"/>
    <w:rsid w:val="605E50CE"/>
    <w:rsid w:val="60600E46"/>
    <w:rsid w:val="606049A2"/>
    <w:rsid w:val="60636240"/>
    <w:rsid w:val="6065645C"/>
    <w:rsid w:val="606704E8"/>
    <w:rsid w:val="60673F83"/>
    <w:rsid w:val="606C1599"/>
    <w:rsid w:val="606C2ECA"/>
    <w:rsid w:val="606C77EB"/>
    <w:rsid w:val="606C79D7"/>
    <w:rsid w:val="606D435A"/>
    <w:rsid w:val="606F4BE5"/>
    <w:rsid w:val="606F595D"/>
    <w:rsid w:val="60716BAF"/>
    <w:rsid w:val="60730B79"/>
    <w:rsid w:val="6074044E"/>
    <w:rsid w:val="607466A0"/>
    <w:rsid w:val="6076650D"/>
    <w:rsid w:val="60771CEC"/>
    <w:rsid w:val="60795C94"/>
    <w:rsid w:val="607C7DEE"/>
    <w:rsid w:val="607E171D"/>
    <w:rsid w:val="607E751E"/>
    <w:rsid w:val="60802A5D"/>
    <w:rsid w:val="6081108F"/>
    <w:rsid w:val="60820DBC"/>
    <w:rsid w:val="6082700E"/>
    <w:rsid w:val="60836580"/>
    <w:rsid w:val="608508AD"/>
    <w:rsid w:val="608A5EC3"/>
    <w:rsid w:val="608E4787"/>
    <w:rsid w:val="6091109A"/>
    <w:rsid w:val="60922013"/>
    <w:rsid w:val="60932FCA"/>
    <w:rsid w:val="60936B26"/>
    <w:rsid w:val="60947504"/>
    <w:rsid w:val="60964868"/>
    <w:rsid w:val="6098238E"/>
    <w:rsid w:val="609B73D7"/>
    <w:rsid w:val="609D1752"/>
    <w:rsid w:val="609D79A4"/>
    <w:rsid w:val="609E3187"/>
    <w:rsid w:val="60A26D69"/>
    <w:rsid w:val="60A32AE1"/>
    <w:rsid w:val="60A46F85"/>
    <w:rsid w:val="60A52CFD"/>
    <w:rsid w:val="60A70823"/>
    <w:rsid w:val="60A76A75"/>
    <w:rsid w:val="60A928D3"/>
    <w:rsid w:val="60AA20C1"/>
    <w:rsid w:val="60AA3E6F"/>
    <w:rsid w:val="60AC408B"/>
    <w:rsid w:val="60AE1BB1"/>
    <w:rsid w:val="60AF1486"/>
    <w:rsid w:val="60B3541A"/>
    <w:rsid w:val="60B371C8"/>
    <w:rsid w:val="60C018E5"/>
    <w:rsid w:val="60C05441"/>
    <w:rsid w:val="60C16521"/>
    <w:rsid w:val="60C43183"/>
    <w:rsid w:val="60C56332"/>
    <w:rsid w:val="60C70EC5"/>
    <w:rsid w:val="60C72C73"/>
    <w:rsid w:val="60C74A21"/>
    <w:rsid w:val="60CA4511"/>
    <w:rsid w:val="60CB2763"/>
    <w:rsid w:val="60CC028A"/>
    <w:rsid w:val="60CC64DC"/>
    <w:rsid w:val="60CE2A37"/>
    <w:rsid w:val="60CE7B5E"/>
    <w:rsid w:val="60D06052"/>
    <w:rsid w:val="60D13AF2"/>
    <w:rsid w:val="60D31618"/>
    <w:rsid w:val="60D33FA2"/>
    <w:rsid w:val="60D4713E"/>
    <w:rsid w:val="60D752DE"/>
    <w:rsid w:val="60D84E80"/>
    <w:rsid w:val="60D96503"/>
    <w:rsid w:val="60DA0BF8"/>
    <w:rsid w:val="60DA29A7"/>
    <w:rsid w:val="60DB04CD"/>
    <w:rsid w:val="60DB227B"/>
    <w:rsid w:val="60DD4245"/>
    <w:rsid w:val="60DD45B9"/>
    <w:rsid w:val="60DF620F"/>
    <w:rsid w:val="60DF7FBD"/>
    <w:rsid w:val="60E05AE3"/>
    <w:rsid w:val="60E119FB"/>
    <w:rsid w:val="60E21390"/>
    <w:rsid w:val="60E214DA"/>
    <w:rsid w:val="60E27AAD"/>
    <w:rsid w:val="60E3042B"/>
    <w:rsid w:val="60E5134B"/>
    <w:rsid w:val="60EA6962"/>
    <w:rsid w:val="60EA6BBD"/>
    <w:rsid w:val="60EB4BB4"/>
    <w:rsid w:val="60EC6236"/>
    <w:rsid w:val="60EE0200"/>
    <w:rsid w:val="60EE6452"/>
    <w:rsid w:val="60EF159F"/>
    <w:rsid w:val="60F32E4D"/>
    <w:rsid w:val="60F3366F"/>
    <w:rsid w:val="60F4333C"/>
    <w:rsid w:val="60F65306"/>
    <w:rsid w:val="60F872D1"/>
    <w:rsid w:val="60F87384"/>
    <w:rsid w:val="60FB46CB"/>
    <w:rsid w:val="60FD0443"/>
    <w:rsid w:val="60FD6695"/>
    <w:rsid w:val="60FE7241"/>
    <w:rsid w:val="60FF240D"/>
    <w:rsid w:val="61001CE1"/>
    <w:rsid w:val="61021EFD"/>
    <w:rsid w:val="61023CAB"/>
    <w:rsid w:val="610253B6"/>
    <w:rsid w:val="61044220"/>
    <w:rsid w:val="61045C75"/>
    <w:rsid w:val="610E08A2"/>
    <w:rsid w:val="610E43FE"/>
    <w:rsid w:val="61103ECC"/>
    <w:rsid w:val="6110461A"/>
    <w:rsid w:val="611063C8"/>
    <w:rsid w:val="61112140"/>
    <w:rsid w:val="61135EB8"/>
    <w:rsid w:val="611759A9"/>
    <w:rsid w:val="61181C3B"/>
    <w:rsid w:val="611B4D6D"/>
    <w:rsid w:val="611D2893"/>
    <w:rsid w:val="611D6D37"/>
    <w:rsid w:val="612400C6"/>
    <w:rsid w:val="61243C22"/>
    <w:rsid w:val="61260326"/>
    <w:rsid w:val="612754C0"/>
    <w:rsid w:val="61291238"/>
    <w:rsid w:val="612956DC"/>
    <w:rsid w:val="612B3202"/>
    <w:rsid w:val="612B54E0"/>
    <w:rsid w:val="612C0D28"/>
    <w:rsid w:val="612C5D46"/>
    <w:rsid w:val="612C6F7A"/>
    <w:rsid w:val="612E2CF2"/>
    <w:rsid w:val="612E684E"/>
    <w:rsid w:val="61350961"/>
    <w:rsid w:val="613528A4"/>
    <w:rsid w:val="61354081"/>
    <w:rsid w:val="61357BDD"/>
    <w:rsid w:val="613C540F"/>
    <w:rsid w:val="613D1187"/>
    <w:rsid w:val="6140686B"/>
    <w:rsid w:val="61412A26"/>
    <w:rsid w:val="614147D4"/>
    <w:rsid w:val="614222FA"/>
    <w:rsid w:val="61425A64"/>
    <w:rsid w:val="6142679E"/>
    <w:rsid w:val="614442C4"/>
    <w:rsid w:val="61447E20"/>
    <w:rsid w:val="61475B62"/>
    <w:rsid w:val="614918DA"/>
    <w:rsid w:val="61493688"/>
    <w:rsid w:val="614B7400"/>
    <w:rsid w:val="614C4F26"/>
    <w:rsid w:val="61534507"/>
    <w:rsid w:val="6155027F"/>
    <w:rsid w:val="6155202D"/>
    <w:rsid w:val="615564D1"/>
    <w:rsid w:val="61565DA5"/>
    <w:rsid w:val="61587D6F"/>
    <w:rsid w:val="615A3AE7"/>
    <w:rsid w:val="615C33BC"/>
    <w:rsid w:val="61616C24"/>
    <w:rsid w:val="61645671"/>
    <w:rsid w:val="61646714"/>
    <w:rsid w:val="6166423A"/>
    <w:rsid w:val="61667B02"/>
    <w:rsid w:val="61677FB2"/>
    <w:rsid w:val="61686204"/>
    <w:rsid w:val="61693D2A"/>
    <w:rsid w:val="616E1341"/>
    <w:rsid w:val="616E30EF"/>
    <w:rsid w:val="61722BDF"/>
    <w:rsid w:val="61730705"/>
    <w:rsid w:val="61734BA9"/>
    <w:rsid w:val="61736957"/>
    <w:rsid w:val="61757D37"/>
    <w:rsid w:val="61761FA3"/>
    <w:rsid w:val="61774699"/>
    <w:rsid w:val="61776447"/>
    <w:rsid w:val="61785D1C"/>
    <w:rsid w:val="617A5F38"/>
    <w:rsid w:val="617A7CE6"/>
    <w:rsid w:val="617C1CB0"/>
    <w:rsid w:val="617C5039"/>
    <w:rsid w:val="617C580C"/>
    <w:rsid w:val="617F52FC"/>
    <w:rsid w:val="617F70AA"/>
    <w:rsid w:val="618172C6"/>
    <w:rsid w:val="6184208A"/>
    <w:rsid w:val="618560EB"/>
    <w:rsid w:val="61860438"/>
    <w:rsid w:val="618648DC"/>
    <w:rsid w:val="61880654"/>
    <w:rsid w:val="61891CD7"/>
    <w:rsid w:val="618D7A19"/>
    <w:rsid w:val="618F19E3"/>
    <w:rsid w:val="61903065"/>
    <w:rsid w:val="6192502F"/>
    <w:rsid w:val="61926DDD"/>
    <w:rsid w:val="6192725F"/>
    <w:rsid w:val="61930DA7"/>
    <w:rsid w:val="61954B1F"/>
    <w:rsid w:val="61955BE0"/>
    <w:rsid w:val="619743F4"/>
    <w:rsid w:val="619A2136"/>
    <w:rsid w:val="619A3EE4"/>
    <w:rsid w:val="619C7C5C"/>
    <w:rsid w:val="619D39D4"/>
    <w:rsid w:val="619D5782"/>
    <w:rsid w:val="619F599E"/>
    <w:rsid w:val="619F774C"/>
    <w:rsid w:val="61A22D98"/>
    <w:rsid w:val="61A44D62"/>
    <w:rsid w:val="61A84853"/>
    <w:rsid w:val="61A86601"/>
    <w:rsid w:val="61A978C4"/>
    <w:rsid w:val="61AB7E9F"/>
    <w:rsid w:val="61AD00BB"/>
    <w:rsid w:val="61AD37E3"/>
    <w:rsid w:val="61AE5BE1"/>
    <w:rsid w:val="61AE7EA2"/>
    <w:rsid w:val="61AF3E33"/>
    <w:rsid w:val="61B054B5"/>
    <w:rsid w:val="61B131B0"/>
    <w:rsid w:val="61B42017"/>
    <w:rsid w:val="61B50D1E"/>
    <w:rsid w:val="61B72CE8"/>
    <w:rsid w:val="61B9080E"/>
    <w:rsid w:val="61B96A60"/>
    <w:rsid w:val="61BA27D8"/>
    <w:rsid w:val="61BC02FE"/>
    <w:rsid w:val="61BE5E24"/>
    <w:rsid w:val="61C022DD"/>
    <w:rsid w:val="61C3343B"/>
    <w:rsid w:val="61CD42B9"/>
    <w:rsid w:val="61CD6067"/>
    <w:rsid w:val="61CE1DDF"/>
    <w:rsid w:val="61CF66BD"/>
    <w:rsid w:val="61D03DA9"/>
    <w:rsid w:val="61D4389A"/>
    <w:rsid w:val="61D45648"/>
    <w:rsid w:val="61D54F1C"/>
    <w:rsid w:val="61D55E11"/>
    <w:rsid w:val="61D75138"/>
    <w:rsid w:val="61D76EE6"/>
    <w:rsid w:val="61D902B3"/>
    <w:rsid w:val="61D94A0C"/>
    <w:rsid w:val="61DC44FC"/>
    <w:rsid w:val="61DF5D9B"/>
    <w:rsid w:val="61E0223F"/>
    <w:rsid w:val="61E33ADD"/>
    <w:rsid w:val="61E3588B"/>
    <w:rsid w:val="61E433B1"/>
    <w:rsid w:val="61E635CD"/>
    <w:rsid w:val="61E66CAD"/>
    <w:rsid w:val="61E810F3"/>
    <w:rsid w:val="61EB2991"/>
    <w:rsid w:val="61ED495B"/>
    <w:rsid w:val="61EE5FDE"/>
    <w:rsid w:val="61F21F72"/>
    <w:rsid w:val="61F335F4"/>
    <w:rsid w:val="61F33A2B"/>
    <w:rsid w:val="61F555BE"/>
    <w:rsid w:val="61F96E5C"/>
    <w:rsid w:val="61FC4B9F"/>
    <w:rsid w:val="61FC694D"/>
    <w:rsid w:val="61FE26C5"/>
    <w:rsid w:val="6200643D"/>
    <w:rsid w:val="620121B5"/>
    <w:rsid w:val="62015D11"/>
    <w:rsid w:val="62037CDB"/>
    <w:rsid w:val="62061579"/>
    <w:rsid w:val="620A1069"/>
    <w:rsid w:val="620D2908"/>
    <w:rsid w:val="62127F1E"/>
    <w:rsid w:val="621506F6"/>
    <w:rsid w:val="62173786"/>
    <w:rsid w:val="621912AD"/>
    <w:rsid w:val="62195750"/>
    <w:rsid w:val="621A5025"/>
    <w:rsid w:val="621C2B4B"/>
    <w:rsid w:val="621E2D67"/>
    <w:rsid w:val="621E4B15"/>
    <w:rsid w:val="6220263B"/>
    <w:rsid w:val="62214605"/>
    <w:rsid w:val="6223037D"/>
    <w:rsid w:val="6223212B"/>
    <w:rsid w:val="62233ED9"/>
    <w:rsid w:val="622540F5"/>
    <w:rsid w:val="62257C51"/>
    <w:rsid w:val="622639C9"/>
    <w:rsid w:val="62277716"/>
    <w:rsid w:val="622814F0"/>
    <w:rsid w:val="62281F21"/>
    <w:rsid w:val="6229523A"/>
    <w:rsid w:val="622A66CA"/>
    <w:rsid w:val="622B7232"/>
    <w:rsid w:val="622D4D58"/>
    <w:rsid w:val="622D6B06"/>
    <w:rsid w:val="622F287E"/>
    <w:rsid w:val="623065F6"/>
    <w:rsid w:val="623131FD"/>
    <w:rsid w:val="6232236E"/>
    <w:rsid w:val="62326812"/>
    <w:rsid w:val="62344338"/>
    <w:rsid w:val="623460E6"/>
    <w:rsid w:val="623468A3"/>
    <w:rsid w:val="62353C0D"/>
    <w:rsid w:val="623600B0"/>
    <w:rsid w:val="62377985"/>
    <w:rsid w:val="62397BA1"/>
    <w:rsid w:val="623A1223"/>
    <w:rsid w:val="623B56C7"/>
    <w:rsid w:val="623B7475"/>
    <w:rsid w:val="623C25C1"/>
    <w:rsid w:val="623D4B40"/>
    <w:rsid w:val="623E0D13"/>
    <w:rsid w:val="623F6839"/>
    <w:rsid w:val="62402CDD"/>
    <w:rsid w:val="62410803"/>
    <w:rsid w:val="624125B1"/>
    <w:rsid w:val="62416594"/>
    <w:rsid w:val="62426A55"/>
    <w:rsid w:val="6243457B"/>
    <w:rsid w:val="62465E1A"/>
    <w:rsid w:val="62467BC8"/>
    <w:rsid w:val="6247406C"/>
    <w:rsid w:val="62494824"/>
    <w:rsid w:val="624D71A8"/>
    <w:rsid w:val="624F1172"/>
    <w:rsid w:val="624F2F20"/>
    <w:rsid w:val="624F4CCE"/>
    <w:rsid w:val="62514DE4"/>
    <w:rsid w:val="62562501"/>
    <w:rsid w:val="625642AF"/>
    <w:rsid w:val="62571DD5"/>
    <w:rsid w:val="625E018B"/>
    <w:rsid w:val="626003B8"/>
    <w:rsid w:val="62606EDB"/>
    <w:rsid w:val="62612C54"/>
    <w:rsid w:val="62620EA5"/>
    <w:rsid w:val="62650996"/>
    <w:rsid w:val="626764BC"/>
    <w:rsid w:val="6267744A"/>
    <w:rsid w:val="626B4FED"/>
    <w:rsid w:val="626C3AD2"/>
    <w:rsid w:val="626D15F8"/>
    <w:rsid w:val="626D24DE"/>
    <w:rsid w:val="626F08D2"/>
    <w:rsid w:val="62707F48"/>
    <w:rsid w:val="627110E9"/>
    <w:rsid w:val="62740BD9"/>
    <w:rsid w:val="62753841"/>
    <w:rsid w:val="627666FF"/>
    <w:rsid w:val="62775FD3"/>
    <w:rsid w:val="62782477"/>
    <w:rsid w:val="62797F9D"/>
    <w:rsid w:val="627B1F67"/>
    <w:rsid w:val="627C3F6A"/>
    <w:rsid w:val="627D7A8D"/>
    <w:rsid w:val="627E55B4"/>
    <w:rsid w:val="6280132C"/>
    <w:rsid w:val="6280757E"/>
    <w:rsid w:val="62816E52"/>
    <w:rsid w:val="62830E1C"/>
    <w:rsid w:val="62832BCA"/>
    <w:rsid w:val="628506F0"/>
    <w:rsid w:val="6286106C"/>
    <w:rsid w:val="628726BA"/>
    <w:rsid w:val="628A21AA"/>
    <w:rsid w:val="628B71A8"/>
    <w:rsid w:val="628C1A7E"/>
    <w:rsid w:val="628C5A67"/>
    <w:rsid w:val="628D3A49"/>
    <w:rsid w:val="628E1C9B"/>
    <w:rsid w:val="628F156F"/>
    <w:rsid w:val="628F43E8"/>
    <w:rsid w:val="628F5B29"/>
    <w:rsid w:val="62943029"/>
    <w:rsid w:val="6295025A"/>
    <w:rsid w:val="629628FD"/>
    <w:rsid w:val="62972B7A"/>
    <w:rsid w:val="629B6165"/>
    <w:rsid w:val="629B7F14"/>
    <w:rsid w:val="629E5C56"/>
    <w:rsid w:val="62A3501A"/>
    <w:rsid w:val="62A414BE"/>
    <w:rsid w:val="62A72D5C"/>
    <w:rsid w:val="62A74B0A"/>
    <w:rsid w:val="62AA0157"/>
    <w:rsid w:val="62AA45FB"/>
    <w:rsid w:val="62AE5E99"/>
    <w:rsid w:val="62B17737"/>
    <w:rsid w:val="62B62F9F"/>
    <w:rsid w:val="62B72874"/>
    <w:rsid w:val="62B80AC5"/>
    <w:rsid w:val="62B86D17"/>
    <w:rsid w:val="62BB05B6"/>
    <w:rsid w:val="62BB2364"/>
    <w:rsid w:val="62BB6808"/>
    <w:rsid w:val="62BC3405"/>
    <w:rsid w:val="62BC5FD6"/>
    <w:rsid w:val="62BD432E"/>
    <w:rsid w:val="62BD60DC"/>
    <w:rsid w:val="62C03E1E"/>
    <w:rsid w:val="62C05BCC"/>
    <w:rsid w:val="62C21944"/>
    <w:rsid w:val="62C21E48"/>
    <w:rsid w:val="62C236F2"/>
    <w:rsid w:val="62C44768"/>
    <w:rsid w:val="62C456BC"/>
    <w:rsid w:val="62C51434"/>
    <w:rsid w:val="62C54F90"/>
    <w:rsid w:val="62C56307"/>
    <w:rsid w:val="62C70D09"/>
    <w:rsid w:val="62C90F25"/>
    <w:rsid w:val="62CA07F9"/>
    <w:rsid w:val="62CA25A7"/>
    <w:rsid w:val="62CB7DFA"/>
    <w:rsid w:val="62CC631F"/>
    <w:rsid w:val="62CD2097"/>
    <w:rsid w:val="62CD438A"/>
    <w:rsid w:val="62CE653B"/>
    <w:rsid w:val="62D022B3"/>
    <w:rsid w:val="62D045C6"/>
    <w:rsid w:val="62D358FF"/>
    <w:rsid w:val="62D376AD"/>
    <w:rsid w:val="62D556ED"/>
    <w:rsid w:val="62D6719E"/>
    <w:rsid w:val="62DB0C58"/>
    <w:rsid w:val="62DB47B4"/>
    <w:rsid w:val="62DE42A4"/>
    <w:rsid w:val="62DE6052"/>
    <w:rsid w:val="62DF24F6"/>
    <w:rsid w:val="62E01DCA"/>
    <w:rsid w:val="62E53AA1"/>
    <w:rsid w:val="62E573E1"/>
    <w:rsid w:val="62E80C7F"/>
    <w:rsid w:val="62EA0E9B"/>
    <w:rsid w:val="62EA6483"/>
    <w:rsid w:val="62EE2739"/>
    <w:rsid w:val="62EE44E7"/>
    <w:rsid w:val="62EF025F"/>
    <w:rsid w:val="62EF64B1"/>
    <w:rsid w:val="62F35FA1"/>
    <w:rsid w:val="62F54110"/>
    <w:rsid w:val="62FA7330"/>
    <w:rsid w:val="62FB09B2"/>
    <w:rsid w:val="62FD0BCE"/>
    <w:rsid w:val="62FF4946"/>
    <w:rsid w:val="62FF66F4"/>
    <w:rsid w:val="630006BE"/>
    <w:rsid w:val="6300246C"/>
    <w:rsid w:val="63025B9A"/>
    <w:rsid w:val="630261E5"/>
    <w:rsid w:val="63035AB9"/>
    <w:rsid w:val="63041F5D"/>
    <w:rsid w:val="63043D0B"/>
    <w:rsid w:val="63051831"/>
    <w:rsid w:val="6305531C"/>
    <w:rsid w:val="63057A83"/>
    <w:rsid w:val="63071A4D"/>
    <w:rsid w:val="63092E9C"/>
    <w:rsid w:val="63097573"/>
    <w:rsid w:val="630B32EB"/>
    <w:rsid w:val="630D00D6"/>
    <w:rsid w:val="630E2DDB"/>
    <w:rsid w:val="630E587E"/>
    <w:rsid w:val="630F445E"/>
    <w:rsid w:val="631101D6"/>
    <w:rsid w:val="6311467A"/>
    <w:rsid w:val="63133F4E"/>
    <w:rsid w:val="63141A74"/>
    <w:rsid w:val="63163A3E"/>
    <w:rsid w:val="63181564"/>
    <w:rsid w:val="631A352E"/>
    <w:rsid w:val="631A52DC"/>
    <w:rsid w:val="631B72A6"/>
    <w:rsid w:val="631C7E82"/>
    <w:rsid w:val="631E3D17"/>
    <w:rsid w:val="631E5373"/>
    <w:rsid w:val="631F6D97"/>
    <w:rsid w:val="632223E3"/>
    <w:rsid w:val="63243487"/>
    <w:rsid w:val="632443AD"/>
    <w:rsid w:val="63253C81"/>
    <w:rsid w:val="63273E9D"/>
    <w:rsid w:val="632927BC"/>
    <w:rsid w:val="63293771"/>
    <w:rsid w:val="632C5010"/>
    <w:rsid w:val="632F62F8"/>
    <w:rsid w:val="632F68AE"/>
    <w:rsid w:val="63310878"/>
    <w:rsid w:val="63347599"/>
    <w:rsid w:val="63350368"/>
    <w:rsid w:val="63365E8E"/>
    <w:rsid w:val="63367C3C"/>
    <w:rsid w:val="63381C06"/>
    <w:rsid w:val="633914DA"/>
    <w:rsid w:val="63391DB5"/>
    <w:rsid w:val="633A772C"/>
    <w:rsid w:val="633B34A5"/>
    <w:rsid w:val="633C5D2B"/>
    <w:rsid w:val="633E0520"/>
    <w:rsid w:val="633F11E7"/>
    <w:rsid w:val="633F4D43"/>
    <w:rsid w:val="63400ABB"/>
    <w:rsid w:val="63442359"/>
    <w:rsid w:val="634560D1"/>
    <w:rsid w:val="634618F9"/>
    <w:rsid w:val="6347009B"/>
    <w:rsid w:val="63471E49"/>
    <w:rsid w:val="63493E13"/>
    <w:rsid w:val="63495BC1"/>
    <w:rsid w:val="63497970"/>
    <w:rsid w:val="634B193A"/>
    <w:rsid w:val="634C3904"/>
    <w:rsid w:val="634D1881"/>
    <w:rsid w:val="634E142A"/>
    <w:rsid w:val="634E31D8"/>
    <w:rsid w:val="634F3D41"/>
    <w:rsid w:val="63514A76"/>
    <w:rsid w:val="6353259C"/>
    <w:rsid w:val="63536A40"/>
    <w:rsid w:val="63554566"/>
    <w:rsid w:val="6356208C"/>
    <w:rsid w:val="635D166D"/>
    <w:rsid w:val="635F7193"/>
    <w:rsid w:val="6361115D"/>
    <w:rsid w:val="63620A31"/>
    <w:rsid w:val="63624ED5"/>
    <w:rsid w:val="63626C83"/>
    <w:rsid w:val="63640C4D"/>
    <w:rsid w:val="636649C5"/>
    <w:rsid w:val="636724EC"/>
    <w:rsid w:val="6367429A"/>
    <w:rsid w:val="63687C60"/>
    <w:rsid w:val="63696264"/>
    <w:rsid w:val="636E5628"/>
    <w:rsid w:val="636E73D6"/>
    <w:rsid w:val="637075F2"/>
    <w:rsid w:val="63715118"/>
    <w:rsid w:val="63716EC6"/>
    <w:rsid w:val="63730E90"/>
    <w:rsid w:val="63756EB0"/>
    <w:rsid w:val="637575FD"/>
    <w:rsid w:val="637644DD"/>
    <w:rsid w:val="63770981"/>
    <w:rsid w:val="6377202C"/>
    <w:rsid w:val="637A3FCD"/>
    <w:rsid w:val="637B7D03"/>
    <w:rsid w:val="637C7D45"/>
    <w:rsid w:val="637D586B"/>
    <w:rsid w:val="6381535B"/>
    <w:rsid w:val="63840E2A"/>
    <w:rsid w:val="63846BFA"/>
    <w:rsid w:val="63860BC4"/>
    <w:rsid w:val="63870498"/>
    <w:rsid w:val="63870D12"/>
    <w:rsid w:val="638900D7"/>
    <w:rsid w:val="638906B4"/>
    <w:rsid w:val="63892462"/>
    <w:rsid w:val="638A6C51"/>
    <w:rsid w:val="638B7F88"/>
    <w:rsid w:val="63901A42"/>
    <w:rsid w:val="63936E3D"/>
    <w:rsid w:val="63957059"/>
    <w:rsid w:val="6397692D"/>
    <w:rsid w:val="63984453"/>
    <w:rsid w:val="639A01CB"/>
    <w:rsid w:val="639B748D"/>
    <w:rsid w:val="639C27A7"/>
    <w:rsid w:val="639C3F43"/>
    <w:rsid w:val="639D7CBB"/>
    <w:rsid w:val="639F18BC"/>
    <w:rsid w:val="639F3A33"/>
    <w:rsid w:val="63A21509"/>
    <w:rsid w:val="63A22EA9"/>
    <w:rsid w:val="63A40769"/>
    <w:rsid w:val="63A454EE"/>
    <w:rsid w:val="63A675B1"/>
    <w:rsid w:val="63AB4186"/>
    <w:rsid w:val="63AB687C"/>
    <w:rsid w:val="63AD43A2"/>
    <w:rsid w:val="63AD6150"/>
    <w:rsid w:val="63AF0C1D"/>
    <w:rsid w:val="63B03E93"/>
    <w:rsid w:val="63B3128D"/>
    <w:rsid w:val="63B35731"/>
    <w:rsid w:val="63B647DE"/>
    <w:rsid w:val="63B70D7D"/>
    <w:rsid w:val="63B76FCF"/>
    <w:rsid w:val="63B84AF5"/>
    <w:rsid w:val="63BA5320"/>
    <w:rsid w:val="63BA6ABF"/>
    <w:rsid w:val="63BC0650"/>
    <w:rsid w:val="63BC6393"/>
    <w:rsid w:val="63BD210C"/>
    <w:rsid w:val="63BD3EBA"/>
    <w:rsid w:val="63BE33D8"/>
    <w:rsid w:val="63BF5E84"/>
    <w:rsid w:val="63C27722"/>
    <w:rsid w:val="63C35952"/>
    <w:rsid w:val="63C416EC"/>
    <w:rsid w:val="63C60FC0"/>
    <w:rsid w:val="63C70334"/>
    <w:rsid w:val="63C90AB0"/>
    <w:rsid w:val="63CE4319"/>
    <w:rsid w:val="63CF256B"/>
    <w:rsid w:val="63D22876"/>
    <w:rsid w:val="63D27965"/>
    <w:rsid w:val="63D47D67"/>
    <w:rsid w:val="63D63F11"/>
    <w:rsid w:val="63D8564E"/>
    <w:rsid w:val="63DB5069"/>
    <w:rsid w:val="63DC7C3A"/>
    <w:rsid w:val="63DE255A"/>
    <w:rsid w:val="63DE27AE"/>
    <w:rsid w:val="63DF65BB"/>
    <w:rsid w:val="63E05AE3"/>
    <w:rsid w:val="63E1229E"/>
    <w:rsid w:val="63E1404C"/>
    <w:rsid w:val="63E15DFA"/>
    <w:rsid w:val="63E34ECC"/>
    <w:rsid w:val="63E44BC3"/>
    <w:rsid w:val="63E61662"/>
    <w:rsid w:val="63E678B4"/>
    <w:rsid w:val="63EB4ECB"/>
    <w:rsid w:val="63EB6C79"/>
    <w:rsid w:val="63EE6769"/>
    <w:rsid w:val="63EF49BB"/>
    <w:rsid w:val="63EF60B0"/>
    <w:rsid w:val="63F0428F"/>
    <w:rsid w:val="63F975E8"/>
    <w:rsid w:val="63FA6EBC"/>
    <w:rsid w:val="63FE69AC"/>
    <w:rsid w:val="63FE731D"/>
    <w:rsid w:val="63FF0976"/>
    <w:rsid w:val="640058F4"/>
    <w:rsid w:val="6401024A"/>
    <w:rsid w:val="64025D70"/>
    <w:rsid w:val="64044275"/>
    <w:rsid w:val="64065861"/>
    <w:rsid w:val="64080555"/>
    <w:rsid w:val="64085A7D"/>
    <w:rsid w:val="640970FF"/>
    <w:rsid w:val="640B10C9"/>
    <w:rsid w:val="640B731B"/>
    <w:rsid w:val="640D4E41"/>
    <w:rsid w:val="640D6BEF"/>
    <w:rsid w:val="640F0BB9"/>
    <w:rsid w:val="64104931"/>
    <w:rsid w:val="64144421"/>
    <w:rsid w:val="64177A6E"/>
    <w:rsid w:val="64183E80"/>
    <w:rsid w:val="64191A38"/>
    <w:rsid w:val="641C5084"/>
    <w:rsid w:val="641E0DFC"/>
    <w:rsid w:val="641E2BAA"/>
    <w:rsid w:val="6421269A"/>
    <w:rsid w:val="6421636E"/>
    <w:rsid w:val="642301C1"/>
    <w:rsid w:val="6423385F"/>
    <w:rsid w:val="64236413"/>
    <w:rsid w:val="6424218B"/>
    <w:rsid w:val="64264155"/>
    <w:rsid w:val="64265F03"/>
    <w:rsid w:val="64267CB1"/>
    <w:rsid w:val="64283A29"/>
    <w:rsid w:val="642B3519"/>
    <w:rsid w:val="642D4911"/>
    <w:rsid w:val="642D7291"/>
    <w:rsid w:val="642F3009"/>
    <w:rsid w:val="642F4DB7"/>
    <w:rsid w:val="643248A8"/>
    <w:rsid w:val="64326656"/>
    <w:rsid w:val="64356146"/>
    <w:rsid w:val="64370110"/>
    <w:rsid w:val="64393E88"/>
    <w:rsid w:val="643979E4"/>
    <w:rsid w:val="643B19AE"/>
    <w:rsid w:val="643B7C00"/>
    <w:rsid w:val="643C1282"/>
    <w:rsid w:val="643F6D26"/>
    <w:rsid w:val="64405216"/>
    <w:rsid w:val="64406FC4"/>
    <w:rsid w:val="644133A6"/>
    <w:rsid w:val="644665A5"/>
    <w:rsid w:val="644713A4"/>
    <w:rsid w:val="6449399F"/>
    <w:rsid w:val="644A7E43"/>
    <w:rsid w:val="644B5969"/>
    <w:rsid w:val="644B7717"/>
    <w:rsid w:val="644D348F"/>
    <w:rsid w:val="644F7208"/>
    <w:rsid w:val="645111D2"/>
    <w:rsid w:val="6452519C"/>
    <w:rsid w:val="6454481E"/>
    <w:rsid w:val="6457430E"/>
    <w:rsid w:val="64590086"/>
    <w:rsid w:val="645962D8"/>
    <w:rsid w:val="645B2050"/>
    <w:rsid w:val="645B3DFE"/>
    <w:rsid w:val="645E38EF"/>
    <w:rsid w:val="645E744B"/>
    <w:rsid w:val="645F0EE1"/>
    <w:rsid w:val="646031C3"/>
    <w:rsid w:val="64610CE9"/>
    <w:rsid w:val="6468651B"/>
    <w:rsid w:val="646D768E"/>
    <w:rsid w:val="646F61EE"/>
    <w:rsid w:val="64722EF6"/>
    <w:rsid w:val="64744EC0"/>
    <w:rsid w:val="64746C6E"/>
    <w:rsid w:val="64753107"/>
    <w:rsid w:val="647629E6"/>
    <w:rsid w:val="6477050C"/>
    <w:rsid w:val="647749B0"/>
    <w:rsid w:val="6477675E"/>
    <w:rsid w:val="64794284"/>
    <w:rsid w:val="647A1DAB"/>
    <w:rsid w:val="647A2F18"/>
    <w:rsid w:val="647B6D00"/>
    <w:rsid w:val="647B6F79"/>
    <w:rsid w:val="647C5B23"/>
    <w:rsid w:val="647E5D3F"/>
    <w:rsid w:val="647E7AED"/>
    <w:rsid w:val="6480021A"/>
    <w:rsid w:val="6481138B"/>
    <w:rsid w:val="648275DD"/>
    <w:rsid w:val="64832A3F"/>
    <w:rsid w:val="64835103"/>
    <w:rsid w:val="64846EDD"/>
    <w:rsid w:val="64852C29"/>
    <w:rsid w:val="6486074F"/>
    <w:rsid w:val="648669A1"/>
    <w:rsid w:val="648A0240"/>
    <w:rsid w:val="648C220A"/>
    <w:rsid w:val="648F5856"/>
    <w:rsid w:val="649317EA"/>
    <w:rsid w:val="649410BE"/>
    <w:rsid w:val="649966D5"/>
    <w:rsid w:val="649B244D"/>
    <w:rsid w:val="649B41FB"/>
    <w:rsid w:val="649C61C5"/>
    <w:rsid w:val="649E018F"/>
    <w:rsid w:val="649E1F3D"/>
    <w:rsid w:val="649E3CEB"/>
    <w:rsid w:val="64A05CB5"/>
    <w:rsid w:val="64A21A2D"/>
    <w:rsid w:val="64A22124"/>
    <w:rsid w:val="64A36185"/>
    <w:rsid w:val="64A37553"/>
    <w:rsid w:val="64A70DF2"/>
    <w:rsid w:val="64AA08E2"/>
    <w:rsid w:val="64AC28AC"/>
    <w:rsid w:val="64AC465A"/>
    <w:rsid w:val="64AC6408"/>
    <w:rsid w:val="64B10789"/>
    <w:rsid w:val="64B452BD"/>
    <w:rsid w:val="64B67287"/>
    <w:rsid w:val="64B90B25"/>
    <w:rsid w:val="64B928D3"/>
    <w:rsid w:val="64BB664B"/>
    <w:rsid w:val="64BE25DF"/>
    <w:rsid w:val="64C01EB3"/>
    <w:rsid w:val="64C179D9"/>
    <w:rsid w:val="64C319A4"/>
    <w:rsid w:val="64C64FF0"/>
    <w:rsid w:val="64C73242"/>
    <w:rsid w:val="64C96A10"/>
    <w:rsid w:val="64CA4AE0"/>
    <w:rsid w:val="64CC6AAA"/>
    <w:rsid w:val="64CD637E"/>
    <w:rsid w:val="64CE1ADF"/>
    <w:rsid w:val="64CE229F"/>
    <w:rsid w:val="64CF20F6"/>
    <w:rsid w:val="64D14795"/>
    <w:rsid w:val="64D43BB1"/>
    <w:rsid w:val="64D55140"/>
    <w:rsid w:val="64D616D7"/>
    <w:rsid w:val="64D911C7"/>
    <w:rsid w:val="64D94D23"/>
    <w:rsid w:val="64DA0E25"/>
    <w:rsid w:val="64DD4813"/>
    <w:rsid w:val="64DE058B"/>
    <w:rsid w:val="64DF4A2F"/>
    <w:rsid w:val="64E02555"/>
    <w:rsid w:val="64E060B2"/>
    <w:rsid w:val="64E2007C"/>
    <w:rsid w:val="64E47800"/>
    <w:rsid w:val="64E738E4"/>
    <w:rsid w:val="64E77440"/>
    <w:rsid w:val="64E8140A"/>
    <w:rsid w:val="64EC0669"/>
    <w:rsid w:val="64EC2CA8"/>
    <w:rsid w:val="64EC4A56"/>
    <w:rsid w:val="64EE6A20"/>
    <w:rsid w:val="64EF27FA"/>
    <w:rsid w:val="64F03645"/>
    <w:rsid w:val="64F1206D"/>
    <w:rsid w:val="64F1684E"/>
    <w:rsid w:val="64F46001"/>
    <w:rsid w:val="64F61D79"/>
    <w:rsid w:val="64F777F5"/>
    <w:rsid w:val="64F93617"/>
    <w:rsid w:val="64F953C5"/>
    <w:rsid w:val="64FB113D"/>
    <w:rsid w:val="64FB738F"/>
    <w:rsid w:val="64FC15ED"/>
    <w:rsid w:val="64FD3107"/>
    <w:rsid w:val="64FD4EB5"/>
    <w:rsid w:val="64FE29DC"/>
    <w:rsid w:val="65000502"/>
    <w:rsid w:val="650049A6"/>
    <w:rsid w:val="65006754"/>
    <w:rsid w:val="6502071E"/>
    <w:rsid w:val="650224CC"/>
    <w:rsid w:val="6502427A"/>
    <w:rsid w:val="65036645"/>
    <w:rsid w:val="650647F6"/>
    <w:rsid w:val="65071890"/>
    <w:rsid w:val="65085608"/>
    <w:rsid w:val="65087DE5"/>
    <w:rsid w:val="650A312E"/>
    <w:rsid w:val="650D2C1F"/>
    <w:rsid w:val="650E70C3"/>
    <w:rsid w:val="650F6997"/>
    <w:rsid w:val="65165F77"/>
    <w:rsid w:val="6518584B"/>
    <w:rsid w:val="65197815"/>
    <w:rsid w:val="651B7747"/>
    <w:rsid w:val="651D10B4"/>
    <w:rsid w:val="651D2E62"/>
    <w:rsid w:val="651E4E2C"/>
    <w:rsid w:val="651E6BDA"/>
    <w:rsid w:val="652109E8"/>
    <w:rsid w:val="65212235"/>
    <w:rsid w:val="652266CA"/>
    <w:rsid w:val="65242442"/>
    <w:rsid w:val="652533CA"/>
    <w:rsid w:val="6525440C"/>
    <w:rsid w:val="65297A59"/>
    <w:rsid w:val="652A599B"/>
    <w:rsid w:val="652C7549"/>
    <w:rsid w:val="652E1513"/>
    <w:rsid w:val="65312DB1"/>
    <w:rsid w:val="653463FD"/>
    <w:rsid w:val="65363F24"/>
    <w:rsid w:val="65366619"/>
    <w:rsid w:val="65386C6F"/>
    <w:rsid w:val="653900FF"/>
    <w:rsid w:val="653A7EB8"/>
    <w:rsid w:val="653D52B2"/>
    <w:rsid w:val="653E102A"/>
    <w:rsid w:val="653F572A"/>
    <w:rsid w:val="653F727C"/>
    <w:rsid w:val="65402FF4"/>
    <w:rsid w:val="65404DA2"/>
    <w:rsid w:val="65416891"/>
    <w:rsid w:val="65420B1A"/>
    <w:rsid w:val="65426D6C"/>
    <w:rsid w:val="65436640"/>
    <w:rsid w:val="6545060B"/>
    <w:rsid w:val="654523B9"/>
    <w:rsid w:val="65457DE3"/>
    <w:rsid w:val="65461273"/>
    <w:rsid w:val="6546685C"/>
    <w:rsid w:val="65474383"/>
    <w:rsid w:val="6549634D"/>
    <w:rsid w:val="654A79CF"/>
    <w:rsid w:val="654B3E73"/>
    <w:rsid w:val="654C3747"/>
    <w:rsid w:val="654E3963"/>
    <w:rsid w:val="654E5711"/>
    <w:rsid w:val="654F4FE5"/>
    <w:rsid w:val="65510D5D"/>
    <w:rsid w:val="65530F79"/>
    <w:rsid w:val="65532D27"/>
    <w:rsid w:val="65534AD5"/>
    <w:rsid w:val="655644E9"/>
    <w:rsid w:val="65573688"/>
    <w:rsid w:val="6558033E"/>
    <w:rsid w:val="655820EC"/>
    <w:rsid w:val="65586590"/>
    <w:rsid w:val="655A2308"/>
    <w:rsid w:val="655B2CBD"/>
    <w:rsid w:val="655D3BA6"/>
    <w:rsid w:val="655F16CC"/>
    <w:rsid w:val="655F791E"/>
    <w:rsid w:val="65613696"/>
    <w:rsid w:val="65622F6B"/>
    <w:rsid w:val="65624D19"/>
    <w:rsid w:val="65640A91"/>
    <w:rsid w:val="65652A5B"/>
    <w:rsid w:val="65674A25"/>
    <w:rsid w:val="656767D3"/>
    <w:rsid w:val="656C203B"/>
    <w:rsid w:val="656C3DE9"/>
    <w:rsid w:val="656E5DB3"/>
    <w:rsid w:val="657038D9"/>
    <w:rsid w:val="65705687"/>
    <w:rsid w:val="65711400"/>
    <w:rsid w:val="657131AE"/>
    <w:rsid w:val="65716E00"/>
    <w:rsid w:val="657229B2"/>
    <w:rsid w:val="657459E4"/>
    <w:rsid w:val="657607C4"/>
    <w:rsid w:val="657A5AE9"/>
    <w:rsid w:val="657B402C"/>
    <w:rsid w:val="657B5DDA"/>
    <w:rsid w:val="657C227E"/>
    <w:rsid w:val="657D7DA4"/>
    <w:rsid w:val="65802BC3"/>
    <w:rsid w:val="658137B1"/>
    <w:rsid w:val="65815AE7"/>
    <w:rsid w:val="65817895"/>
    <w:rsid w:val="65827169"/>
    <w:rsid w:val="65831215"/>
    <w:rsid w:val="65842EE1"/>
    <w:rsid w:val="658630FD"/>
    <w:rsid w:val="65866706"/>
    <w:rsid w:val="65870C23"/>
    <w:rsid w:val="65876E75"/>
    <w:rsid w:val="65891DC8"/>
    <w:rsid w:val="658A426F"/>
    <w:rsid w:val="658C233E"/>
    <w:rsid w:val="658E3D60"/>
    <w:rsid w:val="65901886"/>
    <w:rsid w:val="65905D2A"/>
    <w:rsid w:val="65907AD8"/>
    <w:rsid w:val="659155FE"/>
    <w:rsid w:val="65931376"/>
    <w:rsid w:val="659375C8"/>
    <w:rsid w:val="65953340"/>
    <w:rsid w:val="65960E66"/>
    <w:rsid w:val="65962C14"/>
    <w:rsid w:val="659770B8"/>
    <w:rsid w:val="659830FE"/>
    <w:rsid w:val="65984BDE"/>
    <w:rsid w:val="659C46CE"/>
    <w:rsid w:val="659D0447"/>
    <w:rsid w:val="659F7D1B"/>
    <w:rsid w:val="65A13A93"/>
    <w:rsid w:val="65A2780B"/>
    <w:rsid w:val="65A417D5"/>
    <w:rsid w:val="65A44A86"/>
    <w:rsid w:val="65A74E21"/>
    <w:rsid w:val="65A76BCF"/>
    <w:rsid w:val="65A92947"/>
    <w:rsid w:val="65A96DEB"/>
    <w:rsid w:val="65AB66C0"/>
    <w:rsid w:val="65AC2FF2"/>
    <w:rsid w:val="65AD4482"/>
    <w:rsid w:val="65AD68DC"/>
    <w:rsid w:val="65AE61B0"/>
    <w:rsid w:val="65B01F28"/>
    <w:rsid w:val="65B23EF2"/>
    <w:rsid w:val="65B31A18"/>
    <w:rsid w:val="65B337C6"/>
    <w:rsid w:val="65B35574"/>
    <w:rsid w:val="65B37C6A"/>
    <w:rsid w:val="65B71978"/>
    <w:rsid w:val="65B732B6"/>
    <w:rsid w:val="65BA6903"/>
    <w:rsid w:val="65BC6B1F"/>
    <w:rsid w:val="65BD4645"/>
    <w:rsid w:val="65BD63F3"/>
    <w:rsid w:val="65BE5407"/>
    <w:rsid w:val="65BF6897"/>
    <w:rsid w:val="65C15EE3"/>
    <w:rsid w:val="65C23A09"/>
    <w:rsid w:val="65C47781"/>
    <w:rsid w:val="65C77BFA"/>
    <w:rsid w:val="65CB6D62"/>
    <w:rsid w:val="65CC33A0"/>
    <w:rsid w:val="65CD0D2C"/>
    <w:rsid w:val="65CE059B"/>
    <w:rsid w:val="65CF759F"/>
    <w:rsid w:val="65D025CA"/>
    <w:rsid w:val="65D10CAC"/>
    <w:rsid w:val="65D11E9E"/>
    <w:rsid w:val="65D33E68"/>
    <w:rsid w:val="65D379C4"/>
    <w:rsid w:val="65D5198E"/>
    <w:rsid w:val="65D676FC"/>
    <w:rsid w:val="65D73958"/>
    <w:rsid w:val="65D8101D"/>
    <w:rsid w:val="65DC4ACB"/>
    <w:rsid w:val="65DC5DBF"/>
    <w:rsid w:val="65DD0843"/>
    <w:rsid w:val="65DF280D"/>
    <w:rsid w:val="65E03346"/>
    <w:rsid w:val="65E10333"/>
    <w:rsid w:val="65E16585"/>
    <w:rsid w:val="65E25E59"/>
    <w:rsid w:val="65E322FD"/>
    <w:rsid w:val="65E41BD1"/>
    <w:rsid w:val="65E63B9C"/>
    <w:rsid w:val="65E73470"/>
    <w:rsid w:val="65E8218C"/>
    <w:rsid w:val="65E9368C"/>
    <w:rsid w:val="65EC0A86"/>
    <w:rsid w:val="65ED6CD8"/>
    <w:rsid w:val="65EE2DA5"/>
    <w:rsid w:val="65EF2AB0"/>
    <w:rsid w:val="65F056C5"/>
    <w:rsid w:val="65F10296"/>
    <w:rsid w:val="65F242EE"/>
    <w:rsid w:val="65F362B8"/>
    <w:rsid w:val="65F53DDF"/>
    <w:rsid w:val="65F55B8D"/>
    <w:rsid w:val="65F8567D"/>
    <w:rsid w:val="65F8742B"/>
    <w:rsid w:val="65FB27D8"/>
    <w:rsid w:val="65FC6F1B"/>
    <w:rsid w:val="65FD2C93"/>
    <w:rsid w:val="65FE7137"/>
    <w:rsid w:val="65FF07B9"/>
    <w:rsid w:val="660404C6"/>
    <w:rsid w:val="660758C0"/>
    <w:rsid w:val="66083B12"/>
    <w:rsid w:val="660A3F5C"/>
    <w:rsid w:val="660A5ADC"/>
    <w:rsid w:val="660D1128"/>
    <w:rsid w:val="66100C18"/>
    <w:rsid w:val="66134265"/>
    <w:rsid w:val="66154481"/>
    <w:rsid w:val="66157FDD"/>
    <w:rsid w:val="66171FA7"/>
    <w:rsid w:val="661A1A97"/>
    <w:rsid w:val="661C136B"/>
    <w:rsid w:val="661C5E23"/>
    <w:rsid w:val="661E3335"/>
    <w:rsid w:val="661E50E3"/>
    <w:rsid w:val="661F2C0A"/>
    <w:rsid w:val="661F70AE"/>
    <w:rsid w:val="66212E26"/>
    <w:rsid w:val="66233125"/>
    <w:rsid w:val="66240220"/>
    <w:rsid w:val="662446C4"/>
    <w:rsid w:val="662621EA"/>
    <w:rsid w:val="66263F98"/>
    <w:rsid w:val="66285F62"/>
    <w:rsid w:val="66287D10"/>
    <w:rsid w:val="662A51F4"/>
    <w:rsid w:val="662A7F2C"/>
    <w:rsid w:val="662D5327"/>
    <w:rsid w:val="66303069"/>
    <w:rsid w:val="66320B8F"/>
    <w:rsid w:val="66326DE1"/>
    <w:rsid w:val="663366B5"/>
    <w:rsid w:val="6635067F"/>
    <w:rsid w:val="66372649"/>
    <w:rsid w:val="6639277A"/>
    <w:rsid w:val="663A3EE7"/>
    <w:rsid w:val="663C37BC"/>
    <w:rsid w:val="66432D9C"/>
    <w:rsid w:val="66434B4A"/>
    <w:rsid w:val="66442670"/>
    <w:rsid w:val="66456B14"/>
    <w:rsid w:val="6646463A"/>
    <w:rsid w:val="664663E8"/>
    <w:rsid w:val="66496317"/>
    <w:rsid w:val="664A36FF"/>
    <w:rsid w:val="664B1C51"/>
    <w:rsid w:val="664B7EA3"/>
    <w:rsid w:val="664D59C9"/>
    <w:rsid w:val="664E34EF"/>
    <w:rsid w:val="665054B9"/>
    <w:rsid w:val="66507267"/>
    <w:rsid w:val="66527BAE"/>
    <w:rsid w:val="66535EF2"/>
    <w:rsid w:val="66544FA9"/>
    <w:rsid w:val="66552ACF"/>
    <w:rsid w:val="665723A3"/>
    <w:rsid w:val="66582E5A"/>
    <w:rsid w:val="665925BF"/>
    <w:rsid w:val="6659436D"/>
    <w:rsid w:val="665A1E94"/>
    <w:rsid w:val="665C3E5E"/>
    <w:rsid w:val="665E3732"/>
    <w:rsid w:val="665F74AA"/>
    <w:rsid w:val="66611474"/>
    <w:rsid w:val="66644AC0"/>
    <w:rsid w:val="66666A8A"/>
    <w:rsid w:val="66681859"/>
    <w:rsid w:val="666845B1"/>
    <w:rsid w:val="666F3B91"/>
    <w:rsid w:val="667016B7"/>
    <w:rsid w:val="6674153C"/>
    <w:rsid w:val="66754F1F"/>
    <w:rsid w:val="66756CCD"/>
    <w:rsid w:val="667747F4"/>
    <w:rsid w:val="66774BB5"/>
    <w:rsid w:val="6679056C"/>
    <w:rsid w:val="667C62AE"/>
    <w:rsid w:val="667E3DD4"/>
    <w:rsid w:val="66805D9E"/>
    <w:rsid w:val="66862C89"/>
    <w:rsid w:val="668A2779"/>
    <w:rsid w:val="668B029F"/>
    <w:rsid w:val="668B64F1"/>
    <w:rsid w:val="668C4743"/>
    <w:rsid w:val="668C6082"/>
    <w:rsid w:val="668D04BB"/>
    <w:rsid w:val="668D2269"/>
    <w:rsid w:val="668E3573"/>
    <w:rsid w:val="668F1B3D"/>
    <w:rsid w:val="668F251A"/>
    <w:rsid w:val="66900AB1"/>
    <w:rsid w:val="669037AE"/>
    <w:rsid w:val="66925AD1"/>
    <w:rsid w:val="66934810"/>
    <w:rsid w:val="6695111E"/>
    <w:rsid w:val="669672DE"/>
    <w:rsid w:val="669B4986"/>
    <w:rsid w:val="669D7007"/>
    <w:rsid w:val="669E126D"/>
    <w:rsid w:val="669E7FD2"/>
    <w:rsid w:val="66A001EE"/>
    <w:rsid w:val="66A16298"/>
    <w:rsid w:val="66A23F66"/>
    <w:rsid w:val="66A575B3"/>
    <w:rsid w:val="66A638C7"/>
    <w:rsid w:val="66A650D9"/>
    <w:rsid w:val="66A7157D"/>
    <w:rsid w:val="66A72C8A"/>
    <w:rsid w:val="66AA6977"/>
    <w:rsid w:val="66AB26EF"/>
    <w:rsid w:val="66AF0431"/>
    <w:rsid w:val="66AF21DF"/>
    <w:rsid w:val="66B141AA"/>
    <w:rsid w:val="66B15F58"/>
    <w:rsid w:val="66B23A7E"/>
    <w:rsid w:val="66B612EF"/>
    <w:rsid w:val="66B71094"/>
    <w:rsid w:val="66B94E0C"/>
    <w:rsid w:val="66B9509F"/>
    <w:rsid w:val="66BB6DD6"/>
    <w:rsid w:val="66BC66AA"/>
    <w:rsid w:val="66BE0674"/>
    <w:rsid w:val="66BE476C"/>
    <w:rsid w:val="66C35C8B"/>
    <w:rsid w:val="66C37A39"/>
    <w:rsid w:val="66C57C55"/>
    <w:rsid w:val="66C60DE4"/>
    <w:rsid w:val="66C8504F"/>
    <w:rsid w:val="66CA6024"/>
    <w:rsid w:val="66CB4B3F"/>
    <w:rsid w:val="66CC0FE3"/>
    <w:rsid w:val="66CE0A06"/>
    <w:rsid w:val="66CF1E96"/>
    <w:rsid w:val="66CF4630"/>
    <w:rsid w:val="66D103A8"/>
    <w:rsid w:val="66D165FA"/>
    <w:rsid w:val="66D41C46"/>
    <w:rsid w:val="66D659BE"/>
    <w:rsid w:val="66D67198"/>
    <w:rsid w:val="66D734E4"/>
    <w:rsid w:val="66DD58A4"/>
    <w:rsid w:val="66DE2AC5"/>
    <w:rsid w:val="66E005EB"/>
    <w:rsid w:val="66E04A8F"/>
    <w:rsid w:val="66E0683D"/>
    <w:rsid w:val="66E06995"/>
    <w:rsid w:val="66E300DB"/>
    <w:rsid w:val="66E520A5"/>
    <w:rsid w:val="66E52B79"/>
    <w:rsid w:val="66E53E53"/>
    <w:rsid w:val="66E856F1"/>
    <w:rsid w:val="66EA1469"/>
    <w:rsid w:val="66EA76BB"/>
    <w:rsid w:val="66EB7F2E"/>
    <w:rsid w:val="66EC3434"/>
    <w:rsid w:val="66EC51E2"/>
    <w:rsid w:val="66ED0F5A"/>
    <w:rsid w:val="66ED4AB6"/>
    <w:rsid w:val="66EF082E"/>
    <w:rsid w:val="66EF6A80"/>
    <w:rsid w:val="66F10A4A"/>
    <w:rsid w:val="66F12B9D"/>
    <w:rsid w:val="66F26570"/>
    <w:rsid w:val="66F347C2"/>
    <w:rsid w:val="66F35AF0"/>
    <w:rsid w:val="66F422E8"/>
    <w:rsid w:val="66F44096"/>
    <w:rsid w:val="670047E9"/>
    <w:rsid w:val="670342D9"/>
    <w:rsid w:val="670818F0"/>
    <w:rsid w:val="670A5668"/>
    <w:rsid w:val="670C13E0"/>
    <w:rsid w:val="670C3AD2"/>
    <w:rsid w:val="670E33AA"/>
    <w:rsid w:val="67112E9A"/>
    <w:rsid w:val="671169F6"/>
    <w:rsid w:val="67126AAD"/>
    <w:rsid w:val="67144738"/>
    <w:rsid w:val="6716225F"/>
    <w:rsid w:val="67185FA7"/>
    <w:rsid w:val="67185FD7"/>
    <w:rsid w:val="67191D4F"/>
    <w:rsid w:val="671B1623"/>
    <w:rsid w:val="671B5AC7"/>
    <w:rsid w:val="671D183F"/>
    <w:rsid w:val="671F424D"/>
    <w:rsid w:val="67206C39"/>
    <w:rsid w:val="67210FD7"/>
    <w:rsid w:val="67212E7F"/>
    <w:rsid w:val="67226E55"/>
    <w:rsid w:val="6723497B"/>
    <w:rsid w:val="67242BCD"/>
    <w:rsid w:val="6727446C"/>
    <w:rsid w:val="67281F92"/>
    <w:rsid w:val="67291611"/>
    <w:rsid w:val="672C3830"/>
    <w:rsid w:val="672C55DE"/>
    <w:rsid w:val="672D1356"/>
    <w:rsid w:val="67332E10"/>
    <w:rsid w:val="67334BBF"/>
    <w:rsid w:val="67340937"/>
    <w:rsid w:val="673713F9"/>
    <w:rsid w:val="673B1CC5"/>
    <w:rsid w:val="673B22E5"/>
    <w:rsid w:val="673D3C8F"/>
    <w:rsid w:val="673D5A3D"/>
    <w:rsid w:val="673D77EB"/>
    <w:rsid w:val="673F17B5"/>
    <w:rsid w:val="67446DCC"/>
    <w:rsid w:val="67452B44"/>
    <w:rsid w:val="67472418"/>
    <w:rsid w:val="67474B9A"/>
    <w:rsid w:val="674768BC"/>
    <w:rsid w:val="6748602A"/>
    <w:rsid w:val="67492634"/>
    <w:rsid w:val="674B2710"/>
    <w:rsid w:val="674C326A"/>
    <w:rsid w:val="674C3ED2"/>
    <w:rsid w:val="674C6950"/>
    <w:rsid w:val="674C7A2E"/>
    <w:rsid w:val="674E075B"/>
    <w:rsid w:val="674F5770"/>
    <w:rsid w:val="675114E9"/>
    <w:rsid w:val="6751773B"/>
    <w:rsid w:val="67530DBD"/>
    <w:rsid w:val="67566AFF"/>
    <w:rsid w:val="67567154"/>
    <w:rsid w:val="67584625"/>
    <w:rsid w:val="6759214B"/>
    <w:rsid w:val="675A65EF"/>
    <w:rsid w:val="675B4115"/>
    <w:rsid w:val="675D178D"/>
    <w:rsid w:val="6760172C"/>
    <w:rsid w:val="67627252"/>
    <w:rsid w:val="6763177F"/>
    <w:rsid w:val="6764121C"/>
    <w:rsid w:val="67641CA6"/>
    <w:rsid w:val="67642FCA"/>
    <w:rsid w:val="67654F94"/>
    <w:rsid w:val="67670D0C"/>
    <w:rsid w:val="67694A84"/>
    <w:rsid w:val="67694D5A"/>
    <w:rsid w:val="67696832"/>
    <w:rsid w:val="676A25AA"/>
    <w:rsid w:val="676A33D2"/>
    <w:rsid w:val="67705236"/>
    <w:rsid w:val="677156E7"/>
    <w:rsid w:val="67717495"/>
    <w:rsid w:val="67727B56"/>
    <w:rsid w:val="677551D7"/>
    <w:rsid w:val="67760F4F"/>
    <w:rsid w:val="67774656"/>
    <w:rsid w:val="67784CC7"/>
    <w:rsid w:val="677A27ED"/>
    <w:rsid w:val="677B0314"/>
    <w:rsid w:val="677D0530"/>
    <w:rsid w:val="67801DCE"/>
    <w:rsid w:val="67803B7C"/>
    <w:rsid w:val="6780592A"/>
    <w:rsid w:val="678216A2"/>
    <w:rsid w:val="678278F4"/>
    <w:rsid w:val="6787315C"/>
    <w:rsid w:val="67876CB8"/>
    <w:rsid w:val="67892A30"/>
    <w:rsid w:val="678A0557"/>
    <w:rsid w:val="678C0773"/>
    <w:rsid w:val="678C2521"/>
    <w:rsid w:val="678E44EB"/>
    <w:rsid w:val="678F3DBF"/>
    <w:rsid w:val="67902011"/>
    <w:rsid w:val="679118E5"/>
    <w:rsid w:val="67915D89"/>
    <w:rsid w:val="679413D5"/>
    <w:rsid w:val="67955879"/>
    <w:rsid w:val="6796339F"/>
    <w:rsid w:val="6796514D"/>
    <w:rsid w:val="67987117"/>
    <w:rsid w:val="679F04A6"/>
    <w:rsid w:val="67A07D7A"/>
    <w:rsid w:val="67A1421E"/>
    <w:rsid w:val="67A41618"/>
    <w:rsid w:val="67A45ABC"/>
    <w:rsid w:val="67A4786A"/>
    <w:rsid w:val="67A529E5"/>
    <w:rsid w:val="67A81366"/>
    <w:rsid w:val="67A91325"/>
    <w:rsid w:val="67AA29A7"/>
    <w:rsid w:val="67AC2BC3"/>
    <w:rsid w:val="67AE2497"/>
    <w:rsid w:val="67AE693B"/>
    <w:rsid w:val="67AF7FBD"/>
    <w:rsid w:val="67B04461"/>
    <w:rsid w:val="67B81568"/>
    <w:rsid w:val="67B850C4"/>
    <w:rsid w:val="67BA0E3C"/>
    <w:rsid w:val="67BA708E"/>
    <w:rsid w:val="67BC73CD"/>
    <w:rsid w:val="67BF46A4"/>
    <w:rsid w:val="67C021CA"/>
    <w:rsid w:val="67C075ED"/>
    <w:rsid w:val="67C1666E"/>
    <w:rsid w:val="67C232B4"/>
    <w:rsid w:val="67C25F42"/>
    <w:rsid w:val="67C25F5F"/>
    <w:rsid w:val="67C55A8E"/>
    <w:rsid w:val="67C577E1"/>
    <w:rsid w:val="67C63C85"/>
    <w:rsid w:val="67C66944"/>
    <w:rsid w:val="67C717AB"/>
    <w:rsid w:val="67C73559"/>
    <w:rsid w:val="67C9107F"/>
    <w:rsid w:val="67CB129B"/>
    <w:rsid w:val="67CB7C26"/>
    <w:rsid w:val="67CC0B6F"/>
    <w:rsid w:val="67CC5B90"/>
    <w:rsid w:val="67CE0D8B"/>
    <w:rsid w:val="67CE3081"/>
    <w:rsid w:val="67CF68BF"/>
    <w:rsid w:val="67D0240D"/>
    <w:rsid w:val="67D11ABD"/>
    <w:rsid w:val="67D218E9"/>
    <w:rsid w:val="67D22629"/>
    <w:rsid w:val="67D35331"/>
    <w:rsid w:val="67D6379C"/>
    <w:rsid w:val="67D673E0"/>
    <w:rsid w:val="67DA328C"/>
    <w:rsid w:val="67DD1EAC"/>
    <w:rsid w:val="67DD2D7C"/>
    <w:rsid w:val="67DF6AF4"/>
    <w:rsid w:val="67E265E5"/>
    <w:rsid w:val="67E4410B"/>
    <w:rsid w:val="67E7176C"/>
    <w:rsid w:val="67E91721"/>
    <w:rsid w:val="67E934CF"/>
    <w:rsid w:val="67EB7247"/>
    <w:rsid w:val="67EC6609"/>
    <w:rsid w:val="67F00D02"/>
    <w:rsid w:val="67F02AB0"/>
    <w:rsid w:val="67F3434E"/>
    <w:rsid w:val="67F44D9B"/>
    <w:rsid w:val="67F51E74"/>
    <w:rsid w:val="67F7525A"/>
    <w:rsid w:val="67F87BB6"/>
    <w:rsid w:val="67F87EA2"/>
    <w:rsid w:val="67FA1B80"/>
    <w:rsid w:val="67FA56DC"/>
    <w:rsid w:val="67FB3202"/>
    <w:rsid w:val="67FD341E"/>
    <w:rsid w:val="67FD6F7B"/>
    <w:rsid w:val="67FF2CF3"/>
    <w:rsid w:val="68000819"/>
    <w:rsid w:val="68014CBD"/>
    <w:rsid w:val="68016A6B"/>
    <w:rsid w:val="68021F70"/>
    <w:rsid w:val="68024591"/>
    <w:rsid w:val="680622D3"/>
    <w:rsid w:val="68064081"/>
    <w:rsid w:val="68071BA7"/>
    <w:rsid w:val="68093B71"/>
    <w:rsid w:val="680B6E70"/>
    <w:rsid w:val="680D5952"/>
    <w:rsid w:val="680D75C9"/>
    <w:rsid w:val="680E1188"/>
    <w:rsid w:val="680E2F36"/>
    <w:rsid w:val="68112A26"/>
    <w:rsid w:val="68150768"/>
    <w:rsid w:val="681D761D"/>
    <w:rsid w:val="682409AB"/>
    <w:rsid w:val="68243E7A"/>
    <w:rsid w:val="68273FF7"/>
    <w:rsid w:val="68282249"/>
    <w:rsid w:val="682B3AE8"/>
    <w:rsid w:val="682B7F8C"/>
    <w:rsid w:val="682C160E"/>
    <w:rsid w:val="682E35D8"/>
    <w:rsid w:val="682F0F8D"/>
    <w:rsid w:val="683010FE"/>
    <w:rsid w:val="68307350"/>
    <w:rsid w:val="683230C8"/>
    <w:rsid w:val="68324E76"/>
    <w:rsid w:val="68336E40"/>
    <w:rsid w:val="68362CCE"/>
    <w:rsid w:val="6837771F"/>
    <w:rsid w:val="68394A57"/>
    <w:rsid w:val="683A1F7D"/>
    <w:rsid w:val="683A3D2B"/>
    <w:rsid w:val="683C4C6E"/>
    <w:rsid w:val="683C7AA3"/>
    <w:rsid w:val="683E1A6D"/>
    <w:rsid w:val="683F7593"/>
    <w:rsid w:val="6841155D"/>
    <w:rsid w:val="6841330B"/>
    <w:rsid w:val="684150B9"/>
    <w:rsid w:val="68420E31"/>
    <w:rsid w:val="684352D5"/>
    <w:rsid w:val="68442DFB"/>
    <w:rsid w:val="684474B4"/>
    <w:rsid w:val="684614D3"/>
    <w:rsid w:val="684626D0"/>
    <w:rsid w:val="6848469A"/>
    <w:rsid w:val="68490412"/>
    <w:rsid w:val="684921C0"/>
    <w:rsid w:val="684B418A"/>
    <w:rsid w:val="684B5F38"/>
    <w:rsid w:val="684F3C7A"/>
    <w:rsid w:val="685017A0"/>
    <w:rsid w:val="68527809"/>
    <w:rsid w:val="68550B65"/>
    <w:rsid w:val="685748DD"/>
    <w:rsid w:val="68581629"/>
    <w:rsid w:val="685A43CD"/>
    <w:rsid w:val="685C1EF3"/>
    <w:rsid w:val="685C6397"/>
    <w:rsid w:val="685F19E3"/>
    <w:rsid w:val="686139AD"/>
    <w:rsid w:val="68622876"/>
    <w:rsid w:val="68692862"/>
    <w:rsid w:val="68694610"/>
    <w:rsid w:val="686B660F"/>
    <w:rsid w:val="68713911"/>
    <w:rsid w:val="68721717"/>
    <w:rsid w:val="687234C5"/>
    <w:rsid w:val="68724DA1"/>
    <w:rsid w:val="687436E1"/>
    <w:rsid w:val="68757459"/>
    <w:rsid w:val="68782ECC"/>
    <w:rsid w:val="687A4A6F"/>
    <w:rsid w:val="687E00BB"/>
    <w:rsid w:val="687E630D"/>
    <w:rsid w:val="68810835"/>
    <w:rsid w:val="6881195A"/>
    <w:rsid w:val="68833924"/>
    <w:rsid w:val="6885769C"/>
    <w:rsid w:val="688651C2"/>
    <w:rsid w:val="688A4CB2"/>
    <w:rsid w:val="688B27D8"/>
    <w:rsid w:val="688D47A2"/>
    <w:rsid w:val="688D6550"/>
    <w:rsid w:val="688F051A"/>
    <w:rsid w:val="68923B67"/>
    <w:rsid w:val="6894168D"/>
    <w:rsid w:val="68945B31"/>
    <w:rsid w:val="689478DF"/>
    <w:rsid w:val="68965718"/>
    <w:rsid w:val="68975621"/>
    <w:rsid w:val="68994EF5"/>
    <w:rsid w:val="689C6793"/>
    <w:rsid w:val="689E075E"/>
    <w:rsid w:val="689E292E"/>
    <w:rsid w:val="689F0032"/>
    <w:rsid w:val="68A35D74"/>
    <w:rsid w:val="68A37B22"/>
    <w:rsid w:val="68A45648"/>
    <w:rsid w:val="68A8338A"/>
    <w:rsid w:val="68A85138"/>
    <w:rsid w:val="68A86CBB"/>
    <w:rsid w:val="68A90854"/>
    <w:rsid w:val="68AA5354"/>
    <w:rsid w:val="68AB4C28"/>
    <w:rsid w:val="68AD09A1"/>
    <w:rsid w:val="68AD274F"/>
    <w:rsid w:val="68AD6BF3"/>
    <w:rsid w:val="68AF296B"/>
    <w:rsid w:val="68AF4719"/>
    <w:rsid w:val="68AF64C7"/>
    <w:rsid w:val="68B24209"/>
    <w:rsid w:val="68B43ADD"/>
    <w:rsid w:val="68B735CD"/>
    <w:rsid w:val="68B7537B"/>
    <w:rsid w:val="68B910F3"/>
    <w:rsid w:val="68BA09C6"/>
    <w:rsid w:val="68BB130F"/>
    <w:rsid w:val="68BE495C"/>
    <w:rsid w:val="68C606AA"/>
    <w:rsid w:val="68C63810"/>
    <w:rsid w:val="68C857DA"/>
    <w:rsid w:val="68CA3301"/>
    <w:rsid w:val="68CA77A4"/>
    <w:rsid w:val="68CB0E27"/>
    <w:rsid w:val="68CB7079"/>
    <w:rsid w:val="68CD4B9F"/>
    <w:rsid w:val="68CF0917"/>
    <w:rsid w:val="68D138E4"/>
    <w:rsid w:val="68D26659"/>
    <w:rsid w:val="68D423D1"/>
    <w:rsid w:val="68D4413E"/>
    <w:rsid w:val="68D51CA5"/>
    <w:rsid w:val="68D73C6F"/>
    <w:rsid w:val="68D93544"/>
    <w:rsid w:val="68DB72BC"/>
    <w:rsid w:val="68DC28D0"/>
    <w:rsid w:val="68DE0B5A"/>
    <w:rsid w:val="68DE6DAC"/>
    <w:rsid w:val="68DF7B10"/>
    <w:rsid w:val="68E00D76"/>
    <w:rsid w:val="68E048D2"/>
    <w:rsid w:val="68E1689C"/>
    <w:rsid w:val="68E5638C"/>
    <w:rsid w:val="68E87C2B"/>
    <w:rsid w:val="68EB77F4"/>
    <w:rsid w:val="68ED2114"/>
    <w:rsid w:val="68F00A95"/>
    <w:rsid w:val="68F14D31"/>
    <w:rsid w:val="68F20AA9"/>
    <w:rsid w:val="68F22857"/>
    <w:rsid w:val="68F24605"/>
    <w:rsid w:val="68F47416"/>
    <w:rsid w:val="68F61DF4"/>
    <w:rsid w:val="68F62348"/>
    <w:rsid w:val="68F71C1C"/>
    <w:rsid w:val="68F760C0"/>
    <w:rsid w:val="68F93BE6"/>
    <w:rsid w:val="68F95994"/>
    <w:rsid w:val="68FE2FAA"/>
    <w:rsid w:val="690031C6"/>
    <w:rsid w:val="69004F74"/>
    <w:rsid w:val="69006D22"/>
    <w:rsid w:val="69034A64"/>
    <w:rsid w:val="69054339"/>
    <w:rsid w:val="6907588C"/>
    <w:rsid w:val="690A7BA1"/>
    <w:rsid w:val="690D3C6D"/>
    <w:rsid w:val="690D487B"/>
    <w:rsid w:val="690F3409"/>
    <w:rsid w:val="690F51B7"/>
    <w:rsid w:val="691150BC"/>
    <w:rsid w:val="69126A56"/>
    <w:rsid w:val="691427CE"/>
    <w:rsid w:val="69164798"/>
    <w:rsid w:val="6917406C"/>
    <w:rsid w:val="69180510"/>
    <w:rsid w:val="69196036"/>
    <w:rsid w:val="69197DE4"/>
    <w:rsid w:val="691B3B5C"/>
    <w:rsid w:val="691B590A"/>
    <w:rsid w:val="691B6CFF"/>
    <w:rsid w:val="691C1682"/>
    <w:rsid w:val="691D5B26"/>
    <w:rsid w:val="691E466B"/>
    <w:rsid w:val="691F431B"/>
    <w:rsid w:val="69222494"/>
    <w:rsid w:val="69232A11"/>
    <w:rsid w:val="69236EB5"/>
    <w:rsid w:val="69252C2D"/>
    <w:rsid w:val="69270753"/>
    <w:rsid w:val="69272501"/>
    <w:rsid w:val="69292367"/>
    <w:rsid w:val="692A1FF1"/>
    <w:rsid w:val="692A3D9F"/>
    <w:rsid w:val="692C0F9D"/>
    <w:rsid w:val="692C7B17"/>
    <w:rsid w:val="692F5019"/>
    <w:rsid w:val="692F7608"/>
    <w:rsid w:val="69305F28"/>
    <w:rsid w:val="69307669"/>
    <w:rsid w:val="6931512E"/>
    <w:rsid w:val="693410C2"/>
    <w:rsid w:val="69342344"/>
    <w:rsid w:val="69362744"/>
    <w:rsid w:val="69382960"/>
    <w:rsid w:val="6938470E"/>
    <w:rsid w:val="693A214A"/>
    <w:rsid w:val="693B5FAC"/>
    <w:rsid w:val="693D1D24"/>
    <w:rsid w:val="693D7F76"/>
    <w:rsid w:val="693E784B"/>
    <w:rsid w:val="694110E9"/>
    <w:rsid w:val="6942558D"/>
    <w:rsid w:val="6942733B"/>
    <w:rsid w:val="694330B3"/>
    <w:rsid w:val="69474951"/>
    <w:rsid w:val="694806C9"/>
    <w:rsid w:val="694A2693"/>
    <w:rsid w:val="694A4441"/>
    <w:rsid w:val="694D7A8E"/>
    <w:rsid w:val="694E3F32"/>
    <w:rsid w:val="695157D0"/>
    <w:rsid w:val="695218D5"/>
    <w:rsid w:val="69531548"/>
    <w:rsid w:val="695452C0"/>
    <w:rsid w:val="69561038"/>
    <w:rsid w:val="69584DB0"/>
    <w:rsid w:val="69586B5E"/>
    <w:rsid w:val="695928D6"/>
    <w:rsid w:val="695A0B28"/>
    <w:rsid w:val="695A65C4"/>
    <w:rsid w:val="695B03FD"/>
    <w:rsid w:val="695B664F"/>
    <w:rsid w:val="695D4175"/>
    <w:rsid w:val="69605A13"/>
    <w:rsid w:val="69612116"/>
    <w:rsid w:val="696279DD"/>
    <w:rsid w:val="69635503"/>
    <w:rsid w:val="6965127B"/>
    <w:rsid w:val="69692B1A"/>
    <w:rsid w:val="696A0640"/>
    <w:rsid w:val="696D1EDE"/>
    <w:rsid w:val="696D2228"/>
    <w:rsid w:val="696D4097"/>
    <w:rsid w:val="696F3EA8"/>
    <w:rsid w:val="696F58A5"/>
    <w:rsid w:val="696F7D1E"/>
    <w:rsid w:val="69717C20"/>
    <w:rsid w:val="697274F4"/>
    <w:rsid w:val="6973347C"/>
    <w:rsid w:val="69733998"/>
    <w:rsid w:val="697473B7"/>
    <w:rsid w:val="69755D9C"/>
    <w:rsid w:val="69763488"/>
    <w:rsid w:val="69765236"/>
    <w:rsid w:val="69771DFD"/>
    <w:rsid w:val="69794D27"/>
    <w:rsid w:val="69796AD5"/>
    <w:rsid w:val="697B27CA"/>
    <w:rsid w:val="697B284D"/>
    <w:rsid w:val="697B45FB"/>
    <w:rsid w:val="697F233D"/>
    <w:rsid w:val="697F5E1B"/>
    <w:rsid w:val="69831701"/>
    <w:rsid w:val="69841830"/>
    <w:rsid w:val="698536CB"/>
    <w:rsid w:val="69886D18"/>
    <w:rsid w:val="69894F6A"/>
    <w:rsid w:val="698A2A90"/>
    <w:rsid w:val="698B325A"/>
    <w:rsid w:val="698C05B6"/>
    <w:rsid w:val="698F1514"/>
    <w:rsid w:val="69931944"/>
    <w:rsid w:val="69937B96"/>
    <w:rsid w:val="699A3D71"/>
    <w:rsid w:val="699B2EEF"/>
    <w:rsid w:val="699B570A"/>
    <w:rsid w:val="699F29DF"/>
    <w:rsid w:val="699F4C15"/>
    <w:rsid w:val="69A022B3"/>
    <w:rsid w:val="69A04061"/>
    <w:rsid w:val="69A2427D"/>
    <w:rsid w:val="69A41DA4"/>
    <w:rsid w:val="69A476D9"/>
    <w:rsid w:val="69A47FF6"/>
    <w:rsid w:val="69A73642"/>
    <w:rsid w:val="69A91168"/>
    <w:rsid w:val="69A9560C"/>
    <w:rsid w:val="69AB1384"/>
    <w:rsid w:val="69AB25EC"/>
    <w:rsid w:val="69AC0C58"/>
    <w:rsid w:val="69AC6EAA"/>
    <w:rsid w:val="69AE2C22"/>
    <w:rsid w:val="69AE49D0"/>
    <w:rsid w:val="69B0699A"/>
    <w:rsid w:val="69B12712"/>
    <w:rsid w:val="69B33D95"/>
    <w:rsid w:val="69B47B0D"/>
    <w:rsid w:val="69B63885"/>
    <w:rsid w:val="69B813AB"/>
    <w:rsid w:val="69B91BB0"/>
    <w:rsid w:val="69BA3040"/>
    <w:rsid w:val="69BB0E9B"/>
    <w:rsid w:val="69BB636A"/>
    <w:rsid w:val="69BD2E65"/>
    <w:rsid w:val="69BF6BDD"/>
    <w:rsid w:val="69C13DBA"/>
    <w:rsid w:val="69C2047C"/>
    <w:rsid w:val="69C2222A"/>
    <w:rsid w:val="69C328C6"/>
    <w:rsid w:val="69C45FA2"/>
    <w:rsid w:val="69C50153"/>
    <w:rsid w:val="69C53AC8"/>
    <w:rsid w:val="69C76E6E"/>
    <w:rsid w:val="69CA7218"/>
    <w:rsid w:val="69CB37D4"/>
    <w:rsid w:val="69CB5582"/>
    <w:rsid w:val="69CB6B96"/>
    <w:rsid w:val="69CE0BCF"/>
    <w:rsid w:val="69D02B99"/>
    <w:rsid w:val="69D34437"/>
    <w:rsid w:val="69D361E5"/>
    <w:rsid w:val="69D63F27"/>
    <w:rsid w:val="69D65CD5"/>
    <w:rsid w:val="69D81A4D"/>
    <w:rsid w:val="69D87C9F"/>
    <w:rsid w:val="69DF102E"/>
    <w:rsid w:val="69DF2DDC"/>
    <w:rsid w:val="69E06B54"/>
    <w:rsid w:val="69E50BBC"/>
    <w:rsid w:val="69E76134"/>
    <w:rsid w:val="69EB1780"/>
    <w:rsid w:val="69EC374B"/>
    <w:rsid w:val="69EE301F"/>
    <w:rsid w:val="69EE7718"/>
    <w:rsid w:val="69F0323B"/>
    <w:rsid w:val="69F04FE9"/>
    <w:rsid w:val="69F20600"/>
    <w:rsid w:val="69F47C99"/>
    <w:rsid w:val="69F525FF"/>
    <w:rsid w:val="69F543AD"/>
    <w:rsid w:val="69F745C9"/>
    <w:rsid w:val="69F820EF"/>
    <w:rsid w:val="69FB573C"/>
    <w:rsid w:val="69FD2ACB"/>
    <w:rsid w:val="69FD3262"/>
    <w:rsid w:val="69FF522C"/>
    <w:rsid w:val="69FF6FDA"/>
    <w:rsid w:val="6A0171F6"/>
    <w:rsid w:val="6A072332"/>
    <w:rsid w:val="6A072AD7"/>
    <w:rsid w:val="6A08639F"/>
    <w:rsid w:val="6A0A597F"/>
    <w:rsid w:val="6A0C16F7"/>
    <w:rsid w:val="6A0D5B9B"/>
    <w:rsid w:val="6A0D6879"/>
    <w:rsid w:val="6A114F5F"/>
    <w:rsid w:val="6A116D0D"/>
    <w:rsid w:val="6A197BB4"/>
    <w:rsid w:val="6A1A2066"/>
    <w:rsid w:val="6A1A3E14"/>
    <w:rsid w:val="6A1B780C"/>
    <w:rsid w:val="6A1C5DDE"/>
    <w:rsid w:val="6A205AAB"/>
    <w:rsid w:val="6A211646"/>
    <w:rsid w:val="6A2151A2"/>
    <w:rsid w:val="6A2353BE"/>
    <w:rsid w:val="6A242EE4"/>
    <w:rsid w:val="6A244298"/>
    <w:rsid w:val="6A260A0B"/>
    <w:rsid w:val="6A2627B9"/>
    <w:rsid w:val="6A276531"/>
    <w:rsid w:val="6A280C40"/>
    <w:rsid w:val="6A2829D5"/>
    <w:rsid w:val="6A283551"/>
    <w:rsid w:val="6A290C33"/>
    <w:rsid w:val="6A2922A9"/>
    <w:rsid w:val="6A2B4273"/>
    <w:rsid w:val="6A2C0791"/>
    <w:rsid w:val="6A2D47F2"/>
    <w:rsid w:val="6A303637"/>
    <w:rsid w:val="6A313B87"/>
    <w:rsid w:val="6A3273AF"/>
    <w:rsid w:val="6A334ED5"/>
    <w:rsid w:val="6A341AF4"/>
    <w:rsid w:val="6A3749C6"/>
    <w:rsid w:val="6A38073E"/>
    <w:rsid w:val="6A3A44B6"/>
    <w:rsid w:val="6A3A6264"/>
    <w:rsid w:val="6A3D7B02"/>
    <w:rsid w:val="6A3F7D1E"/>
    <w:rsid w:val="6A413A96"/>
    <w:rsid w:val="6A415844"/>
    <w:rsid w:val="6A425119"/>
    <w:rsid w:val="6A4315BC"/>
    <w:rsid w:val="6A445335"/>
    <w:rsid w:val="6A4470E3"/>
    <w:rsid w:val="6A484E25"/>
    <w:rsid w:val="6A49288A"/>
    <w:rsid w:val="6A4946F9"/>
    <w:rsid w:val="6A4B791D"/>
    <w:rsid w:val="6A4C5F97"/>
    <w:rsid w:val="6A4D243B"/>
    <w:rsid w:val="6A4D3907"/>
    <w:rsid w:val="6A4D41E9"/>
    <w:rsid w:val="6A4E1D0F"/>
    <w:rsid w:val="6A505A87"/>
    <w:rsid w:val="6A51101C"/>
    <w:rsid w:val="6A5135AE"/>
    <w:rsid w:val="6A575068"/>
    <w:rsid w:val="6A58493C"/>
    <w:rsid w:val="6A5A06B4"/>
    <w:rsid w:val="6A5A6906"/>
    <w:rsid w:val="6A5F3F1C"/>
    <w:rsid w:val="6A602252"/>
    <w:rsid w:val="6A615EE7"/>
    <w:rsid w:val="6A6257BB"/>
    <w:rsid w:val="6A647785"/>
    <w:rsid w:val="6A6652AB"/>
    <w:rsid w:val="6A6B4794"/>
    <w:rsid w:val="6A6D1807"/>
    <w:rsid w:val="6A6E23B2"/>
    <w:rsid w:val="6A6E5F0E"/>
    <w:rsid w:val="6A707ED8"/>
    <w:rsid w:val="6A724667"/>
    <w:rsid w:val="6A7259FE"/>
    <w:rsid w:val="6A745C1A"/>
    <w:rsid w:val="6A773014"/>
    <w:rsid w:val="6A785127"/>
    <w:rsid w:val="6A7A48B2"/>
    <w:rsid w:val="6A7A6FA8"/>
    <w:rsid w:val="6A7C2912"/>
    <w:rsid w:val="6A7C3E38"/>
    <w:rsid w:val="6A7D43A3"/>
    <w:rsid w:val="6A7E0847"/>
    <w:rsid w:val="6A835E5D"/>
    <w:rsid w:val="6A840C36"/>
    <w:rsid w:val="6A841BD5"/>
    <w:rsid w:val="6A8614A9"/>
    <w:rsid w:val="6A8676FB"/>
    <w:rsid w:val="6A892D47"/>
    <w:rsid w:val="6A8A11AD"/>
    <w:rsid w:val="6A8A71EB"/>
    <w:rsid w:val="6A8B4D12"/>
    <w:rsid w:val="6A8B53A7"/>
    <w:rsid w:val="6A8C669E"/>
    <w:rsid w:val="6A8D6CDC"/>
    <w:rsid w:val="6A8F3B8F"/>
    <w:rsid w:val="6A902FB9"/>
    <w:rsid w:val="6A9040D6"/>
    <w:rsid w:val="6A911080"/>
    <w:rsid w:val="6A933BC6"/>
    <w:rsid w:val="6A941E18"/>
    <w:rsid w:val="6A9516EC"/>
    <w:rsid w:val="6A975464"/>
    <w:rsid w:val="6A9A6D03"/>
    <w:rsid w:val="6A9C2A7B"/>
    <w:rsid w:val="6A9E4A45"/>
    <w:rsid w:val="6A9E5FFA"/>
    <w:rsid w:val="6A9F256B"/>
    <w:rsid w:val="6AA13DE3"/>
    <w:rsid w:val="6AA3205B"/>
    <w:rsid w:val="6AA33E09"/>
    <w:rsid w:val="6AA56795"/>
    <w:rsid w:val="6AAA163C"/>
    <w:rsid w:val="6AAD4C88"/>
    <w:rsid w:val="6AAD6A36"/>
    <w:rsid w:val="6AAF6C52"/>
    <w:rsid w:val="6AB46016"/>
    <w:rsid w:val="6AB51D8E"/>
    <w:rsid w:val="6AB73D58"/>
    <w:rsid w:val="6AB9187F"/>
    <w:rsid w:val="6ABA55F7"/>
    <w:rsid w:val="6AC029BD"/>
    <w:rsid w:val="6AC10733"/>
    <w:rsid w:val="6AC344AB"/>
    <w:rsid w:val="6AC63F9C"/>
    <w:rsid w:val="6ACB15B2"/>
    <w:rsid w:val="6ACB2952"/>
    <w:rsid w:val="6ACD70D8"/>
    <w:rsid w:val="6ACE4BFE"/>
    <w:rsid w:val="6ACF2E50"/>
    <w:rsid w:val="6AD00976"/>
    <w:rsid w:val="6AD14E1A"/>
    <w:rsid w:val="6AD246EE"/>
    <w:rsid w:val="6AD30E33"/>
    <w:rsid w:val="6AD40467"/>
    <w:rsid w:val="6AD55F8D"/>
    <w:rsid w:val="6AD9782B"/>
    <w:rsid w:val="6ADA322E"/>
    <w:rsid w:val="6ADB7A47"/>
    <w:rsid w:val="6ADC37BF"/>
    <w:rsid w:val="6AE248C6"/>
    <w:rsid w:val="6AE27497"/>
    <w:rsid w:val="6AE368FC"/>
    <w:rsid w:val="6AE41DB7"/>
    <w:rsid w:val="6AE461D0"/>
    <w:rsid w:val="6AE6019A"/>
    <w:rsid w:val="6AE82164"/>
    <w:rsid w:val="6AE94799"/>
    <w:rsid w:val="6AEB3A02"/>
    <w:rsid w:val="6AEB57B0"/>
    <w:rsid w:val="6AEC0BB1"/>
    <w:rsid w:val="6AED777A"/>
    <w:rsid w:val="6AEF34F2"/>
    <w:rsid w:val="6AEF52A0"/>
    <w:rsid w:val="6AF208ED"/>
    <w:rsid w:val="6AF40B09"/>
    <w:rsid w:val="6AF52D3C"/>
    <w:rsid w:val="6AF705F9"/>
    <w:rsid w:val="6AF97ECD"/>
    <w:rsid w:val="6AFA571E"/>
    <w:rsid w:val="6AFA59F3"/>
    <w:rsid w:val="6AFB1E97"/>
    <w:rsid w:val="6AFB3C45"/>
    <w:rsid w:val="6AFE7291"/>
    <w:rsid w:val="6AFF300A"/>
    <w:rsid w:val="6B000129"/>
    <w:rsid w:val="6B030C27"/>
    <w:rsid w:val="6B030D4C"/>
    <w:rsid w:val="6B056872"/>
    <w:rsid w:val="6B0625EA"/>
    <w:rsid w:val="6B064398"/>
    <w:rsid w:val="6B07083C"/>
    <w:rsid w:val="6B0A20DA"/>
    <w:rsid w:val="6B0A3E88"/>
    <w:rsid w:val="6B0A717F"/>
    <w:rsid w:val="6B0B140D"/>
    <w:rsid w:val="6B0B19AE"/>
    <w:rsid w:val="6B0F0156"/>
    <w:rsid w:val="6B0F149F"/>
    <w:rsid w:val="6B0F6EF9"/>
    <w:rsid w:val="6B107944"/>
    <w:rsid w:val="6B120F8F"/>
    <w:rsid w:val="6B122D3D"/>
    <w:rsid w:val="6B144D07"/>
    <w:rsid w:val="6B166CD1"/>
    <w:rsid w:val="6B19056F"/>
    <w:rsid w:val="6B1B3F64"/>
    <w:rsid w:val="6B1B42E7"/>
    <w:rsid w:val="6B1B6095"/>
    <w:rsid w:val="6B2111D2"/>
    <w:rsid w:val="6B2579D2"/>
    <w:rsid w:val="6B264A3A"/>
    <w:rsid w:val="6B2807B2"/>
    <w:rsid w:val="6B295089"/>
    <w:rsid w:val="6B2A0087"/>
    <w:rsid w:val="6B2A277C"/>
    <w:rsid w:val="6B2A452A"/>
    <w:rsid w:val="6B2C02A3"/>
    <w:rsid w:val="6B2D401B"/>
    <w:rsid w:val="6B301415"/>
    <w:rsid w:val="6B3057ED"/>
    <w:rsid w:val="6B31560E"/>
    <w:rsid w:val="6B316C7D"/>
    <w:rsid w:val="6B321631"/>
    <w:rsid w:val="6B32518D"/>
    <w:rsid w:val="6B39476E"/>
    <w:rsid w:val="6B3C600C"/>
    <w:rsid w:val="6B3D24B0"/>
    <w:rsid w:val="6B3E1D84"/>
    <w:rsid w:val="6B405AFC"/>
    <w:rsid w:val="6B413622"/>
    <w:rsid w:val="6B427AC6"/>
    <w:rsid w:val="6B43383E"/>
    <w:rsid w:val="6B4355EC"/>
    <w:rsid w:val="6B451364"/>
    <w:rsid w:val="6B456583"/>
    <w:rsid w:val="6B480E55"/>
    <w:rsid w:val="6B4849B1"/>
    <w:rsid w:val="6B4A24D7"/>
    <w:rsid w:val="6B4A697B"/>
    <w:rsid w:val="6B4B624F"/>
    <w:rsid w:val="6B4C44A1"/>
    <w:rsid w:val="6B4F073B"/>
    <w:rsid w:val="6B4F3F91"/>
    <w:rsid w:val="6B506C8B"/>
    <w:rsid w:val="6B511AB7"/>
    <w:rsid w:val="6B5275DD"/>
    <w:rsid w:val="6B534390"/>
    <w:rsid w:val="6B543355"/>
    <w:rsid w:val="6B5477F9"/>
    <w:rsid w:val="6B5670CE"/>
    <w:rsid w:val="6B572A56"/>
    <w:rsid w:val="6B574014"/>
    <w:rsid w:val="6B59096C"/>
    <w:rsid w:val="6B5975CA"/>
    <w:rsid w:val="6B5B2936"/>
    <w:rsid w:val="6B5C5F4B"/>
    <w:rsid w:val="6B5D66AE"/>
    <w:rsid w:val="6B5E2426"/>
    <w:rsid w:val="6B5E41D4"/>
    <w:rsid w:val="6B621F16"/>
    <w:rsid w:val="6B623CC4"/>
    <w:rsid w:val="6B625FEC"/>
    <w:rsid w:val="6B633598"/>
    <w:rsid w:val="6B652321"/>
    <w:rsid w:val="6B6537B4"/>
    <w:rsid w:val="6B655563"/>
    <w:rsid w:val="6B657311"/>
    <w:rsid w:val="6B6712DB"/>
    <w:rsid w:val="6B680BAF"/>
    <w:rsid w:val="6B6932A5"/>
    <w:rsid w:val="6B6C68F1"/>
    <w:rsid w:val="6B6F018F"/>
    <w:rsid w:val="6B6F17F0"/>
    <w:rsid w:val="6B7043C1"/>
    <w:rsid w:val="6B713F07"/>
    <w:rsid w:val="6B7255A0"/>
    <w:rsid w:val="6B735ED1"/>
    <w:rsid w:val="6B737C7F"/>
    <w:rsid w:val="6B7457A6"/>
    <w:rsid w:val="6B763539"/>
    <w:rsid w:val="6B777044"/>
    <w:rsid w:val="6B79100E"/>
    <w:rsid w:val="6B795473"/>
    <w:rsid w:val="6B797260"/>
    <w:rsid w:val="6B7B2FD8"/>
    <w:rsid w:val="6B7B4D86"/>
    <w:rsid w:val="6B7D0AFE"/>
    <w:rsid w:val="6B7E6624"/>
    <w:rsid w:val="6B80239C"/>
    <w:rsid w:val="6B811C71"/>
    <w:rsid w:val="6B827EC3"/>
    <w:rsid w:val="6B833C3B"/>
    <w:rsid w:val="6B8754D9"/>
    <w:rsid w:val="6B882B65"/>
    <w:rsid w:val="6B8A3827"/>
    <w:rsid w:val="6B8A4FC9"/>
    <w:rsid w:val="6B8C2AEF"/>
    <w:rsid w:val="6B8F25DF"/>
    <w:rsid w:val="6B8F438D"/>
    <w:rsid w:val="6B911055"/>
    <w:rsid w:val="6B9136FA"/>
    <w:rsid w:val="6B9145AA"/>
    <w:rsid w:val="6B96571C"/>
    <w:rsid w:val="6B985938"/>
    <w:rsid w:val="6B9A16B0"/>
    <w:rsid w:val="6B9A7068"/>
    <w:rsid w:val="6B9B2D32"/>
    <w:rsid w:val="6B9D33DE"/>
    <w:rsid w:val="6B9E2823"/>
    <w:rsid w:val="6BA02A3F"/>
    <w:rsid w:val="6BA0659B"/>
    <w:rsid w:val="6BA20565"/>
    <w:rsid w:val="6BA41B70"/>
    <w:rsid w:val="6BA75B7B"/>
    <w:rsid w:val="6BA918F3"/>
    <w:rsid w:val="6BAC3191"/>
    <w:rsid w:val="6BAC6F97"/>
    <w:rsid w:val="6BAD1792"/>
    <w:rsid w:val="6BAD670F"/>
    <w:rsid w:val="6BAE515B"/>
    <w:rsid w:val="6BAE6F0A"/>
    <w:rsid w:val="6BAF2C82"/>
    <w:rsid w:val="6BAF4A30"/>
    <w:rsid w:val="6BB06970"/>
    <w:rsid w:val="6BB427A8"/>
    <w:rsid w:val="6BB67B6C"/>
    <w:rsid w:val="6BB81B36"/>
    <w:rsid w:val="6BB838E4"/>
    <w:rsid w:val="6BB87D88"/>
    <w:rsid w:val="6BBA3B00"/>
    <w:rsid w:val="6BBA58AE"/>
    <w:rsid w:val="6BBD0EFB"/>
    <w:rsid w:val="6BC009EB"/>
    <w:rsid w:val="6BC32289"/>
    <w:rsid w:val="6BC404DB"/>
    <w:rsid w:val="6BC54253"/>
    <w:rsid w:val="6BC56001"/>
    <w:rsid w:val="6BC73B27"/>
    <w:rsid w:val="6BC77FCB"/>
    <w:rsid w:val="6BC8789F"/>
    <w:rsid w:val="6BCA186A"/>
    <w:rsid w:val="6BCB4D1B"/>
    <w:rsid w:val="6BCC7390"/>
    <w:rsid w:val="6BCF0C2E"/>
    <w:rsid w:val="6BD271C2"/>
    <w:rsid w:val="6BD34BC2"/>
    <w:rsid w:val="6BD44496"/>
    <w:rsid w:val="6BD66460"/>
    <w:rsid w:val="6BD832B3"/>
    <w:rsid w:val="6BDA065F"/>
    <w:rsid w:val="6BDA3F4C"/>
    <w:rsid w:val="6BDB75D3"/>
    <w:rsid w:val="6BDF70C3"/>
    <w:rsid w:val="6BE26BB3"/>
    <w:rsid w:val="6BE32FA2"/>
    <w:rsid w:val="6BE4292B"/>
    <w:rsid w:val="6BE47003"/>
    <w:rsid w:val="6BE56D52"/>
    <w:rsid w:val="6BE741CA"/>
    <w:rsid w:val="6BE91CF0"/>
    <w:rsid w:val="6BE96194"/>
    <w:rsid w:val="6BE97F42"/>
    <w:rsid w:val="6BEA5A68"/>
    <w:rsid w:val="6BEB75E2"/>
    <w:rsid w:val="6BEC358E"/>
    <w:rsid w:val="6BF3491C"/>
    <w:rsid w:val="6BF57173"/>
    <w:rsid w:val="6BF608B1"/>
    <w:rsid w:val="6BF6440D"/>
    <w:rsid w:val="6BF75D2B"/>
    <w:rsid w:val="6BF95CAB"/>
    <w:rsid w:val="6BFA3041"/>
    <w:rsid w:val="6BFB1A23"/>
    <w:rsid w:val="6BFB5EC7"/>
    <w:rsid w:val="6BFD39ED"/>
    <w:rsid w:val="6BFD579B"/>
    <w:rsid w:val="6C00509B"/>
    <w:rsid w:val="6C0065F0"/>
    <w:rsid w:val="6C022DB1"/>
    <w:rsid w:val="6C027255"/>
    <w:rsid w:val="6C0279BB"/>
    <w:rsid w:val="6C0422DB"/>
    <w:rsid w:val="6C046B2A"/>
    <w:rsid w:val="6C0905E4"/>
    <w:rsid w:val="6C0C3C30"/>
    <w:rsid w:val="6C0D76BF"/>
    <w:rsid w:val="6C0E1756"/>
    <w:rsid w:val="6C0E79A8"/>
    <w:rsid w:val="6C0F54CE"/>
    <w:rsid w:val="6C136D6D"/>
    <w:rsid w:val="6C156F89"/>
    <w:rsid w:val="6C164AAF"/>
    <w:rsid w:val="6C1A634D"/>
    <w:rsid w:val="6C1D408F"/>
    <w:rsid w:val="6C1F5711"/>
    <w:rsid w:val="6C1F6EE3"/>
    <w:rsid w:val="6C2076DB"/>
    <w:rsid w:val="6C223454"/>
    <w:rsid w:val="6C225202"/>
    <w:rsid w:val="6C2418C5"/>
    <w:rsid w:val="6C2471CC"/>
    <w:rsid w:val="6C264CF2"/>
    <w:rsid w:val="6C290BE4"/>
    <w:rsid w:val="6C2942A7"/>
    <w:rsid w:val="6C2947E2"/>
    <w:rsid w:val="6C2C42D2"/>
    <w:rsid w:val="6C2E004A"/>
    <w:rsid w:val="6C323EEE"/>
    <w:rsid w:val="6C354F35"/>
    <w:rsid w:val="6C3659BD"/>
    <w:rsid w:val="6C3811CB"/>
    <w:rsid w:val="6C384A25"/>
    <w:rsid w:val="6C3A7890"/>
    <w:rsid w:val="6C3B7B4C"/>
    <w:rsid w:val="6C3F4006"/>
    <w:rsid w:val="6C3F5DB4"/>
    <w:rsid w:val="6C3F7B62"/>
    <w:rsid w:val="6C411B2C"/>
    <w:rsid w:val="6C417D7E"/>
    <w:rsid w:val="6C423AF6"/>
    <w:rsid w:val="6C4258A4"/>
    <w:rsid w:val="6C427652"/>
    <w:rsid w:val="6C467142"/>
    <w:rsid w:val="6C472EBA"/>
    <w:rsid w:val="6C492150"/>
    <w:rsid w:val="6C4B4758"/>
    <w:rsid w:val="6C4D6722"/>
    <w:rsid w:val="6C4E33F1"/>
    <w:rsid w:val="6C4F18F5"/>
    <w:rsid w:val="6C53185F"/>
    <w:rsid w:val="6C543876"/>
    <w:rsid w:val="6C5555D7"/>
    <w:rsid w:val="6C557385"/>
    <w:rsid w:val="6C5630FD"/>
    <w:rsid w:val="6C586E75"/>
    <w:rsid w:val="6C5918EE"/>
    <w:rsid w:val="6C5A2BED"/>
    <w:rsid w:val="6C5A499B"/>
    <w:rsid w:val="6C5C7972"/>
    <w:rsid w:val="6C5F0204"/>
    <w:rsid w:val="6C615D2A"/>
    <w:rsid w:val="6C627CF4"/>
    <w:rsid w:val="6C635F46"/>
    <w:rsid w:val="6C671F7D"/>
    <w:rsid w:val="6C67530A"/>
    <w:rsid w:val="6C697FF8"/>
    <w:rsid w:val="6C6B6C2A"/>
    <w:rsid w:val="6C6E48EB"/>
    <w:rsid w:val="6C7041BF"/>
    <w:rsid w:val="6C71678A"/>
    <w:rsid w:val="6C726189"/>
    <w:rsid w:val="6C735A5D"/>
    <w:rsid w:val="6C7672FB"/>
    <w:rsid w:val="6C77554D"/>
    <w:rsid w:val="6C7812C6"/>
    <w:rsid w:val="6C783074"/>
    <w:rsid w:val="6C79122E"/>
    <w:rsid w:val="6C79668F"/>
    <w:rsid w:val="6C7A6DEC"/>
    <w:rsid w:val="6C7D103F"/>
    <w:rsid w:val="6C7D4B2E"/>
    <w:rsid w:val="6C7D68DC"/>
    <w:rsid w:val="6C7E0833"/>
    <w:rsid w:val="6C830396"/>
    <w:rsid w:val="6C841A18"/>
    <w:rsid w:val="6C850C61"/>
    <w:rsid w:val="6C8639E2"/>
    <w:rsid w:val="6C8669DD"/>
    <w:rsid w:val="6C871509"/>
    <w:rsid w:val="6C890B9F"/>
    <w:rsid w:val="6C8C08A1"/>
    <w:rsid w:val="6C8C6B1F"/>
    <w:rsid w:val="6C8D4D71"/>
    <w:rsid w:val="6C8E0883"/>
    <w:rsid w:val="6C8E2897"/>
    <w:rsid w:val="6C9003BD"/>
    <w:rsid w:val="6C9500C9"/>
    <w:rsid w:val="6C951E77"/>
    <w:rsid w:val="6C97799E"/>
    <w:rsid w:val="6C983716"/>
    <w:rsid w:val="6C9854C4"/>
    <w:rsid w:val="6C9A123C"/>
    <w:rsid w:val="6C9D0D2C"/>
    <w:rsid w:val="6C9F2CF6"/>
    <w:rsid w:val="6C9F4AA4"/>
    <w:rsid w:val="6CA1081C"/>
    <w:rsid w:val="6CA16A6E"/>
    <w:rsid w:val="6CA34594"/>
    <w:rsid w:val="6CA420BB"/>
    <w:rsid w:val="6CA64085"/>
    <w:rsid w:val="6CA67BE1"/>
    <w:rsid w:val="6CA81BAB"/>
    <w:rsid w:val="6CA9147F"/>
    <w:rsid w:val="6CA976D1"/>
    <w:rsid w:val="6CAB51F7"/>
    <w:rsid w:val="6CAD0251"/>
    <w:rsid w:val="6CAD69DD"/>
    <w:rsid w:val="6CAD71C1"/>
    <w:rsid w:val="6CAF118B"/>
    <w:rsid w:val="6CB0280D"/>
    <w:rsid w:val="6CB247D7"/>
    <w:rsid w:val="6CB26586"/>
    <w:rsid w:val="6CB3284F"/>
    <w:rsid w:val="6CB542C8"/>
    <w:rsid w:val="6CB56076"/>
    <w:rsid w:val="6CBA368C"/>
    <w:rsid w:val="6CC22541"/>
    <w:rsid w:val="6CC2604B"/>
    <w:rsid w:val="6CC31982"/>
    <w:rsid w:val="6CC3531E"/>
    <w:rsid w:val="6CC369E5"/>
    <w:rsid w:val="6CC4450B"/>
    <w:rsid w:val="6CC72155"/>
    <w:rsid w:val="6CC81EA4"/>
    <w:rsid w:val="6CC87B57"/>
    <w:rsid w:val="6CCA5F05"/>
    <w:rsid w:val="6CCB1F66"/>
    <w:rsid w:val="6CCB3AEB"/>
    <w:rsid w:val="6CCB7647"/>
    <w:rsid w:val="6CCF6157"/>
    <w:rsid w:val="6CD429A0"/>
    <w:rsid w:val="6CD504C6"/>
    <w:rsid w:val="6CD52274"/>
    <w:rsid w:val="6CD92E29"/>
    <w:rsid w:val="6CD97FB6"/>
    <w:rsid w:val="6CDA788A"/>
    <w:rsid w:val="6CDB1F80"/>
    <w:rsid w:val="6CDC2600"/>
    <w:rsid w:val="6CDD437B"/>
    <w:rsid w:val="6CE001C5"/>
    <w:rsid w:val="6CE23D5D"/>
    <w:rsid w:val="6CE301ED"/>
    <w:rsid w:val="6CE34991"/>
    <w:rsid w:val="6CE66B6E"/>
    <w:rsid w:val="6CE801F9"/>
    <w:rsid w:val="6CE8644B"/>
    <w:rsid w:val="6CEA3DAE"/>
    <w:rsid w:val="6CEB7CE9"/>
    <w:rsid w:val="6CED1CB3"/>
    <w:rsid w:val="6CED3A62"/>
    <w:rsid w:val="6CF05300"/>
    <w:rsid w:val="6CF110B0"/>
    <w:rsid w:val="6CF22E26"/>
    <w:rsid w:val="6CF272CA"/>
    <w:rsid w:val="6CF44DF0"/>
    <w:rsid w:val="6CF63997"/>
    <w:rsid w:val="6CF7043C"/>
    <w:rsid w:val="6CF748E0"/>
    <w:rsid w:val="6CF941B4"/>
    <w:rsid w:val="6CF94E2F"/>
    <w:rsid w:val="6CFA0F76"/>
    <w:rsid w:val="6CFB4D33"/>
    <w:rsid w:val="6CFE17CB"/>
    <w:rsid w:val="6CFE5C6F"/>
    <w:rsid w:val="6CFF5543"/>
    <w:rsid w:val="6D0112BB"/>
    <w:rsid w:val="6D035033"/>
    <w:rsid w:val="6D036DE1"/>
    <w:rsid w:val="6D047526"/>
    <w:rsid w:val="6D055F76"/>
    <w:rsid w:val="6D056FFD"/>
    <w:rsid w:val="6D06575D"/>
    <w:rsid w:val="6D0A4613"/>
    <w:rsid w:val="6D1056EB"/>
    <w:rsid w:val="6D1159A2"/>
    <w:rsid w:val="6D1234C8"/>
    <w:rsid w:val="6D125276"/>
    <w:rsid w:val="6D147240"/>
    <w:rsid w:val="6D196605"/>
    <w:rsid w:val="6D1D180E"/>
    <w:rsid w:val="6D1E00BF"/>
    <w:rsid w:val="6D205BE5"/>
    <w:rsid w:val="6D206CFF"/>
    <w:rsid w:val="6D21370B"/>
    <w:rsid w:val="6D231231"/>
    <w:rsid w:val="6D2356D5"/>
    <w:rsid w:val="6D282CEC"/>
    <w:rsid w:val="6D291192"/>
    <w:rsid w:val="6D2A0812"/>
    <w:rsid w:val="6D2A6A64"/>
    <w:rsid w:val="6D2B458A"/>
    <w:rsid w:val="6D2D20B0"/>
    <w:rsid w:val="6D2D3E5E"/>
    <w:rsid w:val="6D2E2793"/>
    <w:rsid w:val="6D2E426F"/>
    <w:rsid w:val="6D2F5E28"/>
    <w:rsid w:val="6D2F7BD6"/>
    <w:rsid w:val="6D30394E"/>
    <w:rsid w:val="6D321474"/>
    <w:rsid w:val="6D323B6A"/>
    <w:rsid w:val="6D325918"/>
    <w:rsid w:val="6D3276C6"/>
    <w:rsid w:val="6D342B2B"/>
    <w:rsid w:val="6D351B71"/>
    <w:rsid w:val="6D365409"/>
    <w:rsid w:val="6D3703DA"/>
    <w:rsid w:val="6D372F2F"/>
    <w:rsid w:val="6D374CDD"/>
    <w:rsid w:val="6D392803"/>
    <w:rsid w:val="6D3B2A1F"/>
    <w:rsid w:val="6D3C22F3"/>
    <w:rsid w:val="6D3C6227"/>
    <w:rsid w:val="6D3F3B91"/>
    <w:rsid w:val="6D413DAD"/>
    <w:rsid w:val="6D433682"/>
    <w:rsid w:val="6D437B25"/>
    <w:rsid w:val="6D4672D9"/>
    <w:rsid w:val="6D4713C4"/>
    <w:rsid w:val="6D4822C5"/>
    <w:rsid w:val="6D485F0B"/>
    <w:rsid w:val="6D4A0EB4"/>
    <w:rsid w:val="6D4B2536"/>
    <w:rsid w:val="6D4D62AE"/>
    <w:rsid w:val="6D4F64CA"/>
    <w:rsid w:val="6D505D9E"/>
    <w:rsid w:val="6D5238C5"/>
    <w:rsid w:val="6D53268A"/>
    <w:rsid w:val="6D543AE1"/>
    <w:rsid w:val="6D54588F"/>
    <w:rsid w:val="6D54763D"/>
    <w:rsid w:val="6D552A84"/>
    <w:rsid w:val="6D56081F"/>
    <w:rsid w:val="6D57712D"/>
    <w:rsid w:val="6D577711"/>
    <w:rsid w:val="6D594C53"/>
    <w:rsid w:val="6D5B6C1D"/>
    <w:rsid w:val="6D5C4743"/>
    <w:rsid w:val="6D5D6CA1"/>
    <w:rsid w:val="6D5E670D"/>
    <w:rsid w:val="6D602485"/>
    <w:rsid w:val="6D605FE2"/>
    <w:rsid w:val="6D617FAC"/>
    <w:rsid w:val="6D635AD2"/>
    <w:rsid w:val="6D655CEE"/>
    <w:rsid w:val="6D667370"/>
    <w:rsid w:val="6D672924"/>
    <w:rsid w:val="6D676BC6"/>
    <w:rsid w:val="6D6A50B2"/>
    <w:rsid w:val="6D6A6E60"/>
    <w:rsid w:val="6D6B3929"/>
    <w:rsid w:val="6D6B7A3E"/>
    <w:rsid w:val="6D6C0E2A"/>
    <w:rsid w:val="6D6D4BA2"/>
    <w:rsid w:val="6D6E64E5"/>
    <w:rsid w:val="6D6F091A"/>
    <w:rsid w:val="6D735D25"/>
    <w:rsid w:val="6D7379D1"/>
    <w:rsid w:val="6D765805"/>
    <w:rsid w:val="6D77157D"/>
    <w:rsid w:val="6D77332B"/>
    <w:rsid w:val="6D7838A9"/>
    <w:rsid w:val="6D793547"/>
    <w:rsid w:val="6D7B72BF"/>
    <w:rsid w:val="6D7C5096"/>
    <w:rsid w:val="6D7C6B93"/>
    <w:rsid w:val="6D7D3037"/>
    <w:rsid w:val="6D7E46BA"/>
    <w:rsid w:val="6D82064E"/>
    <w:rsid w:val="6D836174"/>
    <w:rsid w:val="6D853C9A"/>
    <w:rsid w:val="6D8819DC"/>
    <w:rsid w:val="6D8A12B0"/>
    <w:rsid w:val="6D8F2D6B"/>
    <w:rsid w:val="6D8F4B19"/>
    <w:rsid w:val="6D9143ED"/>
    <w:rsid w:val="6D9304B1"/>
    <w:rsid w:val="6D941941"/>
    <w:rsid w:val="6D94212F"/>
    <w:rsid w:val="6D9443FF"/>
    <w:rsid w:val="6D9739CD"/>
    <w:rsid w:val="6D992BE2"/>
    <w:rsid w:val="6D997745"/>
    <w:rsid w:val="6D9B170F"/>
    <w:rsid w:val="6D9C0FE4"/>
    <w:rsid w:val="6DA00AD4"/>
    <w:rsid w:val="6DA07EE4"/>
    <w:rsid w:val="6DA2484C"/>
    <w:rsid w:val="6DA560EA"/>
    <w:rsid w:val="6DA700B4"/>
    <w:rsid w:val="6DA71E62"/>
    <w:rsid w:val="6DA96FD3"/>
    <w:rsid w:val="6DAA54AF"/>
    <w:rsid w:val="6DAB4FF7"/>
    <w:rsid w:val="6DAC1227"/>
    <w:rsid w:val="6DB14A8F"/>
    <w:rsid w:val="6DB225B5"/>
    <w:rsid w:val="6DB25D5C"/>
    <w:rsid w:val="6DB36A59"/>
    <w:rsid w:val="6DB4457F"/>
    <w:rsid w:val="6DB4632D"/>
    <w:rsid w:val="6DB602F7"/>
    <w:rsid w:val="6DB6210A"/>
    <w:rsid w:val="6DB77BCC"/>
    <w:rsid w:val="6DB93944"/>
    <w:rsid w:val="6DBB590E"/>
    <w:rsid w:val="6DC02F24"/>
    <w:rsid w:val="6DC20A4A"/>
    <w:rsid w:val="6DC2196E"/>
    <w:rsid w:val="6DC4470E"/>
    <w:rsid w:val="6DC9002B"/>
    <w:rsid w:val="6DC9057F"/>
    <w:rsid w:val="6DC91CC0"/>
    <w:rsid w:val="6DCA78FF"/>
    <w:rsid w:val="6DCC18C9"/>
    <w:rsid w:val="6DCF4F15"/>
    <w:rsid w:val="6DD16EDF"/>
    <w:rsid w:val="6DD32C57"/>
    <w:rsid w:val="6DD45363"/>
    <w:rsid w:val="6DD469CF"/>
    <w:rsid w:val="6DD644F6"/>
    <w:rsid w:val="6DD662A4"/>
    <w:rsid w:val="6DD80982"/>
    <w:rsid w:val="6DD95D94"/>
    <w:rsid w:val="6DDA1504"/>
    <w:rsid w:val="6DDA3DCA"/>
    <w:rsid w:val="6DDB7094"/>
    <w:rsid w:val="6DDD5884"/>
    <w:rsid w:val="6DDD7632"/>
    <w:rsid w:val="6DE05374"/>
    <w:rsid w:val="6DE06535"/>
    <w:rsid w:val="6DE2733E"/>
    <w:rsid w:val="6DE33CF7"/>
    <w:rsid w:val="6DE76703"/>
    <w:rsid w:val="6DE94229"/>
    <w:rsid w:val="6DEA355E"/>
    <w:rsid w:val="6DEA7FA1"/>
    <w:rsid w:val="6DEC3D19"/>
    <w:rsid w:val="6DEE0E0A"/>
    <w:rsid w:val="6DEF3809"/>
    <w:rsid w:val="6DF221C2"/>
    <w:rsid w:val="6DF606F4"/>
    <w:rsid w:val="6DF6759C"/>
    <w:rsid w:val="6DFB21AE"/>
    <w:rsid w:val="6DFB3F5C"/>
    <w:rsid w:val="6DFB5D0A"/>
    <w:rsid w:val="6DFD1A82"/>
    <w:rsid w:val="6E001573"/>
    <w:rsid w:val="6E005A16"/>
    <w:rsid w:val="6E08089A"/>
    <w:rsid w:val="6E081C8E"/>
    <w:rsid w:val="6E0B0643"/>
    <w:rsid w:val="6E0E0133"/>
    <w:rsid w:val="6E0E7494"/>
    <w:rsid w:val="6E113780"/>
    <w:rsid w:val="6E130205"/>
    <w:rsid w:val="6E1312A6"/>
    <w:rsid w:val="6E13574A"/>
    <w:rsid w:val="6E14501E"/>
    <w:rsid w:val="6E153270"/>
    <w:rsid w:val="6E166336"/>
    <w:rsid w:val="6E192634"/>
    <w:rsid w:val="6E1B015A"/>
    <w:rsid w:val="6E1D3ED3"/>
    <w:rsid w:val="6E1F7C4B"/>
    <w:rsid w:val="6E2214E9"/>
    <w:rsid w:val="6E22598D"/>
    <w:rsid w:val="6E241705"/>
    <w:rsid w:val="6E2434B3"/>
    <w:rsid w:val="6E245261"/>
    <w:rsid w:val="6E250FD9"/>
    <w:rsid w:val="6E2E0C69"/>
    <w:rsid w:val="6E301E58"/>
    <w:rsid w:val="6E3367C9"/>
    <w:rsid w:val="6E337B9A"/>
    <w:rsid w:val="6E34121C"/>
    <w:rsid w:val="6E35746E"/>
    <w:rsid w:val="6E361438"/>
    <w:rsid w:val="6E380D0C"/>
    <w:rsid w:val="6E385EC1"/>
    <w:rsid w:val="6E396833"/>
    <w:rsid w:val="6E3A4840"/>
    <w:rsid w:val="6E3B07FD"/>
    <w:rsid w:val="6E3B6A4F"/>
    <w:rsid w:val="6E3D6323"/>
    <w:rsid w:val="6E3F209B"/>
    <w:rsid w:val="6E3F653F"/>
    <w:rsid w:val="6E400042"/>
    <w:rsid w:val="6E423939"/>
    <w:rsid w:val="6E4770F5"/>
    <w:rsid w:val="6E4771A1"/>
    <w:rsid w:val="6E492F1A"/>
    <w:rsid w:val="6E4A4335"/>
    <w:rsid w:val="6E4B4EE4"/>
    <w:rsid w:val="6E4B6C92"/>
    <w:rsid w:val="6E4C2A0A"/>
    <w:rsid w:val="6E4E6782"/>
    <w:rsid w:val="6E4F283B"/>
    <w:rsid w:val="6E526272"/>
    <w:rsid w:val="6E533D98"/>
    <w:rsid w:val="6E535B46"/>
    <w:rsid w:val="6E570926"/>
    <w:rsid w:val="6E5C0E9F"/>
    <w:rsid w:val="6E5D4C17"/>
    <w:rsid w:val="6E5F098F"/>
    <w:rsid w:val="6E606037"/>
    <w:rsid w:val="6E623FDB"/>
    <w:rsid w:val="6E641B01"/>
    <w:rsid w:val="6E670454"/>
    <w:rsid w:val="6E697118"/>
    <w:rsid w:val="6E6B10E2"/>
    <w:rsid w:val="6E6C09B6"/>
    <w:rsid w:val="6E6C365D"/>
    <w:rsid w:val="6E6C4E5A"/>
    <w:rsid w:val="6E70494A"/>
    <w:rsid w:val="6E731D44"/>
    <w:rsid w:val="6E777A87"/>
    <w:rsid w:val="6E781A51"/>
    <w:rsid w:val="6E7837FF"/>
    <w:rsid w:val="6E7A5362"/>
    <w:rsid w:val="6E7C32EF"/>
    <w:rsid w:val="6E7C509D"/>
    <w:rsid w:val="6E821BA6"/>
    <w:rsid w:val="6E82642B"/>
    <w:rsid w:val="6E851A78"/>
    <w:rsid w:val="6E8842D7"/>
    <w:rsid w:val="6E8B4399"/>
    <w:rsid w:val="6E8C1058"/>
    <w:rsid w:val="6E8C2E06"/>
    <w:rsid w:val="6E8C5474"/>
    <w:rsid w:val="6E8D72AA"/>
    <w:rsid w:val="6E900B48"/>
    <w:rsid w:val="6E9028F6"/>
    <w:rsid w:val="6E91041D"/>
    <w:rsid w:val="6E9323E7"/>
    <w:rsid w:val="6E934195"/>
    <w:rsid w:val="6E9773E2"/>
    <w:rsid w:val="6E9817AB"/>
    <w:rsid w:val="6E985C4F"/>
    <w:rsid w:val="6E9A5523"/>
    <w:rsid w:val="6E9D5013"/>
    <w:rsid w:val="6E9F0D8B"/>
    <w:rsid w:val="6E9F6FDD"/>
    <w:rsid w:val="6EA12D56"/>
    <w:rsid w:val="6EA168B2"/>
    <w:rsid w:val="6EA2087C"/>
    <w:rsid w:val="6EA43AB0"/>
    <w:rsid w:val="6EA63EC8"/>
    <w:rsid w:val="6EA840E4"/>
    <w:rsid w:val="6EA939B8"/>
    <w:rsid w:val="6EAB14DE"/>
    <w:rsid w:val="6EAB7730"/>
    <w:rsid w:val="6EAE5472"/>
    <w:rsid w:val="6EB32A89"/>
    <w:rsid w:val="6EB505AF"/>
    <w:rsid w:val="6EB707E5"/>
    <w:rsid w:val="6EB72579"/>
    <w:rsid w:val="6EB81E4D"/>
    <w:rsid w:val="6EB83BFB"/>
    <w:rsid w:val="6EBA1338"/>
    <w:rsid w:val="6EBA3E17"/>
    <w:rsid w:val="6EBA50E5"/>
    <w:rsid w:val="6EBA7973"/>
    <w:rsid w:val="6EBB05F6"/>
    <w:rsid w:val="6EBB1F26"/>
    <w:rsid w:val="6EBC193D"/>
    <w:rsid w:val="6EBE56B6"/>
    <w:rsid w:val="6EC151A6"/>
    <w:rsid w:val="6EC24A7A"/>
    <w:rsid w:val="6EC407F2"/>
    <w:rsid w:val="6EC425A0"/>
    <w:rsid w:val="6EC72090"/>
    <w:rsid w:val="6EC802E2"/>
    <w:rsid w:val="6EC922AC"/>
    <w:rsid w:val="6EC95E08"/>
    <w:rsid w:val="6ECB392F"/>
    <w:rsid w:val="6ECC2CBC"/>
    <w:rsid w:val="6ECD58F9"/>
    <w:rsid w:val="6ECE1671"/>
    <w:rsid w:val="6ED00F45"/>
    <w:rsid w:val="6ED0363B"/>
    <w:rsid w:val="6ED053E9"/>
    <w:rsid w:val="6ED24CBD"/>
    <w:rsid w:val="6ED36C87"/>
    <w:rsid w:val="6ED44ED9"/>
    <w:rsid w:val="6ED50C51"/>
    <w:rsid w:val="6ED722D3"/>
    <w:rsid w:val="6ED8604B"/>
    <w:rsid w:val="6EDB3D65"/>
    <w:rsid w:val="6EDC5B3C"/>
    <w:rsid w:val="6EDD3662"/>
    <w:rsid w:val="6EDF562C"/>
    <w:rsid w:val="6EE32C6E"/>
    <w:rsid w:val="6EE36ECA"/>
    <w:rsid w:val="6EE449F0"/>
    <w:rsid w:val="6EE90D5D"/>
    <w:rsid w:val="6EE94DB5"/>
    <w:rsid w:val="6EE964AB"/>
    <w:rsid w:val="6EEB2223"/>
    <w:rsid w:val="6EEB3FD1"/>
    <w:rsid w:val="6EEB5D7F"/>
    <w:rsid w:val="6EEE586F"/>
    <w:rsid w:val="6EF03395"/>
    <w:rsid w:val="6EF2535F"/>
    <w:rsid w:val="6EF32E85"/>
    <w:rsid w:val="6EF35E67"/>
    <w:rsid w:val="6EF47329"/>
    <w:rsid w:val="6EF72976"/>
    <w:rsid w:val="6EF75C78"/>
    <w:rsid w:val="6EF8049C"/>
    <w:rsid w:val="6EF91CD9"/>
    <w:rsid w:val="6EFA2466"/>
    <w:rsid w:val="6EFA4214"/>
    <w:rsid w:val="6EFC4430"/>
    <w:rsid w:val="6EFD5AB2"/>
    <w:rsid w:val="6EFE1F56"/>
    <w:rsid w:val="6EFE2F7A"/>
    <w:rsid w:val="6EFE3D04"/>
    <w:rsid w:val="6EFF182A"/>
    <w:rsid w:val="6F011A46"/>
    <w:rsid w:val="6F03131A"/>
    <w:rsid w:val="6F0357BE"/>
    <w:rsid w:val="6F03756C"/>
    <w:rsid w:val="6F045092"/>
    <w:rsid w:val="6F052E4D"/>
    <w:rsid w:val="6F0926A9"/>
    <w:rsid w:val="6F094457"/>
    <w:rsid w:val="6F0B4673"/>
    <w:rsid w:val="6F0E2E09"/>
    <w:rsid w:val="6F0F4163"/>
    <w:rsid w:val="6F0F6AD0"/>
    <w:rsid w:val="6F101B9F"/>
    <w:rsid w:val="6F101C89"/>
    <w:rsid w:val="6F125A01"/>
    <w:rsid w:val="6F152942"/>
    <w:rsid w:val="6F163DD2"/>
    <w:rsid w:val="6F174DC6"/>
    <w:rsid w:val="6F192753"/>
    <w:rsid w:val="6F1A48B6"/>
    <w:rsid w:val="6F1B2B08"/>
    <w:rsid w:val="6F1C062E"/>
    <w:rsid w:val="6F1D6E9B"/>
    <w:rsid w:val="6F1E2564"/>
    <w:rsid w:val="6F20011E"/>
    <w:rsid w:val="6F213E96"/>
    <w:rsid w:val="6F215C44"/>
    <w:rsid w:val="6F241291"/>
    <w:rsid w:val="6F2474E3"/>
    <w:rsid w:val="6F26325B"/>
    <w:rsid w:val="6F265009"/>
    <w:rsid w:val="6F285225"/>
    <w:rsid w:val="6F2A2D4B"/>
    <w:rsid w:val="6F2A4AF9"/>
    <w:rsid w:val="6F2B6AC3"/>
    <w:rsid w:val="6F2C5FF8"/>
    <w:rsid w:val="6F2D6397"/>
    <w:rsid w:val="6F2F0361"/>
    <w:rsid w:val="6F3239AE"/>
    <w:rsid w:val="6F35742A"/>
    <w:rsid w:val="6F394D3C"/>
    <w:rsid w:val="6F3A01D0"/>
    <w:rsid w:val="6F3B4F58"/>
    <w:rsid w:val="6F3B6D06"/>
    <w:rsid w:val="6F3C65DA"/>
    <w:rsid w:val="6F3D2504"/>
    <w:rsid w:val="6F3E2352"/>
    <w:rsid w:val="6F3F60CB"/>
    <w:rsid w:val="6F400306"/>
    <w:rsid w:val="6F40256E"/>
    <w:rsid w:val="6F424979"/>
    <w:rsid w:val="6F433E0D"/>
    <w:rsid w:val="6F435BBB"/>
    <w:rsid w:val="6F451933"/>
    <w:rsid w:val="6F4656AB"/>
    <w:rsid w:val="6F490CF7"/>
    <w:rsid w:val="6F4A519B"/>
    <w:rsid w:val="6F4A6F49"/>
    <w:rsid w:val="6F4B0F13"/>
    <w:rsid w:val="6F4B2A10"/>
    <w:rsid w:val="6F4C3EA0"/>
    <w:rsid w:val="6F4E7F01"/>
    <w:rsid w:val="6F4F1391"/>
    <w:rsid w:val="6F4F3F62"/>
    <w:rsid w:val="6F5002D8"/>
    <w:rsid w:val="6F51652A"/>
    <w:rsid w:val="6F5222A2"/>
    <w:rsid w:val="6F525DFE"/>
    <w:rsid w:val="6F541B76"/>
    <w:rsid w:val="6F54423A"/>
    <w:rsid w:val="6F5558EE"/>
    <w:rsid w:val="6F573414"/>
    <w:rsid w:val="6F5A4CB2"/>
    <w:rsid w:val="6F5B1156"/>
    <w:rsid w:val="6F5E0C47"/>
    <w:rsid w:val="6F603CA9"/>
    <w:rsid w:val="6F604EE7"/>
    <w:rsid w:val="6F6124E5"/>
    <w:rsid w:val="6F616041"/>
    <w:rsid w:val="6F642127"/>
    <w:rsid w:val="6F651FD5"/>
    <w:rsid w:val="6F656188"/>
    <w:rsid w:val="6F675D4D"/>
    <w:rsid w:val="6F683873"/>
    <w:rsid w:val="6F6A75EB"/>
    <w:rsid w:val="6F6B5112"/>
    <w:rsid w:val="6F6F075E"/>
    <w:rsid w:val="6F6F723A"/>
    <w:rsid w:val="6F71097A"/>
    <w:rsid w:val="6F7246F2"/>
    <w:rsid w:val="6F737553"/>
    <w:rsid w:val="6F751AEC"/>
    <w:rsid w:val="6F7915DC"/>
    <w:rsid w:val="6F79782E"/>
    <w:rsid w:val="6F797999"/>
    <w:rsid w:val="6F7C183E"/>
    <w:rsid w:val="6F7C2E7B"/>
    <w:rsid w:val="6F7E3097"/>
    <w:rsid w:val="6F854425"/>
    <w:rsid w:val="6F881820"/>
    <w:rsid w:val="6F8940F3"/>
    <w:rsid w:val="6F8A1A3C"/>
    <w:rsid w:val="6F8A5583"/>
    <w:rsid w:val="6F8B1310"/>
    <w:rsid w:val="6F8C2A74"/>
    <w:rsid w:val="6F8D6E36"/>
    <w:rsid w:val="6F8F2BAE"/>
    <w:rsid w:val="6F8F7052"/>
    <w:rsid w:val="6F912DCA"/>
    <w:rsid w:val="6F9208F0"/>
    <w:rsid w:val="6F92269E"/>
    <w:rsid w:val="6F944668"/>
    <w:rsid w:val="6F9523CE"/>
    <w:rsid w:val="6F9603E0"/>
    <w:rsid w:val="6F96218E"/>
    <w:rsid w:val="6F9636A7"/>
    <w:rsid w:val="6F981017"/>
    <w:rsid w:val="6F993A2D"/>
    <w:rsid w:val="6F9957DB"/>
    <w:rsid w:val="6F997ED1"/>
    <w:rsid w:val="6F9B1553"/>
    <w:rsid w:val="6F9C351D"/>
    <w:rsid w:val="6F9E7295"/>
    <w:rsid w:val="6FA348AB"/>
    <w:rsid w:val="6FA56875"/>
    <w:rsid w:val="6FA83C70"/>
    <w:rsid w:val="6FAA43AA"/>
    <w:rsid w:val="6FAA5C3A"/>
    <w:rsid w:val="6FAF14A2"/>
    <w:rsid w:val="6FAF46CD"/>
    <w:rsid w:val="6FAF4FFE"/>
    <w:rsid w:val="6FAF5E0E"/>
    <w:rsid w:val="6FB10D76"/>
    <w:rsid w:val="6FB16FC8"/>
    <w:rsid w:val="6FB22D40"/>
    <w:rsid w:val="6FB2689C"/>
    <w:rsid w:val="6FB42615"/>
    <w:rsid w:val="6FB46AB9"/>
    <w:rsid w:val="6FB62831"/>
    <w:rsid w:val="6FB6638D"/>
    <w:rsid w:val="6FBB43B1"/>
    <w:rsid w:val="6FBD596D"/>
    <w:rsid w:val="6FBE7937"/>
    <w:rsid w:val="6FBF7ED5"/>
    <w:rsid w:val="6FC0545D"/>
    <w:rsid w:val="6FC34F4E"/>
    <w:rsid w:val="6FC36CFC"/>
    <w:rsid w:val="6FC7059A"/>
    <w:rsid w:val="6FCC5BB0"/>
    <w:rsid w:val="6FCD1928"/>
    <w:rsid w:val="6FD131C7"/>
    <w:rsid w:val="6FD14BF6"/>
    <w:rsid w:val="6FD26AD0"/>
    <w:rsid w:val="6FD42CB7"/>
    <w:rsid w:val="6FD478DC"/>
    <w:rsid w:val="6FD607DD"/>
    <w:rsid w:val="6FD64C81"/>
    <w:rsid w:val="6FD66A2F"/>
    <w:rsid w:val="6FD7501A"/>
    <w:rsid w:val="6FD93890"/>
    <w:rsid w:val="6FD9651F"/>
    <w:rsid w:val="6FDB2297"/>
    <w:rsid w:val="6FDB5DF3"/>
    <w:rsid w:val="6FDC1B6B"/>
    <w:rsid w:val="6FDD2296"/>
    <w:rsid w:val="6FDD57CE"/>
    <w:rsid w:val="6FDD600F"/>
    <w:rsid w:val="6FDE58E3"/>
    <w:rsid w:val="6FE0165C"/>
    <w:rsid w:val="6FE16655"/>
    <w:rsid w:val="6FE253D4"/>
    <w:rsid w:val="6FE70C3C"/>
    <w:rsid w:val="6FEA019C"/>
    <w:rsid w:val="6FEA24DA"/>
    <w:rsid w:val="6FEF7AF1"/>
    <w:rsid w:val="6FF13869"/>
    <w:rsid w:val="6FF26761"/>
    <w:rsid w:val="6FF3138F"/>
    <w:rsid w:val="6FF375E1"/>
    <w:rsid w:val="6FF44542"/>
    <w:rsid w:val="6FF46EB5"/>
    <w:rsid w:val="6FF60E7F"/>
    <w:rsid w:val="6FF62C2D"/>
    <w:rsid w:val="6FF63613"/>
    <w:rsid w:val="6FF84BF7"/>
    <w:rsid w:val="6FF9096F"/>
    <w:rsid w:val="6FFA03B4"/>
    <w:rsid w:val="6FFB46E7"/>
    <w:rsid w:val="6FFB6495"/>
    <w:rsid w:val="6FFB7491"/>
    <w:rsid w:val="6FFD045F"/>
    <w:rsid w:val="6FFE1AE2"/>
    <w:rsid w:val="70003AAC"/>
    <w:rsid w:val="7000585A"/>
    <w:rsid w:val="70025A76"/>
    <w:rsid w:val="700370F8"/>
    <w:rsid w:val="70052E70"/>
    <w:rsid w:val="70057314"/>
    <w:rsid w:val="700729B8"/>
    <w:rsid w:val="70074E3A"/>
    <w:rsid w:val="700852D9"/>
    <w:rsid w:val="70090BB2"/>
    <w:rsid w:val="700D7F77"/>
    <w:rsid w:val="700E441B"/>
    <w:rsid w:val="700E447F"/>
    <w:rsid w:val="70117A67"/>
    <w:rsid w:val="70134612"/>
    <w:rsid w:val="70147557"/>
    <w:rsid w:val="701557A9"/>
    <w:rsid w:val="701632CF"/>
    <w:rsid w:val="70180DF5"/>
    <w:rsid w:val="70194B6E"/>
    <w:rsid w:val="701E2184"/>
    <w:rsid w:val="70221C74"/>
    <w:rsid w:val="70227EC6"/>
    <w:rsid w:val="70231548"/>
    <w:rsid w:val="702323A3"/>
    <w:rsid w:val="7023779A"/>
    <w:rsid w:val="7027728A"/>
    <w:rsid w:val="70294DB1"/>
    <w:rsid w:val="702C48A1"/>
    <w:rsid w:val="702E23C7"/>
    <w:rsid w:val="702F4391"/>
    <w:rsid w:val="702F613F"/>
    <w:rsid w:val="70311EB7"/>
    <w:rsid w:val="70335C2F"/>
    <w:rsid w:val="70357BF9"/>
    <w:rsid w:val="703A5847"/>
    <w:rsid w:val="703A6FBE"/>
    <w:rsid w:val="703D085C"/>
    <w:rsid w:val="703D260A"/>
    <w:rsid w:val="70422FBF"/>
    <w:rsid w:val="70423FD9"/>
    <w:rsid w:val="70441BEA"/>
    <w:rsid w:val="70471213"/>
    <w:rsid w:val="70483DB6"/>
    <w:rsid w:val="70495453"/>
    <w:rsid w:val="70497201"/>
    <w:rsid w:val="704B5D09"/>
    <w:rsid w:val="704B7E6C"/>
    <w:rsid w:val="704E2A69"/>
    <w:rsid w:val="704F233D"/>
    <w:rsid w:val="70514307"/>
    <w:rsid w:val="70531D32"/>
    <w:rsid w:val="70531E2E"/>
    <w:rsid w:val="705362D1"/>
    <w:rsid w:val="70587444"/>
    <w:rsid w:val="705A7660"/>
    <w:rsid w:val="705D2CAC"/>
    <w:rsid w:val="705F4C76"/>
    <w:rsid w:val="705F4E88"/>
    <w:rsid w:val="70607562"/>
    <w:rsid w:val="70632DB0"/>
    <w:rsid w:val="70673B2B"/>
    <w:rsid w:val="706802EF"/>
    <w:rsid w:val="70687184"/>
    <w:rsid w:val="706933FF"/>
    <w:rsid w:val="706C7393"/>
    <w:rsid w:val="706E2FF6"/>
    <w:rsid w:val="706E310B"/>
    <w:rsid w:val="706E4EB9"/>
    <w:rsid w:val="70700C31"/>
    <w:rsid w:val="707029DF"/>
    <w:rsid w:val="70710506"/>
    <w:rsid w:val="707149AA"/>
    <w:rsid w:val="70716758"/>
    <w:rsid w:val="707221B4"/>
    <w:rsid w:val="70734297"/>
    <w:rsid w:val="70756248"/>
    <w:rsid w:val="70781894"/>
    <w:rsid w:val="707B3132"/>
    <w:rsid w:val="707F70C6"/>
    <w:rsid w:val="70813DDA"/>
    <w:rsid w:val="708244C1"/>
    <w:rsid w:val="70834F05"/>
    <w:rsid w:val="70862203"/>
    <w:rsid w:val="70877D29"/>
    <w:rsid w:val="70894ED6"/>
    <w:rsid w:val="7089584F"/>
    <w:rsid w:val="708A15C7"/>
    <w:rsid w:val="708B7819"/>
    <w:rsid w:val="708C3591"/>
    <w:rsid w:val="708E10B8"/>
    <w:rsid w:val="70904E30"/>
    <w:rsid w:val="70912956"/>
    <w:rsid w:val="70934920"/>
    <w:rsid w:val="709524E8"/>
    <w:rsid w:val="70974410"/>
    <w:rsid w:val="70992FE9"/>
    <w:rsid w:val="7099413B"/>
    <w:rsid w:val="709B2013"/>
    <w:rsid w:val="709B37D5"/>
    <w:rsid w:val="709B5583"/>
    <w:rsid w:val="709C1A26"/>
    <w:rsid w:val="709D579F"/>
    <w:rsid w:val="70A00DEB"/>
    <w:rsid w:val="70A24B63"/>
    <w:rsid w:val="70A42689"/>
    <w:rsid w:val="70A44806"/>
    <w:rsid w:val="70A46B2D"/>
    <w:rsid w:val="70A50BB2"/>
    <w:rsid w:val="70A645D6"/>
    <w:rsid w:val="70A703CB"/>
    <w:rsid w:val="70A705B6"/>
    <w:rsid w:val="70A73F27"/>
    <w:rsid w:val="70A97C9F"/>
    <w:rsid w:val="70AD3C34"/>
    <w:rsid w:val="70AE0489"/>
    <w:rsid w:val="70B12FF8"/>
    <w:rsid w:val="70B14DA6"/>
    <w:rsid w:val="70B2124A"/>
    <w:rsid w:val="70B256C9"/>
    <w:rsid w:val="70B30B1E"/>
    <w:rsid w:val="70B32E6B"/>
    <w:rsid w:val="70B52AE8"/>
    <w:rsid w:val="70B54896"/>
    <w:rsid w:val="70B72A64"/>
    <w:rsid w:val="70B84386"/>
    <w:rsid w:val="70BA1EAD"/>
    <w:rsid w:val="70BC3E77"/>
    <w:rsid w:val="70BD0F64"/>
    <w:rsid w:val="70BD199D"/>
    <w:rsid w:val="70C00A22"/>
    <w:rsid w:val="70C44AD9"/>
    <w:rsid w:val="70C5527F"/>
    <w:rsid w:val="70C61E20"/>
    <w:rsid w:val="70C745CA"/>
    <w:rsid w:val="70CC1BE0"/>
    <w:rsid w:val="70CC398E"/>
    <w:rsid w:val="70CE3BAA"/>
    <w:rsid w:val="70CE5958"/>
    <w:rsid w:val="70CF7324"/>
    <w:rsid w:val="70D02392"/>
    <w:rsid w:val="70D0347E"/>
    <w:rsid w:val="70D171F6"/>
    <w:rsid w:val="70D311C0"/>
    <w:rsid w:val="70D50A94"/>
    <w:rsid w:val="70D54F38"/>
    <w:rsid w:val="70D56CE6"/>
    <w:rsid w:val="70D6480D"/>
    <w:rsid w:val="70D70CB1"/>
    <w:rsid w:val="70D72A5F"/>
    <w:rsid w:val="70D75F53"/>
    <w:rsid w:val="70DA254F"/>
    <w:rsid w:val="70DA42FD"/>
    <w:rsid w:val="70DC1E23"/>
    <w:rsid w:val="70DC623F"/>
    <w:rsid w:val="70DD3DED"/>
    <w:rsid w:val="70DF1913"/>
    <w:rsid w:val="70E17439"/>
    <w:rsid w:val="70E4517B"/>
    <w:rsid w:val="70E64A50"/>
    <w:rsid w:val="70E92792"/>
    <w:rsid w:val="70EB650A"/>
    <w:rsid w:val="70EC5DDE"/>
    <w:rsid w:val="70ED2282"/>
    <w:rsid w:val="70ED448B"/>
    <w:rsid w:val="70EE1B56"/>
    <w:rsid w:val="70F01D72"/>
    <w:rsid w:val="70F076DF"/>
    <w:rsid w:val="70F133F4"/>
    <w:rsid w:val="70F25AEA"/>
    <w:rsid w:val="70F3572C"/>
    <w:rsid w:val="70F3716D"/>
    <w:rsid w:val="70F742B6"/>
    <w:rsid w:val="70F76C5D"/>
    <w:rsid w:val="70F829D5"/>
    <w:rsid w:val="70FD7FEB"/>
    <w:rsid w:val="70FE448F"/>
    <w:rsid w:val="70FE623D"/>
    <w:rsid w:val="71017ADB"/>
    <w:rsid w:val="71031AA6"/>
    <w:rsid w:val="71035221"/>
    <w:rsid w:val="7103616B"/>
    <w:rsid w:val="71066EA0"/>
    <w:rsid w:val="71072C18"/>
    <w:rsid w:val="71092E34"/>
    <w:rsid w:val="71094BE2"/>
    <w:rsid w:val="710B2708"/>
    <w:rsid w:val="710D6480"/>
    <w:rsid w:val="710E21F8"/>
    <w:rsid w:val="71105F71"/>
    <w:rsid w:val="71107D1F"/>
    <w:rsid w:val="71124563"/>
    <w:rsid w:val="7113780F"/>
    <w:rsid w:val="71145A61"/>
    <w:rsid w:val="711517D9"/>
    <w:rsid w:val="7118458F"/>
    <w:rsid w:val="71184E25"/>
    <w:rsid w:val="711A294B"/>
    <w:rsid w:val="711A6DEF"/>
    <w:rsid w:val="711C66C3"/>
    <w:rsid w:val="711D243B"/>
    <w:rsid w:val="711E32B9"/>
    <w:rsid w:val="711F7F62"/>
    <w:rsid w:val="7121017E"/>
    <w:rsid w:val="71213CDA"/>
    <w:rsid w:val="71220D40"/>
    <w:rsid w:val="71233EF6"/>
    <w:rsid w:val="71237A52"/>
    <w:rsid w:val="712419F7"/>
    <w:rsid w:val="71256A4C"/>
    <w:rsid w:val="712612F0"/>
    <w:rsid w:val="71267542"/>
    <w:rsid w:val="712832BA"/>
    <w:rsid w:val="71290DE0"/>
    <w:rsid w:val="712A2F9D"/>
    <w:rsid w:val="712B4B58"/>
    <w:rsid w:val="712C3D7F"/>
    <w:rsid w:val="712E4649"/>
    <w:rsid w:val="712E63F7"/>
    <w:rsid w:val="71324139"/>
    <w:rsid w:val="71325EE7"/>
    <w:rsid w:val="71327C95"/>
    <w:rsid w:val="71357785"/>
    <w:rsid w:val="71397275"/>
    <w:rsid w:val="713A4D9B"/>
    <w:rsid w:val="713C6D66"/>
    <w:rsid w:val="713D663A"/>
    <w:rsid w:val="713F0604"/>
    <w:rsid w:val="71412A2D"/>
    <w:rsid w:val="7141437C"/>
    <w:rsid w:val="714300F4"/>
    <w:rsid w:val="71436346"/>
    <w:rsid w:val="7148570A"/>
    <w:rsid w:val="71494FDF"/>
    <w:rsid w:val="714B6FA9"/>
    <w:rsid w:val="714D2D21"/>
    <w:rsid w:val="714D4ACF"/>
    <w:rsid w:val="714F62CF"/>
    <w:rsid w:val="71502811"/>
    <w:rsid w:val="71504CB8"/>
    <w:rsid w:val="7150636D"/>
    <w:rsid w:val="71551BD5"/>
    <w:rsid w:val="715673E9"/>
    <w:rsid w:val="7157576A"/>
    <w:rsid w:val="715776FB"/>
    <w:rsid w:val="715C11B6"/>
    <w:rsid w:val="715E0A8A"/>
    <w:rsid w:val="715F64BE"/>
    <w:rsid w:val="71614A1E"/>
    <w:rsid w:val="7162598C"/>
    <w:rsid w:val="71630796"/>
    <w:rsid w:val="71641E18"/>
    <w:rsid w:val="71655A4E"/>
    <w:rsid w:val="71671FE3"/>
    <w:rsid w:val="71681909"/>
    <w:rsid w:val="716A38D3"/>
    <w:rsid w:val="716B2939"/>
    <w:rsid w:val="716B31A7"/>
    <w:rsid w:val="716D33C3"/>
    <w:rsid w:val="716D5171"/>
    <w:rsid w:val="716D6F1F"/>
    <w:rsid w:val="716F0EE9"/>
    <w:rsid w:val="717209D9"/>
    <w:rsid w:val="71724535"/>
    <w:rsid w:val="7173269C"/>
    <w:rsid w:val="71754026"/>
    <w:rsid w:val="71765292"/>
    <w:rsid w:val="71775FF0"/>
    <w:rsid w:val="71795354"/>
    <w:rsid w:val="71797038"/>
    <w:rsid w:val="717B5AE0"/>
    <w:rsid w:val="717C1858"/>
    <w:rsid w:val="717E112C"/>
    <w:rsid w:val="71807A85"/>
    <w:rsid w:val="71810C1C"/>
    <w:rsid w:val="718129CA"/>
    <w:rsid w:val="71834994"/>
    <w:rsid w:val="71881FAB"/>
    <w:rsid w:val="71883D59"/>
    <w:rsid w:val="7189187F"/>
    <w:rsid w:val="718A5D23"/>
    <w:rsid w:val="718F50E7"/>
    <w:rsid w:val="718F6E95"/>
    <w:rsid w:val="71924BD7"/>
    <w:rsid w:val="71946BA2"/>
    <w:rsid w:val="71970440"/>
    <w:rsid w:val="719721EE"/>
    <w:rsid w:val="7198719C"/>
    <w:rsid w:val="719A3A8C"/>
    <w:rsid w:val="719C231D"/>
    <w:rsid w:val="719C7804"/>
    <w:rsid w:val="719E17CE"/>
    <w:rsid w:val="719E532A"/>
    <w:rsid w:val="71A05546"/>
    <w:rsid w:val="71A072F4"/>
    <w:rsid w:val="71A1306D"/>
    <w:rsid w:val="71A130D0"/>
    <w:rsid w:val="71A234AE"/>
    <w:rsid w:val="71A52EE1"/>
    <w:rsid w:val="71A566B9"/>
    <w:rsid w:val="71A62431"/>
    <w:rsid w:val="71AA3CCF"/>
    <w:rsid w:val="71AB6D53"/>
    <w:rsid w:val="71AF1EFF"/>
    <w:rsid w:val="71B11484"/>
    <w:rsid w:val="71B20DD6"/>
    <w:rsid w:val="71B27028"/>
    <w:rsid w:val="71B460C4"/>
    <w:rsid w:val="71B52674"/>
    <w:rsid w:val="71B66B18"/>
    <w:rsid w:val="71B903B6"/>
    <w:rsid w:val="71B92164"/>
    <w:rsid w:val="71B96608"/>
    <w:rsid w:val="71BE0EB7"/>
    <w:rsid w:val="71BE59CD"/>
    <w:rsid w:val="71C01745"/>
    <w:rsid w:val="71C034F3"/>
    <w:rsid w:val="71C16296"/>
    <w:rsid w:val="71C1726B"/>
    <w:rsid w:val="71C22409"/>
    <w:rsid w:val="71C56D5B"/>
    <w:rsid w:val="71C64881"/>
    <w:rsid w:val="71CA4371"/>
    <w:rsid w:val="71CD39D3"/>
    <w:rsid w:val="71CD3E62"/>
    <w:rsid w:val="71CD79BE"/>
    <w:rsid w:val="71CF5DCD"/>
    <w:rsid w:val="71D7083C"/>
    <w:rsid w:val="71D76A8E"/>
    <w:rsid w:val="71D945B4"/>
    <w:rsid w:val="71DB657E"/>
    <w:rsid w:val="71DC40A5"/>
    <w:rsid w:val="71DC5B81"/>
    <w:rsid w:val="71DD22F7"/>
    <w:rsid w:val="71DD2341"/>
    <w:rsid w:val="71E01DE7"/>
    <w:rsid w:val="71E35433"/>
    <w:rsid w:val="71E573FD"/>
    <w:rsid w:val="71E66C33"/>
    <w:rsid w:val="71EC253A"/>
    <w:rsid w:val="71EF202A"/>
    <w:rsid w:val="71F028B6"/>
    <w:rsid w:val="71F058C3"/>
    <w:rsid w:val="71F238C8"/>
    <w:rsid w:val="71F31237"/>
    <w:rsid w:val="71F612F9"/>
    <w:rsid w:val="71F633B8"/>
    <w:rsid w:val="71F72789"/>
    <w:rsid w:val="71F72C8D"/>
    <w:rsid w:val="71F80EDE"/>
    <w:rsid w:val="71FB277D"/>
    <w:rsid w:val="71FE401B"/>
    <w:rsid w:val="71FE7A8B"/>
    <w:rsid w:val="72005FE5"/>
    <w:rsid w:val="7205184D"/>
    <w:rsid w:val="720553A9"/>
    <w:rsid w:val="72062ED0"/>
    <w:rsid w:val="72081FCD"/>
    <w:rsid w:val="720930EC"/>
    <w:rsid w:val="720974D8"/>
    <w:rsid w:val="720A0C12"/>
    <w:rsid w:val="720A29C0"/>
    <w:rsid w:val="720C002E"/>
    <w:rsid w:val="720C2BDC"/>
    <w:rsid w:val="720D49AF"/>
    <w:rsid w:val="720F6228"/>
    <w:rsid w:val="720F7FD6"/>
    <w:rsid w:val="72113D4E"/>
    <w:rsid w:val="72121874"/>
    <w:rsid w:val="72127AC6"/>
    <w:rsid w:val="72133F6A"/>
    <w:rsid w:val="72141A90"/>
    <w:rsid w:val="721645D1"/>
    <w:rsid w:val="721675B7"/>
    <w:rsid w:val="721721D6"/>
    <w:rsid w:val="72181581"/>
    <w:rsid w:val="72190E55"/>
    <w:rsid w:val="721970A7"/>
    <w:rsid w:val="721D0945"/>
    <w:rsid w:val="722021E3"/>
    <w:rsid w:val="7222075B"/>
    <w:rsid w:val="72225F5B"/>
    <w:rsid w:val="72227D09"/>
    <w:rsid w:val="72231CD3"/>
    <w:rsid w:val="72233A82"/>
    <w:rsid w:val="722515A8"/>
    <w:rsid w:val="722577FA"/>
    <w:rsid w:val="72264492"/>
    <w:rsid w:val="72281098"/>
    <w:rsid w:val="722815B7"/>
    <w:rsid w:val="7229553C"/>
    <w:rsid w:val="722A12B4"/>
    <w:rsid w:val="722A3062"/>
    <w:rsid w:val="722C2B09"/>
    <w:rsid w:val="722D5E95"/>
    <w:rsid w:val="722F2426"/>
    <w:rsid w:val="722F68CA"/>
    <w:rsid w:val="72323CC5"/>
    <w:rsid w:val="72343EB9"/>
    <w:rsid w:val="72347A3D"/>
    <w:rsid w:val="72361A07"/>
    <w:rsid w:val="723914F7"/>
    <w:rsid w:val="723B0DCB"/>
    <w:rsid w:val="723B701D"/>
    <w:rsid w:val="7242038C"/>
    <w:rsid w:val="724203AC"/>
    <w:rsid w:val="72477770"/>
    <w:rsid w:val="7249173A"/>
    <w:rsid w:val="724A54B2"/>
    <w:rsid w:val="724D0AFE"/>
    <w:rsid w:val="724E4FA2"/>
    <w:rsid w:val="7251239D"/>
    <w:rsid w:val="72514A93"/>
    <w:rsid w:val="72534367"/>
    <w:rsid w:val="72541E8D"/>
    <w:rsid w:val="7258372B"/>
    <w:rsid w:val="72586F54"/>
    <w:rsid w:val="72587BCF"/>
    <w:rsid w:val="72593476"/>
    <w:rsid w:val="725A2FB5"/>
    <w:rsid w:val="725B4445"/>
    <w:rsid w:val="725D6F93"/>
    <w:rsid w:val="725E4ABA"/>
    <w:rsid w:val="725F4256"/>
    <w:rsid w:val="726154A4"/>
    <w:rsid w:val="726227FC"/>
    <w:rsid w:val="7265409A"/>
    <w:rsid w:val="726807C0"/>
    <w:rsid w:val="726C367A"/>
    <w:rsid w:val="726C6E5D"/>
    <w:rsid w:val="726C71D7"/>
    <w:rsid w:val="726E11A1"/>
    <w:rsid w:val="726E2F4F"/>
    <w:rsid w:val="727367B7"/>
    <w:rsid w:val="727442DD"/>
    <w:rsid w:val="72760055"/>
    <w:rsid w:val="72785B7B"/>
    <w:rsid w:val="727A5D97"/>
    <w:rsid w:val="727B38BE"/>
    <w:rsid w:val="727B566C"/>
    <w:rsid w:val="727E1F3E"/>
    <w:rsid w:val="727E6F0A"/>
    <w:rsid w:val="728269FA"/>
    <w:rsid w:val="728409C4"/>
    <w:rsid w:val="72844AE1"/>
    <w:rsid w:val="72850298"/>
    <w:rsid w:val="728564EA"/>
    <w:rsid w:val="7287235F"/>
    <w:rsid w:val="72897D89"/>
    <w:rsid w:val="728A58AF"/>
    <w:rsid w:val="728B1D53"/>
    <w:rsid w:val="728C1627"/>
    <w:rsid w:val="728C7879"/>
    <w:rsid w:val="728E35F1"/>
    <w:rsid w:val="728F1117"/>
    <w:rsid w:val="729055BB"/>
    <w:rsid w:val="72907369"/>
    <w:rsid w:val="729130E1"/>
    <w:rsid w:val="729372E7"/>
    <w:rsid w:val="7294672D"/>
    <w:rsid w:val="72952BD1"/>
    <w:rsid w:val="729606F7"/>
    <w:rsid w:val="729624A5"/>
    <w:rsid w:val="72966949"/>
    <w:rsid w:val="7297468D"/>
    <w:rsid w:val="7298446F"/>
    <w:rsid w:val="729A01E8"/>
    <w:rsid w:val="729A1F96"/>
    <w:rsid w:val="729D55E2"/>
    <w:rsid w:val="729F57FE"/>
    <w:rsid w:val="72A20473"/>
    <w:rsid w:val="72A252EE"/>
    <w:rsid w:val="72A44BC2"/>
    <w:rsid w:val="72A5093A"/>
    <w:rsid w:val="72A746B3"/>
    <w:rsid w:val="72A8130B"/>
    <w:rsid w:val="72AC1CC9"/>
    <w:rsid w:val="72AC3A77"/>
    <w:rsid w:val="72AC7F1B"/>
    <w:rsid w:val="72AD3A14"/>
    <w:rsid w:val="72AD68BE"/>
    <w:rsid w:val="72AE77EF"/>
    <w:rsid w:val="72B172DF"/>
    <w:rsid w:val="72B62B48"/>
    <w:rsid w:val="72B648F6"/>
    <w:rsid w:val="72BA43E6"/>
    <w:rsid w:val="72BB1F0C"/>
    <w:rsid w:val="72BF19FC"/>
    <w:rsid w:val="72C214EC"/>
    <w:rsid w:val="72C2773E"/>
    <w:rsid w:val="72C45265"/>
    <w:rsid w:val="72C60FDD"/>
    <w:rsid w:val="72C62D8B"/>
    <w:rsid w:val="72C76B03"/>
    <w:rsid w:val="72C963D7"/>
    <w:rsid w:val="72CC4119"/>
    <w:rsid w:val="72D1172F"/>
    <w:rsid w:val="72D205AB"/>
    <w:rsid w:val="72D27981"/>
    <w:rsid w:val="72D336FA"/>
    <w:rsid w:val="72D50275"/>
    <w:rsid w:val="72D54D7C"/>
    <w:rsid w:val="72D8486C"/>
    <w:rsid w:val="72DA05E4"/>
    <w:rsid w:val="72DB435C"/>
    <w:rsid w:val="72DC25AE"/>
    <w:rsid w:val="72E15E16"/>
    <w:rsid w:val="72E256EB"/>
    <w:rsid w:val="72E27499"/>
    <w:rsid w:val="72E3698D"/>
    <w:rsid w:val="72E41463"/>
    <w:rsid w:val="72E8679E"/>
    <w:rsid w:val="72E94CCB"/>
    <w:rsid w:val="72F07E08"/>
    <w:rsid w:val="72F1592E"/>
    <w:rsid w:val="72F21DD2"/>
    <w:rsid w:val="72F378F8"/>
    <w:rsid w:val="72F53670"/>
    <w:rsid w:val="72F5541E"/>
    <w:rsid w:val="72F71196"/>
    <w:rsid w:val="72F773E8"/>
    <w:rsid w:val="72F83160"/>
    <w:rsid w:val="72F84F0E"/>
    <w:rsid w:val="72FA6ED8"/>
    <w:rsid w:val="72FC418C"/>
    <w:rsid w:val="72FC60A4"/>
    <w:rsid w:val="72FC67AC"/>
    <w:rsid w:val="72FD2525"/>
    <w:rsid w:val="72FD42D3"/>
    <w:rsid w:val="72FF44EF"/>
    <w:rsid w:val="73010267"/>
    <w:rsid w:val="73010A86"/>
    <w:rsid w:val="73013DC3"/>
    <w:rsid w:val="730613D9"/>
    <w:rsid w:val="7306587D"/>
    <w:rsid w:val="73075151"/>
    <w:rsid w:val="730C2768"/>
    <w:rsid w:val="730D6383"/>
    <w:rsid w:val="730D7029"/>
    <w:rsid w:val="730E64E0"/>
    <w:rsid w:val="731004AA"/>
    <w:rsid w:val="73107FB9"/>
    <w:rsid w:val="73117D7E"/>
    <w:rsid w:val="73120080"/>
    <w:rsid w:val="73133AF6"/>
    <w:rsid w:val="7315161C"/>
    <w:rsid w:val="73163AC7"/>
    <w:rsid w:val="73165394"/>
    <w:rsid w:val="731A30D6"/>
    <w:rsid w:val="731D4975"/>
    <w:rsid w:val="731F693F"/>
    <w:rsid w:val="7320549F"/>
    <w:rsid w:val="73206B70"/>
    <w:rsid w:val="7321692F"/>
    <w:rsid w:val="73221F8B"/>
    <w:rsid w:val="73222990"/>
    <w:rsid w:val="73223D39"/>
    <w:rsid w:val="73243F55"/>
    <w:rsid w:val="73247AB1"/>
    <w:rsid w:val="73261311"/>
    <w:rsid w:val="73267CCD"/>
    <w:rsid w:val="732857F3"/>
    <w:rsid w:val="7329156C"/>
    <w:rsid w:val="732950C8"/>
    <w:rsid w:val="732C6762"/>
    <w:rsid w:val="732D105C"/>
    <w:rsid w:val="732D6408"/>
    <w:rsid w:val="732E0930"/>
    <w:rsid w:val="732E4532"/>
    <w:rsid w:val="732F23C3"/>
    <w:rsid w:val="73306456"/>
    <w:rsid w:val="733221CE"/>
    <w:rsid w:val="73334198"/>
    <w:rsid w:val="73335F46"/>
    <w:rsid w:val="73337CF4"/>
    <w:rsid w:val="73360E06"/>
    <w:rsid w:val="73373C88"/>
    <w:rsid w:val="733777E5"/>
    <w:rsid w:val="73397A01"/>
    <w:rsid w:val="733A72D5"/>
    <w:rsid w:val="733D0B73"/>
    <w:rsid w:val="733E6DC5"/>
    <w:rsid w:val="733F2B3D"/>
    <w:rsid w:val="73426189"/>
    <w:rsid w:val="734343DB"/>
    <w:rsid w:val="7343581A"/>
    <w:rsid w:val="73440153"/>
    <w:rsid w:val="73455D2A"/>
    <w:rsid w:val="734737A0"/>
    <w:rsid w:val="73487C44"/>
    <w:rsid w:val="734B3290"/>
    <w:rsid w:val="734B7734"/>
    <w:rsid w:val="734C0DB6"/>
    <w:rsid w:val="734F0FD2"/>
    <w:rsid w:val="735008A6"/>
    <w:rsid w:val="73504D4A"/>
    <w:rsid w:val="7351143E"/>
    <w:rsid w:val="735301AA"/>
    <w:rsid w:val="735465E8"/>
    <w:rsid w:val="73555EBD"/>
    <w:rsid w:val="73577E87"/>
    <w:rsid w:val="7358516D"/>
    <w:rsid w:val="7358775B"/>
    <w:rsid w:val="735A34D3"/>
    <w:rsid w:val="735D0BC8"/>
    <w:rsid w:val="735E1215"/>
    <w:rsid w:val="735F4F8D"/>
    <w:rsid w:val="73612AB3"/>
    <w:rsid w:val="73630659"/>
    <w:rsid w:val="73634A7D"/>
    <w:rsid w:val="736425A4"/>
    <w:rsid w:val="73644352"/>
    <w:rsid w:val="736667A4"/>
    <w:rsid w:val="73682094"/>
    <w:rsid w:val="73685BF0"/>
    <w:rsid w:val="736B748E"/>
    <w:rsid w:val="736B7A45"/>
    <w:rsid w:val="736D76AA"/>
    <w:rsid w:val="736F63C6"/>
    <w:rsid w:val="7370719A"/>
    <w:rsid w:val="73722F12"/>
    <w:rsid w:val="73726A6F"/>
    <w:rsid w:val="7375655F"/>
    <w:rsid w:val="73770529"/>
    <w:rsid w:val="737722D7"/>
    <w:rsid w:val="73774085"/>
    <w:rsid w:val="73797DFD"/>
    <w:rsid w:val="737A5923"/>
    <w:rsid w:val="737E32EA"/>
    <w:rsid w:val="737F2F3A"/>
    <w:rsid w:val="737F73DD"/>
    <w:rsid w:val="73816CB2"/>
    <w:rsid w:val="738239FA"/>
    <w:rsid w:val="73840550"/>
    <w:rsid w:val="738467A2"/>
    <w:rsid w:val="738549F4"/>
    <w:rsid w:val="73880040"/>
    <w:rsid w:val="738974E1"/>
    <w:rsid w:val="738B18DE"/>
    <w:rsid w:val="738B702F"/>
    <w:rsid w:val="738B7B30"/>
    <w:rsid w:val="738D38A8"/>
    <w:rsid w:val="73903399"/>
    <w:rsid w:val="73905BE7"/>
    <w:rsid w:val="739369E5"/>
    <w:rsid w:val="73942E89"/>
    <w:rsid w:val="73944C37"/>
    <w:rsid w:val="73970283"/>
    <w:rsid w:val="73974727"/>
    <w:rsid w:val="739A7D73"/>
    <w:rsid w:val="739C7F8F"/>
    <w:rsid w:val="739E3A0B"/>
    <w:rsid w:val="73A0182E"/>
    <w:rsid w:val="73A330CC"/>
    <w:rsid w:val="73A34E7A"/>
    <w:rsid w:val="73A51066"/>
    <w:rsid w:val="73A56E44"/>
    <w:rsid w:val="73A6496A"/>
    <w:rsid w:val="73A806E2"/>
    <w:rsid w:val="73A82490"/>
    <w:rsid w:val="73A86934"/>
    <w:rsid w:val="73A979E7"/>
    <w:rsid w:val="73AA445A"/>
    <w:rsid w:val="73AB1F81"/>
    <w:rsid w:val="73AF381F"/>
    <w:rsid w:val="73AF3858"/>
    <w:rsid w:val="73B04B84"/>
    <w:rsid w:val="73B07597"/>
    <w:rsid w:val="73B40E35"/>
    <w:rsid w:val="73B54BAD"/>
    <w:rsid w:val="73B726D3"/>
    <w:rsid w:val="73B76B77"/>
    <w:rsid w:val="73BB276A"/>
    <w:rsid w:val="73BC418E"/>
    <w:rsid w:val="73BC5F3C"/>
    <w:rsid w:val="73BE1CB4"/>
    <w:rsid w:val="73BE1EBD"/>
    <w:rsid w:val="73BE3A62"/>
    <w:rsid w:val="73BE7A2D"/>
    <w:rsid w:val="73C13552"/>
    <w:rsid w:val="73C21CCE"/>
    <w:rsid w:val="73C3376E"/>
    <w:rsid w:val="73C3551C"/>
    <w:rsid w:val="73C37F71"/>
    <w:rsid w:val="73C53042"/>
    <w:rsid w:val="73C60B68"/>
    <w:rsid w:val="73C6500C"/>
    <w:rsid w:val="73C848E1"/>
    <w:rsid w:val="73CD0149"/>
    <w:rsid w:val="73CF3EC1"/>
    <w:rsid w:val="73D31512"/>
    <w:rsid w:val="73D50144"/>
    <w:rsid w:val="73D613AB"/>
    <w:rsid w:val="73D6524F"/>
    <w:rsid w:val="73D94D40"/>
    <w:rsid w:val="73D95384"/>
    <w:rsid w:val="73D96AEE"/>
    <w:rsid w:val="73DB2866"/>
    <w:rsid w:val="73DE2356"/>
    <w:rsid w:val="73DE7D66"/>
    <w:rsid w:val="73E060CE"/>
    <w:rsid w:val="73E07E7C"/>
    <w:rsid w:val="73E166E7"/>
    <w:rsid w:val="73E3171A"/>
    <w:rsid w:val="73EB7799"/>
    <w:rsid w:val="73ED07EB"/>
    <w:rsid w:val="73EF1CEF"/>
    <w:rsid w:val="73EF7322"/>
    <w:rsid w:val="73F14A9B"/>
    <w:rsid w:val="73F27BAF"/>
    <w:rsid w:val="73F55FED"/>
    <w:rsid w:val="73F676A0"/>
    <w:rsid w:val="73F751C6"/>
    <w:rsid w:val="73FB4CB6"/>
    <w:rsid w:val="73FB6A64"/>
    <w:rsid w:val="73FD3877"/>
    <w:rsid w:val="73FE47A6"/>
    <w:rsid w:val="74017DF2"/>
    <w:rsid w:val="74031DBD"/>
    <w:rsid w:val="74033B6B"/>
    <w:rsid w:val="74047396"/>
    <w:rsid w:val="740578E3"/>
    <w:rsid w:val="74057D3D"/>
    <w:rsid w:val="74065409"/>
    <w:rsid w:val="740B1954"/>
    <w:rsid w:val="740B2A1F"/>
    <w:rsid w:val="740C0C71"/>
    <w:rsid w:val="74112DAF"/>
    <w:rsid w:val="7416389E"/>
    <w:rsid w:val="7416564C"/>
    <w:rsid w:val="7419338E"/>
    <w:rsid w:val="741A3CA7"/>
    <w:rsid w:val="741B0EB4"/>
    <w:rsid w:val="741B5358"/>
    <w:rsid w:val="741C69DA"/>
    <w:rsid w:val="741D2E7E"/>
    <w:rsid w:val="741E2752"/>
    <w:rsid w:val="741E6BF6"/>
    <w:rsid w:val="74207B19"/>
    <w:rsid w:val="74213FF1"/>
    <w:rsid w:val="7423420D"/>
    <w:rsid w:val="74251D33"/>
    <w:rsid w:val="7428537F"/>
    <w:rsid w:val="742B77FD"/>
    <w:rsid w:val="742C30C1"/>
    <w:rsid w:val="742C4E6F"/>
    <w:rsid w:val="742D0BE7"/>
    <w:rsid w:val="742D6E39"/>
    <w:rsid w:val="742F4960"/>
    <w:rsid w:val="743326A2"/>
    <w:rsid w:val="74341FF0"/>
    <w:rsid w:val="7439758C"/>
    <w:rsid w:val="743B1556"/>
    <w:rsid w:val="743C0E2B"/>
    <w:rsid w:val="743D1C12"/>
    <w:rsid w:val="743E1047"/>
    <w:rsid w:val="743E2DF5"/>
    <w:rsid w:val="7440091B"/>
    <w:rsid w:val="74424693"/>
    <w:rsid w:val="744321B9"/>
    <w:rsid w:val="74454183"/>
    <w:rsid w:val="74455F31"/>
    <w:rsid w:val="74471CA9"/>
    <w:rsid w:val="7447614D"/>
    <w:rsid w:val="7449312C"/>
    <w:rsid w:val="74512B28"/>
    <w:rsid w:val="74534AF2"/>
    <w:rsid w:val="74546A09"/>
    <w:rsid w:val="7456013E"/>
    <w:rsid w:val="745A6E93"/>
    <w:rsid w:val="745F53A2"/>
    <w:rsid w:val="7461100D"/>
    <w:rsid w:val="74624D35"/>
    <w:rsid w:val="74634609"/>
    <w:rsid w:val="74640AAD"/>
    <w:rsid w:val="74650381"/>
    <w:rsid w:val="7467234B"/>
    <w:rsid w:val="746740F9"/>
    <w:rsid w:val="74675EA7"/>
    <w:rsid w:val="74681C20"/>
    <w:rsid w:val="74684F3B"/>
    <w:rsid w:val="746A1E3C"/>
    <w:rsid w:val="746A3BEA"/>
    <w:rsid w:val="746B05AE"/>
    <w:rsid w:val="746C1710"/>
    <w:rsid w:val="746C6120"/>
    <w:rsid w:val="746C7962"/>
    <w:rsid w:val="746D75B0"/>
    <w:rsid w:val="746E5488"/>
    <w:rsid w:val="746F1200"/>
    <w:rsid w:val="746F2FAE"/>
    <w:rsid w:val="74730CF0"/>
    <w:rsid w:val="74733422"/>
    <w:rsid w:val="747846C3"/>
    <w:rsid w:val="747855EE"/>
    <w:rsid w:val="7479207F"/>
    <w:rsid w:val="74795B53"/>
    <w:rsid w:val="747C3044"/>
    <w:rsid w:val="7480340D"/>
    <w:rsid w:val="74805A26"/>
    <w:rsid w:val="74822CE1"/>
    <w:rsid w:val="74844CAB"/>
    <w:rsid w:val="74846F8E"/>
    <w:rsid w:val="74850A24"/>
    <w:rsid w:val="7487479C"/>
    <w:rsid w:val="74876BE8"/>
    <w:rsid w:val="7488443F"/>
    <w:rsid w:val="748A502D"/>
    <w:rsid w:val="748A7DE8"/>
    <w:rsid w:val="748C1A26"/>
    <w:rsid w:val="748C1DB2"/>
    <w:rsid w:val="748E78D8"/>
    <w:rsid w:val="748F3650"/>
    <w:rsid w:val="74911176"/>
    <w:rsid w:val="74911BE4"/>
    <w:rsid w:val="74933140"/>
    <w:rsid w:val="74934EEE"/>
    <w:rsid w:val="74936C9D"/>
    <w:rsid w:val="7496678D"/>
    <w:rsid w:val="74982505"/>
    <w:rsid w:val="749869A9"/>
    <w:rsid w:val="7499002B"/>
    <w:rsid w:val="749A44CF"/>
    <w:rsid w:val="749B0247"/>
    <w:rsid w:val="749B3DA3"/>
    <w:rsid w:val="749D5D6D"/>
    <w:rsid w:val="749D7B1B"/>
    <w:rsid w:val="749E3893"/>
    <w:rsid w:val="749F7D37"/>
    <w:rsid w:val="74A23383"/>
    <w:rsid w:val="74A40EAA"/>
    <w:rsid w:val="74A470FC"/>
    <w:rsid w:val="74A54C22"/>
    <w:rsid w:val="74A72748"/>
    <w:rsid w:val="74A844D0"/>
    <w:rsid w:val="74A94712"/>
    <w:rsid w:val="74AA048A"/>
    <w:rsid w:val="74AC5FB0"/>
    <w:rsid w:val="74AF0AA4"/>
    <w:rsid w:val="74AF7363"/>
    <w:rsid w:val="74B03CF2"/>
    <w:rsid w:val="74B076D0"/>
    <w:rsid w:val="74B11819"/>
    <w:rsid w:val="74B135C7"/>
    <w:rsid w:val="74B51309"/>
    <w:rsid w:val="74B60BDD"/>
    <w:rsid w:val="74B65081"/>
    <w:rsid w:val="74B80DF9"/>
    <w:rsid w:val="74BB61F3"/>
    <w:rsid w:val="74BD01BD"/>
    <w:rsid w:val="74BF5CE3"/>
    <w:rsid w:val="74C23A26"/>
    <w:rsid w:val="74C27582"/>
    <w:rsid w:val="74C652C4"/>
    <w:rsid w:val="74C90ADA"/>
    <w:rsid w:val="74CA6436"/>
    <w:rsid w:val="74CB0B2C"/>
    <w:rsid w:val="74CB28DA"/>
    <w:rsid w:val="74CC0400"/>
    <w:rsid w:val="74CE4179"/>
    <w:rsid w:val="74D15A17"/>
    <w:rsid w:val="74D177C5"/>
    <w:rsid w:val="74D472B5"/>
    <w:rsid w:val="74D53759"/>
    <w:rsid w:val="74D55507"/>
    <w:rsid w:val="74D6302D"/>
    <w:rsid w:val="74DD43BC"/>
    <w:rsid w:val="74DF0134"/>
    <w:rsid w:val="74E13933"/>
    <w:rsid w:val="74E162BD"/>
    <w:rsid w:val="74E219D2"/>
    <w:rsid w:val="74E36253"/>
    <w:rsid w:val="74E41BEE"/>
    <w:rsid w:val="74E67714"/>
    <w:rsid w:val="74E7523A"/>
    <w:rsid w:val="74E92D60"/>
    <w:rsid w:val="74E94225"/>
    <w:rsid w:val="74EB4D2A"/>
    <w:rsid w:val="74EE65C9"/>
    <w:rsid w:val="74F00593"/>
    <w:rsid w:val="74F10F78"/>
    <w:rsid w:val="74F160B9"/>
    <w:rsid w:val="74F35D48"/>
    <w:rsid w:val="74F471D8"/>
    <w:rsid w:val="74F55BA9"/>
    <w:rsid w:val="74F6722B"/>
    <w:rsid w:val="74F71921"/>
    <w:rsid w:val="74FC0CE6"/>
    <w:rsid w:val="74FC6F38"/>
    <w:rsid w:val="74FD4A5E"/>
    <w:rsid w:val="74FE759E"/>
    <w:rsid w:val="74FF2584"/>
    <w:rsid w:val="750000AA"/>
    <w:rsid w:val="750202C6"/>
    <w:rsid w:val="75022C6C"/>
    <w:rsid w:val="75023E22"/>
    <w:rsid w:val="750556C0"/>
    <w:rsid w:val="7507768A"/>
    <w:rsid w:val="75091655"/>
    <w:rsid w:val="75093403"/>
    <w:rsid w:val="750A2CD7"/>
    <w:rsid w:val="750B717B"/>
    <w:rsid w:val="750C4CA1"/>
    <w:rsid w:val="750C6A4F"/>
    <w:rsid w:val="750D14C0"/>
    <w:rsid w:val="750E27C7"/>
    <w:rsid w:val="751029E3"/>
    <w:rsid w:val="75134281"/>
    <w:rsid w:val="75137DDD"/>
    <w:rsid w:val="75151DA7"/>
    <w:rsid w:val="75156511"/>
    <w:rsid w:val="75157C37"/>
    <w:rsid w:val="75157C52"/>
    <w:rsid w:val="75181898"/>
    <w:rsid w:val="751A116C"/>
    <w:rsid w:val="751B4EE4"/>
    <w:rsid w:val="751D6EAE"/>
    <w:rsid w:val="751F49D4"/>
    <w:rsid w:val="7521699E"/>
    <w:rsid w:val="75265D63"/>
    <w:rsid w:val="75271ADB"/>
    <w:rsid w:val="75287D2D"/>
    <w:rsid w:val="752913AF"/>
    <w:rsid w:val="752C5111"/>
    <w:rsid w:val="752E10BB"/>
    <w:rsid w:val="7530098F"/>
    <w:rsid w:val="7530273D"/>
    <w:rsid w:val="75313A58"/>
    <w:rsid w:val="753164B5"/>
    <w:rsid w:val="75327643"/>
    <w:rsid w:val="7533222E"/>
    <w:rsid w:val="753366D1"/>
    <w:rsid w:val="753411BE"/>
    <w:rsid w:val="753515D2"/>
    <w:rsid w:val="75355FA6"/>
    <w:rsid w:val="75372FEB"/>
    <w:rsid w:val="753A04DC"/>
    <w:rsid w:val="753B10E2"/>
    <w:rsid w:val="753C37D8"/>
    <w:rsid w:val="753D30AC"/>
    <w:rsid w:val="753D3D0E"/>
    <w:rsid w:val="753D4E5A"/>
    <w:rsid w:val="753E1321"/>
    <w:rsid w:val="753F5076"/>
    <w:rsid w:val="7541494A"/>
    <w:rsid w:val="754206C3"/>
    <w:rsid w:val="75483F2B"/>
    <w:rsid w:val="754937FF"/>
    <w:rsid w:val="754E52B9"/>
    <w:rsid w:val="754E7DE2"/>
    <w:rsid w:val="75501031"/>
    <w:rsid w:val="75502DDF"/>
    <w:rsid w:val="75510906"/>
    <w:rsid w:val="75556648"/>
    <w:rsid w:val="755725D5"/>
    <w:rsid w:val="75575F1C"/>
    <w:rsid w:val="75594EF5"/>
    <w:rsid w:val="755C79D6"/>
    <w:rsid w:val="755E374E"/>
    <w:rsid w:val="75610B49"/>
    <w:rsid w:val="756248C1"/>
    <w:rsid w:val="75630D65"/>
    <w:rsid w:val="75664928"/>
    <w:rsid w:val="75680129"/>
    <w:rsid w:val="756920F3"/>
    <w:rsid w:val="75693EA1"/>
    <w:rsid w:val="756B5E6B"/>
    <w:rsid w:val="756F085C"/>
    <w:rsid w:val="75710B04"/>
    <w:rsid w:val="757271FA"/>
    <w:rsid w:val="75734D20"/>
    <w:rsid w:val="75750A98"/>
    <w:rsid w:val="75752846"/>
    <w:rsid w:val="75756BF5"/>
    <w:rsid w:val="7577036C"/>
    <w:rsid w:val="75774810"/>
    <w:rsid w:val="757840E4"/>
    <w:rsid w:val="757A422E"/>
    <w:rsid w:val="757A4300"/>
    <w:rsid w:val="757F36C5"/>
    <w:rsid w:val="7581743D"/>
    <w:rsid w:val="758331B5"/>
    <w:rsid w:val="75842A89"/>
    <w:rsid w:val="75846F2D"/>
    <w:rsid w:val="75864A53"/>
    <w:rsid w:val="75866801"/>
    <w:rsid w:val="75882579"/>
    <w:rsid w:val="7589009F"/>
    <w:rsid w:val="758962F1"/>
    <w:rsid w:val="758D193E"/>
    <w:rsid w:val="758E3908"/>
    <w:rsid w:val="758F1B5A"/>
    <w:rsid w:val="7590142E"/>
    <w:rsid w:val="75906C53"/>
    <w:rsid w:val="75907680"/>
    <w:rsid w:val="75911025"/>
    <w:rsid w:val="759233F8"/>
    <w:rsid w:val="75927110"/>
    <w:rsid w:val="75952EE8"/>
    <w:rsid w:val="75976C60"/>
    <w:rsid w:val="75980EF8"/>
    <w:rsid w:val="759C4277"/>
    <w:rsid w:val="759C7DD3"/>
    <w:rsid w:val="75A1363B"/>
    <w:rsid w:val="75A153E9"/>
    <w:rsid w:val="75A66EA3"/>
    <w:rsid w:val="75A849CA"/>
    <w:rsid w:val="75AB44BA"/>
    <w:rsid w:val="75AD0232"/>
    <w:rsid w:val="75AF3FAA"/>
    <w:rsid w:val="75B02718"/>
    <w:rsid w:val="75B216F6"/>
    <w:rsid w:val="75B415C0"/>
    <w:rsid w:val="75B4336E"/>
    <w:rsid w:val="75B96BD7"/>
    <w:rsid w:val="75BA46FD"/>
    <w:rsid w:val="75BD6BB2"/>
    <w:rsid w:val="75BE2C13"/>
    <w:rsid w:val="75BF7F65"/>
    <w:rsid w:val="75C17839"/>
    <w:rsid w:val="75C335B1"/>
    <w:rsid w:val="75C33EB4"/>
    <w:rsid w:val="75C426CF"/>
    <w:rsid w:val="75C5557C"/>
    <w:rsid w:val="75C630A2"/>
    <w:rsid w:val="75C86E1A"/>
    <w:rsid w:val="75C94940"/>
    <w:rsid w:val="75CA0DE4"/>
    <w:rsid w:val="75CA2B92"/>
    <w:rsid w:val="75CB2646"/>
    <w:rsid w:val="75CB690A"/>
    <w:rsid w:val="75CD3301"/>
    <w:rsid w:val="75D21A46"/>
    <w:rsid w:val="75D70262"/>
    <w:rsid w:val="75D73501"/>
    <w:rsid w:val="75DE03EB"/>
    <w:rsid w:val="75DE488F"/>
    <w:rsid w:val="75E1612D"/>
    <w:rsid w:val="75E308CD"/>
    <w:rsid w:val="75E31EA6"/>
    <w:rsid w:val="75E35A02"/>
    <w:rsid w:val="75E519E7"/>
    <w:rsid w:val="75E55C1E"/>
    <w:rsid w:val="75E55DBE"/>
    <w:rsid w:val="75E654F2"/>
    <w:rsid w:val="75EB48B6"/>
    <w:rsid w:val="75EF084A"/>
    <w:rsid w:val="75EF25F8"/>
    <w:rsid w:val="75F27075"/>
    <w:rsid w:val="75F44423"/>
    <w:rsid w:val="75F45E61"/>
    <w:rsid w:val="75F53987"/>
    <w:rsid w:val="75F93477"/>
    <w:rsid w:val="75FA2D4B"/>
    <w:rsid w:val="75FB27C7"/>
    <w:rsid w:val="75FB71EF"/>
    <w:rsid w:val="75FB7FE4"/>
    <w:rsid w:val="75FC2F67"/>
    <w:rsid w:val="760065B4"/>
    <w:rsid w:val="76026A27"/>
    <w:rsid w:val="760360A4"/>
    <w:rsid w:val="76053693"/>
    <w:rsid w:val="76053BCA"/>
    <w:rsid w:val="760616F0"/>
    <w:rsid w:val="76065B94"/>
    <w:rsid w:val="7608190C"/>
    <w:rsid w:val="760836BA"/>
    <w:rsid w:val="76085468"/>
    <w:rsid w:val="760A3A78"/>
    <w:rsid w:val="760A6649"/>
    <w:rsid w:val="760A7432"/>
    <w:rsid w:val="760B4F58"/>
    <w:rsid w:val="760D0CD1"/>
    <w:rsid w:val="760F67F7"/>
    <w:rsid w:val="76114DF8"/>
    <w:rsid w:val="76120095"/>
    <w:rsid w:val="761262E7"/>
    <w:rsid w:val="7614205F"/>
    <w:rsid w:val="76164029"/>
    <w:rsid w:val="76165DD7"/>
    <w:rsid w:val="761756AB"/>
    <w:rsid w:val="76197675"/>
    <w:rsid w:val="761A4999"/>
    <w:rsid w:val="761B163F"/>
    <w:rsid w:val="761C0F14"/>
    <w:rsid w:val="761D53B8"/>
    <w:rsid w:val="761E4C8C"/>
    <w:rsid w:val="761E6A3A"/>
    <w:rsid w:val="761F7C5A"/>
    <w:rsid w:val="76236746"/>
    <w:rsid w:val="76263B40"/>
    <w:rsid w:val="76280742"/>
    <w:rsid w:val="762878B8"/>
    <w:rsid w:val="762D19E3"/>
    <w:rsid w:val="762E5A44"/>
    <w:rsid w:val="762F0C47"/>
    <w:rsid w:val="762F50EB"/>
    <w:rsid w:val="763149BF"/>
    <w:rsid w:val="76342701"/>
    <w:rsid w:val="76377AFB"/>
    <w:rsid w:val="76391AC6"/>
    <w:rsid w:val="763B75EC"/>
    <w:rsid w:val="763C5112"/>
    <w:rsid w:val="763D3D03"/>
    <w:rsid w:val="763E70DC"/>
    <w:rsid w:val="763F1FF4"/>
    <w:rsid w:val="764010A6"/>
    <w:rsid w:val="76404C02"/>
    <w:rsid w:val="76423EBA"/>
    <w:rsid w:val="764346F2"/>
    <w:rsid w:val="7646258A"/>
    <w:rsid w:val="76472434"/>
    <w:rsid w:val="764865EB"/>
    <w:rsid w:val="764A782F"/>
    <w:rsid w:val="764E2A65"/>
    <w:rsid w:val="764F3097"/>
    <w:rsid w:val="76500BBD"/>
    <w:rsid w:val="76504D7D"/>
    <w:rsid w:val="76516E0F"/>
    <w:rsid w:val="76530DD9"/>
    <w:rsid w:val="765468FF"/>
    <w:rsid w:val="76564426"/>
    <w:rsid w:val="765661D4"/>
    <w:rsid w:val="76597570"/>
    <w:rsid w:val="765E32DA"/>
    <w:rsid w:val="765E777E"/>
    <w:rsid w:val="766052A4"/>
    <w:rsid w:val="7662101C"/>
    <w:rsid w:val="766308F1"/>
    <w:rsid w:val="76650B0D"/>
    <w:rsid w:val="76671547"/>
    <w:rsid w:val="76674885"/>
    <w:rsid w:val="76684494"/>
    <w:rsid w:val="766A6123"/>
    <w:rsid w:val="766B0D4A"/>
    <w:rsid w:val="766D79C1"/>
    <w:rsid w:val="766E6D77"/>
    <w:rsid w:val="766F3DA0"/>
    <w:rsid w:val="7671125F"/>
    <w:rsid w:val="76721858"/>
    <w:rsid w:val="76746FA2"/>
    <w:rsid w:val="76755608"/>
    <w:rsid w:val="7676042D"/>
    <w:rsid w:val="76760624"/>
    <w:rsid w:val="76761669"/>
    <w:rsid w:val="7677439C"/>
    <w:rsid w:val="76780840"/>
    <w:rsid w:val="76792D20"/>
    <w:rsid w:val="76796366"/>
    <w:rsid w:val="767C19B2"/>
    <w:rsid w:val="767D5E56"/>
    <w:rsid w:val="767E397C"/>
    <w:rsid w:val="76805946"/>
    <w:rsid w:val="768076F4"/>
    <w:rsid w:val="76816FC9"/>
    <w:rsid w:val="768216BE"/>
    <w:rsid w:val="76830F93"/>
    <w:rsid w:val="768947FB"/>
    <w:rsid w:val="768A0132"/>
    <w:rsid w:val="768A40CF"/>
    <w:rsid w:val="768C6099"/>
    <w:rsid w:val="768D26E2"/>
    <w:rsid w:val="768E0063"/>
    <w:rsid w:val="768F5B89"/>
    <w:rsid w:val="76911902"/>
    <w:rsid w:val="769136B0"/>
    <w:rsid w:val="7691545E"/>
    <w:rsid w:val="769413F2"/>
    <w:rsid w:val="76944F4E"/>
    <w:rsid w:val="76956082"/>
    <w:rsid w:val="76960CC6"/>
    <w:rsid w:val="76962A74"/>
    <w:rsid w:val="76967512"/>
    <w:rsid w:val="76982C90"/>
    <w:rsid w:val="769A0A64"/>
    <w:rsid w:val="769D02A6"/>
    <w:rsid w:val="769E5DCD"/>
    <w:rsid w:val="76A258BD"/>
    <w:rsid w:val="76A35191"/>
    <w:rsid w:val="76A35CBA"/>
    <w:rsid w:val="76A41635"/>
    <w:rsid w:val="76A50F09"/>
    <w:rsid w:val="76A70496"/>
    <w:rsid w:val="76A765C4"/>
    <w:rsid w:val="76AC2297"/>
    <w:rsid w:val="76AE24B4"/>
    <w:rsid w:val="76B029B0"/>
    <w:rsid w:val="76B14119"/>
    <w:rsid w:val="76B15B00"/>
    <w:rsid w:val="76B227A0"/>
    <w:rsid w:val="76B4114C"/>
    <w:rsid w:val="76B86E8E"/>
    <w:rsid w:val="76BB072D"/>
    <w:rsid w:val="76BD6253"/>
    <w:rsid w:val="76BE1FCB"/>
    <w:rsid w:val="76C07AF1"/>
    <w:rsid w:val="76C07F60"/>
    <w:rsid w:val="76C23869"/>
    <w:rsid w:val="76C375E1"/>
    <w:rsid w:val="76C410FF"/>
    <w:rsid w:val="76C659F8"/>
    <w:rsid w:val="76C70E7F"/>
    <w:rsid w:val="76C770D1"/>
    <w:rsid w:val="76CA6401"/>
    <w:rsid w:val="76CB4CC0"/>
    <w:rsid w:val="76CC46E8"/>
    <w:rsid w:val="76CD220E"/>
    <w:rsid w:val="76CE0460"/>
    <w:rsid w:val="76CF41D8"/>
    <w:rsid w:val="76D00FAE"/>
    <w:rsid w:val="76D11CFE"/>
    <w:rsid w:val="76D37824"/>
    <w:rsid w:val="76D417EE"/>
    <w:rsid w:val="76D4359C"/>
    <w:rsid w:val="76D637B8"/>
    <w:rsid w:val="76D65566"/>
    <w:rsid w:val="76D812DE"/>
    <w:rsid w:val="76D96E05"/>
    <w:rsid w:val="76DA32A9"/>
    <w:rsid w:val="76DA5057"/>
    <w:rsid w:val="76DB492B"/>
    <w:rsid w:val="76DD4B47"/>
    <w:rsid w:val="76DF5548"/>
    <w:rsid w:val="76E2215D"/>
    <w:rsid w:val="76E25CB9"/>
    <w:rsid w:val="76E35B18"/>
    <w:rsid w:val="76E557A9"/>
    <w:rsid w:val="76E6260B"/>
    <w:rsid w:val="76E71522"/>
    <w:rsid w:val="76E77774"/>
    <w:rsid w:val="76E934EC"/>
    <w:rsid w:val="76E9529A"/>
    <w:rsid w:val="76EA2DC0"/>
    <w:rsid w:val="76EC7AE6"/>
    <w:rsid w:val="76F459ED"/>
    <w:rsid w:val="76F61765"/>
    <w:rsid w:val="76F82369"/>
    <w:rsid w:val="76F8372F"/>
    <w:rsid w:val="76FA1255"/>
    <w:rsid w:val="76FA74A7"/>
    <w:rsid w:val="76FD1290"/>
    <w:rsid w:val="76FD2AF3"/>
    <w:rsid w:val="76FE0D45"/>
    <w:rsid w:val="770025E3"/>
    <w:rsid w:val="77043E82"/>
    <w:rsid w:val="77057BFA"/>
    <w:rsid w:val="7707298A"/>
    <w:rsid w:val="770747F9"/>
    <w:rsid w:val="7709593C"/>
    <w:rsid w:val="770976EA"/>
    <w:rsid w:val="770C0F88"/>
    <w:rsid w:val="770C2D36"/>
    <w:rsid w:val="770C35E3"/>
    <w:rsid w:val="7711659E"/>
    <w:rsid w:val="77132317"/>
    <w:rsid w:val="771816DB"/>
    <w:rsid w:val="77185B7F"/>
    <w:rsid w:val="771A18F7"/>
    <w:rsid w:val="771F0CBB"/>
    <w:rsid w:val="771F6F0D"/>
    <w:rsid w:val="772207AC"/>
    <w:rsid w:val="7722255A"/>
    <w:rsid w:val="7723186A"/>
    <w:rsid w:val="77275DC2"/>
    <w:rsid w:val="7728424C"/>
    <w:rsid w:val="772B3B04"/>
    <w:rsid w:val="772B58B2"/>
    <w:rsid w:val="772C2BCD"/>
    <w:rsid w:val="772E7150"/>
    <w:rsid w:val="7730111A"/>
    <w:rsid w:val="77324E93"/>
    <w:rsid w:val="7733135F"/>
    <w:rsid w:val="773329B9"/>
    <w:rsid w:val="77366005"/>
    <w:rsid w:val="773724A9"/>
    <w:rsid w:val="77383B2B"/>
    <w:rsid w:val="773B361B"/>
    <w:rsid w:val="773C7ABF"/>
    <w:rsid w:val="773D7394"/>
    <w:rsid w:val="77413963"/>
    <w:rsid w:val="77416E84"/>
    <w:rsid w:val="77420E4E"/>
    <w:rsid w:val="7746449A"/>
    <w:rsid w:val="77470212"/>
    <w:rsid w:val="774A385E"/>
    <w:rsid w:val="774B1AB0"/>
    <w:rsid w:val="774B75E6"/>
    <w:rsid w:val="774D1960"/>
    <w:rsid w:val="774D3A7A"/>
    <w:rsid w:val="774E76A8"/>
    <w:rsid w:val="774E77F3"/>
    <w:rsid w:val="774E7B7C"/>
    <w:rsid w:val="77512E3F"/>
    <w:rsid w:val="77534E09"/>
    <w:rsid w:val="77544993"/>
    <w:rsid w:val="7755292F"/>
    <w:rsid w:val="77560455"/>
    <w:rsid w:val="775748F9"/>
    <w:rsid w:val="77584D6C"/>
    <w:rsid w:val="775A4025"/>
    <w:rsid w:val="775D17E4"/>
    <w:rsid w:val="775D7A36"/>
    <w:rsid w:val="775E5A5C"/>
    <w:rsid w:val="775F555C"/>
    <w:rsid w:val="775F6EEC"/>
    <w:rsid w:val="776112D4"/>
    <w:rsid w:val="77626DFA"/>
    <w:rsid w:val="7763329E"/>
    <w:rsid w:val="77652D5E"/>
    <w:rsid w:val="77664B3C"/>
    <w:rsid w:val="776A5740"/>
    <w:rsid w:val="77702A42"/>
    <w:rsid w:val="777032C5"/>
    <w:rsid w:val="7771703D"/>
    <w:rsid w:val="77723041"/>
    <w:rsid w:val="77737259"/>
    <w:rsid w:val="77752FD1"/>
    <w:rsid w:val="77756B2D"/>
    <w:rsid w:val="77767C8C"/>
    <w:rsid w:val="77775308"/>
    <w:rsid w:val="777811D4"/>
    <w:rsid w:val="77784870"/>
    <w:rsid w:val="77784C20"/>
    <w:rsid w:val="777A05E8"/>
    <w:rsid w:val="777A4144"/>
    <w:rsid w:val="777C610E"/>
    <w:rsid w:val="777D1E86"/>
    <w:rsid w:val="777F5BFE"/>
    <w:rsid w:val="77811976"/>
    <w:rsid w:val="77822FF8"/>
    <w:rsid w:val="77843214"/>
    <w:rsid w:val="77846D70"/>
    <w:rsid w:val="77860D3A"/>
    <w:rsid w:val="77884AB3"/>
    <w:rsid w:val="778A35E9"/>
    <w:rsid w:val="778B45A3"/>
    <w:rsid w:val="778D031B"/>
    <w:rsid w:val="778E7BEF"/>
    <w:rsid w:val="778F5FCB"/>
    <w:rsid w:val="77901BB9"/>
    <w:rsid w:val="7790745B"/>
    <w:rsid w:val="77935205"/>
    <w:rsid w:val="779416A9"/>
    <w:rsid w:val="779571D0"/>
    <w:rsid w:val="77974CF6"/>
    <w:rsid w:val="779A47E6"/>
    <w:rsid w:val="779A6594"/>
    <w:rsid w:val="779D7E32"/>
    <w:rsid w:val="779F3BAA"/>
    <w:rsid w:val="77A13FE0"/>
    <w:rsid w:val="77A318EC"/>
    <w:rsid w:val="77A613DD"/>
    <w:rsid w:val="77A6318B"/>
    <w:rsid w:val="77A64F39"/>
    <w:rsid w:val="77A86F03"/>
    <w:rsid w:val="77A94A29"/>
    <w:rsid w:val="77AB07A1"/>
    <w:rsid w:val="77AE0291"/>
    <w:rsid w:val="77B04009"/>
    <w:rsid w:val="77B07B65"/>
    <w:rsid w:val="77B27D81"/>
    <w:rsid w:val="77B30434"/>
    <w:rsid w:val="77B533CE"/>
    <w:rsid w:val="77B5517C"/>
    <w:rsid w:val="77B70EF4"/>
    <w:rsid w:val="77B8543C"/>
    <w:rsid w:val="77B91110"/>
    <w:rsid w:val="77BA6C36"/>
    <w:rsid w:val="77BD2282"/>
    <w:rsid w:val="77BE04D4"/>
    <w:rsid w:val="77BE0D98"/>
    <w:rsid w:val="77BF249E"/>
    <w:rsid w:val="77C27899"/>
    <w:rsid w:val="77C33D3D"/>
    <w:rsid w:val="77C90C27"/>
    <w:rsid w:val="77CA50CB"/>
    <w:rsid w:val="77CB17B3"/>
    <w:rsid w:val="77CE623E"/>
    <w:rsid w:val="77CF4841"/>
    <w:rsid w:val="77D31AA6"/>
    <w:rsid w:val="77D45F4A"/>
    <w:rsid w:val="77D53A70"/>
    <w:rsid w:val="77D73344"/>
    <w:rsid w:val="77D9530E"/>
    <w:rsid w:val="77D959A0"/>
    <w:rsid w:val="77DA2E34"/>
    <w:rsid w:val="77DC095A"/>
    <w:rsid w:val="77DC4DFE"/>
    <w:rsid w:val="77DE2925"/>
    <w:rsid w:val="77DF669D"/>
    <w:rsid w:val="77E048EF"/>
    <w:rsid w:val="77E20193"/>
    <w:rsid w:val="77E3618D"/>
    <w:rsid w:val="77E37F3B"/>
    <w:rsid w:val="77E43CB3"/>
    <w:rsid w:val="77E617D9"/>
    <w:rsid w:val="77E85551"/>
    <w:rsid w:val="77E872FF"/>
    <w:rsid w:val="77EA751B"/>
    <w:rsid w:val="77EB5041"/>
    <w:rsid w:val="77EF630B"/>
    <w:rsid w:val="77F02658"/>
    <w:rsid w:val="77F2017E"/>
    <w:rsid w:val="77F21B73"/>
    <w:rsid w:val="77F35CA4"/>
    <w:rsid w:val="77F4039A"/>
    <w:rsid w:val="77F5251C"/>
    <w:rsid w:val="77F75794"/>
    <w:rsid w:val="77FA5285"/>
    <w:rsid w:val="77FC0FFD"/>
    <w:rsid w:val="77FE4D75"/>
    <w:rsid w:val="78000AED"/>
    <w:rsid w:val="78024538"/>
    <w:rsid w:val="78034139"/>
    <w:rsid w:val="7804209D"/>
    <w:rsid w:val="78047EB1"/>
    <w:rsid w:val="780879A1"/>
    <w:rsid w:val="780A371A"/>
    <w:rsid w:val="780C3966"/>
    <w:rsid w:val="780D4FB8"/>
    <w:rsid w:val="780D6D66"/>
    <w:rsid w:val="780F0D30"/>
    <w:rsid w:val="780F6F82"/>
    <w:rsid w:val="781042B4"/>
    <w:rsid w:val="78106856"/>
    <w:rsid w:val="78130702"/>
    <w:rsid w:val="781400F4"/>
    <w:rsid w:val="78144598"/>
    <w:rsid w:val="78165BF2"/>
    <w:rsid w:val="781819A2"/>
    <w:rsid w:val="7819395D"/>
    <w:rsid w:val="781A1483"/>
    <w:rsid w:val="781B5927"/>
    <w:rsid w:val="781C34BC"/>
    <w:rsid w:val="781C57AE"/>
    <w:rsid w:val="781D4384"/>
    <w:rsid w:val="78202F3D"/>
    <w:rsid w:val="782115C4"/>
    <w:rsid w:val="782236A8"/>
    <w:rsid w:val="782642CC"/>
    <w:rsid w:val="78275436"/>
    <w:rsid w:val="78283BA0"/>
    <w:rsid w:val="782A7918"/>
    <w:rsid w:val="782C7B34"/>
    <w:rsid w:val="782D565A"/>
    <w:rsid w:val="782D7408"/>
    <w:rsid w:val="782F13D2"/>
    <w:rsid w:val="782F4F2E"/>
    <w:rsid w:val="7831514A"/>
    <w:rsid w:val="78327197"/>
    <w:rsid w:val="78340796"/>
    <w:rsid w:val="78362761"/>
    <w:rsid w:val="7836450F"/>
    <w:rsid w:val="78397B5B"/>
    <w:rsid w:val="783B7D77"/>
    <w:rsid w:val="783C790D"/>
    <w:rsid w:val="783E1615"/>
    <w:rsid w:val="7840538D"/>
    <w:rsid w:val="784309DA"/>
    <w:rsid w:val="7844495E"/>
    <w:rsid w:val="784531B7"/>
    <w:rsid w:val="784A1D68"/>
    <w:rsid w:val="784C3D32"/>
    <w:rsid w:val="784D023A"/>
    <w:rsid w:val="784D3606"/>
    <w:rsid w:val="785030F6"/>
    <w:rsid w:val="7855070D"/>
    <w:rsid w:val="78574485"/>
    <w:rsid w:val="785C1A9B"/>
    <w:rsid w:val="785E5813"/>
    <w:rsid w:val="785F027B"/>
    <w:rsid w:val="7860333A"/>
    <w:rsid w:val="786077DD"/>
    <w:rsid w:val="78623556"/>
    <w:rsid w:val="786372CE"/>
    <w:rsid w:val="78680440"/>
    <w:rsid w:val="786A065C"/>
    <w:rsid w:val="786A240A"/>
    <w:rsid w:val="786C6182"/>
    <w:rsid w:val="786D1EFA"/>
    <w:rsid w:val="787119EB"/>
    <w:rsid w:val="78713799"/>
    <w:rsid w:val="7871654C"/>
    <w:rsid w:val="78726BDF"/>
    <w:rsid w:val="78727511"/>
    <w:rsid w:val="78745037"/>
    <w:rsid w:val="787577C7"/>
    <w:rsid w:val="78760DAF"/>
    <w:rsid w:val="78762B5D"/>
    <w:rsid w:val="787709AC"/>
    <w:rsid w:val="78770FA3"/>
    <w:rsid w:val="7879089F"/>
    <w:rsid w:val="78791B91"/>
    <w:rsid w:val="7879264D"/>
    <w:rsid w:val="787B4617"/>
    <w:rsid w:val="787C3EEC"/>
    <w:rsid w:val="787C4DA0"/>
    <w:rsid w:val="787D038F"/>
    <w:rsid w:val="787E05CC"/>
    <w:rsid w:val="787E5EB6"/>
    <w:rsid w:val="78811502"/>
    <w:rsid w:val="78833532"/>
    <w:rsid w:val="78857244"/>
    <w:rsid w:val="78866B18"/>
    <w:rsid w:val="78874D6A"/>
    <w:rsid w:val="78880AE2"/>
    <w:rsid w:val="788B412F"/>
    <w:rsid w:val="788C05D2"/>
    <w:rsid w:val="788D60F9"/>
    <w:rsid w:val="788D7EA7"/>
    <w:rsid w:val="788F1E71"/>
    <w:rsid w:val="788F3C1F"/>
    <w:rsid w:val="78917997"/>
    <w:rsid w:val="789254BD"/>
    <w:rsid w:val="78941235"/>
    <w:rsid w:val="789613EB"/>
    <w:rsid w:val="78986F77"/>
    <w:rsid w:val="789A79F1"/>
    <w:rsid w:val="789B25C4"/>
    <w:rsid w:val="789D458E"/>
    <w:rsid w:val="789E20B4"/>
    <w:rsid w:val="789E3E62"/>
    <w:rsid w:val="78A0407E"/>
    <w:rsid w:val="78A23952"/>
    <w:rsid w:val="78A27DF6"/>
    <w:rsid w:val="78A413DB"/>
    <w:rsid w:val="78A84CE1"/>
    <w:rsid w:val="78AC2A23"/>
    <w:rsid w:val="78AF606F"/>
    <w:rsid w:val="78B00E0E"/>
    <w:rsid w:val="78B47B29"/>
    <w:rsid w:val="78B638A1"/>
    <w:rsid w:val="78B673FD"/>
    <w:rsid w:val="78B83176"/>
    <w:rsid w:val="78B90C9C"/>
    <w:rsid w:val="78BA32A4"/>
    <w:rsid w:val="78BB0EB8"/>
    <w:rsid w:val="78BC253A"/>
    <w:rsid w:val="78BD1F82"/>
    <w:rsid w:val="78C53AE4"/>
    <w:rsid w:val="78C56174"/>
    <w:rsid w:val="78C673B0"/>
    <w:rsid w:val="78CA2EA9"/>
    <w:rsid w:val="78CC6C21"/>
    <w:rsid w:val="78CE2999"/>
    <w:rsid w:val="78CF04BF"/>
    <w:rsid w:val="78CF054C"/>
    <w:rsid w:val="78D41F79"/>
    <w:rsid w:val="78D43D28"/>
    <w:rsid w:val="78D52DDA"/>
    <w:rsid w:val="78D6184E"/>
    <w:rsid w:val="78D855C6"/>
    <w:rsid w:val="78DA407B"/>
    <w:rsid w:val="78DB3308"/>
    <w:rsid w:val="78DD2BDC"/>
    <w:rsid w:val="78DD498A"/>
    <w:rsid w:val="78E35D19"/>
    <w:rsid w:val="78E57CE3"/>
    <w:rsid w:val="78E8332F"/>
    <w:rsid w:val="78EC06E7"/>
    <w:rsid w:val="78EC1071"/>
    <w:rsid w:val="78EC7BD1"/>
    <w:rsid w:val="78ED0487"/>
    <w:rsid w:val="78EE303B"/>
    <w:rsid w:val="78EF46BD"/>
    <w:rsid w:val="78F16688"/>
    <w:rsid w:val="78F61EF0"/>
    <w:rsid w:val="78F9553C"/>
    <w:rsid w:val="78FA19E0"/>
    <w:rsid w:val="78FD6DDA"/>
    <w:rsid w:val="78FE1F1F"/>
    <w:rsid w:val="79021DF7"/>
    <w:rsid w:val="79030169"/>
    <w:rsid w:val="7904460D"/>
    <w:rsid w:val="790463BB"/>
    <w:rsid w:val="79050385"/>
    <w:rsid w:val="79052133"/>
    <w:rsid w:val="79073098"/>
    <w:rsid w:val="79084528"/>
    <w:rsid w:val="790A14F7"/>
    <w:rsid w:val="790A599B"/>
    <w:rsid w:val="790B2EA9"/>
    <w:rsid w:val="790C526F"/>
    <w:rsid w:val="790E039A"/>
    <w:rsid w:val="790E2F6B"/>
    <w:rsid w:val="790E548B"/>
    <w:rsid w:val="790F6B0E"/>
    <w:rsid w:val="79144124"/>
    <w:rsid w:val="791505C8"/>
    <w:rsid w:val="79166B2C"/>
    <w:rsid w:val="791954AD"/>
    <w:rsid w:val="791E4FA3"/>
    <w:rsid w:val="791F31F5"/>
    <w:rsid w:val="79200D1B"/>
    <w:rsid w:val="792027AF"/>
    <w:rsid w:val="79202AC9"/>
    <w:rsid w:val="792151BF"/>
    <w:rsid w:val="79226841"/>
    <w:rsid w:val="79232871"/>
    <w:rsid w:val="79256331"/>
    <w:rsid w:val="792866E3"/>
    <w:rsid w:val="79297BCF"/>
    <w:rsid w:val="792E3438"/>
    <w:rsid w:val="792E51E6"/>
    <w:rsid w:val="79305402"/>
    <w:rsid w:val="79314CD6"/>
    <w:rsid w:val="7936053E"/>
    <w:rsid w:val="79366346"/>
    <w:rsid w:val="79366790"/>
    <w:rsid w:val="793A633F"/>
    <w:rsid w:val="793D18CD"/>
    <w:rsid w:val="793D367B"/>
    <w:rsid w:val="793F1D99"/>
    <w:rsid w:val="794013BD"/>
    <w:rsid w:val="79404F19"/>
    <w:rsid w:val="79426EE3"/>
    <w:rsid w:val="794404C5"/>
    <w:rsid w:val="79450781"/>
    <w:rsid w:val="794644CA"/>
    <w:rsid w:val="794A5D98"/>
    <w:rsid w:val="794C7D62"/>
    <w:rsid w:val="794E03FE"/>
    <w:rsid w:val="795158ED"/>
    <w:rsid w:val="79517126"/>
    <w:rsid w:val="79536335"/>
    <w:rsid w:val="795737B3"/>
    <w:rsid w:val="795A247F"/>
    <w:rsid w:val="795A422D"/>
    <w:rsid w:val="795C6BBB"/>
    <w:rsid w:val="795D1F6F"/>
    <w:rsid w:val="795D3D1D"/>
    <w:rsid w:val="79607369"/>
    <w:rsid w:val="79621333"/>
    <w:rsid w:val="79627585"/>
    <w:rsid w:val="796706F8"/>
    <w:rsid w:val="79674B9C"/>
    <w:rsid w:val="7967694A"/>
    <w:rsid w:val="79677549"/>
    <w:rsid w:val="79677B15"/>
    <w:rsid w:val="796926C2"/>
    <w:rsid w:val="79692E64"/>
    <w:rsid w:val="79694470"/>
    <w:rsid w:val="796A6496"/>
    <w:rsid w:val="796B01E8"/>
    <w:rsid w:val="796B31A8"/>
    <w:rsid w:val="796C3F60"/>
    <w:rsid w:val="796C5D0E"/>
    <w:rsid w:val="796D3987"/>
    <w:rsid w:val="79752E15"/>
    <w:rsid w:val="7975478C"/>
    <w:rsid w:val="79764DDF"/>
    <w:rsid w:val="79773031"/>
    <w:rsid w:val="79774348"/>
    <w:rsid w:val="79777DEA"/>
    <w:rsid w:val="79780A9A"/>
    <w:rsid w:val="79780B57"/>
    <w:rsid w:val="79782905"/>
    <w:rsid w:val="79783E51"/>
    <w:rsid w:val="797A667D"/>
    <w:rsid w:val="797C23F5"/>
    <w:rsid w:val="797F5A41"/>
    <w:rsid w:val="79872B48"/>
    <w:rsid w:val="79892D64"/>
    <w:rsid w:val="79894B12"/>
    <w:rsid w:val="798B2638"/>
    <w:rsid w:val="798C63B0"/>
    <w:rsid w:val="799040F2"/>
    <w:rsid w:val="79905EA0"/>
    <w:rsid w:val="79907C4E"/>
    <w:rsid w:val="79921C19"/>
    <w:rsid w:val="79927E6B"/>
    <w:rsid w:val="799314ED"/>
    <w:rsid w:val="79933F60"/>
    <w:rsid w:val="7993773F"/>
    <w:rsid w:val="79955265"/>
    <w:rsid w:val="79982FA7"/>
    <w:rsid w:val="79986B03"/>
    <w:rsid w:val="799D236B"/>
    <w:rsid w:val="799E680F"/>
    <w:rsid w:val="79A16564"/>
    <w:rsid w:val="79A25BD4"/>
    <w:rsid w:val="79A56375"/>
    <w:rsid w:val="79A8143C"/>
    <w:rsid w:val="79A90D10"/>
    <w:rsid w:val="79A96F62"/>
    <w:rsid w:val="79AB4A88"/>
    <w:rsid w:val="79AC0800"/>
    <w:rsid w:val="79AD3829"/>
    <w:rsid w:val="79AE27CB"/>
    <w:rsid w:val="79AE4579"/>
    <w:rsid w:val="79B0209F"/>
    <w:rsid w:val="79B37DE1"/>
    <w:rsid w:val="79B41A4E"/>
    <w:rsid w:val="79B53B59"/>
    <w:rsid w:val="79B55907"/>
    <w:rsid w:val="79B576B5"/>
    <w:rsid w:val="79B7167F"/>
    <w:rsid w:val="79B7342D"/>
    <w:rsid w:val="79B778D1"/>
    <w:rsid w:val="79BA4CCB"/>
    <w:rsid w:val="79BA69C4"/>
    <w:rsid w:val="79BC0A44"/>
    <w:rsid w:val="79BC4EE7"/>
    <w:rsid w:val="79BF22E2"/>
    <w:rsid w:val="79C15B4E"/>
    <w:rsid w:val="79C16FDE"/>
    <w:rsid w:val="79C43D9C"/>
    <w:rsid w:val="79C63670"/>
    <w:rsid w:val="79C67B14"/>
    <w:rsid w:val="79C8563A"/>
    <w:rsid w:val="79C93160"/>
    <w:rsid w:val="79CB512B"/>
    <w:rsid w:val="79CC3D35"/>
    <w:rsid w:val="79CE69C9"/>
    <w:rsid w:val="79D248D3"/>
    <w:rsid w:val="79D35D8D"/>
    <w:rsid w:val="79D42231"/>
    <w:rsid w:val="79D51B05"/>
    <w:rsid w:val="79D55FA9"/>
    <w:rsid w:val="79D653E0"/>
    <w:rsid w:val="79D70FC9"/>
    <w:rsid w:val="79D71BF0"/>
    <w:rsid w:val="79D7587D"/>
    <w:rsid w:val="79D815F5"/>
    <w:rsid w:val="79D833A4"/>
    <w:rsid w:val="79D95265"/>
    <w:rsid w:val="79DB2756"/>
    <w:rsid w:val="79DD67B7"/>
    <w:rsid w:val="79E104AA"/>
    <w:rsid w:val="79E1494E"/>
    <w:rsid w:val="79E166FC"/>
    <w:rsid w:val="79E30EE8"/>
    <w:rsid w:val="79E32474"/>
    <w:rsid w:val="79E47F9A"/>
    <w:rsid w:val="79E61F64"/>
    <w:rsid w:val="79E70D0C"/>
    <w:rsid w:val="79EB757B"/>
    <w:rsid w:val="79ED32F3"/>
    <w:rsid w:val="79F1109C"/>
    <w:rsid w:val="79F24465"/>
    <w:rsid w:val="79F2497C"/>
    <w:rsid w:val="79F326D0"/>
    <w:rsid w:val="79F41E6D"/>
    <w:rsid w:val="79F70A51"/>
    <w:rsid w:val="79F75F20"/>
    <w:rsid w:val="79F77CCE"/>
    <w:rsid w:val="79F9310E"/>
    <w:rsid w:val="79FA5A10"/>
    <w:rsid w:val="79FA77BE"/>
    <w:rsid w:val="79FD1A8F"/>
    <w:rsid w:val="79FE23C1"/>
    <w:rsid w:val="79FF3026"/>
    <w:rsid w:val="7A010B4C"/>
    <w:rsid w:val="7A025901"/>
    <w:rsid w:val="7A067F11"/>
    <w:rsid w:val="7A08012D"/>
    <w:rsid w:val="7A0B3779"/>
    <w:rsid w:val="7A0B5527"/>
    <w:rsid w:val="7A1268B5"/>
    <w:rsid w:val="7A1926F8"/>
    <w:rsid w:val="7A1A1C0E"/>
    <w:rsid w:val="7A1C7BE9"/>
    <w:rsid w:val="7A1F0FD2"/>
    <w:rsid w:val="7A205476"/>
    <w:rsid w:val="7A2111EE"/>
    <w:rsid w:val="7A212F9C"/>
    <w:rsid w:val="7A213A5B"/>
    <w:rsid w:val="7A252A8D"/>
    <w:rsid w:val="7A262361"/>
    <w:rsid w:val="7A274CFC"/>
    <w:rsid w:val="7A280D5D"/>
    <w:rsid w:val="7A28257D"/>
    <w:rsid w:val="7A2860D9"/>
    <w:rsid w:val="7A293BFF"/>
    <w:rsid w:val="7A2A00A3"/>
    <w:rsid w:val="7A2B3E1B"/>
    <w:rsid w:val="7A320489"/>
    <w:rsid w:val="7A335A87"/>
    <w:rsid w:val="7A340F22"/>
    <w:rsid w:val="7A344A7E"/>
    <w:rsid w:val="7A3507F6"/>
    <w:rsid w:val="7A356A48"/>
    <w:rsid w:val="7A3727C0"/>
    <w:rsid w:val="7A3A405E"/>
    <w:rsid w:val="7A3C3932"/>
    <w:rsid w:val="7A3E3B4E"/>
    <w:rsid w:val="7A440A39"/>
    <w:rsid w:val="7A456C8B"/>
    <w:rsid w:val="7A462A03"/>
    <w:rsid w:val="7A480529"/>
    <w:rsid w:val="7A490C32"/>
    <w:rsid w:val="7A4A42A1"/>
    <w:rsid w:val="7A4B626B"/>
    <w:rsid w:val="7A4C5587"/>
    <w:rsid w:val="7A4D3D91"/>
    <w:rsid w:val="7A4D6A17"/>
    <w:rsid w:val="7A4E3666"/>
    <w:rsid w:val="7A5073DE"/>
    <w:rsid w:val="7A513882"/>
    <w:rsid w:val="7A523156"/>
    <w:rsid w:val="7A543372"/>
    <w:rsid w:val="7A5549F4"/>
    <w:rsid w:val="7A564AD6"/>
    <w:rsid w:val="7A57076C"/>
    <w:rsid w:val="7A5769BE"/>
    <w:rsid w:val="7A590988"/>
    <w:rsid w:val="7A592736"/>
    <w:rsid w:val="7A594721"/>
    <w:rsid w:val="7A5A025C"/>
    <w:rsid w:val="7A5B64AE"/>
    <w:rsid w:val="7A5C2227"/>
    <w:rsid w:val="7A5C5D83"/>
    <w:rsid w:val="7A5E1AFB"/>
    <w:rsid w:val="7A5E7D4D"/>
    <w:rsid w:val="7A601D17"/>
    <w:rsid w:val="7A6115EB"/>
    <w:rsid w:val="7A630C3D"/>
    <w:rsid w:val="7A635363"/>
    <w:rsid w:val="7A637111"/>
    <w:rsid w:val="7A6730A5"/>
    <w:rsid w:val="7A6A04A0"/>
    <w:rsid w:val="7A6B1FA0"/>
    <w:rsid w:val="7A6B4218"/>
    <w:rsid w:val="7A6D1D3E"/>
    <w:rsid w:val="7A6D2160"/>
    <w:rsid w:val="7A6D61E2"/>
    <w:rsid w:val="7A6F1F5A"/>
    <w:rsid w:val="7A6F5AB6"/>
    <w:rsid w:val="7A715CD2"/>
    <w:rsid w:val="7A7632E8"/>
    <w:rsid w:val="7A772BBC"/>
    <w:rsid w:val="7A777060"/>
    <w:rsid w:val="7A7964E3"/>
    <w:rsid w:val="7A7B1A95"/>
    <w:rsid w:val="7A7C6425"/>
    <w:rsid w:val="7A7E3F4B"/>
    <w:rsid w:val="7A831561"/>
    <w:rsid w:val="7A8552D9"/>
    <w:rsid w:val="7A8A0B42"/>
    <w:rsid w:val="7A8A28F0"/>
    <w:rsid w:val="7A8C48BA"/>
    <w:rsid w:val="7A8C54B0"/>
    <w:rsid w:val="7A8E533A"/>
    <w:rsid w:val="7A8F3748"/>
    <w:rsid w:val="7A8F6735"/>
    <w:rsid w:val="7A903C7E"/>
    <w:rsid w:val="7A911ED0"/>
    <w:rsid w:val="7A9419C0"/>
    <w:rsid w:val="7A996FD7"/>
    <w:rsid w:val="7A9B793E"/>
    <w:rsid w:val="7A9C0121"/>
    <w:rsid w:val="7A9C0875"/>
    <w:rsid w:val="7A9C2623"/>
    <w:rsid w:val="7A9D50C1"/>
    <w:rsid w:val="7A9E639B"/>
    <w:rsid w:val="7AA02320"/>
    <w:rsid w:val="7AA240DD"/>
    <w:rsid w:val="7AA37E55"/>
    <w:rsid w:val="7AA40E74"/>
    <w:rsid w:val="7AA41266"/>
    <w:rsid w:val="7AA634A2"/>
    <w:rsid w:val="7AA65250"/>
    <w:rsid w:val="7AA80FC8"/>
    <w:rsid w:val="7AAA2F92"/>
    <w:rsid w:val="7AAA4D40"/>
    <w:rsid w:val="7AAC4F5C"/>
    <w:rsid w:val="7AAF2356"/>
    <w:rsid w:val="7AB12572"/>
    <w:rsid w:val="7AB14320"/>
    <w:rsid w:val="7AB23BF5"/>
    <w:rsid w:val="7AB7745D"/>
    <w:rsid w:val="7AB868FB"/>
    <w:rsid w:val="7AB91427"/>
    <w:rsid w:val="7AB97CD8"/>
    <w:rsid w:val="7ABA2DBB"/>
    <w:rsid w:val="7ABF5874"/>
    <w:rsid w:val="7AC2652D"/>
    <w:rsid w:val="7AC51B7A"/>
    <w:rsid w:val="7AC5601E"/>
    <w:rsid w:val="7AC676A0"/>
    <w:rsid w:val="7AC73B44"/>
    <w:rsid w:val="7AC758F2"/>
    <w:rsid w:val="7ACC5CEF"/>
    <w:rsid w:val="7ACD237D"/>
    <w:rsid w:val="7ACF0C4A"/>
    <w:rsid w:val="7ACF12ED"/>
    <w:rsid w:val="7AD07CBE"/>
    <w:rsid w:val="7AD1051F"/>
    <w:rsid w:val="7AD24297"/>
    <w:rsid w:val="7AD86FC8"/>
    <w:rsid w:val="7AD95625"/>
    <w:rsid w:val="7ADB314B"/>
    <w:rsid w:val="7ADD6057"/>
    <w:rsid w:val="7ADD6515"/>
    <w:rsid w:val="7AE00762"/>
    <w:rsid w:val="7AE2272C"/>
    <w:rsid w:val="7AE30252"/>
    <w:rsid w:val="7AE77D42"/>
    <w:rsid w:val="7AE83ABA"/>
    <w:rsid w:val="7AEA15E0"/>
    <w:rsid w:val="7AEC35AA"/>
    <w:rsid w:val="7AEC5358"/>
    <w:rsid w:val="7AEF6BF7"/>
    <w:rsid w:val="7AF1471D"/>
    <w:rsid w:val="7AF20495"/>
    <w:rsid w:val="7AF366E7"/>
    <w:rsid w:val="7AF406B1"/>
    <w:rsid w:val="7AF4245F"/>
    <w:rsid w:val="7AF4427B"/>
    <w:rsid w:val="7AF64429"/>
    <w:rsid w:val="7AF75AAB"/>
    <w:rsid w:val="7AFB559C"/>
    <w:rsid w:val="7AFD1314"/>
    <w:rsid w:val="7B022DCE"/>
    <w:rsid w:val="7B02692A"/>
    <w:rsid w:val="7B05641A"/>
    <w:rsid w:val="7B0703E4"/>
    <w:rsid w:val="7B083DED"/>
    <w:rsid w:val="7B09527D"/>
    <w:rsid w:val="7B0C1557"/>
    <w:rsid w:val="7B0C77A9"/>
    <w:rsid w:val="7B0D52CF"/>
    <w:rsid w:val="7B0E3521"/>
    <w:rsid w:val="7B0F1047"/>
    <w:rsid w:val="7B0F54EB"/>
    <w:rsid w:val="7B0F7299"/>
    <w:rsid w:val="7B113011"/>
    <w:rsid w:val="7B116306"/>
    <w:rsid w:val="7B1242D4"/>
    <w:rsid w:val="7B130B37"/>
    <w:rsid w:val="7B1448AF"/>
    <w:rsid w:val="7B14665D"/>
    <w:rsid w:val="7B151DDB"/>
    <w:rsid w:val="7B1623D5"/>
    <w:rsid w:val="7B166879"/>
    <w:rsid w:val="7B18439F"/>
    <w:rsid w:val="7B18614D"/>
    <w:rsid w:val="7B187EFC"/>
    <w:rsid w:val="7B193C74"/>
    <w:rsid w:val="7B1A0118"/>
    <w:rsid w:val="7B1B79EC"/>
    <w:rsid w:val="7B1D3764"/>
    <w:rsid w:val="7B2014A6"/>
    <w:rsid w:val="7B204C45"/>
    <w:rsid w:val="7B242D44"/>
    <w:rsid w:val="7B256ABC"/>
    <w:rsid w:val="7B270806"/>
    <w:rsid w:val="7B2745E3"/>
    <w:rsid w:val="7B276391"/>
    <w:rsid w:val="7B292109"/>
    <w:rsid w:val="7B2E771F"/>
    <w:rsid w:val="7B2F16E9"/>
    <w:rsid w:val="7B2F3497"/>
    <w:rsid w:val="7B2F5245"/>
    <w:rsid w:val="7B332F87"/>
    <w:rsid w:val="7B346CFF"/>
    <w:rsid w:val="7B347940"/>
    <w:rsid w:val="7B362A78"/>
    <w:rsid w:val="7B3665D4"/>
    <w:rsid w:val="7B3700EA"/>
    <w:rsid w:val="7B38059E"/>
    <w:rsid w:val="7B3A4316"/>
    <w:rsid w:val="7B3D5BB4"/>
    <w:rsid w:val="7B444040"/>
    <w:rsid w:val="7B445194"/>
    <w:rsid w:val="7B450F0D"/>
    <w:rsid w:val="7B46521F"/>
    <w:rsid w:val="7B486307"/>
    <w:rsid w:val="7B4909FD"/>
    <w:rsid w:val="7B4A02D1"/>
    <w:rsid w:val="7B4A207F"/>
    <w:rsid w:val="7B4E6013"/>
    <w:rsid w:val="7B4F58E7"/>
    <w:rsid w:val="7B51340D"/>
    <w:rsid w:val="7B524F03"/>
    <w:rsid w:val="7B533629"/>
    <w:rsid w:val="7B542EFE"/>
    <w:rsid w:val="7B58479C"/>
    <w:rsid w:val="7B5B0730"/>
    <w:rsid w:val="7B5F1FCE"/>
    <w:rsid w:val="7B607AF4"/>
    <w:rsid w:val="7B65510B"/>
    <w:rsid w:val="7B656EB9"/>
    <w:rsid w:val="7B694BFB"/>
    <w:rsid w:val="7B6969A9"/>
    <w:rsid w:val="7B6A2721"/>
    <w:rsid w:val="7B6C6499"/>
    <w:rsid w:val="7B717F36"/>
    <w:rsid w:val="7B7535A0"/>
    <w:rsid w:val="7B775AEA"/>
    <w:rsid w:val="7B784E3E"/>
    <w:rsid w:val="7B7B492E"/>
    <w:rsid w:val="7B7B66DC"/>
    <w:rsid w:val="7B7D0936"/>
    <w:rsid w:val="7B7D2454"/>
    <w:rsid w:val="7B821819"/>
    <w:rsid w:val="7B827A6B"/>
    <w:rsid w:val="7B841A35"/>
    <w:rsid w:val="7B8437E3"/>
    <w:rsid w:val="7B851309"/>
    <w:rsid w:val="7B86755B"/>
    <w:rsid w:val="7B875081"/>
    <w:rsid w:val="7B897C4C"/>
    <w:rsid w:val="7B8B2DC3"/>
    <w:rsid w:val="7B8B3C62"/>
    <w:rsid w:val="7B8C6B3B"/>
    <w:rsid w:val="7B8D79B4"/>
    <w:rsid w:val="7B8F3A15"/>
    <w:rsid w:val="7B920134"/>
    <w:rsid w:val="7B933A26"/>
    <w:rsid w:val="7B950D17"/>
    <w:rsid w:val="7B95779E"/>
    <w:rsid w:val="7B9652C4"/>
    <w:rsid w:val="7B971768"/>
    <w:rsid w:val="7B98728E"/>
    <w:rsid w:val="7B9A1258"/>
    <w:rsid w:val="7B9A6B62"/>
    <w:rsid w:val="7B9D2AF7"/>
    <w:rsid w:val="7B9F061D"/>
    <w:rsid w:val="7BA03C32"/>
    <w:rsid w:val="7BA21E8B"/>
    <w:rsid w:val="7BA45C33"/>
    <w:rsid w:val="7BA4737C"/>
    <w:rsid w:val="7BA75723"/>
    <w:rsid w:val="7BA774D1"/>
    <w:rsid w:val="7BA82956"/>
    <w:rsid w:val="7BA9149B"/>
    <w:rsid w:val="7BAE08D6"/>
    <w:rsid w:val="7BAE0AEB"/>
    <w:rsid w:val="7BB045D8"/>
    <w:rsid w:val="7BB06386"/>
    <w:rsid w:val="7BB120FE"/>
    <w:rsid w:val="7BB229A1"/>
    <w:rsid w:val="7BB3231A"/>
    <w:rsid w:val="7BB73BB8"/>
    <w:rsid w:val="7BB87930"/>
    <w:rsid w:val="7BBB4D2B"/>
    <w:rsid w:val="7BBC11CF"/>
    <w:rsid w:val="7BC55225"/>
    <w:rsid w:val="7BC6204D"/>
    <w:rsid w:val="7BC71922"/>
    <w:rsid w:val="7BCB7664"/>
    <w:rsid w:val="7BCC0CE6"/>
    <w:rsid w:val="7BCC50F8"/>
    <w:rsid w:val="7BCC6F38"/>
    <w:rsid w:val="7BCE4A5E"/>
    <w:rsid w:val="7BD04C7A"/>
    <w:rsid w:val="7BD227A0"/>
    <w:rsid w:val="7BD323FA"/>
    <w:rsid w:val="7BD5403F"/>
    <w:rsid w:val="7BD55DED"/>
    <w:rsid w:val="7BD61B65"/>
    <w:rsid w:val="7BDB201C"/>
    <w:rsid w:val="7BDC717B"/>
    <w:rsid w:val="7BDE7397"/>
    <w:rsid w:val="7BDF310F"/>
    <w:rsid w:val="7BE032BD"/>
    <w:rsid w:val="7BE129E3"/>
    <w:rsid w:val="7BE349AD"/>
    <w:rsid w:val="7BE350CF"/>
    <w:rsid w:val="7BE355C9"/>
    <w:rsid w:val="7BE424D4"/>
    <w:rsid w:val="7BE44282"/>
    <w:rsid w:val="7BE6624C"/>
    <w:rsid w:val="7BE73D72"/>
    <w:rsid w:val="7BE75B20"/>
    <w:rsid w:val="7BE85FC7"/>
    <w:rsid w:val="7BE97AEA"/>
    <w:rsid w:val="7BEC3136"/>
    <w:rsid w:val="7BED4E21"/>
    <w:rsid w:val="7BED75DA"/>
    <w:rsid w:val="7BEE5100"/>
    <w:rsid w:val="7BEE6EAE"/>
    <w:rsid w:val="7BF22E42"/>
    <w:rsid w:val="7BF30969"/>
    <w:rsid w:val="7BF5648F"/>
    <w:rsid w:val="7BF87D2D"/>
    <w:rsid w:val="7BFC781D"/>
    <w:rsid w:val="7BFF1094"/>
    <w:rsid w:val="7BFF2E69"/>
    <w:rsid w:val="7C013085"/>
    <w:rsid w:val="7C014E34"/>
    <w:rsid w:val="7C016BE2"/>
    <w:rsid w:val="7C02295A"/>
    <w:rsid w:val="7C036DFE"/>
    <w:rsid w:val="7C0641F8"/>
    <w:rsid w:val="7C07486D"/>
    <w:rsid w:val="7C077F70"/>
    <w:rsid w:val="7C0861C2"/>
    <w:rsid w:val="7C09018C"/>
    <w:rsid w:val="7C0D37D8"/>
    <w:rsid w:val="7C0E12FE"/>
    <w:rsid w:val="7C0E376A"/>
    <w:rsid w:val="7C0E57A2"/>
    <w:rsid w:val="7C0E7550"/>
    <w:rsid w:val="7C10151B"/>
    <w:rsid w:val="7C1032C9"/>
    <w:rsid w:val="7C136915"/>
    <w:rsid w:val="7C1424C5"/>
    <w:rsid w:val="7C18217D"/>
    <w:rsid w:val="7C1903CF"/>
    <w:rsid w:val="7C1A344E"/>
    <w:rsid w:val="7C1A4147"/>
    <w:rsid w:val="7C1A7CA3"/>
    <w:rsid w:val="7C1B7AA8"/>
    <w:rsid w:val="7C1E3C37"/>
    <w:rsid w:val="7C1F175E"/>
    <w:rsid w:val="7C1F52BA"/>
    <w:rsid w:val="7C224DAA"/>
    <w:rsid w:val="7C23124E"/>
    <w:rsid w:val="7C232FFC"/>
    <w:rsid w:val="7C240B22"/>
    <w:rsid w:val="7C2428D0"/>
    <w:rsid w:val="7C262AEC"/>
    <w:rsid w:val="7C26471C"/>
    <w:rsid w:val="7C266648"/>
    <w:rsid w:val="7C277F07"/>
    <w:rsid w:val="7C2808E1"/>
    <w:rsid w:val="7C29438A"/>
    <w:rsid w:val="7C296138"/>
    <w:rsid w:val="7C2C5863"/>
    <w:rsid w:val="7C2D5C29"/>
    <w:rsid w:val="7C2D79D7"/>
    <w:rsid w:val="7C2E374F"/>
    <w:rsid w:val="7C30396B"/>
    <w:rsid w:val="7C321491"/>
    <w:rsid w:val="7C322B65"/>
    <w:rsid w:val="7C354ADD"/>
    <w:rsid w:val="7C372603"/>
    <w:rsid w:val="7C3A2A38"/>
    <w:rsid w:val="7C3D172A"/>
    <w:rsid w:val="7C3E1BE4"/>
    <w:rsid w:val="7C413482"/>
    <w:rsid w:val="7C442F72"/>
    <w:rsid w:val="7C445208"/>
    <w:rsid w:val="7C460A98"/>
    <w:rsid w:val="7C464F3C"/>
    <w:rsid w:val="7C480CB4"/>
    <w:rsid w:val="7C484810"/>
    <w:rsid w:val="7C492337"/>
    <w:rsid w:val="7C4A4A2C"/>
    <w:rsid w:val="7C4B60AF"/>
    <w:rsid w:val="7C4D1E27"/>
    <w:rsid w:val="7C504C5E"/>
    <w:rsid w:val="7C507B69"/>
    <w:rsid w:val="7C510B3E"/>
    <w:rsid w:val="7C530F6E"/>
    <w:rsid w:val="7C556F2D"/>
    <w:rsid w:val="7C570EF7"/>
    <w:rsid w:val="7C5733F0"/>
    <w:rsid w:val="7C5807CC"/>
    <w:rsid w:val="7C596A1E"/>
    <w:rsid w:val="7C5A34B2"/>
    <w:rsid w:val="7C5C02BC"/>
    <w:rsid w:val="7C5E4034"/>
    <w:rsid w:val="7C5E5DE2"/>
    <w:rsid w:val="7C605FFE"/>
    <w:rsid w:val="7C63164A"/>
    <w:rsid w:val="7C6453C2"/>
    <w:rsid w:val="7C647170"/>
    <w:rsid w:val="7C666E84"/>
    <w:rsid w:val="7C684EB3"/>
    <w:rsid w:val="7C6929D9"/>
    <w:rsid w:val="7C6B49A3"/>
    <w:rsid w:val="7C6D24C9"/>
    <w:rsid w:val="7C6D4277"/>
    <w:rsid w:val="7C6F6241"/>
    <w:rsid w:val="7C703D67"/>
    <w:rsid w:val="7C725D31"/>
    <w:rsid w:val="7C742918"/>
    <w:rsid w:val="7C75312C"/>
    <w:rsid w:val="7C7954E2"/>
    <w:rsid w:val="7C7A3319"/>
    <w:rsid w:val="7C7A6994"/>
    <w:rsid w:val="7C7C44BA"/>
    <w:rsid w:val="7C7E0232"/>
    <w:rsid w:val="7C7E6484"/>
    <w:rsid w:val="7C80044E"/>
    <w:rsid w:val="7C815F74"/>
    <w:rsid w:val="7C8415C1"/>
    <w:rsid w:val="7C855A65"/>
    <w:rsid w:val="7C8617DD"/>
    <w:rsid w:val="7C865339"/>
    <w:rsid w:val="7C87766B"/>
    <w:rsid w:val="7C885555"/>
    <w:rsid w:val="7C8A307B"/>
    <w:rsid w:val="7C8B0BA1"/>
    <w:rsid w:val="7C8B2A69"/>
    <w:rsid w:val="7C8D2AB0"/>
    <w:rsid w:val="7C8F243F"/>
    <w:rsid w:val="7C8F68E3"/>
    <w:rsid w:val="7C920181"/>
    <w:rsid w:val="7C941F01"/>
    <w:rsid w:val="7C945CA8"/>
    <w:rsid w:val="7C947A56"/>
    <w:rsid w:val="7C9712F4"/>
    <w:rsid w:val="7C9B7036"/>
    <w:rsid w:val="7C9B7203"/>
    <w:rsid w:val="7C9E08D4"/>
    <w:rsid w:val="7C9E462D"/>
    <w:rsid w:val="7C9F63FA"/>
    <w:rsid w:val="7CA36E25"/>
    <w:rsid w:val="7CA37C99"/>
    <w:rsid w:val="7CA53A11"/>
    <w:rsid w:val="7CA57EB5"/>
    <w:rsid w:val="7CA757A6"/>
    <w:rsid w:val="7CA852AF"/>
    <w:rsid w:val="7CA92C97"/>
    <w:rsid w:val="7CAA1027"/>
    <w:rsid w:val="7CAA7279"/>
    <w:rsid w:val="7CAB7890"/>
    <w:rsid w:val="7CAC1243"/>
    <w:rsid w:val="7CAD4FBB"/>
    <w:rsid w:val="7CAF663E"/>
    <w:rsid w:val="7CB02B6A"/>
    <w:rsid w:val="7CB1685A"/>
    <w:rsid w:val="7CB24380"/>
    <w:rsid w:val="7CB2612E"/>
    <w:rsid w:val="7CB65C1E"/>
    <w:rsid w:val="7CBA1883"/>
    <w:rsid w:val="7CBA4FE2"/>
    <w:rsid w:val="7CBB76D8"/>
    <w:rsid w:val="7CC04CEF"/>
    <w:rsid w:val="7CC13AEF"/>
    <w:rsid w:val="7CC145C3"/>
    <w:rsid w:val="7CC4789F"/>
    <w:rsid w:val="7CC9106D"/>
    <w:rsid w:val="7CC973C1"/>
    <w:rsid w:val="7CCC3693"/>
    <w:rsid w:val="7CCD4D16"/>
    <w:rsid w:val="7CCF6CE0"/>
    <w:rsid w:val="7CD04806"/>
    <w:rsid w:val="7CD12A58"/>
    <w:rsid w:val="7CD442F6"/>
    <w:rsid w:val="7CD460A4"/>
    <w:rsid w:val="7CD82038"/>
    <w:rsid w:val="7CD95DB0"/>
    <w:rsid w:val="7CDB7433"/>
    <w:rsid w:val="7CDC13FD"/>
    <w:rsid w:val="7CDC31AB"/>
    <w:rsid w:val="7CE24C65"/>
    <w:rsid w:val="7CE34539"/>
    <w:rsid w:val="7CE37753"/>
    <w:rsid w:val="7CE46E89"/>
    <w:rsid w:val="7CE54755"/>
    <w:rsid w:val="7CE64029"/>
    <w:rsid w:val="7CE704CD"/>
    <w:rsid w:val="7CE7227B"/>
    <w:rsid w:val="7CEC4E57"/>
    <w:rsid w:val="7CEF7382"/>
    <w:rsid w:val="7CF130FA"/>
    <w:rsid w:val="7CF16C56"/>
    <w:rsid w:val="7CF36E72"/>
    <w:rsid w:val="7CF44998"/>
    <w:rsid w:val="7CF76237"/>
    <w:rsid w:val="7CF77FE5"/>
    <w:rsid w:val="7CF90201"/>
    <w:rsid w:val="7CF91FAF"/>
    <w:rsid w:val="7CF95B0B"/>
    <w:rsid w:val="7CFB7AD5"/>
    <w:rsid w:val="7CFC55FB"/>
    <w:rsid w:val="7D032E2D"/>
    <w:rsid w:val="7D036989"/>
    <w:rsid w:val="7D07647A"/>
    <w:rsid w:val="7D080444"/>
    <w:rsid w:val="7D0A4866"/>
    <w:rsid w:val="7D0C3A90"/>
    <w:rsid w:val="7D0C7F34"/>
    <w:rsid w:val="7D0D7808"/>
    <w:rsid w:val="7D0E09B5"/>
    <w:rsid w:val="7D0E5A5A"/>
    <w:rsid w:val="7D0F16A0"/>
    <w:rsid w:val="7D0F3580"/>
    <w:rsid w:val="7D0F532E"/>
    <w:rsid w:val="7D1011A5"/>
    <w:rsid w:val="7D1307C6"/>
    <w:rsid w:val="7D1312C2"/>
    <w:rsid w:val="7D133070"/>
    <w:rsid w:val="7D16490F"/>
    <w:rsid w:val="7D1943FF"/>
    <w:rsid w:val="7D1B1F25"/>
    <w:rsid w:val="7D1B3CD3"/>
    <w:rsid w:val="7D1D701A"/>
    <w:rsid w:val="7D20753B"/>
    <w:rsid w:val="7D2302BB"/>
    <w:rsid w:val="7D23702C"/>
    <w:rsid w:val="7D24527D"/>
    <w:rsid w:val="7D250FF6"/>
    <w:rsid w:val="7D254B52"/>
    <w:rsid w:val="7D272678"/>
    <w:rsid w:val="7D276B1C"/>
    <w:rsid w:val="7D2C4132"/>
    <w:rsid w:val="7D2C5EE0"/>
    <w:rsid w:val="7D2D3A06"/>
    <w:rsid w:val="7D2E7EAA"/>
    <w:rsid w:val="7D2F3C22"/>
    <w:rsid w:val="7D311748"/>
    <w:rsid w:val="7D315490"/>
    <w:rsid w:val="7D31799A"/>
    <w:rsid w:val="7D32101D"/>
    <w:rsid w:val="7D3354C1"/>
    <w:rsid w:val="7D341239"/>
    <w:rsid w:val="7D3426D0"/>
    <w:rsid w:val="7D366D5F"/>
    <w:rsid w:val="7D370AD3"/>
    <w:rsid w:val="7D374932"/>
    <w:rsid w:val="7D380D29"/>
    <w:rsid w:val="7D382AD7"/>
    <w:rsid w:val="7D3D00ED"/>
    <w:rsid w:val="7D3E3E65"/>
    <w:rsid w:val="7D3E79C1"/>
    <w:rsid w:val="7D4476CE"/>
    <w:rsid w:val="7D470F6C"/>
    <w:rsid w:val="7D472D1A"/>
    <w:rsid w:val="7D480B46"/>
    <w:rsid w:val="7D494CE4"/>
    <w:rsid w:val="7D4A0A5C"/>
    <w:rsid w:val="7D4A280A"/>
    <w:rsid w:val="7D4F6073"/>
    <w:rsid w:val="7D511DEB"/>
    <w:rsid w:val="7D513B99"/>
    <w:rsid w:val="7D515947"/>
    <w:rsid w:val="7D5471E5"/>
    <w:rsid w:val="7D562F5D"/>
    <w:rsid w:val="7D5817E6"/>
    <w:rsid w:val="7D586CD5"/>
    <w:rsid w:val="7D5B0573"/>
    <w:rsid w:val="7D5D078F"/>
    <w:rsid w:val="7D5E0064"/>
    <w:rsid w:val="7D5E1E12"/>
    <w:rsid w:val="7D60202E"/>
    <w:rsid w:val="7D641B1E"/>
    <w:rsid w:val="7D65005C"/>
    <w:rsid w:val="7D6531A0"/>
    <w:rsid w:val="7D697134"/>
    <w:rsid w:val="7D6C09D3"/>
    <w:rsid w:val="7D6E474B"/>
    <w:rsid w:val="7D6E4DE6"/>
    <w:rsid w:val="7D715FE9"/>
    <w:rsid w:val="7D72007F"/>
    <w:rsid w:val="7D730462"/>
    <w:rsid w:val="7D731D61"/>
    <w:rsid w:val="7D733B0F"/>
    <w:rsid w:val="7D761851"/>
    <w:rsid w:val="7D782ED3"/>
    <w:rsid w:val="7D7E37E6"/>
    <w:rsid w:val="7D80447E"/>
    <w:rsid w:val="7D806106"/>
    <w:rsid w:val="7D840502"/>
    <w:rsid w:val="7D845D1C"/>
    <w:rsid w:val="7D853842"/>
    <w:rsid w:val="7D8555F0"/>
    <w:rsid w:val="7D890306"/>
    <w:rsid w:val="7D8B70AB"/>
    <w:rsid w:val="7D9121E7"/>
    <w:rsid w:val="7D913F95"/>
    <w:rsid w:val="7D983576"/>
    <w:rsid w:val="7D985324"/>
    <w:rsid w:val="7D9E01FF"/>
    <w:rsid w:val="7D9F2B56"/>
    <w:rsid w:val="7DA41F1A"/>
    <w:rsid w:val="7DA56991"/>
    <w:rsid w:val="7DA912DF"/>
    <w:rsid w:val="7DAA1373"/>
    <w:rsid w:val="7DAA32A9"/>
    <w:rsid w:val="7DAC0DCF"/>
    <w:rsid w:val="7DAE0FEB"/>
    <w:rsid w:val="7DAE2D99"/>
    <w:rsid w:val="7DAE4B47"/>
    <w:rsid w:val="7DB12889"/>
    <w:rsid w:val="7DB14637"/>
    <w:rsid w:val="7DB303AF"/>
    <w:rsid w:val="7DB36601"/>
    <w:rsid w:val="7DB44FF6"/>
    <w:rsid w:val="7DBA10EA"/>
    <w:rsid w:val="7DBA34EC"/>
    <w:rsid w:val="7DBA6297"/>
    <w:rsid w:val="7DBC3708"/>
    <w:rsid w:val="7DBE01F2"/>
    <w:rsid w:val="7DC4436B"/>
    <w:rsid w:val="7DC600E3"/>
    <w:rsid w:val="7DC6740B"/>
    <w:rsid w:val="7DC91981"/>
    <w:rsid w:val="7DC9372F"/>
    <w:rsid w:val="7DCC321F"/>
    <w:rsid w:val="7DCD72DE"/>
    <w:rsid w:val="7DCE343B"/>
    <w:rsid w:val="7DCF4ABD"/>
    <w:rsid w:val="7DD16A88"/>
    <w:rsid w:val="7DD24CD9"/>
    <w:rsid w:val="7DD62D83"/>
    <w:rsid w:val="7DD81BC4"/>
    <w:rsid w:val="7DD82F61"/>
    <w:rsid w:val="7DDA593C"/>
    <w:rsid w:val="7DDB16B4"/>
    <w:rsid w:val="7DDB18E2"/>
    <w:rsid w:val="7DDC2D72"/>
    <w:rsid w:val="7DDD542C"/>
    <w:rsid w:val="7DDF2F52"/>
    <w:rsid w:val="7DE04270"/>
    <w:rsid w:val="7DE1316F"/>
    <w:rsid w:val="7DE467BB"/>
    <w:rsid w:val="7DE50961"/>
    <w:rsid w:val="7DE60785"/>
    <w:rsid w:val="7DE65EF4"/>
    <w:rsid w:val="7DE762AB"/>
    <w:rsid w:val="7DE844FD"/>
    <w:rsid w:val="7DE93DC6"/>
    <w:rsid w:val="7DEB18F7"/>
    <w:rsid w:val="7DEB4668"/>
    <w:rsid w:val="7DEB5D9B"/>
    <w:rsid w:val="7DEB7B49"/>
    <w:rsid w:val="7DEC38C1"/>
    <w:rsid w:val="7DEE13E8"/>
    <w:rsid w:val="7DEE3196"/>
    <w:rsid w:val="7DF033B2"/>
    <w:rsid w:val="7DF12C86"/>
    <w:rsid w:val="7DF42489"/>
    <w:rsid w:val="7DF804B8"/>
    <w:rsid w:val="7DF80E09"/>
    <w:rsid w:val="7DFA4230"/>
    <w:rsid w:val="7DFA5FDE"/>
    <w:rsid w:val="7DFB58B2"/>
    <w:rsid w:val="7DFC5B94"/>
    <w:rsid w:val="7DFD787D"/>
    <w:rsid w:val="7E040C0B"/>
    <w:rsid w:val="7E041F7D"/>
    <w:rsid w:val="7E0806FB"/>
    <w:rsid w:val="7E097FCF"/>
    <w:rsid w:val="7E0E041C"/>
    <w:rsid w:val="7E0E1A8A"/>
    <w:rsid w:val="7E0E3838"/>
    <w:rsid w:val="7E132BFC"/>
    <w:rsid w:val="7E1352F2"/>
    <w:rsid w:val="7E154BC6"/>
    <w:rsid w:val="7E17093E"/>
    <w:rsid w:val="7E176B90"/>
    <w:rsid w:val="7E1846B6"/>
    <w:rsid w:val="7E1C41A7"/>
    <w:rsid w:val="7E1C5F55"/>
    <w:rsid w:val="7E1C7C6F"/>
    <w:rsid w:val="7E1C7D03"/>
    <w:rsid w:val="7E200015"/>
    <w:rsid w:val="7E21356B"/>
    <w:rsid w:val="7E2412AD"/>
    <w:rsid w:val="7E24305B"/>
    <w:rsid w:val="7E260B81"/>
    <w:rsid w:val="7E265025"/>
    <w:rsid w:val="7E266DD3"/>
    <w:rsid w:val="7E292420"/>
    <w:rsid w:val="7E2E5C88"/>
    <w:rsid w:val="7E3037AE"/>
    <w:rsid w:val="7E307B0A"/>
    <w:rsid w:val="7E307C52"/>
    <w:rsid w:val="7E3163C9"/>
    <w:rsid w:val="7E3314F0"/>
    <w:rsid w:val="7E33329E"/>
    <w:rsid w:val="7E370FE0"/>
    <w:rsid w:val="7E386B07"/>
    <w:rsid w:val="7E3C2153"/>
    <w:rsid w:val="7E3F60E7"/>
    <w:rsid w:val="7E410A8F"/>
    <w:rsid w:val="7E4159BB"/>
    <w:rsid w:val="7E424FA9"/>
    <w:rsid w:val="7E437985"/>
    <w:rsid w:val="7E461224"/>
    <w:rsid w:val="7E4640AA"/>
    <w:rsid w:val="7E465831"/>
    <w:rsid w:val="7E484650"/>
    <w:rsid w:val="7E486D4A"/>
    <w:rsid w:val="7E4D4360"/>
    <w:rsid w:val="7E4E00D8"/>
    <w:rsid w:val="7E4F632A"/>
    <w:rsid w:val="7E521976"/>
    <w:rsid w:val="7E521A14"/>
    <w:rsid w:val="7E53749D"/>
    <w:rsid w:val="7E553215"/>
    <w:rsid w:val="7E576F8D"/>
    <w:rsid w:val="7E584AB3"/>
    <w:rsid w:val="7E596D16"/>
    <w:rsid w:val="7E5A082B"/>
    <w:rsid w:val="7E5A6A7D"/>
    <w:rsid w:val="7E5C0A47"/>
    <w:rsid w:val="7E5C27F5"/>
    <w:rsid w:val="7E5C45A3"/>
    <w:rsid w:val="7E5D031B"/>
    <w:rsid w:val="7E5E2B88"/>
    <w:rsid w:val="7E6054A8"/>
    <w:rsid w:val="7E631DD5"/>
    <w:rsid w:val="7E633B84"/>
    <w:rsid w:val="7E6478FC"/>
    <w:rsid w:val="7E665422"/>
    <w:rsid w:val="7E697C9B"/>
    <w:rsid w:val="7E6B6EDC"/>
    <w:rsid w:val="7E6D4A02"/>
    <w:rsid w:val="7E6F3B0D"/>
    <w:rsid w:val="7E70004F"/>
    <w:rsid w:val="7E704F9D"/>
    <w:rsid w:val="7E722019"/>
    <w:rsid w:val="7E725B75"/>
    <w:rsid w:val="7E7421DD"/>
    <w:rsid w:val="7E745D91"/>
    <w:rsid w:val="7E775881"/>
    <w:rsid w:val="7E7775A9"/>
    <w:rsid w:val="7E7933A7"/>
    <w:rsid w:val="7E7A0C20"/>
    <w:rsid w:val="7E7C69F3"/>
    <w:rsid w:val="7E7F4735"/>
    <w:rsid w:val="7E7F530E"/>
    <w:rsid w:val="7E8104AE"/>
    <w:rsid w:val="7E81225C"/>
    <w:rsid w:val="7E81400A"/>
    <w:rsid w:val="7E834226"/>
    <w:rsid w:val="7E835FD4"/>
    <w:rsid w:val="7E837D82"/>
    <w:rsid w:val="7E865AC4"/>
    <w:rsid w:val="7E8671C3"/>
    <w:rsid w:val="7E885398"/>
    <w:rsid w:val="7E891110"/>
    <w:rsid w:val="7E8B4E88"/>
    <w:rsid w:val="7E8D6E52"/>
    <w:rsid w:val="7E924469"/>
    <w:rsid w:val="7E933D3D"/>
    <w:rsid w:val="7E9401E1"/>
    <w:rsid w:val="7E941F8F"/>
    <w:rsid w:val="7E953F59"/>
    <w:rsid w:val="7E957AB5"/>
    <w:rsid w:val="7E9A50CB"/>
    <w:rsid w:val="7E9B156F"/>
    <w:rsid w:val="7E9B7F59"/>
    <w:rsid w:val="7E9C7095"/>
    <w:rsid w:val="7E9E2E0E"/>
    <w:rsid w:val="7E9F58CF"/>
    <w:rsid w:val="7E9F68DA"/>
    <w:rsid w:val="7EA06B86"/>
    <w:rsid w:val="7EA36676"/>
    <w:rsid w:val="7EA5419C"/>
    <w:rsid w:val="7EA63A70"/>
    <w:rsid w:val="7EA71D7C"/>
    <w:rsid w:val="7EAB1087"/>
    <w:rsid w:val="7EAD3051"/>
    <w:rsid w:val="7EAD4DFF"/>
    <w:rsid w:val="7EAF501B"/>
    <w:rsid w:val="7EB02B41"/>
    <w:rsid w:val="7EB0669D"/>
    <w:rsid w:val="7EB268B9"/>
    <w:rsid w:val="7EB42631"/>
    <w:rsid w:val="7EB50157"/>
    <w:rsid w:val="7EB53662"/>
    <w:rsid w:val="7EB75C7D"/>
    <w:rsid w:val="7EBA5D80"/>
    <w:rsid w:val="7EBB39C0"/>
    <w:rsid w:val="7EBB576E"/>
    <w:rsid w:val="7EBC09D3"/>
    <w:rsid w:val="7EBD7AB5"/>
    <w:rsid w:val="7EBE525E"/>
    <w:rsid w:val="7EC15CA3"/>
    <w:rsid w:val="7EC16AFC"/>
    <w:rsid w:val="7EC30AC6"/>
    <w:rsid w:val="7EC32874"/>
    <w:rsid w:val="7EC34622"/>
    <w:rsid w:val="7EC65EC0"/>
    <w:rsid w:val="7EC67797"/>
    <w:rsid w:val="7EC67CEE"/>
    <w:rsid w:val="7EC87E8B"/>
    <w:rsid w:val="7EC936A1"/>
    <w:rsid w:val="7ECB34D7"/>
    <w:rsid w:val="7ECD36F3"/>
    <w:rsid w:val="7ECD54A1"/>
    <w:rsid w:val="7ED257AC"/>
    <w:rsid w:val="7ED4682F"/>
    <w:rsid w:val="7ED514E9"/>
    <w:rsid w:val="7ED56104"/>
    <w:rsid w:val="7ED607F9"/>
    <w:rsid w:val="7ED73549"/>
    <w:rsid w:val="7ED95BF4"/>
    <w:rsid w:val="7EDC56E4"/>
    <w:rsid w:val="7EDC7492"/>
    <w:rsid w:val="7EDD7D0C"/>
    <w:rsid w:val="7EDE145C"/>
    <w:rsid w:val="7EDE1CFE"/>
    <w:rsid w:val="7EDE28DD"/>
    <w:rsid w:val="7EDE320A"/>
    <w:rsid w:val="7EE03426"/>
    <w:rsid w:val="7EE051D4"/>
    <w:rsid w:val="7EE50A3C"/>
    <w:rsid w:val="7EE60311"/>
    <w:rsid w:val="7EE6106F"/>
    <w:rsid w:val="7EE8217F"/>
    <w:rsid w:val="7EEB4586"/>
    <w:rsid w:val="7EEB5927"/>
    <w:rsid w:val="7EED3BB4"/>
    <w:rsid w:val="7EF0118F"/>
    <w:rsid w:val="7EF02F3D"/>
    <w:rsid w:val="7EF42A2E"/>
    <w:rsid w:val="7EF61FF4"/>
    <w:rsid w:val="7EF667A6"/>
    <w:rsid w:val="7EF7251E"/>
    <w:rsid w:val="7EF90044"/>
    <w:rsid w:val="7EFB0260"/>
    <w:rsid w:val="7EFB200E"/>
    <w:rsid w:val="7EFB4172"/>
    <w:rsid w:val="7EFB49D6"/>
    <w:rsid w:val="7EFE1AFE"/>
    <w:rsid w:val="7EFE29DF"/>
    <w:rsid w:val="7F016EF9"/>
    <w:rsid w:val="7F02040F"/>
    <w:rsid w:val="7F054C3B"/>
    <w:rsid w:val="7F0709B3"/>
    <w:rsid w:val="7F0864D9"/>
    <w:rsid w:val="7F0D7F93"/>
    <w:rsid w:val="7F0F1615"/>
    <w:rsid w:val="7F107CC9"/>
    <w:rsid w:val="7F111831"/>
    <w:rsid w:val="7F1255AA"/>
    <w:rsid w:val="7F1525A4"/>
    <w:rsid w:val="7F166E48"/>
    <w:rsid w:val="7F17496E"/>
    <w:rsid w:val="7F17671C"/>
    <w:rsid w:val="7F183EFE"/>
    <w:rsid w:val="7F185F3D"/>
    <w:rsid w:val="7F1906E6"/>
    <w:rsid w:val="7F1B620C"/>
    <w:rsid w:val="7F1E3F4E"/>
    <w:rsid w:val="7F1F72F2"/>
    <w:rsid w:val="7F201A75"/>
    <w:rsid w:val="7F210378"/>
    <w:rsid w:val="7F211349"/>
    <w:rsid w:val="7F2326CD"/>
    <w:rsid w:val="7F233313"/>
    <w:rsid w:val="7F237391"/>
    <w:rsid w:val="7F2430A7"/>
    <w:rsid w:val="7F250E39"/>
    <w:rsid w:val="7F2826D7"/>
    <w:rsid w:val="7F294E83"/>
    <w:rsid w:val="7F2A28F3"/>
    <w:rsid w:val="7F2A644F"/>
    <w:rsid w:val="7F2C0419"/>
    <w:rsid w:val="7F2C666B"/>
    <w:rsid w:val="7F2D4191"/>
    <w:rsid w:val="7F2F00AE"/>
    <w:rsid w:val="7F313C82"/>
    <w:rsid w:val="7F3177DE"/>
    <w:rsid w:val="7F323556"/>
    <w:rsid w:val="7F3472CE"/>
    <w:rsid w:val="7F364DF4"/>
    <w:rsid w:val="7F3D43D5"/>
    <w:rsid w:val="7F3D5A7B"/>
    <w:rsid w:val="7F413799"/>
    <w:rsid w:val="7F4219EB"/>
    <w:rsid w:val="7F427C3D"/>
    <w:rsid w:val="7F435763"/>
    <w:rsid w:val="7F45772D"/>
    <w:rsid w:val="7F460DAF"/>
    <w:rsid w:val="7F475253"/>
    <w:rsid w:val="7F477001"/>
    <w:rsid w:val="7F482D79"/>
    <w:rsid w:val="7F4974F7"/>
    <w:rsid w:val="7F4A4D43"/>
    <w:rsid w:val="7F4C0ABC"/>
    <w:rsid w:val="7F4C286A"/>
    <w:rsid w:val="7F4D0390"/>
    <w:rsid w:val="7F4F235A"/>
    <w:rsid w:val="7F54171E"/>
    <w:rsid w:val="7F547970"/>
    <w:rsid w:val="7F58120E"/>
    <w:rsid w:val="7F590AE3"/>
    <w:rsid w:val="7F5B0CFF"/>
    <w:rsid w:val="7F5E434B"/>
    <w:rsid w:val="7F6000C3"/>
    <w:rsid w:val="7F604567"/>
    <w:rsid w:val="7F631961"/>
    <w:rsid w:val="7F651B7D"/>
    <w:rsid w:val="7F671451"/>
    <w:rsid w:val="7F6851CA"/>
    <w:rsid w:val="7F6B740A"/>
    <w:rsid w:val="7F6D27E0"/>
    <w:rsid w:val="7F71407E"/>
    <w:rsid w:val="7F721F37"/>
    <w:rsid w:val="7F740570"/>
    <w:rsid w:val="7F741DC0"/>
    <w:rsid w:val="7F74591C"/>
    <w:rsid w:val="7F747428"/>
    <w:rsid w:val="7F761695"/>
    <w:rsid w:val="7F7678E7"/>
    <w:rsid w:val="7F78097A"/>
    <w:rsid w:val="7F78540D"/>
    <w:rsid w:val="7F792F33"/>
    <w:rsid w:val="7F7A329A"/>
    <w:rsid w:val="7F7B314F"/>
    <w:rsid w:val="7F7E679B"/>
    <w:rsid w:val="7F7F2C3F"/>
    <w:rsid w:val="7F800765"/>
    <w:rsid w:val="7F8042C1"/>
    <w:rsid w:val="7F820039"/>
    <w:rsid w:val="7F8244DD"/>
    <w:rsid w:val="7F8738A2"/>
    <w:rsid w:val="7F875650"/>
    <w:rsid w:val="7F8901BE"/>
    <w:rsid w:val="7F8A5140"/>
    <w:rsid w:val="7F8E2E82"/>
    <w:rsid w:val="7F914720"/>
    <w:rsid w:val="7F9164CE"/>
    <w:rsid w:val="7F930F00"/>
    <w:rsid w:val="7F932247"/>
    <w:rsid w:val="7F947D6D"/>
    <w:rsid w:val="7F961D37"/>
    <w:rsid w:val="7F967D36"/>
    <w:rsid w:val="7F967F89"/>
    <w:rsid w:val="7F983D01"/>
    <w:rsid w:val="7F985AAF"/>
    <w:rsid w:val="7F9A1827"/>
    <w:rsid w:val="7F9F299E"/>
    <w:rsid w:val="7F9F6E3D"/>
    <w:rsid w:val="7FA51F7A"/>
    <w:rsid w:val="7FA91A6A"/>
    <w:rsid w:val="7FAA57E2"/>
    <w:rsid w:val="7FAA7590"/>
    <w:rsid w:val="7FAD39A8"/>
    <w:rsid w:val="7FAE0E2E"/>
    <w:rsid w:val="7FAE7080"/>
    <w:rsid w:val="7FB0591B"/>
    <w:rsid w:val="7FB3085A"/>
    <w:rsid w:val="7FB328E9"/>
    <w:rsid w:val="7FB4040F"/>
    <w:rsid w:val="7FB64187"/>
    <w:rsid w:val="7FB65F35"/>
    <w:rsid w:val="7FB71DAC"/>
    <w:rsid w:val="7FB7323C"/>
    <w:rsid w:val="7FB81CAD"/>
    <w:rsid w:val="7FB83A5B"/>
    <w:rsid w:val="7FBA5A25"/>
    <w:rsid w:val="7FBB79EF"/>
    <w:rsid w:val="7FC11EE8"/>
    <w:rsid w:val="7FC16F0E"/>
    <w:rsid w:val="7FC20D7E"/>
    <w:rsid w:val="7FC307D4"/>
    <w:rsid w:val="7FC348FA"/>
    <w:rsid w:val="7FC5261C"/>
    <w:rsid w:val="7FC70142"/>
    <w:rsid w:val="7FC95651"/>
    <w:rsid w:val="7FCA378E"/>
    <w:rsid w:val="7FCA5219"/>
    <w:rsid w:val="7FCD0648"/>
    <w:rsid w:val="7FCD6BA3"/>
    <w:rsid w:val="7FCE14D1"/>
    <w:rsid w:val="7FD12D6F"/>
    <w:rsid w:val="7FD34D39"/>
    <w:rsid w:val="7FD67569"/>
    <w:rsid w:val="7FD91C23"/>
    <w:rsid w:val="7FDC1E3F"/>
    <w:rsid w:val="7FDE7397"/>
    <w:rsid w:val="7FDF016F"/>
    <w:rsid w:val="7FDF723A"/>
    <w:rsid w:val="7FE27939"/>
    <w:rsid w:val="7FE664E1"/>
    <w:rsid w:val="7FE707E4"/>
    <w:rsid w:val="7FE84467"/>
    <w:rsid w:val="7FEE1B73"/>
    <w:rsid w:val="7FF058EB"/>
    <w:rsid w:val="7FF13411"/>
    <w:rsid w:val="7FF14701"/>
    <w:rsid w:val="7FF16F6D"/>
    <w:rsid w:val="7FF32CE5"/>
    <w:rsid w:val="7FF56A5D"/>
    <w:rsid w:val="7FF60A27"/>
    <w:rsid w:val="7FF6466E"/>
    <w:rsid w:val="7FF76C79"/>
    <w:rsid w:val="7FF7723F"/>
    <w:rsid w:val="7FF8479F"/>
    <w:rsid w:val="7FF8654D"/>
    <w:rsid w:val="7FF94730"/>
    <w:rsid w:val="7FFA4074"/>
    <w:rsid w:val="7FFC4290"/>
    <w:rsid w:val="7FFF5B2E"/>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heme="minorHAnsi" w:hAnsiTheme="minorHAnsi" w:eastAsiaTheme="minorEastAsia" w:cstheme="minorBidi"/>
      <w:sz w:val="21"/>
      <w:szCs w:val="22"/>
      <w:lang w:val="en-US" w:eastAsia="zh-CN" w:bidi="ar-SA"/>
    </w:rPr>
  </w:style>
  <w:style w:type="paragraph" w:styleId="2">
    <w:name w:val="heading 1"/>
    <w:basedOn w:val="1"/>
    <w:next w:val="1"/>
    <w:autoRedefine/>
    <w:qFormat/>
    <w:uiPriority w:val="0"/>
    <w:pPr>
      <w:keepNext/>
      <w:keepLines/>
      <w:numPr>
        <w:ilvl w:val="0"/>
        <w:numId w:val="1"/>
      </w:numPr>
      <w:spacing w:before="220" w:after="210" w:line="578" w:lineRule="auto"/>
      <w:outlineLvl w:val="0"/>
    </w:pPr>
    <w:rPr>
      <w:b/>
      <w:bCs/>
      <w:kern w:val="44"/>
      <w:sz w:val="32"/>
      <w:szCs w:val="44"/>
    </w:rPr>
  </w:style>
  <w:style w:type="paragraph" w:styleId="3">
    <w:name w:val="heading 2"/>
    <w:basedOn w:val="1"/>
    <w:next w:val="1"/>
    <w:autoRedefine/>
    <w:qFormat/>
    <w:uiPriority w:val="0"/>
    <w:pPr>
      <w:keepNext/>
      <w:keepLines/>
      <w:numPr>
        <w:ilvl w:val="1"/>
        <w:numId w:val="1"/>
      </w:numPr>
      <w:spacing w:before="260" w:after="260" w:line="416" w:lineRule="auto"/>
      <w:outlineLvl w:val="1"/>
    </w:pPr>
    <w:rPr>
      <w:rFonts w:ascii="Arial" w:hAnsi="Arial" w:eastAsia="黑体" w:cs="Times New Roman"/>
      <w:b/>
      <w:bCs/>
      <w:sz w:val="32"/>
      <w:szCs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qFormat/>
    <w:uiPriority w:val="0"/>
    <w:pPr>
      <w:keepNext/>
      <w:keepLines/>
      <w:spacing w:line="376" w:lineRule="auto"/>
      <w:jc w:val="left"/>
      <w:outlineLvl w:val="3"/>
    </w:pPr>
    <w:rPr>
      <w:rFonts w:ascii="Cambria" w:hAnsi="Cambria" w:eastAsia="宋体" w:cs="Times New Roman"/>
      <w:b/>
      <w:bCs/>
      <w:sz w:val="22"/>
      <w:szCs w:val="28"/>
    </w:rPr>
  </w:style>
  <w:style w:type="character" w:default="1" w:styleId="27">
    <w:name w:val="Default Paragraph Font"/>
    <w:autoRedefine/>
    <w:unhideWhenUsed/>
    <w:qFormat/>
    <w:uiPriority w:val="1"/>
  </w:style>
  <w:style w:type="table" w:default="1" w:styleId="25">
    <w:name w:val="Normal Table"/>
    <w:autoRedefine/>
    <w:unhideWhenUsed/>
    <w:qFormat/>
    <w:uiPriority w:val="99"/>
    <w:tblPr>
      <w:tblCellMar>
        <w:top w:w="0" w:type="dxa"/>
        <w:left w:w="108" w:type="dxa"/>
        <w:bottom w:w="0" w:type="dxa"/>
        <w:right w:w="108" w:type="dxa"/>
      </w:tblCellMar>
    </w:tblPr>
  </w:style>
  <w:style w:type="paragraph" w:styleId="6">
    <w:name w:val="Note Heading"/>
    <w:basedOn w:val="1"/>
    <w:next w:val="1"/>
    <w:autoRedefine/>
    <w:qFormat/>
    <w:uiPriority w:val="0"/>
    <w:pPr>
      <w:jc w:val="center"/>
    </w:pPr>
  </w:style>
  <w:style w:type="paragraph" w:styleId="7">
    <w:name w:val="Normal Indent"/>
    <w:basedOn w:val="1"/>
    <w:autoRedefine/>
    <w:qFormat/>
    <w:uiPriority w:val="0"/>
    <w:pPr>
      <w:ind w:firstLine="420"/>
    </w:pPr>
    <w:rPr>
      <w:szCs w:val="20"/>
    </w:rPr>
  </w:style>
  <w:style w:type="paragraph" w:styleId="8">
    <w:name w:val="caption"/>
    <w:basedOn w:val="1"/>
    <w:next w:val="1"/>
    <w:autoRedefine/>
    <w:unhideWhenUsed/>
    <w:qFormat/>
    <w:uiPriority w:val="35"/>
    <w:rPr>
      <w:rFonts w:eastAsia="黑体" w:asciiTheme="majorHAnsi" w:hAnsiTheme="majorHAnsi" w:cstheme="majorBidi"/>
      <w:sz w:val="20"/>
      <w:szCs w:val="20"/>
    </w:rPr>
  </w:style>
  <w:style w:type="paragraph" w:styleId="9">
    <w:name w:val="annotation text"/>
    <w:basedOn w:val="1"/>
    <w:autoRedefine/>
    <w:qFormat/>
    <w:uiPriority w:val="0"/>
    <w:pPr>
      <w:jc w:val="left"/>
    </w:pPr>
  </w:style>
  <w:style w:type="paragraph" w:styleId="10">
    <w:name w:val="Body Text"/>
    <w:basedOn w:val="1"/>
    <w:next w:val="1"/>
    <w:autoRedefine/>
    <w:qFormat/>
    <w:uiPriority w:val="0"/>
    <w:pPr>
      <w:spacing w:line="360" w:lineRule="exact"/>
    </w:pPr>
    <w:rPr>
      <w:sz w:val="24"/>
    </w:rPr>
  </w:style>
  <w:style w:type="paragraph" w:styleId="11">
    <w:name w:val="Body Text Indent"/>
    <w:basedOn w:val="1"/>
    <w:autoRedefine/>
    <w:qFormat/>
    <w:uiPriority w:val="0"/>
    <w:pPr>
      <w:spacing w:after="120"/>
      <w:ind w:left="420" w:leftChars="200"/>
    </w:pPr>
  </w:style>
  <w:style w:type="paragraph" w:styleId="12">
    <w:name w:val="toc 3"/>
    <w:basedOn w:val="1"/>
    <w:next w:val="1"/>
    <w:autoRedefine/>
    <w:qFormat/>
    <w:uiPriority w:val="0"/>
    <w:pPr>
      <w:tabs>
        <w:tab w:val="right" w:leader="dot" w:pos="8777"/>
      </w:tabs>
      <w:spacing w:line="480" w:lineRule="exact"/>
      <w:ind w:left="482" w:firstLine="103" w:firstLineChars="43"/>
      <w:jc w:val="left"/>
    </w:pPr>
    <w:rPr>
      <w:rFonts w:ascii="Calibri" w:hAnsi="Calibri"/>
      <w:i/>
      <w:iCs/>
      <w:sz w:val="20"/>
      <w:szCs w:val="20"/>
    </w:rPr>
  </w:style>
  <w:style w:type="paragraph" w:styleId="13">
    <w:name w:val="Plain Text"/>
    <w:basedOn w:val="1"/>
    <w:autoRedefine/>
    <w:qFormat/>
    <w:uiPriority w:val="0"/>
    <w:rPr>
      <w:rFonts w:ascii="宋体" w:hAnsi="Courier New"/>
      <w:szCs w:val="20"/>
    </w:rPr>
  </w:style>
  <w:style w:type="paragraph" w:styleId="14">
    <w:name w:val="Body Text Indent 2"/>
    <w:basedOn w:val="1"/>
    <w:autoRedefine/>
    <w:semiHidden/>
    <w:unhideWhenUsed/>
    <w:qFormat/>
    <w:uiPriority w:val="99"/>
    <w:pPr>
      <w:spacing w:after="120" w:line="480" w:lineRule="auto"/>
      <w:ind w:left="420" w:leftChars="200"/>
    </w:pPr>
  </w:style>
  <w:style w:type="paragraph" w:styleId="15">
    <w:name w:val="Balloon Text"/>
    <w:basedOn w:val="1"/>
    <w:link w:val="47"/>
    <w:autoRedefine/>
    <w:qFormat/>
    <w:uiPriority w:val="0"/>
    <w:pPr>
      <w:spacing w:line="240" w:lineRule="auto"/>
    </w:pPr>
    <w:rPr>
      <w:sz w:val="18"/>
      <w:szCs w:val="18"/>
    </w:rPr>
  </w:style>
  <w:style w:type="paragraph" w:styleId="16">
    <w:name w:val="footer"/>
    <w:basedOn w:val="1"/>
    <w:autoRedefine/>
    <w:qFormat/>
    <w:uiPriority w:val="0"/>
    <w:pPr>
      <w:tabs>
        <w:tab w:val="center" w:pos="4153"/>
        <w:tab w:val="right" w:pos="8306"/>
      </w:tabs>
      <w:snapToGrid w:val="0"/>
      <w:jc w:val="left"/>
    </w:pPr>
    <w:rPr>
      <w:sz w:val="18"/>
      <w:szCs w:val="20"/>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pPr>
      <w:spacing w:before="120" w:after="120"/>
      <w:jc w:val="left"/>
    </w:pPr>
    <w:rPr>
      <w:rFonts w:ascii="Calibri" w:hAnsi="Calibri"/>
      <w:b/>
      <w:bCs/>
      <w:caps/>
      <w:sz w:val="20"/>
      <w:szCs w:val="20"/>
    </w:rPr>
  </w:style>
  <w:style w:type="paragraph" w:styleId="19">
    <w:name w:val="toc 2"/>
    <w:basedOn w:val="1"/>
    <w:next w:val="1"/>
    <w:autoRedefine/>
    <w:qFormat/>
    <w:uiPriority w:val="0"/>
    <w:pPr>
      <w:ind w:left="420" w:leftChars="200"/>
    </w:pPr>
  </w:style>
  <w:style w:type="paragraph" w:styleId="20">
    <w:name w:val="HTML Preformatted"/>
    <w:basedOn w:val="1"/>
    <w:autoRedefine/>
    <w:semiHidden/>
    <w:unhideWhenUsed/>
    <w:qFormat/>
    <w:uiPriority w:val="99"/>
    <w:rPr>
      <w:rFonts w:ascii="Courier New" w:hAnsi="Courier New" w:cs="Courier New"/>
      <w:sz w:val="20"/>
      <w:szCs w:val="20"/>
    </w:rPr>
  </w:style>
  <w:style w:type="paragraph" w:styleId="21">
    <w:name w:val="Normal (Web)"/>
    <w:basedOn w:val="1"/>
    <w:autoRedefine/>
    <w:qFormat/>
    <w:uiPriority w:val="0"/>
    <w:pPr>
      <w:widowControl/>
      <w:spacing w:before="100" w:beforeAutospacing="1" w:after="119"/>
      <w:jc w:val="left"/>
    </w:pPr>
    <w:rPr>
      <w:rFonts w:ascii="宋体" w:hAnsi="宋体" w:cs="宋体"/>
      <w:sz w:val="24"/>
    </w:rPr>
  </w:style>
  <w:style w:type="paragraph" w:styleId="22">
    <w:name w:val="Title"/>
    <w:basedOn w:val="1"/>
    <w:next w:val="1"/>
    <w:autoRedefine/>
    <w:qFormat/>
    <w:uiPriority w:val="0"/>
    <w:pPr>
      <w:spacing w:before="240" w:after="60"/>
      <w:jc w:val="center"/>
      <w:outlineLvl w:val="0"/>
    </w:pPr>
    <w:rPr>
      <w:rFonts w:ascii="Cambria" w:hAnsi="Cambria"/>
      <w:b/>
      <w:bCs/>
      <w:sz w:val="36"/>
      <w:szCs w:val="32"/>
    </w:rPr>
  </w:style>
  <w:style w:type="paragraph" w:styleId="23">
    <w:name w:val="Body Text First Indent"/>
    <w:basedOn w:val="10"/>
    <w:autoRedefine/>
    <w:qFormat/>
    <w:uiPriority w:val="0"/>
    <w:pPr>
      <w:ind w:firstLine="420" w:firstLineChars="100"/>
    </w:pPr>
  </w:style>
  <w:style w:type="paragraph" w:styleId="24">
    <w:name w:val="Body Text First Indent 2"/>
    <w:basedOn w:val="11"/>
    <w:autoRedefine/>
    <w:unhideWhenUsed/>
    <w:qFormat/>
    <w:uiPriority w:val="99"/>
    <w:pPr>
      <w:ind w:firstLine="420" w:firstLineChars="200"/>
    </w:p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0"/>
  </w:style>
  <w:style w:type="character" w:styleId="29">
    <w:name w:val="page number"/>
    <w:basedOn w:val="27"/>
    <w:autoRedefine/>
    <w:qFormat/>
    <w:uiPriority w:val="0"/>
  </w:style>
  <w:style w:type="character" w:styleId="30">
    <w:name w:val="FollowedHyperlink"/>
    <w:basedOn w:val="27"/>
    <w:autoRedefine/>
    <w:qFormat/>
    <w:uiPriority w:val="0"/>
    <w:rPr>
      <w:color w:val="800080"/>
      <w:u w:val="none"/>
    </w:rPr>
  </w:style>
  <w:style w:type="character" w:styleId="31">
    <w:name w:val="Emphasis"/>
    <w:basedOn w:val="27"/>
    <w:autoRedefine/>
    <w:qFormat/>
    <w:uiPriority w:val="0"/>
    <w:rPr>
      <w:b/>
      <w:bCs/>
    </w:rPr>
  </w:style>
  <w:style w:type="character" w:styleId="32">
    <w:name w:val="HTML Definition"/>
    <w:basedOn w:val="27"/>
    <w:autoRedefine/>
    <w:qFormat/>
    <w:uiPriority w:val="0"/>
  </w:style>
  <w:style w:type="character" w:styleId="33">
    <w:name w:val="HTML Typewriter"/>
    <w:basedOn w:val="27"/>
    <w:autoRedefine/>
    <w:qFormat/>
    <w:uiPriority w:val="0"/>
    <w:rPr>
      <w:rFonts w:ascii="monospace" w:hAnsi="monospace" w:eastAsia="monospace" w:cs="monospace"/>
      <w:sz w:val="19"/>
      <w:szCs w:val="19"/>
    </w:rPr>
  </w:style>
  <w:style w:type="character" w:styleId="34">
    <w:name w:val="HTML Acronym"/>
    <w:basedOn w:val="27"/>
    <w:autoRedefine/>
    <w:qFormat/>
    <w:uiPriority w:val="0"/>
  </w:style>
  <w:style w:type="character" w:styleId="35">
    <w:name w:val="HTML Variable"/>
    <w:basedOn w:val="27"/>
    <w:autoRedefine/>
    <w:qFormat/>
    <w:uiPriority w:val="0"/>
  </w:style>
  <w:style w:type="character" w:styleId="36">
    <w:name w:val="Hyperlink"/>
    <w:autoRedefine/>
    <w:qFormat/>
    <w:uiPriority w:val="0"/>
    <w:rPr>
      <w:color w:val="000099"/>
      <w:u w:val="none"/>
    </w:rPr>
  </w:style>
  <w:style w:type="character" w:styleId="37">
    <w:name w:val="HTML Code"/>
    <w:basedOn w:val="27"/>
    <w:autoRedefine/>
    <w:qFormat/>
    <w:uiPriority w:val="0"/>
    <w:rPr>
      <w:rFonts w:hint="default" w:ascii="monospace" w:hAnsi="monospace" w:eastAsia="monospace" w:cs="monospace"/>
      <w:sz w:val="20"/>
    </w:rPr>
  </w:style>
  <w:style w:type="character" w:styleId="38">
    <w:name w:val="HTML Cite"/>
    <w:basedOn w:val="27"/>
    <w:autoRedefine/>
    <w:qFormat/>
    <w:uiPriority w:val="0"/>
  </w:style>
  <w:style w:type="character" w:styleId="39">
    <w:name w:val="HTML Keyboard"/>
    <w:basedOn w:val="27"/>
    <w:autoRedefine/>
    <w:qFormat/>
    <w:uiPriority w:val="0"/>
    <w:rPr>
      <w:rFonts w:hint="default" w:ascii="monospace" w:hAnsi="monospace" w:eastAsia="monospace" w:cs="monospace"/>
      <w:sz w:val="20"/>
    </w:rPr>
  </w:style>
  <w:style w:type="character" w:styleId="40">
    <w:name w:val="HTML Sample"/>
    <w:basedOn w:val="27"/>
    <w:autoRedefine/>
    <w:qFormat/>
    <w:uiPriority w:val="0"/>
    <w:rPr>
      <w:rFonts w:hint="default" w:ascii="monospace" w:hAnsi="monospace" w:eastAsia="monospace" w:cs="monospace"/>
    </w:rPr>
  </w:style>
  <w:style w:type="paragraph" w:customStyle="1" w:styleId="4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3">
    <w:name w:val="一级条标题"/>
    <w:basedOn w:val="44"/>
    <w:next w:val="45"/>
    <w:autoRedefine/>
    <w:qFormat/>
    <w:uiPriority w:val="0"/>
    <w:pPr>
      <w:spacing w:line="240" w:lineRule="auto"/>
      <w:ind w:left="420"/>
      <w:outlineLvl w:val="2"/>
    </w:pPr>
  </w:style>
  <w:style w:type="paragraph" w:customStyle="1" w:styleId="44">
    <w:name w:val="章标题"/>
    <w:next w:val="1"/>
    <w:autoRedefine/>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45">
    <w:name w:val="段"/>
    <w:next w:val="1"/>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46">
    <w:name w:val="列出段落1"/>
    <w:basedOn w:val="1"/>
    <w:autoRedefine/>
    <w:qFormat/>
    <w:uiPriority w:val="34"/>
    <w:pPr>
      <w:ind w:firstLine="420"/>
    </w:pPr>
    <w:rPr>
      <w:rFonts w:ascii="Calibri" w:hAnsi="Calibri"/>
    </w:rPr>
  </w:style>
  <w:style w:type="character" w:customStyle="1" w:styleId="47">
    <w:name w:val="批注框文本 Char"/>
    <w:basedOn w:val="27"/>
    <w:link w:val="15"/>
    <w:autoRedefine/>
    <w:qFormat/>
    <w:uiPriority w:val="0"/>
    <w:rPr>
      <w:sz w:val="18"/>
      <w:szCs w:val="18"/>
    </w:rPr>
  </w:style>
  <w:style w:type="character" w:customStyle="1" w:styleId="48">
    <w:name w:val="font41"/>
    <w:basedOn w:val="27"/>
    <w:autoRedefine/>
    <w:qFormat/>
    <w:uiPriority w:val="0"/>
    <w:rPr>
      <w:rFonts w:hint="default" w:ascii="Tahoma" w:hAnsi="Tahoma" w:eastAsia="Tahoma" w:cs="Tahoma"/>
      <w:color w:val="000000"/>
      <w:sz w:val="18"/>
      <w:szCs w:val="18"/>
      <w:u w:val="none"/>
    </w:rPr>
  </w:style>
  <w:style w:type="character" w:customStyle="1" w:styleId="49">
    <w:name w:val="font11"/>
    <w:basedOn w:val="27"/>
    <w:autoRedefine/>
    <w:qFormat/>
    <w:uiPriority w:val="0"/>
    <w:rPr>
      <w:rFonts w:hint="eastAsia" w:ascii="宋体" w:hAnsi="宋体" w:eastAsia="宋体" w:cs="宋体"/>
      <w:color w:val="000000"/>
      <w:sz w:val="24"/>
      <w:szCs w:val="24"/>
      <w:u w:val="none"/>
      <w:vertAlign w:val="subscript"/>
    </w:rPr>
  </w:style>
  <w:style w:type="character" w:customStyle="1" w:styleId="50">
    <w:name w:val="int_huang_12_b1"/>
    <w:autoRedefine/>
    <w:qFormat/>
    <w:uiPriority w:val="0"/>
    <w:rPr>
      <w:rFonts w:hint="default" w:ascii="Verdana" w:hAnsi="Verdana"/>
      <w:b/>
      <w:bCs/>
      <w:color w:val="EECC77"/>
      <w:sz w:val="18"/>
      <w:szCs w:val="18"/>
    </w:rPr>
  </w:style>
  <w:style w:type="paragraph" w:customStyle="1" w:styleId="51">
    <w:name w:val="列表段落1"/>
    <w:basedOn w:val="1"/>
    <w:autoRedefine/>
    <w:qFormat/>
    <w:uiPriority w:val="34"/>
    <w:pPr>
      <w:ind w:firstLine="420" w:firstLineChars="200"/>
    </w:pPr>
  </w:style>
  <w:style w:type="character" w:customStyle="1" w:styleId="52">
    <w:name w:val="font51"/>
    <w:basedOn w:val="27"/>
    <w:autoRedefine/>
    <w:qFormat/>
    <w:uiPriority w:val="0"/>
    <w:rPr>
      <w:rFonts w:hint="eastAsia" w:ascii="宋体" w:hAnsi="宋体" w:eastAsia="宋体" w:cs="宋体"/>
      <w:color w:val="000000"/>
      <w:sz w:val="28"/>
      <w:szCs w:val="28"/>
      <w:u w:val="none"/>
    </w:rPr>
  </w:style>
  <w:style w:type="character" w:customStyle="1" w:styleId="53">
    <w:name w:val="font21"/>
    <w:basedOn w:val="27"/>
    <w:autoRedefine/>
    <w:qFormat/>
    <w:uiPriority w:val="0"/>
    <w:rPr>
      <w:rFonts w:hint="eastAsia" w:ascii="宋体" w:hAnsi="宋体" w:eastAsia="宋体" w:cs="宋体"/>
      <w:color w:val="000000"/>
      <w:sz w:val="28"/>
      <w:szCs w:val="28"/>
      <w:u w:val="none"/>
    </w:rPr>
  </w:style>
  <w:style w:type="character" w:customStyle="1" w:styleId="54">
    <w:name w:val="font71"/>
    <w:basedOn w:val="27"/>
    <w:autoRedefine/>
    <w:qFormat/>
    <w:uiPriority w:val="0"/>
    <w:rPr>
      <w:rFonts w:ascii="Calibri" w:hAnsi="Calibri" w:cs="Calibri"/>
      <w:color w:val="000000"/>
      <w:sz w:val="24"/>
      <w:szCs w:val="24"/>
      <w:u w:val="none"/>
    </w:rPr>
  </w:style>
  <w:style w:type="character" w:customStyle="1" w:styleId="55">
    <w:name w:val="font01"/>
    <w:basedOn w:val="27"/>
    <w:autoRedefine/>
    <w:qFormat/>
    <w:uiPriority w:val="0"/>
    <w:rPr>
      <w:rFonts w:hint="eastAsia" w:ascii="宋体" w:hAnsi="宋体" w:eastAsia="宋体" w:cs="宋体"/>
      <w:color w:val="000000"/>
      <w:sz w:val="24"/>
      <w:szCs w:val="24"/>
      <w:u w:val="none"/>
    </w:rPr>
  </w:style>
  <w:style w:type="character" w:customStyle="1" w:styleId="56">
    <w:name w:val="font61"/>
    <w:basedOn w:val="27"/>
    <w:autoRedefine/>
    <w:qFormat/>
    <w:uiPriority w:val="0"/>
    <w:rPr>
      <w:rFonts w:ascii="Himalaya0" w:hAnsi="Himalaya0" w:eastAsia="Himalaya0" w:cs="Himalaya0"/>
      <w:color w:val="000000"/>
      <w:sz w:val="24"/>
      <w:szCs w:val="24"/>
      <w:u w:val="none"/>
    </w:rPr>
  </w:style>
  <w:style w:type="paragraph" w:styleId="57">
    <w:name w:val="List Paragraph"/>
    <w:basedOn w:val="1"/>
    <w:autoRedefine/>
    <w:qFormat/>
    <w:uiPriority w:val="34"/>
    <w:pPr>
      <w:ind w:firstLine="420" w:firstLineChars="200"/>
    </w:pPr>
    <w:rPr>
      <w:rFonts w:ascii="Times New Roman" w:hAnsi="Times New Roman" w:eastAsia="宋体" w:cs="Times New Roman"/>
      <w:szCs w:val="22"/>
    </w:rPr>
  </w:style>
  <w:style w:type="character" w:customStyle="1" w:styleId="58">
    <w:name w:val="font151"/>
    <w:basedOn w:val="27"/>
    <w:autoRedefine/>
    <w:qFormat/>
    <w:uiPriority w:val="0"/>
    <w:rPr>
      <w:rFonts w:hint="eastAsia" w:ascii="楷体" w:hAnsi="楷体" w:eastAsia="楷体" w:cs="楷体"/>
      <w:color w:val="000000"/>
      <w:sz w:val="22"/>
      <w:szCs w:val="22"/>
      <w:u w:val="none"/>
    </w:rPr>
  </w:style>
  <w:style w:type="character" w:customStyle="1" w:styleId="59">
    <w:name w:val="font171"/>
    <w:basedOn w:val="27"/>
    <w:autoRedefine/>
    <w:qFormat/>
    <w:uiPriority w:val="0"/>
    <w:rPr>
      <w:rFonts w:hint="eastAsia" w:ascii="楷体" w:hAnsi="楷体" w:eastAsia="楷体" w:cs="楷体"/>
      <w:color w:val="000000"/>
      <w:sz w:val="22"/>
      <w:szCs w:val="22"/>
      <w:u w:val="none"/>
    </w:rPr>
  </w:style>
  <w:style w:type="paragraph" w:customStyle="1" w:styleId="60">
    <w:name w:val="D图"/>
    <w:basedOn w:val="1"/>
    <w:autoRedefine/>
    <w:qFormat/>
    <w:uiPriority w:val="0"/>
    <w:pPr>
      <w:spacing w:line="360" w:lineRule="auto"/>
      <w:ind w:firstLine="0" w:firstLineChars="0"/>
      <w:jc w:val="center"/>
    </w:pPr>
    <w:rPr>
      <w:rFonts w:ascii="宋体" w:hAnsi="宋体" w:eastAsia="宋体"/>
    </w:rPr>
  </w:style>
  <w:style w:type="paragraph" w:customStyle="1" w:styleId="61">
    <w:name w:val="Plain Text"/>
    <w:basedOn w:val="1"/>
    <w:autoRedefine/>
    <w:qFormat/>
    <w:uiPriority w:val="0"/>
    <w:rPr>
      <w:rFonts w:ascii="宋体" w:hAnsi="Courier New"/>
      <w:b/>
      <w:sz w:val="28"/>
      <w:szCs w:val="22"/>
    </w:rPr>
  </w:style>
  <w:style w:type="paragraph" w:customStyle="1" w:styleId="62">
    <w:name w:val="2 级标题"/>
    <w:basedOn w:val="3"/>
    <w:next w:val="63"/>
    <w:autoRedefine/>
    <w:qFormat/>
    <w:uiPriority w:val="0"/>
    <w:pPr>
      <w:numPr>
        <w:ilvl w:val="2"/>
        <w:numId w:val="2"/>
      </w:numPr>
      <w:wordWrap w:val="0"/>
      <w:adjustRightInd w:val="0"/>
      <w:spacing w:before="120" w:after="120" w:line="360" w:lineRule="auto"/>
      <w:ind w:right="27" w:rightChars="13"/>
      <w:jc w:val="left"/>
    </w:pPr>
    <w:rPr>
      <w:rFonts w:ascii="Times New Roman" w:hAnsi="Times New Roman" w:eastAsia="宋体"/>
      <w:kern w:val="0"/>
      <w:sz w:val="30"/>
      <w:lang w:val="zh-CN"/>
    </w:rPr>
  </w:style>
  <w:style w:type="paragraph" w:customStyle="1" w:styleId="63">
    <w:name w:val="正文内容"/>
    <w:basedOn w:val="1"/>
    <w:autoRedefine/>
    <w:qFormat/>
    <w:uiPriority w:val="0"/>
    <w:pPr>
      <w:spacing w:line="360" w:lineRule="auto"/>
      <w:ind w:firstLine="420"/>
    </w:pPr>
    <w:rPr>
      <w:rFonts w:ascii="Times New Roman" w:hAnsi="Times New Roman" w:eastAsia="宋体" w:cs="Times New Roman"/>
      <w:sz w:val="24"/>
      <w:szCs w:val="24"/>
      <w:lang w:val="zh-CN"/>
    </w:rPr>
  </w:style>
  <w:style w:type="paragraph" w:customStyle="1" w:styleId="64">
    <w:name w:val="4级标题"/>
    <w:basedOn w:val="65"/>
    <w:autoRedefine/>
    <w:qFormat/>
    <w:uiPriority w:val="0"/>
    <w:pPr>
      <w:numPr>
        <w:ilvl w:val="0"/>
        <w:numId w:val="0"/>
      </w:numPr>
      <w:tabs>
        <w:tab w:val="left" w:pos="864"/>
      </w:tabs>
    </w:pPr>
  </w:style>
  <w:style w:type="paragraph" w:customStyle="1" w:styleId="65">
    <w:name w:val="4 级标题"/>
    <w:basedOn w:val="5"/>
    <w:next w:val="63"/>
    <w:autoRedefine/>
    <w:qFormat/>
    <w:uiPriority w:val="0"/>
    <w:pPr>
      <w:numPr>
        <w:ilvl w:val="0"/>
        <w:numId w:val="2"/>
      </w:numPr>
      <w:tabs>
        <w:tab w:val="left" w:pos="864"/>
      </w:tabs>
      <w:wordWrap w:val="0"/>
      <w:adjustRightInd w:val="0"/>
      <w:spacing w:before="120" w:after="120" w:line="360" w:lineRule="auto"/>
      <w:ind w:right="27" w:rightChars="13"/>
      <w:jc w:val="left"/>
    </w:pPr>
    <w:rPr>
      <w:rFonts w:ascii="Times New Roman" w:hAnsi="Times New Roman" w:eastAsia="宋体" w:cs="Times New Roman"/>
      <w:lang w:val="zh-CN"/>
    </w:rPr>
  </w:style>
  <w:style w:type="paragraph" w:customStyle="1" w:styleId="66">
    <w:name w:val="四级条标题"/>
    <w:basedOn w:val="1"/>
    <w:next w:val="45"/>
    <w:autoRedefine/>
    <w:qFormat/>
    <w:uiPriority w:val="0"/>
    <w:pPr>
      <w:widowControl/>
      <w:numPr>
        <w:ilvl w:val="4"/>
        <w:numId w:val="3"/>
      </w:numPr>
      <w:spacing w:before="50" w:beforeLines="50" w:after="50" w:afterLines="50"/>
      <w:jc w:val="left"/>
      <w:outlineLvl w:val="5"/>
    </w:pPr>
    <w:rPr>
      <w:rFonts w:ascii="黑体" w:hAnsi="Times New Roman" w:eastAsia="黑体" w:cs="Times New Roman"/>
      <w:kern w:val="0"/>
      <w:szCs w:val="21"/>
    </w:rPr>
  </w:style>
  <w:style w:type="paragraph" w:customStyle="1" w:styleId="67">
    <w:name w:val="Table Paragraph"/>
    <w:basedOn w:val="1"/>
    <w:autoRedefine/>
    <w:qFormat/>
    <w:uiPriority w:val="1"/>
  </w:style>
  <w:style w:type="character" w:customStyle="1" w:styleId="68">
    <w:name w:val="font121"/>
    <w:basedOn w:val="27"/>
    <w:autoRedefine/>
    <w:qFormat/>
    <w:uiPriority w:val="0"/>
    <w:rPr>
      <w:rFonts w:hint="eastAsia" w:ascii="宋体" w:hAnsi="宋体" w:eastAsia="宋体" w:cs="宋体"/>
      <w:color w:val="000000"/>
      <w:sz w:val="22"/>
      <w:szCs w:val="22"/>
      <w:u w:val="none"/>
    </w:rPr>
  </w:style>
  <w:style w:type="character" w:customStyle="1" w:styleId="69">
    <w:name w:val="font81"/>
    <w:autoRedefine/>
    <w:qFormat/>
    <w:uiPriority w:val="0"/>
    <w:rPr>
      <w:rFonts w:hint="default" w:ascii="Tahoma" w:hAnsi="Tahoma" w:eastAsia="Tahoma" w:cs="Tahoma"/>
      <w:color w:val="000000"/>
      <w:sz w:val="24"/>
      <w:szCs w:val="24"/>
      <w:u w:val="none"/>
    </w:rPr>
  </w:style>
  <w:style w:type="character" w:customStyle="1" w:styleId="70">
    <w:name w:val="font31"/>
    <w:autoRedefine/>
    <w:qFormat/>
    <w:uiPriority w:val="0"/>
    <w:rPr>
      <w:rFonts w:hint="eastAsia" w:ascii="宋体" w:hAnsi="宋体" w:eastAsia="宋体" w:cs="宋体"/>
      <w:color w:val="000000"/>
      <w:sz w:val="24"/>
      <w:szCs w:val="24"/>
      <w:u w:val="none"/>
    </w:rPr>
  </w:style>
  <w:style w:type="paragraph" w:styleId="71">
    <w:name w:val="No Spacing"/>
    <w:autoRedefine/>
    <w:qFormat/>
    <w:uiPriority w:val="99"/>
    <w:pPr>
      <w:widowControl w:val="0"/>
      <w:jc w:val="both"/>
    </w:pPr>
    <w:rPr>
      <w:rFonts w:ascii="Times New Roman" w:hAnsi="Times New Roman" w:eastAsia="宋体" w:cs="Times New Roman"/>
      <w:color w:val="000000"/>
      <w:kern w:val="2"/>
      <w:sz w:val="21"/>
      <w:szCs w:val="24"/>
      <w:lang w:val="en-US" w:eastAsia="zh-CN" w:bidi="ar-SA"/>
    </w:rPr>
  </w:style>
  <w:style w:type="paragraph" w:customStyle="1" w:styleId="72">
    <w:name w:val="Body text|1"/>
    <w:basedOn w:val="1"/>
    <w:autoRedefine/>
    <w:qFormat/>
    <w:uiPriority w:val="0"/>
    <w:pPr>
      <w:spacing w:line="394" w:lineRule="auto"/>
    </w:pPr>
    <w:rPr>
      <w:rFonts w:ascii="宋体" w:hAnsi="宋体" w:eastAsia="宋体" w:cs="宋体"/>
      <w:lang w:val="zh-TW" w:eastAsia="zh-TW" w:bidi="zh-TW"/>
    </w:rPr>
  </w:style>
  <w:style w:type="paragraph" w:customStyle="1" w:styleId="73">
    <w:name w:val="Body text|2"/>
    <w:basedOn w:val="1"/>
    <w:autoRedefine/>
    <w:qFormat/>
    <w:uiPriority w:val="0"/>
    <w:pPr>
      <w:spacing w:line="480" w:lineRule="exact"/>
    </w:pPr>
    <w:rPr>
      <w:sz w:val="26"/>
      <w:szCs w:val="26"/>
    </w:rPr>
  </w:style>
  <w:style w:type="character" w:customStyle="1" w:styleId="74">
    <w:name w:val="font161"/>
    <w:basedOn w:val="27"/>
    <w:qFormat/>
    <w:uiPriority w:val="0"/>
    <w:rPr>
      <w:rFonts w:hint="eastAsia" w:ascii="宋体" w:hAnsi="宋体" w:eastAsia="宋体" w:cs="宋体"/>
      <w:color w:val="333333"/>
      <w:sz w:val="22"/>
      <w:szCs w:val="22"/>
      <w:u w:val="none"/>
    </w:rPr>
  </w:style>
  <w:style w:type="character" w:customStyle="1" w:styleId="75">
    <w:name w:val="1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14195</Words>
  <Characters>14950</Characters>
  <Lines>32</Lines>
  <Paragraphs>58</Paragraphs>
  <TotalTime>68</TotalTime>
  <ScaleCrop>false</ScaleCrop>
  <LinksUpToDate>false</LinksUpToDate>
  <CharactersWithSpaces>15110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2016-02-18T03:12:00Z</dcterms:created>
  <dc:creator>太子弹琴</dc:creator>
  <cp:lastModifiedBy>Administrator</cp:lastModifiedBy>
  <cp:lastPrinted>2026-04-29T09:26:00Z</cp:lastPrinted>
  <dcterms:modified xsi:type="dcterms:W3CDTF">2026-05-06T10:40:15Z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5FFBDFBDF20A4368958A10FE00E02919_13</vt:lpwstr>
  </property>
  <property fmtid="{D5CDD505-2E9C-101B-9397-08002B2CF9AE}" pid="4" name="KSOTemplateDocerSaveRecord">
    <vt:lpwstr>eyJoZGlkIjoiNzAzMGY0MWE3ODA1NTQ4MDExOGE4MjNiZGQwYWQyYmMiLCJ1c2VySWQiOiIyOTc4ODcxNjEifQ==</vt:lpwstr>
  </property>
</Properties>
</file>