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6FB83C">
      <w:pPr>
        <w:pStyle w:val="129"/>
        <w:pBdr>
          <w:top w:val="none" w:color="auto" w:sz="0" w:space="0"/>
          <w:left w:val="none" w:color="auto" w:sz="0" w:space="0"/>
          <w:bottom w:val="none" w:color="auto" w:sz="0" w:space="0"/>
          <w:right w:val="none" w:color="auto" w:sz="0" w:space="0"/>
          <w:between w:val="none" w:color="auto" w:sz="0" w:space="0"/>
        </w:pBdr>
        <w:ind w:firstLine="0"/>
        <w:jc w:val="both"/>
        <w:rPr>
          <w:rFonts w:eastAsia="黑体"/>
          <w:b/>
          <w:bCs/>
          <w:color w:val="auto"/>
          <w:sz w:val="84"/>
        </w:rPr>
      </w:pPr>
      <w:r>
        <w:rPr>
          <w:rFonts w:hint="eastAsia" w:eastAsia="黑体"/>
          <w:b/>
          <w:bCs/>
          <w:color w:val="auto"/>
          <w:sz w:val="84"/>
        </w:rPr>
        <w:t xml:space="preserve"> </w:t>
      </w:r>
    </w:p>
    <w:p w14:paraId="58A0F262">
      <w:pPr>
        <w:jc w:val="center"/>
        <w:rPr>
          <w:b/>
          <w:color w:val="auto"/>
          <w:sz w:val="72"/>
          <w:szCs w:val="72"/>
        </w:rPr>
      </w:pPr>
      <w:r>
        <w:rPr>
          <w:rFonts w:hint="eastAsia" w:ascii="方正小标宋_GBK" w:hAnsi="方正小标宋_GBK" w:eastAsia="方正小标宋_GBK" w:cs="方正小标宋_GBK"/>
          <w:bCs/>
          <w:color w:val="auto"/>
          <w:sz w:val="72"/>
          <w:szCs w:val="72"/>
        </w:rPr>
        <w:t>政府采购公开招标文件</w:t>
      </w:r>
    </w:p>
    <w:p w14:paraId="774ACA2D">
      <w:pPr>
        <w:jc w:val="center"/>
        <w:rPr>
          <w:bCs/>
          <w:color w:val="auto"/>
          <w:sz w:val="52"/>
          <w:szCs w:val="52"/>
        </w:rPr>
      </w:pPr>
      <w:r>
        <w:rPr>
          <w:rFonts w:hint="eastAsia" w:ascii="方正小标宋_GBK" w:hAnsi="方正小标宋_GBK" w:eastAsia="方正小标宋_GBK" w:cs="方正小标宋_GBK"/>
          <w:bCs/>
          <w:color w:val="auto"/>
          <w:sz w:val="52"/>
          <w:szCs w:val="52"/>
        </w:rPr>
        <w:t>（货物类）</w:t>
      </w:r>
    </w:p>
    <w:p w14:paraId="2E55D4D6">
      <w:pPr>
        <w:pStyle w:val="129"/>
        <w:ind w:firstLine="0"/>
        <w:jc w:val="both"/>
        <w:rPr>
          <w:b/>
          <w:bCs/>
          <w:color w:val="auto"/>
          <w:sz w:val="32"/>
        </w:rPr>
      </w:pPr>
    </w:p>
    <w:p w14:paraId="79359B74">
      <w:pPr>
        <w:pStyle w:val="129"/>
        <w:ind w:firstLine="321" w:firstLineChars="100"/>
        <w:jc w:val="both"/>
        <w:rPr>
          <w:rFonts w:hint="eastAsia" w:ascii="方正小标宋_GBK" w:hAnsi="方正小标宋_GBK" w:eastAsia="方正小标宋_GBK" w:cs="方正小标宋_GBK"/>
          <w:b/>
          <w:bCs/>
          <w:color w:val="auto"/>
          <w:sz w:val="32"/>
          <w:highlight w:val="none"/>
        </w:rPr>
      </w:pPr>
      <w:r>
        <w:rPr>
          <w:rFonts w:hint="eastAsia" w:ascii="方正小标宋_GBK" w:hAnsi="方正小标宋_GBK" w:eastAsia="方正小标宋_GBK" w:cs="方正小标宋_GBK"/>
          <w:b/>
          <w:bCs/>
          <w:color w:val="auto"/>
          <w:sz w:val="32"/>
        </w:rPr>
        <w:t>项目名称</w:t>
      </w:r>
      <w:r>
        <w:rPr>
          <w:rFonts w:hint="eastAsia" w:ascii="方正小标宋_GBK" w:hAnsi="方正小标宋_GBK" w:eastAsia="方正小标宋_GBK" w:cs="方正小标宋_GBK"/>
          <w:b/>
          <w:bCs/>
          <w:color w:val="auto"/>
          <w:sz w:val="32"/>
          <w:highlight w:val="none"/>
        </w:rPr>
        <w:t>：若羌县职业高中智慧校园建设项目</w:t>
      </w:r>
    </w:p>
    <w:p w14:paraId="0966EE0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360" w:rightChars="0" w:firstLine="643" w:firstLineChars="200"/>
        <w:rPr>
          <w:color w:val="auto"/>
          <w:highlight w:val="none"/>
        </w:rPr>
      </w:pPr>
      <w:r>
        <w:rPr>
          <w:rFonts w:hint="eastAsia" w:ascii="方正小标宋_GBK" w:hAnsi="方正小标宋_GBK" w:eastAsia="方正小标宋_GBK" w:cs="方正小标宋_GBK"/>
          <w:b/>
          <w:bCs/>
          <w:color w:val="auto"/>
          <w:sz w:val="32"/>
          <w:highlight w:val="none"/>
        </w:rPr>
        <w:t>项目编号：</w:t>
      </w:r>
      <w:r>
        <w:rPr>
          <w:rFonts w:hint="eastAsia" w:ascii="方正小标宋_GBK" w:hAnsi="方正小标宋_GBK" w:eastAsia="方正小标宋_GBK" w:cs="方正小标宋_GBK"/>
          <w:b/>
          <w:bCs/>
          <w:color w:val="auto"/>
          <w:kern w:val="0"/>
          <w:sz w:val="32"/>
          <w:szCs w:val="24"/>
          <w:highlight w:val="none"/>
          <w:lang w:val="en-US" w:eastAsia="zh-CN" w:bidi="ar-SA"/>
        </w:rPr>
        <w:t>BZZZZX（GK）2026-011号</w:t>
      </w:r>
    </w:p>
    <w:p w14:paraId="7015BB7E">
      <w:pPr>
        <w:pStyle w:val="129"/>
        <w:ind w:left="0" w:leftChars="0" w:firstLine="0" w:firstLineChars="0"/>
        <w:jc w:val="both"/>
        <w:rPr>
          <w:rFonts w:hint="eastAsia" w:ascii="方正小标宋_GBK" w:hAnsi="方正小标宋_GBK" w:eastAsia="方正小标宋_GBK" w:cs="方正小标宋_GBK"/>
          <w:b/>
          <w:bCs/>
          <w:color w:val="auto"/>
          <w:sz w:val="32"/>
        </w:rPr>
      </w:pPr>
    </w:p>
    <w:tbl>
      <w:tblPr>
        <w:tblStyle w:val="42"/>
        <w:tblpPr w:leftFromText="180" w:rightFromText="180" w:vertAnchor="page" w:horzAnchor="page" w:tblpX="1561" w:tblpY="7813"/>
        <w:tblW w:w="9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7896"/>
      </w:tblGrid>
      <w:tr w14:paraId="7559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trPr>
        <w:tc>
          <w:tcPr>
            <w:tcW w:w="1434" w:type="dxa"/>
            <w:vAlign w:val="center"/>
          </w:tcPr>
          <w:p w14:paraId="1523BEE8">
            <w:pPr>
              <w:jc w:val="center"/>
              <w:rPr>
                <w:rFonts w:hint="eastAsia" w:ascii="方正小标宋_GBK" w:hAnsi="方正小标宋_GBK" w:eastAsia="方正小标宋_GBK" w:cs="方正小标宋_GBK"/>
                <w:color w:val="auto"/>
                <w:sz w:val="28"/>
                <w:szCs w:val="28"/>
              </w:rPr>
            </w:pPr>
            <w:r>
              <w:rPr>
                <w:rFonts w:hint="eastAsia" w:ascii="方正小标宋_GBK" w:hAnsi="方正小标宋_GBK" w:eastAsia="方正小标宋_GBK" w:cs="方正小标宋_GBK"/>
                <w:color w:val="auto"/>
                <w:sz w:val="28"/>
                <w:szCs w:val="28"/>
              </w:rPr>
              <w:t>采购人</w:t>
            </w:r>
          </w:p>
          <w:p w14:paraId="234C0DE1">
            <w:pPr>
              <w:jc w:val="center"/>
              <w:rPr>
                <w:rFonts w:hint="eastAsia" w:ascii="方正小标宋_GBK" w:hAnsi="方正小标宋_GBK" w:eastAsia="方正小标宋_GBK" w:cs="方正小标宋_GBK"/>
                <w:color w:val="auto"/>
                <w:sz w:val="28"/>
                <w:szCs w:val="28"/>
              </w:rPr>
            </w:pPr>
            <w:r>
              <w:rPr>
                <w:rFonts w:hint="eastAsia" w:ascii="方正小标宋_GBK" w:hAnsi="方正小标宋_GBK" w:eastAsia="方正小标宋_GBK" w:cs="方正小标宋_GBK"/>
                <w:color w:val="auto"/>
                <w:sz w:val="28"/>
                <w:szCs w:val="28"/>
              </w:rPr>
              <w:t>审核意见</w:t>
            </w:r>
          </w:p>
        </w:tc>
        <w:tc>
          <w:tcPr>
            <w:tcW w:w="7896" w:type="dxa"/>
          </w:tcPr>
          <w:p w14:paraId="4F7A88DE">
            <w:pPr>
              <w:rPr>
                <w:rFonts w:hint="eastAsia" w:ascii="方正小标宋_GBK" w:hAnsi="方正小标宋_GBK" w:eastAsia="方正小标宋_GBK" w:cs="方正小标宋_GBK"/>
                <w:color w:val="auto"/>
                <w:sz w:val="28"/>
                <w:szCs w:val="28"/>
              </w:rPr>
            </w:pPr>
            <w:r>
              <w:rPr>
                <w:rFonts w:hint="eastAsia" w:ascii="方正小标宋_GBK" w:hAnsi="方正小标宋_GBK" w:eastAsia="方正小标宋_GBK" w:cs="方正小标宋_GBK"/>
                <w:color w:val="auto"/>
                <w:sz w:val="28"/>
                <w:szCs w:val="28"/>
              </w:rPr>
              <w:t>　　　　　　　　　　　　　　　　　　　</w:t>
            </w:r>
          </w:p>
          <w:p w14:paraId="5AA25267">
            <w:pPr>
              <w:rPr>
                <w:rFonts w:hint="eastAsia" w:ascii="方正小标宋_GBK" w:hAnsi="方正小标宋_GBK" w:eastAsia="方正小标宋_GBK" w:cs="方正小标宋_GBK"/>
                <w:color w:val="auto"/>
                <w:sz w:val="28"/>
                <w:szCs w:val="28"/>
              </w:rPr>
            </w:pPr>
          </w:p>
          <w:p w14:paraId="5F8E305B">
            <w:pPr>
              <w:ind w:firstLine="4620" w:firstLineChars="1650"/>
              <w:rPr>
                <w:rFonts w:hint="eastAsia" w:ascii="方正小标宋_GBK" w:hAnsi="方正小标宋_GBK" w:eastAsia="方正小标宋_GBK" w:cs="方正小标宋_GBK"/>
                <w:color w:val="auto"/>
                <w:sz w:val="28"/>
                <w:szCs w:val="28"/>
              </w:rPr>
            </w:pPr>
          </w:p>
          <w:p w14:paraId="10C008F2">
            <w:pPr>
              <w:ind w:firstLine="4620" w:firstLineChars="1650"/>
              <w:rPr>
                <w:rFonts w:hint="eastAsia" w:ascii="方正小标宋_GBK" w:hAnsi="方正小标宋_GBK" w:eastAsia="方正小标宋_GBK" w:cs="方正小标宋_GBK"/>
                <w:color w:val="auto"/>
                <w:sz w:val="28"/>
                <w:szCs w:val="28"/>
              </w:rPr>
            </w:pPr>
            <w:r>
              <w:rPr>
                <w:rFonts w:hint="eastAsia" w:ascii="方正小标宋_GBK" w:hAnsi="方正小标宋_GBK" w:eastAsia="方正小标宋_GBK" w:cs="方正小标宋_GBK"/>
                <w:color w:val="auto"/>
                <w:sz w:val="28"/>
                <w:szCs w:val="28"/>
              </w:rPr>
              <w:t>采购人签章：</w:t>
            </w:r>
          </w:p>
          <w:p w14:paraId="2E12D924">
            <w:pPr>
              <w:rPr>
                <w:rFonts w:hint="eastAsia" w:ascii="方正小标宋_GBK" w:hAnsi="方正小标宋_GBK" w:eastAsia="方正小标宋_GBK" w:cs="方正小标宋_GBK"/>
                <w:color w:val="auto"/>
                <w:sz w:val="28"/>
                <w:szCs w:val="28"/>
              </w:rPr>
            </w:pPr>
            <w:r>
              <w:rPr>
                <w:rFonts w:hint="eastAsia" w:ascii="方正小标宋_GBK" w:hAnsi="方正小标宋_GBK" w:eastAsia="方正小标宋_GBK" w:cs="方正小标宋_GBK"/>
                <w:color w:val="auto"/>
                <w:sz w:val="28"/>
                <w:szCs w:val="28"/>
              </w:rPr>
              <w:t>　　　　　　　　　　　　　　　　            年  月  日</w:t>
            </w:r>
          </w:p>
        </w:tc>
      </w:tr>
    </w:tbl>
    <w:p w14:paraId="2B94A860">
      <w:pPr>
        <w:pStyle w:val="129"/>
        <w:ind w:firstLine="0"/>
        <w:jc w:val="center"/>
        <w:rPr>
          <w:rFonts w:hint="eastAsia" w:ascii="宋体" w:hAnsi="宋体" w:cs="宋体"/>
          <w:b/>
          <w:bCs/>
          <w:color w:val="auto"/>
          <w:sz w:val="32"/>
        </w:rPr>
      </w:pPr>
    </w:p>
    <w:p w14:paraId="34FE64CB">
      <w:pPr>
        <w:pStyle w:val="129"/>
        <w:spacing w:before="0" w:after="0"/>
        <w:ind w:firstLine="1285" w:firstLineChars="400"/>
        <w:rPr>
          <w:rFonts w:hint="eastAsia" w:ascii="方正小标宋_GBK" w:hAnsi="方正小标宋_GBK" w:eastAsia="方正小标宋_GBK" w:cs="方正小标宋_GBK"/>
          <w:b/>
          <w:bCs/>
          <w:color w:val="auto"/>
          <w:sz w:val="32"/>
        </w:rPr>
      </w:pPr>
    </w:p>
    <w:p w14:paraId="1FA7054C">
      <w:pPr>
        <w:pStyle w:val="129"/>
        <w:spacing w:before="0" w:after="0"/>
        <w:ind w:firstLine="1054" w:firstLineChars="328"/>
        <w:rPr>
          <w:rFonts w:hint="eastAsia" w:ascii="方正小标宋_GBK" w:hAnsi="方正小标宋_GBK" w:eastAsia="方正小标宋_GBK" w:cs="方正小标宋_GBK"/>
          <w:b/>
          <w:bCs/>
          <w:color w:val="auto"/>
          <w:sz w:val="32"/>
        </w:rPr>
      </w:pPr>
      <w:r>
        <w:rPr>
          <w:rFonts w:hint="eastAsia" w:ascii="方正小标宋_GBK" w:hAnsi="方正小标宋_GBK" w:eastAsia="方正小标宋_GBK" w:cs="方正小标宋_GBK"/>
          <w:b/>
          <w:bCs/>
          <w:color w:val="auto"/>
          <w:sz w:val="32"/>
        </w:rPr>
        <w:t xml:space="preserve"> </w:t>
      </w:r>
    </w:p>
    <w:p w14:paraId="0B59CB15">
      <w:pPr>
        <w:pStyle w:val="129"/>
        <w:spacing w:before="0" w:after="0"/>
        <w:ind w:firstLine="1054" w:firstLineChars="328"/>
        <w:rPr>
          <w:rFonts w:hint="eastAsia" w:ascii="方正小标宋_GBK" w:hAnsi="方正小标宋_GBK" w:eastAsia="方正小标宋_GBK" w:cs="方正小标宋_GBK"/>
          <w:b/>
          <w:bCs/>
          <w:color w:val="auto"/>
          <w:sz w:val="32"/>
        </w:rPr>
      </w:pPr>
      <w:r>
        <w:rPr>
          <w:rFonts w:hint="eastAsia" w:ascii="方正小标宋_GBK" w:hAnsi="方正小标宋_GBK" w:eastAsia="方正小标宋_GBK" w:cs="方正小标宋_GBK"/>
          <w:b/>
          <w:bCs/>
          <w:color w:val="auto"/>
          <w:sz w:val="32"/>
        </w:rPr>
        <w:t>巴音郭楞蒙古自治州政务服务和公共资源交易中心</w:t>
      </w:r>
    </w:p>
    <w:p w14:paraId="4797FCCF">
      <w:pPr>
        <w:pStyle w:val="129"/>
        <w:spacing w:before="0" w:after="0"/>
        <w:ind w:firstLine="1285" w:firstLineChars="400"/>
        <w:rPr>
          <w:rFonts w:hint="eastAsia" w:ascii="方正小标宋_GBK" w:hAnsi="方正小标宋_GBK" w:eastAsia="方正小标宋_GBK" w:cs="方正小标宋_GBK"/>
          <w:b/>
          <w:bCs/>
          <w:color w:val="auto"/>
          <w:sz w:val="32"/>
        </w:rPr>
      </w:pPr>
      <w:r>
        <w:rPr>
          <w:rFonts w:hint="eastAsia" w:ascii="方正小标宋_GBK" w:hAnsi="方正小标宋_GBK" w:eastAsia="方正小标宋_GBK" w:cs="方正小标宋_GBK"/>
          <w:b/>
          <w:bCs/>
          <w:color w:val="auto"/>
          <w:sz w:val="32"/>
        </w:rPr>
        <w:t xml:space="preserve">            2026年</w:t>
      </w:r>
      <w:r>
        <w:rPr>
          <w:rFonts w:hint="eastAsia" w:ascii="方正小标宋_GBK" w:hAnsi="方正小标宋_GBK" w:eastAsia="方正小标宋_GBK" w:cs="方正小标宋_GBK"/>
          <w:b/>
          <w:bCs/>
          <w:color w:val="auto"/>
          <w:sz w:val="32"/>
          <w:lang w:val="en-US" w:eastAsia="zh-CN"/>
        </w:rPr>
        <w:t>05</w:t>
      </w:r>
      <w:r>
        <w:rPr>
          <w:rFonts w:hint="eastAsia" w:ascii="方正小标宋_GBK" w:hAnsi="方正小标宋_GBK" w:eastAsia="方正小标宋_GBK" w:cs="方正小标宋_GBK"/>
          <w:b/>
          <w:bCs/>
          <w:color w:val="auto"/>
          <w:sz w:val="32"/>
        </w:rPr>
        <w:t>月</w:t>
      </w:r>
      <w:r>
        <w:rPr>
          <w:rFonts w:hint="eastAsia" w:ascii="方正小标宋_GBK" w:hAnsi="方正小标宋_GBK" w:eastAsia="方正小标宋_GBK" w:cs="方正小标宋_GBK"/>
          <w:b/>
          <w:bCs/>
          <w:color w:val="auto"/>
          <w:sz w:val="32"/>
          <w:lang w:val="en-US" w:eastAsia="zh-CN"/>
        </w:rPr>
        <w:t>12</w:t>
      </w:r>
      <w:r>
        <w:rPr>
          <w:rFonts w:hint="eastAsia" w:ascii="方正小标宋_GBK" w:hAnsi="方正小标宋_GBK" w:eastAsia="方正小标宋_GBK" w:cs="方正小标宋_GBK"/>
          <w:b/>
          <w:bCs/>
          <w:color w:val="auto"/>
          <w:sz w:val="32"/>
        </w:rPr>
        <w:t>日</w:t>
      </w:r>
    </w:p>
    <w:p w14:paraId="489C3F8B">
      <w:pPr>
        <w:pStyle w:val="129"/>
        <w:ind w:firstLine="0"/>
        <w:jc w:val="center"/>
        <w:rPr>
          <w:rFonts w:hint="eastAsia" w:ascii="宋体" w:hAnsi="宋体" w:cs="宋体"/>
          <w:b/>
          <w:bCs/>
          <w:color w:val="auto"/>
          <w:sz w:val="32"/>
        </w:rPr>
      </w:pPr>
    </w:p>
    <w:p w14:paraId="61531733">
      <w:pPr>
        <w:widowControl/>
        <w:spacing w:beforeAutospacing="1" w:afterAutospacing="1"/>
        <w:jc w:val="center"/>
        <w:outlineLvl w:val="1"/>
        <w:rPr>
          <w:rFonts w:hint="eastAsia" w:ascii="黑体" w:hAnsi="宋体" w:eastAsia="黑体" w:cs="黑体"/>
          <w:color w:val="auto"/>
          <w:kern w:val="0"/>
          <w:sz w:val="44"/>
          <w:szCs w:val="44"/>
        </w:rPr>
      </w:pPr>
    </w:p>
    <w:p w14:paraId="22ECB353">
      <w:pPr>
        <w:widowControl/>
        <w:spacing w:beforeAutospacing="1" w:afterAutospacing="1"/>
        <w:jc w:val="center"/>
        <w:outlineLvl w:val="1"/>
        <w:rPr>
          <w:rFonts w:hint="eastAsia" w:ascii="黑体" w:hAnsi="宋体" w:eastAsia="黑体" w:cs="黑体"/>
          <w:color w:val="auto"/>
          <w:kern w:val="0"/>
          <w:sz w:val="44"/>
          <w:szCs w:val="44"/>
        </w:rPr>
      </w:pPr>
    </w:p>
    <w:p w14:paraId="20D060EF">
      <w:pPr>
        <w:widowControl/>
        <w:spacing w:beforeAutospacing="1" w:afterAutospacing="1"/>
        <w:jc w:val="center"/>
        <w:outlineLvl w:val="1"/>
        <w:rPr>
          <w:color w:val="auto"/>
        </w:rPr>
      </w:pPr>
      <w:r>
        <w:rPr>
          <w:rFonts w:hint="eastAsia" w:ascii="黑体" w:hAnsi="宋体" w:eastAsia="黑体" w:cs="黑体"/>
          <w:color w:val="auto"/>
          <w:kern w:val="0"/>
          <w:sz w:val="44"/>
          <w:szCs w:val="44"/>
        </w:rPr>
        <w:t>招标文件信息</w:t>
      </w:r>
    </w:p>
    <w:tbl>
      <w:tblPr>
        <w:tblStyle w:val="42"/>
        <w:tblW w:w="7943"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45" w:type="dxa"/>
          <w:bottom w:w="45" w:type="dxa"/>
          <w:right w:w="45" w:type="dxa"/>
        </w:tblCellMar>
      </w:tblPr>
      <w:tblGrid>
        <w:gridCol w:w="2723"/>
        <w:gridCol w:w="5220"/>
      </w:tblGrid>
      <w:tr w14:paraId="5D44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38" w:hRule="atLeast"/>
          <w:tblCellSpacing w:w="0" w:type="dxa"/>
          <w:jc w:val="center"/>
        </w:trPr>
        <w:tc>
          <w:tcPr>
            <w:tcW w:w="2723" w:type="dxa"/>
            <w:vAlign w:val="center"/>
          </w:tcPr>
          <w:p w14:paraId="62B84F8E">
            <w:pPr>
              <w:widowControl/>
              <w:jc w:val="center"/>
              <w:rPr>
                <w:rFonts w:hint="eastAsia" w:ascii="宋体" w:hAnsi="宋体" w:cs="宋体"/>
                <w:color w:val="auto"/>
                <w:sz w:val="30"/>
                <w:szCs w:val="30"/>
              </w:rPr>
            </w:pPr>
            <w:r>
              <w:rPr>
                <w:rFonts w:hint="eastAsia" w:ascii="宋体" w:hAnsi="宋体" w:cs="宋体"/>
                <w:color w:val="auto"/>
                <w:sz w:val="30"/>
                <w:szCs w:val="30"/>
              </w:rPr>
              <w:t>项目编号：</w:t>
            </w:r>
          </w:p>
        </w:tc>
        <w:tc>
          <w:tcPr>
            <w:tcW w:w="5220" w:type="dxa"/>
            <w:vAlign w:val="center"/>
          </w:tcPr>
          <w:p w14:paraId="5FBF5FE2">
            <w:pPr>
              <w:widowControl/>
              <w:jc w:val="center"/>
              <w:rPr>
                <w:rFonts w:hint="eastAsia" w:ascii="宋体" w:hAnsi="宋体" w:cs="宋体"/>
                <w:color w:val="auto"/>
                <w:sz w:val="30"/>
                <w:szCs w:val="30"/>
              </w:rPr>
            </w:pPr>
            <w:r>
              <w:rPr>
                <w:rFonts w:hint="eastAsia" w:ascii="宋体" w:hAnsi="宋体" w:cs="宋体"/>
                <w:color w:val="auto"/>
                <w:sz w:val="30"/>
                <w:szCs w:val="30"/>
                <w:lang w:val="en-US" w:eastAsia="zh-CN"/>
              </w:rPr>
              <w:t>BZZZZX（GK）2026-011号</w:t>
            </w:r>
          </w:p>
        </w:tc>
      </w:tr>
      <w:tr w14:paraId="7BEF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38" w:hRule="atLeast"/>
          <w:tblCellSpacing w:w="0" w:type="dxa"/>
          <w:jc w:val="center"/>
        </w:trPr>
        <w:tc>
          <w:tcPr>
            <w:tcW w:w="2723" w:type="dxa"/>
            <w:vAlign w:val="center"/>
          </w:tcPr>
          <w:p w14:paraId="51B954B3">
            <w:pPr>
              <w:widowControl/>
              <w:jc w:val="center"/>
              <w:rPr>
                <w:color w:val="auto"/>
                <w:sz w:val="30"/>
                <w:szCs w:val="30"/>
              </w:rPr>
            </w:pPr>
            <w:r>
              <w:rPr>
                <w:rFonts w:ascii="宋体" w:hAnsi="宋体" w:cs="宋体"/>
                <w:color w:val="auto"/>
                <w:kern w:val="0"/>
                <w:sz w:val="30"/>
                <w:szCs w:val="30"/>
              </w:rPr>
              <w:t>项目名称：</w:t>
            </w:r>
          </w:p>
        </w:tc>
        <w:tc>
          <w:tcPr>
            <w:tcW w:w="5220" w:type="dxa"/>
            <w:vAlign w:val="center"/>
          </w:tcPr>
          <w:p w14:paraId="53E71AFF">
            <w:pPr>
              <w:widowControl/>
              <w:jc w:val="center"/>
              <w:rPr>
                <w:rFonts w:hint="eastAsia" w:ascii="宋体" w:hAnsi="宋体" w:cs="宋体"/>
                <w:color w:val="auto"/>
                <w:sz w:val="30"/>
                <w:szCs w:val="30"/>
              </w:rPr>
            </w:pPr>
            <w:r>
              <w:rPr>
                <w:rFonts w:hint="eastAsia" w:ascii="宋体" w:hAnsi="宋体" w:cs="宋体"/>
                <w:color w:val="auto"/>
                <w:sz w:val="30"/>
                <w:szCs w:val="30"/>
              </w:rPr>
              <w:t>若羌县职业高中智慧校园建设项目</w:t>
            </w:r>
          </w:p>
        </w:tc>
      </w:tr>
      <w:tr w14:paraId="0974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38" w:hRule="atLeast"/>
          <w:tblCellSpacing w:w="0" w:type="dxa"/>
          <w:jc w:val="center"/>
        </w:trPr>
        <w:tc>
          <w:tcPr>
            <w:tcW w:w="2723" w:type="dxa"/>
            <w:vAlign w:val="center"/>
          </w:tcPr>
          <w:p w14:paraId="4032B38A">
            <w:pPr>
              <w:widowControl/>
              <w:jc w:val="center"/>
              <w:rPr>
                <w:color w:val="auto"/>
                <w:sz w:val="30"/>
                <w:szCs w:val="30"/>
              </w:rPr>
            </w:pPr>
            <w:r>
              <w:rPr>
                <w:rFonts w:hint="eastAsia" w:ascii="宋体" w:hAnsi="宋体" w:cs="宋体"/>
                <w:color w:val="auto"/>
                <w:kern w:val="0"/>
                <w:sz w:val="30"/>
                <w:szCs w:val="30"/>
              </w:rPr>
              <w:t>标项</w:t>
            </w:r>
            <w:r>
              <w:rPr>
                <w:rFonts w:ascii="宋体" w:hAnsi="宋体" w:cs="宋体"/>
                <w:color w:val="auto"/>
                <w:kern w:val="0"/>
                <w:sz w:val="30"/>
                <w:szCs w:val="30"/>
              </w:rPr>
              <w:t>：</w:t>
            </w:r>
          </w:p>
        </w:tc>
        <w:tc>
          <w:tcPr>
            <w:tcW w:w="5220" w:type="dxa"/>
            <w:vAlign w:val="center"/>
          </w:tcPr>
          <w:p w14:paraId="16A67D69">
            <w:pPr>
              <w:widowControl/>
              <w:jc w:val="center"/>
              <w:rPr>
                <w:rFonts w:hint="eastAsia" w:ascii="宋体" w:hAnsi="宋体" w:cs="宋体"/>
                <w:color w:val="auto"/>
                <w:sz w:val="30"/>
                <w:szCs w:val="30"/>
              </w:rPr>
            </w:pPr>
            <w:r>
              <w:rPr>
                <w:rFonts w:hint="eastAsia" w:ascii="宋体" w:hAnsi="宋体" w:cs="宋体"/>
                <w:color w:val="auto"/>
                <w:sz w:val="30"/>
                <w:szCs w:val="30"/>
              </w:rPr>
              <w:t>1</w:t>
            </w:r>
          </w:p>
        </w:tc>
      </w:tr>
      <w:tr w14:paraId="426CE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90" w:hRule="atLeast"/>
          <w:tblCellSpacing w:w="0" w:type="dxa"/>
          <w:jc w:val="center"/>
        </w:trPr>
        <w:tc>
          <w:tcPr>
            <w:tcW w:w="2723" w:type="dxa"/>
            <w:vAlign w:val="center"/>
          </w:tcPr>
          <w:p w14:paraId="78243A7E">
            <w:pPr>
              <w:widowControl/>
              <w:jc w:val="center"/>
              <w:rPr>
                <w:rFonts w:hint="eastAsia" w:ascii="宋体" w:hAnsi="宋体" w:cs="宋体"/>
                <w:color w:val="auto"/>
                <w:kern w:val="0"/>
                <w:sz w:val="30"/>
                <w:szCs w:val="30"/>
              </w:rPr>
            </w:pPr>
            <w:r>
              <w:rPr>
                <w:rFonts w:hint="eastAsia" w:ascii="宋体" w:hAnsi="宋体" w:cs="宋体"/>
                <w:color w:val="auto"/>
                <w:kern w:val="0"/>
                <w:sz w:val="30"/>
                <w:szCs w:val="30"/>
              </w:rPr>
              <w:t>采购单位：</w:t>
            </w:r>
          </w:p>
        </w:tc>
        <w:tc>
          <w:tcPr>
            <w:tcW w:w="5220" w:type="dxa"/>
            <w:vAlign w:val="center"/>
          </w:tcPr>
          <w:p w14:paraId="316A615F">
            <w:pPr>
              <w:widowControl/>
              <w:jc w:val="center"/>
              <w:rPr>
                <w:rFonts w:hint="eastAsia" w:ascii="宋体" w:hAnsi="宋体" w:cs="宋体"/>
                <w:color w:val="auto"/>
                <w:kern w:val="0"/>
                <w:sz w:val="30"/>
                <w:szCs w:val="30"/>
              </w:rPr>
            </w:pPr>
            <w:r>
              <w:rPr>
                <w:rFonts w:hint="eastAsia" w:ascii="宋体" w:hAnsi="宋体" w:cs="宋体"/>
                <w:color w:val="auto"/>
                <w:sz w:val="30"/>
                <w:szCs w:val="30"/>
              </w:rPr>
              <w:t xml:space="preserve">若羌县教育和科学技术局 </w:t>
            </w:r>
          </w:p>
        </w:tc>
      </w:tr>
      <w:tr w14:paraId="5A42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38" w:hRule="atLeast"/>
          <w:tblCellSpacing w:w="0" w:type="dxa"/>
          <w:jc w:val="center"/>
        </w:trPr>
        <w:tc>
          <w:tcPr>
            <w:tcW w:w="2723" w:type="dxa"/>
            <w:vAlign w:val="center"/>
          </w:tcPr>
          <w:p w14:paraId="20FC9B0D">
            <w:pPr>
              <w:widowControl/>
              <w:jc w:val="center"/>
              <w:rPr>
                <w:color w:val="auto"/>
                <w:sz w:val="30"/>
                <w:szCs w:val="30"/>
              </w:rPr>
            </w:pPr>
            <w:r>
              <w:rPr>
                <w:rFonts w:ascii="宋体" w:hAnsi="宋体" w:cs="宋体"/>
                <w:color w:val="auto"/>
                <w:kern w:val="0"/>
                <w:sz w:val="30"/>
                <w:szCs w:val="30"/>
              </w:rPr>
              <w:t>项目类型：</w:t>
            </w:r>
          </w:p>
        </w:tc>
        <w:tc>
          <w:tcPr>
            <w:tcW w:w="5220" w:type="dxa"/>
            <w:vAlign w:val="center"/>
          </w:tcPr>
          <w:p w14:paraId="2B611DB2">
            <w:pPr>
              <w:widowControl/>
              <w:jc w:val="center"/>
              <w:rPr>
                <w:rFonts w:hint="eastAsia" w:ascii="宋体" w:hAnsi="宋体" w:cs="宋体"/>
                <w:color w:val="auto"/>
                <w:sz w:val="30"/>
                <w:szCs w:val="30"/>
              </w:rPr>
            </w:pPr>
            <w:r>
              <w:rPr>
                <w:rFonts w:hint="eastAsia" w:ascii="宋体" w:hAnsi="宋体" w:cs="宋体"/>
                <w:color w:val="auto"/>
                <w:kern w:val="0"/>
                <w:sz w:val="30"/>
                <w:szCs w:val="30"/>
              </w:rPr>
              <w:t>货物类</w:t>
            </w:r>
          </w:p>
        </w:tc>
      </w:tr>
      <w:tr w14:paraId="7E078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38" w:hRule="atLeast"/>
          <w:tblCellSpacing w:w="0" w:type="dxa"/>
          <w:jc w:val="center"/>
        </w:trPr>
        <w:tc>
          <w:tcPr>
            <w:tcW w:w="2723" w:type="dxa"/>
            <w:vAlign w:val="center"/>
          </w:tcPr>
          <w:p w14:paraId="2319D046">
            <w:pPr>
              <w:widowControl/>
              <w:jc w:val="center"/>
              <w:rPr>
                <w:rFonts w:hint="eastAsia" w:ascii="宋体" w:hAnsi="宋体" w:cs="宋体"/>
                <w:color w:val="auto"/>
                <w:kern w:val="0"/>
                <w:sz w:val="30"/>
                <w:szCs w:val="30"/>
              </w:rPr>
            </w:pPr>
            <w:r>
              <w:rPr>
                <w:rFonts w:hint="eastAsia" w:ascii="宋体" w:hAnsi="宋体" w:cs="宋体"/>
                <w:color w:val="auto"/>
                <w:kern w:val="0"/>
                <w:sz w:val="30"/>
                <w:szCs w:val="30"/>
              </w:rPr>
              <w:t>预算金额：</w:t>
            </w:r>
          </w:p>
        </w:tc>
        <w:tc>
          <w:tcPr>
            <w:tcW w:w="5220" w:type="dxa"/>
            <w:vAlign w:val="center"/>
          </w:tcPr>
          <w:p w14:paraId="1FA8C07C">
            <w:pPr>
              <w:widowControl/>
              <w:jc w:val="center"/>
              <w:rPr>
                <w:rFonts w:hint="eastAsia" w:ascii="宋体" w:hAnsi="宋体" w:cs="宋体"/>
                <w:color w:val="auto"/>
                <w:kern w:val="0"/>
                <w:sz w:val="30"/>
                <w:szCs w:val="30"/>
              </w:rPr>
            </w:pPr>
            <w:r>
              <w:rPr>
                <w:rFonts w:hint="eastAsia" w:ascii="宋体" w:hAnsi="宋体" w:cs="宋体"/>
                <w:color w:val="auto"/>
                <w:kern w:val="0"/>
                <w:sz w:val="30"/>
                <w:szCs w:val="30"/>
              </w:rPr>
              <w:t>200万元</w:t>
            </w:r>
          </w:p>
        </w:tc>
      </w:tr>
      <w:tr w14:paraId="179C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38" w:hRule="atLeast"/>
          <w:tblCellSpacing w:w="0" w:type="dxa"/>
          <w:jc w:val="center"/>
        </w:trPr>
        <w:tc>
          <w:tcPr>
            <w:tcW w:w="2723" w:type="dxa"/>
            <w:vAlign w:val="center"/>
          </w:tcPr>
          <w:p w14:paraId="6F74ED7A">
            <w:pPr>
              <w:widowControl/>
              <w:jc w:val="center"/>
              <w:rPr>
                <w:color w:val="auto"/>
                <w:sz w:val="30"/>
                <w:szCs w:val="30"/>
              </w:rPr>
            </w:pPr>
            <w:r>
              <w:rPr>
                <w:rFonts w:ascii="宋体" w:hAnsi="宋体" w:cs="宋体"/>
                <w:color w:val="auto"/>
                <w:kern w:val="0"/>
                <w:sz w:val="30"/>
                <w:szCs w:val="30"/>
              </w:rPr>
              <w:t>采购方式：</w:t>
            </w:r>
          </w:p>
        </w:tc>
        <w:tc>
          <w:tcPr>
            <w:tcW w:w="5220" w:type="dxa"/>
            <w:vAlign w:val="center"/>
          </w:tcPr>
          <w:p w14:paraId="7F369255">
            <w:pPr>
              <w:widowControl/>
              <w:jc w:val="center"/>
              <w:rPr>
                <w:rFonts w:hint="eastAsia" w:ascii="宋体" w:hAnsi="宋体" w:cs="宋体"/>
                <w:color w:val="auto"/>
                <w:sz w:val="30"/>
                <w:szCs w:val="30"/>
              </w:rPr>
            </w:pPr>
            <w:r>
              <w:rPr>
                <w:rFonts w:hint="eastAsia" w:ascii="宋体" w:hAnsi="宋体" w:cs="宋体"/>
                <w:color w:val="auto"/>
                <w:kern w:val="0"/>
                <w:sz w:val="30"/>
                <w:szCs w:val="30"/>
              </w:rPr>
              <w:t>公开招标</w:t>
            </w:r>
          </w:p>
        </w:tc>
      </w:tr>
      <w:tr w14:paraId="6CB25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38" w:hRule="atLeast"/>
          <w:tblCellSpacing w:w="0" w:type="dxa"/>
          <w:jc w:val="center"/>
        </w:trPr>
        <w:tc>
          <w:tcPr>
            <w:tcW w:w="2723" w:type="dxa"/>
            <w:vAlign w:val="center"/>
          </w:tcPr>
          <w:p w14:paraId="24D79BFA">
            <w:pPr>
              <w:widowControl/>
              <w:jc w:val="center"/>
              <w:rPr>
                <w:color w:val="auto"/>
                <w:sz w:val="30"/>
                <w:szCs w:val="30"/>
              </w:rPr>
            </w:pPr>
            <w:r>
              <w:rPr>
                <w:rFonts w:ascii="宋体" w:hAnsi="宋体" w:cs="宋体"/>
                <w:color w:val="auto"/>
                <w:kern w:val="0"/>
                <w:sz w:val="30"/>
                <w:szCs w:val="30"/>
              </w:rPr>
              <w:t>货币类型：</w:t>
            </w:r>
          </w:p>
        </w:tc>
        <w:tc>
          <w:tcPr>
            <w:tcW w:w="5220" w:type="dxa"/>
            <w:vAlign w:val="center"/>
          </w:tcPr>
          <w:p w14:paraId="21EE69DF">
            <w:pPr>
              <w:widowControl/>
              <w:jc w:val="center"/>
              <w:rPr>
                <w:rFonts w:hint="eastAsia" w:ascii="宋体" w:hAnsi="宋体" w:cs="宋体"/>
                <w:color w:val="auto"/>
                <w:sz w:val="30"/>
                <w:szCs w:val="30"/>
              </w:rPr>
            </w:pPr>
            <w:r>
              <w:rPr>
                <w:rFonts w:hint="eastAsia" w:ascii="宋体" w:hAnsi="宋体" w:cs="宋体"/>
                <w:color w:val="auto"/>
                <w:kern w:val="0"/>
                <w:sz w:val="30"/>
                <w:szCs w:val="30"/>
              </w:rPr>
              <w:t>人民币</w:t>
            </w:r>
          </w:p>
        </w:tc>
      </w:tr>
      <w:tr w14:paraId="70FB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45" w:type="dxa"/>
            <w:bottom w:w="45" w:type="dxa"/>
            <w:right w:w="45" w:type="dxa"/>
          </w:tblCellMar>
        </w:tblPrEx>
        <w:trPr>
          <w:trHeight w:val="738" w:hRule="atLeast"/>
          <w:tblCellSpacing w:w="0" w:type="dxa"/>
          <w:jc w:val="center"/>
        </w:trPr>
        <w:tc>
          <w:tcPr>
            <w:tcW w:w="2723" w:type="dxa"/>
            <w:vAlign w:val="center"/>
          </w:tcPr>
          <w:p w14:paraId="42FB7408">
            <w:pPr>
              <w:widowControl/>
              <w:jc w:val="center"/>
              <w:rPr>
                <w:color w:val="auto"/>
                <w:sz w:val="30"/>
                <w:szCs w:val="30"/>
              </w:rPr>
            </w:pPr>
            <w:r>
              <w:rPr>
                <w:rFonts w:ascii="宋体" w:hAnsi="宋体" w:cs="宋体"/>
                <w:color w:val="auto"/>
                <w:kern w:val="0"/>
                <w:sz w:val="30"/>
                <w:szCs w:val="30"/>
              </w:rPr>
              <w:t>评标方法：</w:t>
            </w:r>
          </w:p>
        </w:tc>
        <w:tc>
          <w:tcPr>
            <w:tcW w:w="5220" w:type="dxa"/>
            <w:vAlign w:val="center"/>
          </w:tcPr>
          <w:p w14:paraId="7CB6AF7B">
            <w:pPr>
              <w:widowControl/>
              <w:jc w:val="center"/>
              <w:rPr>
                <w:rFonts w:hint="eastAsia" w:ascii="宋体" w:hAnsi="宋体" w:cs="宋体"/>
                <w:color w:val="auto"/>
                <w:sz w:val="30"/>
                <w:szCs w:val="30"/>
              </w:rPr>
            </w:pPr>
            <w:r>
              <w:rPr>
                <w:rFonts w:hint="eastAsia" w:ascii="宋体" w:hAnsi="宋体" w:cs="宋体"/>
                <w:color w:val="auto"/>
                <w:kern w:val="0"/>
                <w:sz w:val="30"/>
                <w:szCs w:val="30"/>
              </w:rPr>
              <w:t>综合评分法</w:t>
            </w:r>
          </w:p>
        </w:tc>
      </w:tr>
    </w:tbl>
    <w:p w14:paraId="32107595">
      <w:pPr>
        <w:pStyle w:val="129"/>
        <w:ind w:firstLine="0"/>
        <w:jc w:val="center"/>
        <w:rPr>
          <w:rFonts w:hint="eastAsia" w:ascii="宋体" w:hAnsi="宋体" w:cs="宋体"/>
          <w:b/>
          <w:bCs/>
          <w:color w:val="auto"/>
          <w:sz w:val="32"/>
        </w:rPr>
      </w:pPr>
    </w:p>
    <w:p w14:paraId="0234AF61">
      <w:pPr>
        <w:rPr>
          <w:color w:val="auto"/>
        </w:rPr>
      </w:pPr>
    </w:p>
    <w:p w14:paraId="67DCB83C">
      <w:pPr>
        <w:rPr>
          <w:color w:val="auto"/>
        </w:rPr>
      </w:pPr>
    </w:p>
    <w:p w14:paraId="41FE6631">
      <w:pPr>
        <w:pStyle w:val="2"/>
        <w:rPr>
          <w:color w:val="auto"/>
        </w:rPr>
      </w:pPr>
    </w:p>
    <w:p w14:paraId="0EB76496">
      <w:pPr>
        <w:pStyle w:val="35"/>
        <w:jc w:val="both"/>
        <w:rPr>
          <w:color w:val="auto"/>
        </w:rPr>
      </w:pPr>
    </w:p>
    <w:p w14:paraId="3E4C794D">
      <w:pPr>
        <w:rPr>
          <w:rFonts w:hint="eastAsia" w:ascii="宋体" w:hAnsi="宋体" w:eastAsia="黑体"/>
          <w:b/>
          <w:bCs/>
          <w:color w:val="auto"/>
          <w:kern w:val="44"/>
          <w:sz w:val="36"/>
          <w:szCs w:val="36"/>
        </w:rPr>
      </w:pPr>
    </w:p>
    <w:p w14:paraId="103FA21F">
      <w:pPr>
        <w:pStyle w:val="2"/>
        <w:rPr>
          <w:rFonts w:hint="eastAsia" w:ascii="宋体" w:hAnsi="宋体" w:eastAsia="黑体"/>
          <w:b/>
          <w:bCs/>
          <w:color w:val="auto"/>
          <w:kern w:val="44"/>
          <w:sz w:val="36"/>
          <w:szCs w:val="36"/>
        </w:rPr>
      </w:pPr>
    </w:p>
    <w:p w14:paraId="602DF942">
      <w:pPr>
        <w:pStyle w:val="3"/>
        <w:rPr>
          <w:rFonts w:hint="eastAsia" w:ascii="宋体" w:hAnsi="宋体" w:eastAsia="黑体"/>
          <w:b/>
          <w:bCs/>
          <w:color w:val="auto"/>
          <w:kern w:val="44"/>
          <w:sz w:val="36"/>
          <w:szCs w:val="36"/>
        </w:rPr>
      </w:pPr>
    </w:p>
    <w:p w14:paraId="66099C8C">
      <w:pPr>
        <w:rPr>
          <w:rFonts w:hint="eastAsia" w:ascii="宋体" w:hAnsi="宋体" w:eastAsia="黑体"/>
          <w:b/>
          <w:bCs/>
          <w:color w:val="auto"/>
          <w:kern w:val="44"/>
          <w:sz w:val="36"/>
          <w:szCs w:val="36"/>
        </w:rPr>
      </w:pPr>
    </w:p>
    <w:p w14:paraId="265249DF">
      <w:pPr>
        <w:pStyle w:val="2"/>
        <w:rPr>
          <w:rFonts w:hint="eastAsia"/>
          <w:color w:val="auto"/>
        </w:rPr>
      </w:pPr>
    </w:p>
    <w:p w14:paraId="330F21CF">
      <w:pPr>
        <w:jc w:val="center"/>
        <w:rPr>
          <w:rFonts w:hint="eastAsia" w:ascii="宋体" w:hAnsi="宋体"/>
          <w:color w:val="auto"/>
        </w:rPr>
      </w:pPr>
      <w:r>
        <w:rPr>
          <w:rFonts w:hint="eastAsia" w:ascii="宋体" w:hAnsi="宋体" w:eastAsia="黑体"/>
          <w:b/>
          <w:bCs/>
          <w:color w:val="auto"/>
          <w:kern w:val="44"/>
          <w:sz w:val="36"/>
          <w:szCs w:val="36"/>
        </w:rPr>
        <w:t>警示条款</w:t>
      </w:r>
    </w:p>
    <w:p w14:paraId="5D5F62F0">
      <w:pPr>
        <w:ind w:firstLine="402" w:firstLineChars="200"/>
        <w:rPr>
          <w:rFonts w:hint="eastAsia" w:ascii="宋体" w:hAnsi="宋体"/>
          <w:b/>
          <w:bCs/>
          <w:color w:val="auto"/>
          <w:sz w:val="20"/>
          <w:szCs w:val="20"/>
        </w:rPr>
      </w:pPr>
    </w:p>
    <w:p w14:paraId="728B2CD6">
      <w:pPr>
        <w:pStyle w:val="41"/>
        <w:rPr>
          <w:rFonts w:hint="eastAsia"/>
          <w:color w:val="auto"/>
        </w:rPr>
      </w:pPr>
    </w:p>
    <w:p w14:paraId="1B37DEBC">
      <w:pPr>
        <w:ind w:firstLine="402" w:firstLineChars="200"/>
        <w:rPr>
          <w:rFonts w:hint="eastAsia" w:ascii="宋体" w:hAnsi="宋体"/>
          <w:b/>
          <w:bCs/>
          <w:color w:val="auto"/>
          <w:sz w:val="20"/>
          <w:szCs w:val="20"/>
        </w:rPr>
      </w:pPr>
      <w:r>
        <w:rPr>
          <w:rFonts w:hint="eastAsia" w:ascii="宋体" w:hAnsi="宋体"/>
          <w:b/>
          <w:bCs/>
          <w:color w:val="auto"/>
          <w:sz w:val="20"/>
          <w:szCs w:val="20"/>
        </w:rPr>
        <w:t>一、 供应商在本项目政府采购中，有下列行为之一的，</w:t>
      </w:r>
      <w:r>
        <w:rPr>
          <w:rFonts w:hint="eastAsia" w:ascii="宋体" w:hAnsi="宋体"/>
          <w:b/>
          <w:bCs/>
          <w:color w:val="auto"/>
          <w:sz w:val="20"/>
          <w:szCs w:val="20"/>
          <w:lang w:val="en-US" w:eastAsia="zh-CN"/>
        </w:rPr>
        <w:t>属于无效投标，</w:t>
      </w:r>
      <w:r>
        <w:rPr>
          <w:rFonts w:hint="eastAsia" w:ascii="宋体" w:hAnsi="宋体"/>
          <w:b/>
          <w:bCs/>
          <w:color w:val="auto"/>
          <w:sz w:val="20"/>
          <w:szCs w:val="20"/>
        </w:rPr>
        <w:t>报财政主管部门记入供应商诚信档案，在一至三年内禁止参加政府采购活动；有违法所得的，并处没收违法所得；情节严重的，由工商行政管理机关依法吊销其营业执照；给他人造成损失的，依法承担赔偿责任；构成犯罪的，依法追究刑事责任：</w:t>
      </w:r>
    </w:p>
    <w:p w14:paraId="1F85DF77">
      <w:pPr>
        <w:ind w:firstLine="400" w:firstLineChars="200"/>
        <w:rPr>
          <w:rFonts w:hint="eastAsia" w:ascii="宋体" w:hAnsi="宋体"/>
          <w:color w:val="auto"/>
          <w:sz w:val="20"/>
          <w:szCs w:val="20"/>
        </w:rPr>
      </w:pPr>
      <w:r>
        <w:rPr>
          <w:rFonts w:hint="eastAsia" w:ascii="宋体" w:hAnsi="宋体"/>
          <w:color w:val="auto"/>
          <w:sz w:val="20"/>
          <w:szCs w:val="20"/>
        </w:rPr>
        <w:t>（一）在采购活动中应当回避而未回避的；</w:t>
      </w:r>
    </w:p>
    <w:p w14:paraId="1BF0AE32">
      <w:pPr>
        <w:ind w:firstLine="400" w:firstLineChars="200"/>
        <w:rPr>
          <w:rFonts w:hint="eastAsia" w:ascii="宋体" w:hAnsi="宋体"/>
          <w:color w:val="auto"/>
          <w:sz w:val="20"/>
          <w:szCs w:val="20"/>
        </w:rPr>
      </w:pPr>
      <w:r>
        <w:rPr>
          <w:rFonts w:hint="eastAsia" w:ascii="宋体" w:hAnsi="宋体"/>
          <w:color w:val="auto"/>
          <w:sz w:val="20"/>
          <w:szCs w:val="20"/>
        </w:rPr>
        <w:t>（二）未按本条例规定签订、履行采购合同，造成严重后果的；</w:t>
      </w:r>
    </w:p>
    <w:p w14:paraId="262C430C">
      <w:pPr>
        <w:ind w:firstLine="400" w:firstLineChars="200"/>
        <w:rPr>
          <w:rFonts w:hint="eastAsia" w:ascii="宋体" w:hAnsi="宋体"/>
          <w:color w:val="auto"/>
          <w:sz w:val="20"/>
          <w:szCs w:val="20"/>
        </w:rPr>
      </w:pPr>
      <w:r>
        <w:rPr>
          <w:rFonts w:hint="eastAsia" w:ascii="宋体" w:hAnsi="宋体"/>
          <w:color w:val="auto"/>
          <w:sz w:val="20"/>
          <w:szCs w:val="20"/>
        </w:rPr>
        <w:t>（三）隐瞒真实情况，提供虚假资料的；</w:t>
      </w:r>
    </w:p>
    <w:p w14:paraId="25586954">
      <w:pPr>
        <w:ind w:firstLine="800" w:firstLineChars="400"/>
        <w:rPr>
          <w:rFonts w:hint="eastAsia" w:ascii="宋体" w:hAnsi="宋体"/>
          <w:color w:val="auto"/>
          <w:sz w:val="20"/>
          <w:szCs w:val="20"/>
        </w:rPr>
      </w:pPr>
      <w:r>
        <w:rPr>
          <w:rFonts w:hint="eastAsia" w:ascii="宋体" w:hAnsi="宋体"/>
          <w:color w:val="auto"/>
          <w:sz w:val="20"/>
          <w:szCs w:val="20"/>
        </w:rPr>
        <w:t>1.通过转让或者租借等方式从其他单位获取资格或者资质证书投标的；</w:t>
      </w:r>
    </w:p>
    <w:p w14:paraId="7C2DE71E">
      <w:pPr>
        <w:ind w:firstLine="800" w:firstLineChars="400"/>
        <w:rPr>
          <w:rFonts w:hint="eastAsia" w:ascii="宋体" w:hAnsi="宋体"/>
          <w:color w:val="auto"/>
          <w:sz w:val="20"/>
          <w:szCs w:val="20"/>
        </w:rPr>
      </w:pPr>
      <w:r>
        <w:rPr>
          <w:rFonts w:hint="eastAsia" w:ascii="宋体" w:hAnsi="宋体"/>
          <w:color w:val="auto"/>
          <w:sz w:val="20"/>
          <w:szCs w:val="20"/>
        </w:rPr>
        <w:t>2.由其他单位或者其他单位负责人在投标供应商编制的投标文件上加盖印章或者签字的；</w:t>
      </w:r>
    </w:p>
    <w:p w14:paraId="3F1661E3">
      <w:pPr>
        <w:ind w:left="399" w:leftChars="190" w:firstLine="400" w:firstLineChars="200"/>
        <w:rPr>
          <w:rFonts w:hint="eastAsia" w:ascii="宋体" w:hAnsi="宋体"/>
          <w:color w:val="auto"/>
          <w:sz w:val="20"/>
          <w:szCs w:val="20"/>
        </w:rPr>
      </w:pPr>
      <w:r>
        <w:rPr>
          <w:rFonts w:hint="eastAsia" w:ascii="宋体" w:hAnsi="宋体"/>
          <w:color w:val="auto"/>
          <w:sz w:val="20"/>
          <w:szCs w:val="20"/>
        </w:rPr>
        <w:t>3.投标供应商的项目负责人或者主要技术人员不是本单位人员的，不能提供项目负责人或者主要技术人员的劳动合同、社会保险等劳动关系证明材料的。</w:t>
      </w:r>
    </w:p>
    <w:p w14:paraId="41E36822">
      <w:pPr>
        <w:ind w:firstLine="800" w:firstLineChars="400"/>
        <w:rPr>
          <w:rFonts w:hint="eastAsia" w:ascii="宋体" w:hAnsi="宋体"/>
          <w:color w:val="auto"/>
          <w:sz w:val="20"/>
          <w:szCs w:val="20"/>
        </w:rPr>
      </w:pPr>
      <w:r>
        <w:rPr>
          <w:rFonts w:hint="eastAsia" w:ascii="宋体" w:hAnsi="宋体"/>
          <w:color w:val="auto"/>
          <w:sz w:val="20"/>
          <w:szCs w:val="20"/>
        </w:rPr>
        <w:t>4.投标保证金不是从投标供应商基本账户转出的；</w:t>
      </w:r>
    </w:p>
    <w:p w14:paraId="5233E297">
      <w:pPr>
        <w:ind w:firstLine="800" w:firstLineChars="400"/>
        <w:rPr>
          <w:rFonts w:hint="eastAsia" w:ascii="宋体" w:hAnsi="宋体"/>
          <w:color w:val="auto"/>
          <w:sz w:val="20"/>
          <w:szCs w:val="20"/>
        </w:rPr>
      </w:pPr>
      <w:r>
        <w:rPr>
          <w:rFonts w:hint="eastAsia" w:ascii="宋体" w:hAnsi="宋体"/>
          <w:color w:val="auto"/>
          <w:sz w:val="20"/>
          <w:szCs w:val="20"/>
        </w:rPr>
        <w:t>5.其他隐瞒真实情况、提供虚假资料的行为。</w:t>
      </w:r>
    </w:p>
    <w:p w14:paraId="5E40C060">
      <w:pPr>
        <w:ind w:firstLine="400" w:firstLineChars="200"/>
        <w:rPr>
          <w:rFonts w:eastAsia="楷体_GB2312"/>
          <w:color w:val="auto"/>
        </w:rPr>
      </w:pPr>
      <w:r>
        <w:rPr>
          <w:rFonts w:hint="eastAsia" w:ascii="宋体" w:hAnsi="宋体"/>
          <w:color w:val="auto"/>
          <w:sz w:val="20"/>
          <w:szCs w:val="20"/>
        </w:rPr>
        <w:t>（四）以非法手段排斥其他供应商参与竞争的；</w:t>
      </w:r>
    </w:p>
    <w:p w14:paraId="594DB98A">
      <w:pPr>
        <w:ind w:firstLine="400" w:firstLineChars="200"/>
        <w:rPr>
          <w:rFonts w:hint="eastAsia" w:ascii="宋体" w:hAnsi="宋体"/>
          <w:color w:val="auto"/>
          <w:sz w:val="20"/>
          <w:szCs w:val="20"/>
        </w:rPr>
      </w:pPr>
      <w:r>
        <w:rPr>
          <w:rFonts w:hint="eastAsia" w:ascii="宋体" w:hAnsi="宋体"/>
          <w:color w:val="auto"/>
          <w:sz w:val="20"/>
          <w:szCs w:val="20"/>
        </w:rPr>
        <w:t>（五）与其他采购参加人串通投标的；</w:t>
      </w:r>
    </w:p>
    <w:p w14:paraId="6F607454">
      <w:pPr>
        <w:ind w:firstLine="420" w:firstLineChars="200"/>
        <w:rPr>
          <w:rFonts w:hint="eastAsia" w:ascii="宋体" w:hAnsi="宋体"/>
          <w:color w:val="auto"/>
          <w:sz w:val="20"/>
          <w:szCs w:val="20"/>
        </w:rPr>
      </w:pPr>
      <w:r>
        <w:rPr>
          <w:rFonts w:hint="eastAsia"/>
          <w:color w:val="auto"/>
        </w:rPr>
        <w:t xml:space="preserve">    1.</w:t>
      </w:r>
      <w:r>
        <w:rPr>
          <w:rFonts w:hint="eastAsia" w:ascii="宋体" w:hAnsi="宋体"/>
          <w:color w:val="auto"/>
          <w:sz w:val="20"/>
          <w:szCs w:val="20"/>
        </w:rPr>
        <w:t>投标供应商之间相互约定给予未中标的供应商利益补偿；</w:t>
      </w:r>
    </w:p>
    <w:p w14:paraId="27253FF7">
      <w:pPr>
        <w:ind w:left="399" w:leftChars="190" w:firstLine="400" w:firstLineChars="200"/>
        <w:rPr>
          <w:rFonts w:hint="eastAsia" w:ascii="宋体" w:hAnsi="宋体"/>
          <w:color w:val="auto"/>
          <w:sz w:val="20"/>
          <w:szCs w:val="20"/>
        </w:rPr>
      </w:pPr>
      <w:r>
        <w:rPr>
          <w:rFonts w:hint="eastAsia" w:ascii="宋体" w:hAnsi="宋体"/>
          <w:color w:val="auto"/>
          <w:sz w:val="20"/>
          <w:szCs w:val="20"/>
        </w:rPr>
        <w:t>2.不同投标供应商的法定代表人、主要经营负责人、项目投标授权代表人、项目负责人、</w:t>
      </w:r>
    </w:p>
    <w:p w14:paraId="1F3A1E0F">
      <w:pPr>
        <w:rPr>
          <w:rFonts w:hint="eastAsia" w:ascii="宋体" w:hAnsi="宋体"/>
          <w:color w:val="auto"/>
          <w:sz w:val="20"/>
          <w:szCs w:val="20"/>
        </w:rPr>
      </w:pPr>
      <w:r>
        <w:rPr>
          <w:rFonts w:hint="eastAsia" w:ascii="宋体" w:hAnsi="宋体"/>
          <w:color w:val="auto"/>
          <w:sz w:val="20"/>
          <w:szCs w:val="20"/>
        </w:rPr>
        <w:t>主要技术人员为同一人、属同一单位或者在同一单位缴纳社会保险；</w:t>
      </w:r>
    </w:p>
    <w:p w14:paraId="4EE1FDA2">
      <w:pPr>
        <w:ind w:firstLine="800" w:firstLineChars="400"/>
        <w:rPr>
          <w:rFonts w:hint="eastAsia" w:ascii="宋体" w:hAnsi="宋体"/>
          <w:color w:val="auto"/>
          <w:sz w:val="20"/>
          <w:szCs w:val="20"/>
        </w:rPr>
      </w:pPr>
      <w:r>
        <w:rPr>
          <w:rFonts w:hint="eastAsia" w:ascii="宋体" w:hAnsi="宋体"/>
          <w:color w:val="auto"/>
          <w:sz w:val="20"/>
          <w:szCs w:val="20"/>
        </w:rPr>
        <w:t>3.不同投标供应商的投标文件由同一单位或者同一人编制，或者由同一人分阶段参与编制的；</w:t>
      </w:r>
    </w:p>
    <w:p w14:paraId="259C478B">
      <w:pPr>
        <w:ind w:firstLine="800" w:firstLineChars="400"/>
        <w:rPr>
          <w:rFonts w:hint="eastAsia" w:ascii="宋体" w:hAnsi="宋体"/>
          <w:color w:val="auto"/>
          <w:sz w:val="20"/>
          <w:szCs w:val="20"/>
        </w:rPr>
      </w:pPr>
      <w:r>
        <w:rPr>
          <w:rFonts w:hint="eastAsia" w:ascii="宋体" w:hAnsi="宋体"/>
          <w:color w:val="auto"/>
          <w:sz w:val="20"/>
          <w:szCs w:val="20"/>
        </w:rPr>
        <w:t>4.不同投标供应商的投标文件或部分投标文件相互混装；</w:t>
      </w:r>
    </w:p>
    <w:p w14:paraId="6F4AA7F4">
      <w:pPr>
        <w:ind w:firstLine="800" w:firstLineChars="400"/>
        <w:rPr>
          <w:rFonts w:hint="eastAsia" w:ascii="宋体" w:hAnsi="宋体"/>
          <w:color w:val="auto"/>
          <w:sz w:val="20"/>
          <w:szCs w:val="20"/>
        </w:rPr>
      </w:pPr>
      <w:r>
        <w:rPr>
          <w:rFonts w:hint="eastAsia" w:ascii="宋体" w:hAnsi="宋体"/>
          <w:color w:val="auto"/>
          <w:sz w:val="20"/>
          <w:szCs w:val="20"/>
        </w:rPr>
        <w:t>5.不同投标供应商的投标文件内容存在非正常一致；</w:t>
      </w:r>
    </w:p>
    <w:p w14:paraId="032138B1">
      <w:pPr>
        <w:ind w:firstLine="800" w:firstLineChars="400"/>
        <w:rPr>
          <w:rFonts w:hint="eastAsia" w:ascii="宋体" w:hAnsi="宋体"/>
          <w:color w:val="auto"/>
          <w:sz w:val="20"/>
          <w:szCs w:val="20"/>
        </w:rPr>
      </w:pPr>
      <w:r>
        <w:rPr>
          <w:rFonts w:hint="eastAsia" w:ascii="宋体" w:hAnsi="宋体"/>
          <w:color w:val="auto"/>
          <w:sz w:val="20"/>
          <w:szCs w:val="20"/>
        </w:rPr>
        <w:t>6.由同一单位工作人员为两家以上（含两家）供应商进行同一项投标活动的；</w:t>
      </w:r>
    </w:p>
    <w:p w14:paraId="2D928A1C">
      <w:pPr>
        <w:ind w:firstLine="800" w:firstLineChars="400"/>
        <w:rPr>
          <w:rFonts w:hint="eastAsia" w:ascii="宋体" w:hAnsi="宋体"/>
          <w:color w:val="auto"/>
          <w:sz w:val="20"/>
          <w:szCs w:val="20"/>
        </w:rPr>
      </w:pPr>
      <w:r>
        <w:rPr>
          <w:rFonts w:hint="eastAsia" w:ascii="宋体" w:hAnsi="宋体"/>
          <w:color w:val="auto"/>
          <w:sz w:val="20"/>
          <w:szCs w:val="20"/>
        </w:rPr>
        <w:t>7.主管部门依照法律、法规认定的其他情形。</w:t>
      </w:r>
    </w:p>
    <w:p w14:paraId="1041FED5">
      <w:pPr>
        <w:ind w:firstLine="400" w:firstLineChars="200"/>
        <w:rPr>
          <w:rFonts w:hint="eastAsia" w:ascii="宋体" w:hAnsi="宋体"/>
          <w:color w:val="auto"/>
          <w:sz w:val="20"/>
          <w:szCs w:val="20"/>
        </w:rPr>
      </w:pPr>
      <w:r>
        <w:rPr>
          <w:rFonts w:hint="eastAsia" w:ascii="宋体" w:hAnsi="宋体"/>
          <w:color w:val="auto"/>
          <w:sz w:val="20"/>
          <w:szCs w:val="20"/>
        </w:rPr>
        <w:t>（六）恶意投诉的；</w:t>
      </w:r>
    </w:p>
    <w:p w14:paraId="14F9B4D1">
      <w:pPr>
        <w:ind w:firstLine="400" w:firstLineChars="200"/>
        <w:rPr>
          <w:rFonts w:hint="eastAsia" w:ascii="宋体" w:hAnsi="宋体"/>
          <w:color w:val="auto"/>
          <w:sz w:val="20"/>
          <w:szCs w:val="20"/>
        </w:rPr>
      </w:pPr>
      <w:r>
        <w:rPr>
          <w:rFonts w:hint="eastAsia" w:ascii="宋体" w:hAnsi="宋体"/>
          <w:color w:val="auto"/>
          <w:sz w:val="20"/>
          <w:szCs w:val="20"/>
        </w:rPr>
        <w:t>（七）向采购项目相关人行贿或者提供其他不当利益的；</w:t>
      </w:r>
    </w:p>
    <w:p w14:paraId="0CD6CA61">
      <w:pPr>
        <w:ind w:firstLine="400" w:firstLineChars="200"/>
        <w:rPr>
          <w:rFonts w:hint="eastAsia" w:ascii="宋体" w:hAnsi="宋体"/>
          <w:color w:val="auto"/>
          <w:sz w:val="20"/>
          <w:szCs w:val="20"/>
        </w:rPr>
      </w:pPr>
      <w:r>
        <w:rPr>
          <w:rFonts w:hint="eastAsia" w:ascii="宋体" w:hAnsi="宋体"/>
          <w:color w:val="auto"/>
          <w:sz w:val="20"/>
          <w:szCs w:val="20"/>
        </w:rPr>
        <w:t>（八）阻碍、抗拒主管部门监督检查的；</w:t>
      </w:r>
    </w:p>
    <w:p w14:paraId="38D50369">
      <w:pPr>
        <w:ind w:firstLine="402" w:firstLineChars="200"/>
        <w:rPr>
          <w:rFonts w:hint="eastAsia" w:ascii="宋体" w:hAnsi="宋体"/>
          <w:b/>
          <w:bCs/>
          <w:color w:val="auto"/>
          <w:sz w:val="20"/>
          <w:szCs w:val="20"/>
        </w:rPr>
      </w:pPr>
      <w:r>
        <w:rPr>
          <w:rFonts w:hint="eastAsia" w:ascii="宋体" w:hAnsi="宋体"/>
          <w:b/>
          <w:bCs/>
          <w:color w:val="auto"/>
          <w:sz w:val="20"/>
          <w:szCs w:val="20"/>
        </w:rPr>
        <w:t>二、请投标供应商认真阅读《政府采购违法行为风险知悉确认书》，并经企业法人或投标授权代表签字并加盖单位公章后，扫描上传至投标文件一并提交。</w:t>
      </w:r>
    </w:p>
    <w:p w14:paraId="52C5BAC0">
      <w:pPr>
        <w:ind w:firstLine="400" w:firstLineChars="200"/>
        <w:rPr>
          <w:rFonts w:hint="eastAsia" w:ascii="宋体" w:hAnsi="宋体"/>
          <w:color w:val="auto"/>
          <w:sz w:val="20"/>
          <w:szCs w:val="20"/>
        </w:rPr>
      </w:pPr>
      <w:r>
        <w:rPr>
          <w:rFonts w:hint="eastAsia" w:ascii="宋体" w:hAnsi="宋体"/>
          <w:color w:val="auto"/>
          <w:sz w:val="20"/>
          <w:szCs w:val="20"/>
        </w:rPr>
        <w:t>注：该风险知悉确认书用于对供应商违法行为的警示，不作为供应商资格性审查及符合性审查条件。</w:t>
      </w:r>
    </w:p>
    <w:p w14:paraId="18FA8A77">
      <w:pPr>
        <w:pStyle w:val="35"/>
        <w:rPr>
          <w:color w:val="auto"/>
        </w:rPr>
      </w:pPr>
    </w:p>
    <w:p w14:paraId="3B0E7AAF">
      <w:pPr>
        <w:rPr>
          <w:color w:val="auto"/>
        </w:rPr>
      </w:pPr>
    </w:p>
    <w:p w14:paraId="434919DF">
      <w:pPr>
        <w:rPr>
          <w:color w:val="auto"/>
        </w:rPr>
      </w:pPr>
    </w:p>
    <w:p w14:paraId="24F834D9">
      <w:pPr>
        <w:rPr>
          <w:color w:val="auto"/>
        </w:rPr>
      </w:pPr>
    </w:p>
    <w:p w14:paraId="49E3B47B">
      <w:pPr>
        <w:rPr>
          <w:color w:val="auto"/>
        </w:rPr>
      </w:pPr>
    </w:p>
    <w:p w14:paraId="6DB4D1B1">
      <w:pPr>
        <w:rPr>
          <w:color w:val="auto"/>
        </w:rPr>
      </w:pPr>
    </w:p>
    <w:p w14:paraId="448E5981">
      <w:pPr>
        <w:rPr>
          <w:color w:val="auto"/>
        </w:rPr>
      </w:pPr>
    </w:p>
    <w:p w14:paraId="43BCD079">
      <w:pPr>
        <w:pStyle w:val="37"/>
        <w:jc w:val="both"/>
        <w:outlineLvl w:val="1"/>
        <w:rPr>
          <w:rFonts w:hint="eastAsia" w:ascii="黑体" w:hAnsi="黑体" w:eastAsia="黑体"/>
          <w:color w:val="auto"/>
          <w:sz w:val="40"/>
          <w:szCs w:val="40"/>
        </w:rPr>
      </w:pPr>
    </w:p>
    <w:p w14:paraId="55AAA85E">
      <w:pPr>
        <w:pStyle w:val="37"/>
        <w:jc w:val="center"/>
        <w:outlineLvl w:val="1"/>
        <w:rPr>
          <w:rFonts w:hint="eastAsia" w:ascii="黑体" w:hAnsi="黑体" w:eastAsia="黑体"/>
          <w:color w:val="auto"/>
          <w:sz w:val="40"/>
          <w:szCs w:val="40"/>
        </w:rPr>
      </w:pPr>
    </w:p>
    <w:p w14:paraId="0D2A46A4">
      <w:pPr>
        <w:pStyle w:val="37"/>
        <w:jc w:val="center"/>
        <w:outlineLvl w:val="1"/>
        <w:rPr>
          <w:rFonts w:hint="eastAsia" w:ascii="黑体" w:hAnsi="黑体" w:eastAsia="黑体"/>
          <w:color w:val="auto"/>
          <w:sz w:val="40"/>
          <w:szCs w:val="40"/>
        </w:rPr>
      </w:pPr>
      <w:r>
        <w:rPr>
          <w:rFonts w:hint="eastAsia" w:ascii="黑体" w:hAnsi="黑体" w:eastAsia="黑体"/>
          <w:color w:val="auto"/>
          <w:sz w:val="40"/>
          <w:szCs w:val="40"/>
        </w:rPr>
        <w:t>资格性审查表</w:t>
      </w:r>
    </w:p>
    <w:tbl>
      <w:tblPr>
        <w:tblStyle w:val="42"/>
        <w:tblW w:w="507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807"/>
        <w:gridCol w:w="8490"/>
      </w:tblGrid>
      <w:tr w14:paraId="17FE4B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726" w:hRule="atLeast"/>
          <w:jc w:val="center"/>
        </w:trPr>
        <w:tc>
          <w:tcPr>
            <w:tcW w:w="434" w:type="pct"/>
            <w:tcBorders>
              <w:top w:val="single" w:color="000000" w:sz="8" w:space="0"/>
              <w:left w:val="single" w:color="000000" w:sz="8" w:space="0"/>
              <w:bottom w:val="single" w:color="000000" w:sz="8" w:space="0"/>
              <w:right w:val="single" w:color="000000" w:sz="8" w:space="0"/>
            </w:tcBorders>
            <w:shd w:val="clear" w:color="auto" w:fill="DCE6F2"/>
            <w:vAlign w:val="center"/>
          </w:tcPr>
          <w:p w14:paraId="6B5F9724">
            <w:pPr>
              <w:jc w:val="center"/>
              <w:rPr>
                <w:rFonts w:hint="eastAsia" w:ascii="宋体" w:hAnsi="宋体" w:cs="宋体"/>
                <w:color w:val="auto"/>
                <w:sz w:val="28"/>
                <w:szCs w:val="28"/>
              </w:rPr>
            </w:pPr>
            <w:r>
              <w:rPr>
                <w:color w:val="auto"/>
                <w:sz w:val="28"/>
                <w:szCs w:val="28"/>
              </w:rPr>
              <w:t>序号</w:t>
            </w:r>
          </w:p>
        </w:tc>
        <w:tc>
          <w:tcPr>
            <w:tcW w:w="4565" w:type="pct"/>
            <w:tcBorders>
              <w:top w:val="single" w:color="000000" w:sz="8" w:space="0"/>
              <w:left w:val="single" w:color="000000" w:sz="8" w:space="0"/>
              <w:bottom w:val="single" w:color="000000" w:sz="8" w:space="0"/>
              <w:right w:val="single" w:color="000000" w:sz="8" w:space="0"/>
            </w:tcBorders>
            <w:shd w:val="clear" w:color="auto" w:fill="DCE6F2"/>
            <w:vAlign w:val="center"/>
          </w:tcPr>
          <w:p w14:paraId="79F24997">
            <w:pPr>
              <w:jc w:val="center"/>
              <w:rPr>
                <w:rFonts w:hint="eastAsia" w:ascii="宋体" w:hAnsi="宋体" w:cs="宋体"/>
                <w:color w:val="auto"/>
                <w:sz w:val="28"/>
                <w:szCs w:val="28"/>
              </w:rPr>
            </w:pPr>
            <w:r>
              <w:rPr>
                <w:color w:val="auto"/>
                <w:sz w:val="28"/>
                <w:szCs w:val="28"/>
              </w:rPr>
              <w:t>内容</w:t>
            </w:r>
          </w:p>
        </w:tc>
      </w:tr>
      <w:tr w14:paraId="5441757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715" w:hRule="atLeast"/>
          <w:jc w:val="center"/>
        </w:trPr>
        <w:tc>
          <w:tcPr>
            <w:tcW w:w="434" w:type="pct"/>
            <w:tcBorders>
              <w:top w:val="single" w:color="000000" w:sz="8" w:space="0"/>
              <w:left w:val="single" w:color="000000" w:sz="8" w:space="0"/>
              <w:bottom w:val="single" w:color="000000" w:sz="8" w:space="0"/>
              <w:right w:val="single" w:color="000000" w:sz="8" w:space="0"/>
            </w:tcBorders>
          </w:tcPr>
          <w:p w14:paraId="26699E4E">
            <w:pPr>
              <w:pStyle w:val="2"/>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4565" w:type="pct"/>
            <w:tcBorders>
              <w:top w:val="single" w:color="000000" w:sz="8" w:space="0"/>
              <w:left w:val="single" w:color="000000" w:sz="8" w:space="0"/>
              <w:bottom w:val="single" w:color="000000" w:sz="8" w:space="0"/>
              <w:right w:val="single" w:color="000000" w:sz="8" w:space="0"/>
            </w:tcBorders>
          </w:tcPr>
          <w:p w14:paraId="79D82046">
            <w:pPr>
              <w:rPr>
                <w:b/>
                <w:bCs/>
                <w:color w:val="auto"/>
              </w:rPr>
            </w:pPr>
            <w:r>
              <w:rPr>
                <w:rFonts w:hint="eastAsia"/>
                <w:b/>
                <w:bCs/>
                <w:color w:val="auto"/>
              </w:rPr>
              <w:t>具有独立承担民事责任的能力：</w:t>
            </w:r>
          </w:p>
          <w:p w14:paraId="506FD521">
            <w:pPr>
              <w:ind w:firstLine="210" w:firstLineChars="100"/>
              <w:rPr>
                <w:color w:val="auto"/>
              </w:rPr>
            </w:pPr>
            <w:r>
              <w:rPr>
                <w:color w:val="auto"/>
              </w:rPr>
              <w:t>在中华人民共和国境内注册的法人或其他组织或自然人， 投标（响应）时提交有效的营业执照（或事业法人登记证或身份证等相关证明） 副本复印件。</w:t>
            </w:r>
          </w:p>
          <w:p w14:paraId="4D7DF8CC">
            <w:pPr>
              <w:rPr>
                <w:rFonts w:hint="eastAsia" w:ascii="宋体" w:hAnsi="宋体" w:cs="宋体"/>
                <w:color w:val="auto"/>
              </w:rPr>
            </w:pPr>
            <w:r>
              <w:rPr>
                <w:rFonts w:hint="eastAsia"/>
                <w:color w:val="auto"/>
              </w:rPr>
              <w:t>备注：分支机构投标的（仅限银行、保险、石油石化、电力、电信 、邮政、铁路等特殊行业），须提供总公司和分公司营业执照扫描件，总公司出具给分支机构的授权书。</w:t>
            </w:r>
          </w:p>
        </w:tc>
      </w:tr>
      <w:tr w14:paraId="1BE2ABE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56" w:hRule="atLeast"/>
          <w:jc w:val="center"/>
        </w:trPr>
        <w:tc>
          <w:tcPr>
            <w:tcW w:w="434" w:type="pct"/>
            <w:tcBorders>
              <w:top w:val="single" w:color="000000" w:sz="8" w:space="0"/>
              <w:left w:val="single" w:color="000000" w:sz="8" w:space="0"/>
              <w:bottom w:val="single" w:color="000000" w:sz="8" w:space="0"/>
              <w:right w:val="single" w:color="000000" w:sz="8" w:space="0"/>
            </w:tcBorders>
          </w:tcPr>
          <w:p w14:paraId="76929C8D">
            <w:pPr>
              <w:jc w:val="center"/>
              <w:rPr>
                <w:rFonts w:hint="eastAsia" w:ascii="宋体" w:hAnsi="宋体" w:cs="宋体"/>
                <w:color w:val="auto"/>
              </w:rPr>
            </w:pPr>
            <w:r>
              <w:rPr>
                <w:rFonts w:hint="eastAsia" w:ascii="宋体" w:hAnsi="宋体" w:cs="宋体"/>
                <w:color w:val="auto"/>
              </w:rPr>
              <w:t>2</w:t>
            </w:r>
          </w:p>
        </w:tc>
        <w:tc>
          <w:tcPr>
            <w:tcW w:w="4565" w:type="pct"/>
            <w:tcBorders>
              <w:top w:val="single" w:color="000000" w:sz="8" w:space="0"/>
              <w:left w:val="single" w:color="000000" w:sz="8" w:space="0"/>
              <w:bottom w:val="single" w:color="000000" w:sz="8" w:space="0"/>
              <w:right w:val="single" w:color="000000" w:sz="8" w:space="0"/>
            </w:tcBorders>
            <w:vAlign w:val="center"/>
          </w:tcPr>
          <w:p w14:paraId="2347172E">
            <w:pPr>
              <w:rPr>
                <w:rFonts w:hint="eastAsia" w:ascii="宋体" w:hAnsi="宋体" w:cs="宋体"/>
                <w:b/>
                <w:bCs/>
                <w:color w:val="auto"/>
                <w:highlight w:val="none"/>
              </w:rPr>
            </w:pPr>
            <w:r>
              <w:rPr>
                <w:rFonts w:hint="eastAsia" w:ascii="宋体" w:hAnsi="宋体" w:cs="宋体"/>
                <w:b/>
                <w:bCs/>
                <w:color w:val="auto"/>
              </w:rPr>
              <w:t>具有健全的财务</w:t>
            </w:r>
            <w:r>
              <w:rPr>
                <w:rFonts w:hint="eastAsia" w:ascii="宋体" w:hAnsi="宋体" w:cs="宋体"/>
                <w:b/>
                <w:bCs/>
                <w:color w:val="auto"/>
                <w:highlight w:val="none"/>
              </w:rPr>
              <w:t>会计制度：</w:t>
            </w:r>
          </w:p>
          <w:p w14:paraId="4CAD1460">
            <w:pPr>
              <w:ind w:firstLine="210" w:firstLineChars="100"/>
              <w:rPr>
                <w:rFonts w:hint="eastAsia" w:ascii="宋体" w:hAnsi="宋体" w:cs="宋体"/>
                <w:iCs/>
                <w:color w:val="auto"/>
              </w:rPr>
            </w:pPr>
            <w:r>
              <w:rPr>
                <w:rFonts w:hint="eastAsia" w:ascii="宋体" w:hAnsi="宋体" w:cs="宋体"/>
                <w:color w:val="auto"/>
                <w:highlight w:val="none"/>
              </w:rPr>
              <w:t>投标供应商须提供2025年度财务状况报告（资产负债表、利润表）或财务审计报告，成立不满一年不需提供；</w:t>
            </w:r>
          </w:p>
        </w:tc>
      </w:tr>
      <w:tr w14:paraId="7758BF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385" w:hRule="atLeast"/>
          <w:jc w:val="center"/>
        </w:trPr>
        <w:tc>
          <w:tcPr>
            <w:tcW w:w="434" w:type="pct"/>
            <w:tcBorders>
              <w:top w:val="single" w:color="000000" w:sz="8" w:space="0"/>
              <w:left w:val="single" w:color="000000" w:sz="8" w:space="0"/>
              <w:bottom w:val="single" w:color="000000" w:sz="8" w:space="0"/>
              <w:right w:val="single" w:color="000000" w:sz="8" w:space="0"/>
            </w:tcBorders>
          </w:tcPr>
          <w:p w14:paraId="17B0C28E">
            <w:pPr>
              <w:jc w:val="center"/>
              <w:rPr>
                <w:rFonts w:hint="eastAsia" w:ascii="宋体" w:hAnsi="宋体" w:cs="宋体"/>
                <w:color w:val="auto"/>
              </w:rPr>
            </w:pPr>
          </w:p>
          <w:p w14:paraId="7170528D">
            <w:pPr>
              <w:jc w:val="center"/>
              <w:rPr>
                <w:rFonts w:hint="eastAsia" w:ascii="宋体" w:hAnsi="宋体" w:cs="宋体"/>
                <w:color w:val="auto"/>
              </w:rPr>
            </w:pPr>
            <w:r>
              <w:rPr>
                <w:rFonts w:hint="eastAsia" w:ascii="宋体" w:hAnsi="宋体" w:cs="宋体"/>
                <w:color w:val="auto"/>
              </w:rPr>
              <w:t>3</w:t>
            </w:r>
          </w:p>
        </w:tc>
        <w:tc>
          <w:tcPr>
            <w:tcW w:w="4565" w:type="pct"/>
            <w:tcBorders>
              <w:top w:val="single" w:color="000000" w:sz="8" w:space="0"/>
              <w:left w:val="single" w:color="000000" w:sz="8" w:space="0"/>
              <w:bottom w:val="single" w:color="000000" w:sz="8" w:space="0"/>
              <w:right w:val="single" w:color="000000" w:sz="8" w:space="0"/>
            </w:tcBorders>
            <w:vAlign w:val="center"/>
          </w:tcPr>
          <w:p w14:paraId="438B1F70">
            <w:pPr>
              <w:rPr>
                <w:rFonts w:hint="eastAsia" w:ascii="宋体" w:hAnsi="宋体" w:cs="宋体"/>
                <w:b/>
                <w:bCs/>
                <w:iCs/>
                <w:color w:val="auto"/>
              </w:rPr>
            </w:pPr>
            <w:r>
              <w:rPr>
                <w:rFonts w:hint="eastAsia" w:ascii="宋体" w:hAnsi="宋体" w:cs="宋体"/>
                <w:b/>
                <w:bCs/>
                <w:iCs/>
                <w:color w:val="auto"/>
              </w:rPr>
              <w:t>具有依法缴纳税收和社会保障资金的良好记录：</w:t>
            </w:r>
          </w:p>
          <w:p w14:paraId="6024BD93">
            <w:pPr>
              <w:ind w:firstLine="210" w:firstLineChars="100"/>
              <w:rPr>
                <w:rFonts w:hint="eastAsia" w:ascii="宋体" w:hAnsi="宋体" w:cs="宋体"/>
                <w:iCs/>
                <w:color w:val="auto"/>
                <w:highlight w:val="none"/>
              </w:rPr>
            </w:pPr>
            <w:r>
              <w:rPr>
                <w:rFonts w:hint="eastAsia" w:ascii="宋体" w:hAnsi="宋体" w:cs="宋体"/>
                <w:iCs/>
                <w:color w:val="auto"/>
                <w:highlight w:val="none"/>
                <w:lang w:val="en-US" w:eastAsia="zh-CN"/>
              </w:rPr>
              <w:t>投标供应商须</w:t>
            </w:r>
            <w:r>
              <w:rPr>
                <w:rFonts w:hint="eastAsia" w:ascii="宋体" w:hAnsi="宋体" w:cs="宋体"/>
                <w:iCs/>
                <w:color w:val="auto"/>
                <w:highlight w:val="none"/>
              </w:rPr>
              <w:t>提供</w:t>
            </w:r>
            <w:r>
              <w:rPr>
                <w:rFonts w:hint="eastAsia" w:ascii="宋体" w:hAnsi="宋体" w:cs="宋体"/>
                <w:iCs/>
                <w:color w:val="auto"/>
                <w:highlight w:val="none"/>
                <w:lang w:val="en-US" w:eastAsia="zh-CN"/>
              </w:rPr>
              <w:t>开标时间</w:t>
            </w:r>
            <w:r>
              <w:rPr>
                <w:rFonts w:hint="eastAsia" w:ascii="宋体" w:hAnsi="宋体" w:cs="宋体"/>
                <w:iCs/>
                <w:color w:val="auto"/>
                <w:highlight w:val="none"/>
              </w:rPr>
              <w:t>截止前6个月内至少三个月依法缴纳</w:t>
            </w:r>
            <w:r>
              <w:rPr>
                <w:rFonts w:hint="eastAsia" w:ascii="宋体" w:hAnsi="宋体" w:cs="宋体"/>
                <w:iCs/>
                <w:color w:val="auto"/>
                <w:highlight w:val="none"/>
                <w:lang w:eastAsia="zh-CN"/>
              </w:rPr>
              <w:t>：</w:t>
            </w:r>
            <w:r>
              <w:rPr>
                <w:rFonts w:hint="eastAsia" w:ascii="宋体" w:hAnsi="宋体" w:cs="宋体"/>
                <w:iCs/>
                <w:color w:val="auto"/>
                <w:lang w:val="en-US" w:eastAsia="zh-CN"/>
              </w:rPr>
              <w:t>1、</w:t>
            </w:r>
            <w:r>
              <w:rPr>
                <w:rFonts w:hint="eastAsia" w:ascii="宋体" w:hAnsi="宋体" w:cs="宋体"/>
                <w:iCs/>
                <w:color w:val="auto"/>
              </w:rPr>
              <w:t>税收</w:t>
            </w:r>
            <w:r>
              <w:rPr>
                <w:rFonts w:hint="eastAsia" w:ascii="宋体" w:hAnsi="宋体" w:cs="宋体"/>
                <w:iCs/>
                <w:color w:val="auto"/>
                <w:lang w:val="en-US" w:eastAsia="zh-CN"/>
              </w:rPr>
              <w:t>证明，2、</w:t>
            </w:r>
            <w:r>
              <w:rPr>
                <w:rFonts w:hint="eastAsia" w:ascii="宋体" w:hAnsi="宋体" w:cs="宋体"/>
                <w:iCs/>
                <w:color w:val="auto"/>
              </w:rPr>
              <w:t>社会</w:t>
            </w:r>
            <w:r>
              <w:rPr>
                <w:rFonts w:hint="eastAsia" w:ascii="宋体" w:hAnsi="宋体" w:cs="宋体"/>
                <w:iCs/>
                <w:color w:val="auto"/>
                <w:lang w:val="en-US" w:eastAsia="zh-CN"/>
              </w:rPr>
              <w:t>保险单位缴纳</w:t>
            </w:r>
            <w:r>
              <w:rPr>
                <w:rFonts w:hint="eastAsia" w:ascii="宋体" w:hAnsi="宋体" w:cs="宋体"/>
                <w:iCs/>
                <w:color w:val="auto"/>
              </w:rPr>
              <w:t>证明材料。</w:t>
            </w:r>
          </w:p>
          <w:p w14:paraId="708F01F3">
            <w:pPr>
              <w:rPr>
                <w:rFonts w:hint="eastAsia" w:ascii="宋体" w:hAnsi="宋体" w:cs="宋体"/>
                <w:iCs/>
                <w:color w:val="auto"/>
              </w:rPr>
            </w:pPr>
            <w:r>
              <w:rPr>
                <w:rFonts w:hint="eastAsia" w:ascii="宋体" w:hAnsi="宋体" w:cs="宋体"/>
                <w:b w:val="0"/>
                <w:bCs w:val="0"/>
                <w:iCs/>
                <w:color w:val="auto"/>
                <w:highlight w:val="none"/>
                <w:lang w:val="en-US" w:eastAsia="zh-CN"/>
              </w:rPr>
              <w:t>备注：</w:t>
            </w:r>
            <w:r>
              <w:rPr>
                <w:rFonts w:hint="eastAsia" w:ascii="宋体" w:hAnsi="宋体" w:cs="宋体"/>
                <w:iCs/>
                <w:color w:val="auto"/>
                <w:highlight w:val="none"/>
              </w:rPr>
              <w:t>依法享受缓缴、免缴税收、社会保障资金的</w:t>
            </w:r>
            <w:r>
              <w:rPr>
                <w:rFonts w:hint="eastAsia" w:ascii="宋体" w:hAnsi="宋体" w:cs="宋体"/>
                <w:iCs/>
                <w:color w:val="auto"/>
                <w:highlight w:val="none"/>
                <w:lang w:val="en-US" w:eastAsia="zh-CN"/>
              </w:rPr>
              <w:t>需</w:t>
            </w:r>
            <w:r>
              <w:rPr>
                <w:rFonts w:hint="eastAsia" w:ascii="宋体" w:hAnsi="宋体" w:cs="宋体"/>
                <w:iCs/>
                <w:color w:val="auto"/>
                <w:highlight w:val="none"/>
              </w:rPr>
              <w:t>提供证明材料；</w:t>
            </w:r>
          </w:p>
        </w:tc>
      </w:tr>
      <w:tr w14:paraId="06CDE4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715" w:hRule="atLeast"/>
          <w:jc w:val="center"/>
        </w:trPr>
        <w:tc>
          <w:tcPr>
            <w:tcW w:w="434" w:type="pct"/>
            <w:tcBorders>
              <w:top w:val="single" w:color="000000" w:sz="8" w:space="0"/>
              <w:left w:val="single" w:color="000000" w:sz="8" w:space="0"/>
              <w:bottom w:val="single" w:color="000000" w:sz="8" w:space="0"/>
              <w:right w:val="single" w:color="000000" w:sz="8" w:space="0"/>
            </w:tcBorders>
          </w:tcPr>
          <w:p w14:paraId="5380C6F1">
            <w:pPr>
              <w:jc w:val="center"/>
              <w:rPr>
                <w:rFonts w:hint="eastAsia" w:ascii="宋体" w:hAnsi="宋体" w:cs="宋体"/>
                <w:color w:val="auto"/>
              </w:rPr>
            </w:pPr>
          </w:p>
          <w:p w14:paraId="4920F81D">
            <w:pPr>
              <w:jc w:val="center"/>
              <w:rPr>
                <w:rFonts w:hint="eastAsia" w:ascii="宋体" w:hAnsi="宋体" w:cs="宋体"/>
                <w:color w:val="auto"/>
              </w:rPr>
            </w:pPr>
            <w:r>
              <w:rPr>
                <w:rFonts w:hint="eastAsia" w:ascii="宋体" w:hAnsi="宋体" w:cs="宋体"/>
                <w:color w:val="auto"/>
              </w:rPr>
              <w:t>4</w:t>
            </w:r>
          </w:p>
        </w:tc>
        <w:tc>
          <w:tcPr>
            <w:tcW w:w="4565" w:type="pct"/>
            <w:tcBorders>
              <w:top w:val="single" w:color="000000" w:sz="8" w:space="0"/>
              <w:left w:val="single" w:color="000000" w:sz="8" w:space="0"/>
              <w:bottom w:val="single" w:color="000000" w:sz="8" w:space="0"/>
              <w:right w:val="single" w:color="000000" w:sz="8" w:space="0"/>
            </w:tcBorders>
            <w:vAlign w:val="center"/>
          </w:tcPr>
          <w:p w14:paraId="7BDB9D0B">
            <w:pPr>
              <w:rPr>
                <w:rFonts w:hint="eastAsia" w:ascii="宋体" w:hAnsi="宋体" w:cs="宋体"/>
                <w:b/>
                <w:bCs/>
                <w:color w:val="auto"/>
              </w:rPr>
            </w:pPr>
            <w:r>
              <w:rPr>
                <w:rFonts w:hint="eastAsia" w:ascii="宋体" w:hAnsi="宋体" w:cs="宋体"/>
                <w:b/>
                <w:bCs/>
                <w:color w:val="auto"/>
              </w:rPr>
              <w:t>参加政府采购活动前三年内，在经营活动中没有重大违法记录：</w:t>
            </w:r>
          </w:p>
          <w:p w14:paraId="57A91396">
            <w:pPr>
              <w:ind w:firstLine="210" w:firstLineChars="100"/>
              <w:rPr>
                <w:rFonts w:hint="eastAsia" w:ascii="宋体" w:hAnsi="宋体" w:cs="宋体"/>
                <w:iCs/>
                <w:color w:val="auto"/>
              </w:rPr>
            </w:pPr>
            <w:r>
              <w:rPr>
                <w:rFonts w:hint="eastAsia" w:ascii="宋体" w:hAnsi="宋体" w:cs="宋体"/>
                <w:color w:val="auto"/>
                <w:lang w:val="en-US" w:eastAsia="zh-CN"/>
              </w:rPr>
              <w:t>1.</w:t>
            </w:r>
            <w:r>
              <w:rPr>
                <w:rFonts w:hint="eastAsia" w:ascii="宋体" w:hAnsi="宋体" w:cs="宋体"/>
                <w:color w:val="auto"/>
              </w:rPr>
              <w:t>投标供应商须提供参加政府采购活动前三年内，在经营活动中没有重大违法记录的书面声明（重大违法记录是指供应商因违法经营受到刑事处罚或者责令停产停业、吊销许可证或者执照、较大数额罚款等行政处罚）；2.未被列入失信被执行人、重大税收违法案件当事人名单、政府采购严重违法失信行为记录名单（信用中国网站、政府采购网）。</w:t>
            </w:r>
          </w:p>
        </w:tc>
      </w:tr>
      <w:tr w14:paraId="402A8A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726" w:hRule="atLeast"/>
          <w:jc w:val="center"/>
        </w:trPr>
        <w:tc>
          <w:tcPr>
            <w:tcW w:w="434" w:type="pct"/>
            <w:tcBorders>
              <w:top w:val="single" w:color="000000" w:sz="8" w:space="0"/>
              <w:left w:val="single" w:color="000000" w:sz="8" w:space="0"/>
              <w:bottom w:val="single" w:color="000000" w:sz="8" w:space="0"/>
              <w:right w:val="single" w:color="000000" w:sz="8" w:space="0"/>
            </w:tcBorders>
          </w:tcPr>
          <w:p w14:paraId="427BA6BB">
            <w:pPr>
              <w:jc w:val="center"/>
              <w:rPr>
                <w:rFonts w:hint="eastAsia" w:ascii="宋体" w:hAnsi="宋体" w:cs="宋体"/>
                <w:color w:val="auto"/>
              </w:rPr>
            </w:pPr>
          </w:p>
          <w:p w14:paraId="439803CF">
            <w:pPr>
              <w:jc w:val="center"/>
              <w:rPr>
                <w:rFonts w:hint="eastAsia" w:ascii="宋体" w:hAnsi="宋体" w:cs="宋体"/>
                <w:color w:val="auto"/>
              </w:rPr>
            </w:pPr>
            <w:r>
              <w:rPr>
                <w:rFonts w:hint="eastAsia" w:ascii="宋体" w:hAnsi="宋体" w:cs="宋体"/>
                <w:color w:val="auto"/>
              </w:rPr>
              <w:t>5</w:t>
            </w:r>
          </w:p>
        </w:tc>
        <w:tc>
          <w:tcPr>
            <w:tcW w:w="4565" w:type="pct"/>
            <w:tcBorders>
              <w:top w:val="single" w:color="000000" w:sz="8" w:space="0"/>
              <w:left w:val="single" w:color="000000" w:sz="8" w:space="0"/>
              <w:bottom w:val="single" w:color="000000" w:sz="8" w:space="0"/>
              <w:right w:val="single" w:color="000000" w:sz="8" w:space="0"/>
            </w:tcBorders>
          </w:tcPr>
          <w:p w14:paraId="4A8BAD8B">
            <w:pPr>
              <w:pStyle w:val="109"/>
              <w:widowControl w:val="0"/>
              <w:tabs>
                <w:tab w:val="left" w:pos="1170"/>
              </w:tabs>
              <w:ind w:left="0"/>
              <w:jc w:val="both"/>
              <w:rPr>
                <w:rFonts w:hint="eastAsia" w:ascii="宋体" w:hAnsi="宋体" w:cs="宋体"/>
                <w:b/>
                <w:bCs/>
                <w:iCs/>
                <w:color w:val="auto"/>
                <w:kern w:val="2"/>
                <w:sz w:val="21"/>
                <w:szCs w:val="21"/>
                <w:lang w:eastAsia="zh-CN" w:bidi="ar-SA"/>
              </w:rPr>
            </w:pPr>
          </w:p>
          <w:p w14:paraId="2271C055">
            <w:pPr>
              <w:pStyle w:val="109"/>
              <w:widowControl w:val="0"/>
              <w:tabs>
                <w:tab w:val="left" w:pos="1170"/>
              </w:tabs>
              <w:ind w:left="0"/>
              <w:jc w:val="both"/>
              <w:rPr>
                <w:color w:val="auto"/>
              </w:rPr>
            </w:pPr>
            <w:r>
              <w:rPr>
                <w:rFonts w:hint="eastAsia" w:ascii="宋体" w:hAnsi="宋体" w:cs="宋体"/>
                <w:b/>
                <w:bCs/>
                <w:iCs/>
                <w:color w:val="auto"/>
                <w:kern w:val="2"/>
                <w:sz w:val="21"/>
                <w:szCs w:val="21"/>
                <w:lang w:eastAsia="zh-CN" w:bidi="ar-SA"/>
              </w:rPr>
              <w:t>本项目特定资格要求证明文件：</w:t>
            </w:r>
            <w:r>
              <w:rPr>
                <w:rFonts w:hint="eastAsia" w:ascii="宋体" w:hAnsi="宋体" w:eastAsia="宋体" w:cs="宋体"/>
                <w:color w:val="auto"/>
                <w:sz w:val="21"/>
                <w:szCs w:val="21"/>
                <w:lang w:bidi="ar"/>
              </w:rPr>
              <w:t>无</w:t>
            </w:r>
          </w:p>
        </w:tc>
      </w:tr>
      <w:tr w14:paraId="04379A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056" w:hRule="atLeast"/>
          <w:jc w:val="center"/>
        </w:trPr>
        <w:tc>
          <w:tcPr>
            <w:tcW w:w="434" w:type="pct"/>
            <w:tcBorders>
              <w:top w:val="single" w:color="000000" w:sz="8" w:space="0"/>
              <w:left w:val="single" w:color="000000" w:sz="8" w:space="0"/>
              <w:bottom w:val="single" w:color="000000" w:sz="8" w:space="0"/>
              <w:right w:val="single" w:color="000000" w:sz="8" w:space="0"/>
            </w:tcBorders>
          </w:tcPr>
          <w:p w14:paraId="22EA7CE2">
            <w:pPr>
              <w:jc w:val="center"/>
              <w:rPr>
                <w:rFonts w:hint="eastAsia" w:ascii="宋体" w:hAnsi="宋体" w:cs="宋体"/>
                <w:color w:val="auto"/>
              </w:rPr>
            </w:pPr>
          </w:p>
          <w:p w14:paraId="1D64246D">
            <w:pPr>
              <w:jc w:val="center"/>
              <w:rPr>
                <w:rFonts w:hint="eastAsia" w:ascii="宋体" w:hAnsi="宋体" w:cs="宋体"/>
                <w:color w:val="auto"/>
              </w:rPr>
            </w:pPr>
            <w:r>
              <w:rPr>
                <w:rFonts w:hint="eastAsia" w:ascii="宋体" w:hAnsi="宋体" w:cs="宋体"/>
                <w:color w:val="auto"/>
              </w:rPr>
              <w:t>6</w:t>
            </w:r>
          </w:p>
        </w:tc>
        <w:tc>
          <w:tcPr>
            <w:tcW w:w="4565" w:type="pct"/>
            <w:tcBorders>
              <w:top w:val="single" w:color="000000" w:sz="8" w:space="0"/>
              <w:left w:val="single" w:color="000000" w:sz="8" w:space="0"/>
              <w:bottom w:val="single" w:color="000000" w:sz="8" w:space="0"/>
              <w:right w:val="single" w:color="000000" w:sz="8" w:space="0"/>
            </w:tcBorders>
          </w:tcPr>
          <w:p w14:paraId="56EB78D8">
            <w:pPr>
              <w:widowControl/>
              <w:jc w:val="left"/>
              <w:textAlignment w:val="center"/>
              <w:rPr>
                <w:rFonts w:hint="eastAsia" w:ascii="宋体" w:hAnsi="宋体" w:cs="宋体"/>
                <w:b/>
                <w:bCs/>
                <w:color w:val="auto"/>
                <w:kern w:val="0"/>
                <w:lang w:bidi="ar"/>
              </w:rPr>
            </w:pPr>
            <w:r>
              <w:rPr>
                <w:rFonts w:hint="eastAsia" w:ascii="宋体" w:hAnsi="宋体" w:cs="宋体"/>
                <w:b/>
                <w:bCs/>
                <w:color w:val="auto"/>
                <w:kern w:val="0"/>
                <w:lang w:bidi="ar"/>
              </w:rPr>
              <w:t>落实政府采购政策：</w:t>
            </w:r>
          </w:p>
          <w:p w14:paraId="6C3F7E60">
            <w:pPr>
              <w:rPr>
                <w:color w:val="auto"/>
              </w:rPr>
            </w:pPr>
            <w:r>
              <w:rPr>
                <w:rFonts w:hint="eastAsia" w:ascii="宋体" w:hAnsi="宋体" w:cs="宋体"/>
                <w:color w:val="auto"/>
                <w:lang w:bidi="ar"/>
              </w:rPr>
              <w:t>本项目</w:t>
            </w:r>
            <w:r>
              <w:rPr>
                <w:rFonts w:ascii="宋体" w:hAnsi="宋体" w:cs="宋体"/>
                <w:color w:val="auto"/>
                <w:lang w:bidi="ar"/>
              </w:rPr>
              <w:t>不专门</w:t>
            </w:r>
            <w:r>
              <w:rPr>
                <w:rFonts w:hint="eastAsia" w:ascii="宋体" w:hAnsi="宋体" w:cs="宋体"/>
                <w:color w:val="auto"/>
                <w:lang w:bidi="ar"/>
              </w:rPr>
              <w:t>面向中小企业，供应商所投全部货物标的由小微企业制造的，须提供 《中小企业声明函（货物）》并符合填报要求，可享受 10%的价格扣除优惠；</w:t>
            </w:r>
          </w:p>
        </w:tc>
      </w:tr>
      <w:tr w14:paraId="5F3883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425" w:hRule="atLeast"/>
          <w:jc w:val="center"/>
        </w:trPr>
        <w:tc>
          <w:tcPr>
            <w:tcW w:w="434" w:type="pct"/>
            <w:tcBorders>
              <w:top w:val="single" w:color="000000" w:sz="8" w:space="0"/>
              <w:left w:val="single" w:color="000000" w:sz="8" w:space="0"/>
              <w:bottom w:val="single" w:color="000000" w:sz="8" w:space="0"/>
              <w:right w:val="single" w:color="000000" w:sz="8" w:space="0"/>
            </w:tcBorders>
          </w:tcPr>
          <w:p w14:paraId="4DF51A68">
            <w:pPr>
              <w:jc w:val="center"/>
              <w:rPr>
                <w:rFonts w:hint="eastAsia" w:ascii="宋体" w:hAnsi="宋体" w:cs="宋体"/>
                <w:color w:val="auto"/>
              </w:rPr>
            </w:pPr>
            <w:r>
              <w:rPr>
                <w:rFonts w:hint="eastAsia" w:ascii="宋体" w:hAnsi="宋体" w:cs="宋体"/>
                <w:color w:val="auto"/>
              </w:rPr>
              <w:t>7</w:t>
            </w:r>
          </w:p>
        </w:tc>
        <w:tc>
          <w:tcPr>
            <w:tcW w:w="4565" w:type="pct"/>
            <w:tcBorders>
              <w:top w:val="single" w:color="000000" w:sz="8" w:space="0"/>
              <w:left w:val="single" w:color="000000" w:sz="8" w:space="0"/>
              <w:bottom w:val="single" w:color="000000" w:sz="8" w:space="0"/>
              <w:right w:val="single" w:color="000000" w:sz="8" w:space="0"/>
            </w:tcBorders>
          </w:tcPr>
          <w:p w14:paraId="51FCFAB6">
            <w:pPr>
              <w:rPr>
                <w:rFonts w:hint="eastAsia" w:ascii="宋体" w:hAnsi="宋体" w:cs="宋体"/>
                <w:iCs/>
                <w:color w:val="auto"/>
              </w:rPr>
            </w:pPr>
            <w:r>
              <w:rPr>
                <w:rFonts w:hint="eastAsia" w:ascii="宋体" w:hAnsi="宋体" w:cs="宋体"/>
                <w:iCs/>
                <w:color w:val="auto"/>
              </w:rPr>
              <w:t>法人授权委托书（附件一、附件二）；</w:t>
            </w:r>
          </w:p>
        </w:tc>
      </w:tr>
      <w:tr w14:paraId="3E9C36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749" w:hRule="atLeast"/>
          <w:jc w:val="center"/>
        </w:trPr>
        <w:tc>
          <w:tcPr>
            <w:tcW w:w="434" w:type="pct"/>
            <w:tcBorders>
              <w:top w:val="single" w:color="000000" w:sz="8" w:space="0"/>
              <w:left w:val="single" w:color="000000" w:sz="8" w:space="0"/>
              <w:bottom w:val="single" w:color="000000" w:sz="8" w:space="0"/>
              <w:right w:val="single" w:color="000000" w:sz="8" w:space="0"/>
            </w:tcBorders>
          </w:tcPr>
          <w:p w14:paraId="238E2D25">
            <w:pPr>
              <w:jc w:val="center"/>
              <w:rPr>
                <w:rFonts w:hint="eastAsia" w:ascii="宋体" w:hAnsi="宋体" w:cs="宋体"/>
                <w:color w:val="auto"/>
              </w:rPr>
            </w:pPr>
            <w:r>
              <w:rPr>
                <w:rFonts w:hint="eastAsia" w:ascii="宋体" w:hAnsi="宋体" w:cs="宋体"/>
                <w:color w:val="auto"/>
              </w:rPr>
              <w:t>8</w:t>
            </w:r>
          </w:p>
        </w:tc>
        <w:tc>
          <w:tcPr>
            <w:tcW w:w="4565" w:type="pct"/>
            <w:tcBorders>
              <w:top w:val="single" w:color="000000" w:sz="8" w:space="0"/>
              <w:left w:val="single" w:color="000000" w:sz="8" w:space="0"/>
              <w:bottom w:val="single" w:color="000000" w:sz="8" w:space="0"/>
              <w:right w:val="single" w:color="000000" w:sz="8" w:space="0"/>
            </w:tcBorders>
          </w:tcPr>
          <w:p w14:paraId="507AA809">
            <w:pPr>
              <w:rPr>
                <w:rFonts w:hint="eastAsia" w:ascii="宋体" w:hAnsi="宋体" w:cs="宋体"/>
                <w:color w:val="auto"/>
                <w:kern w:val="0"/>
              </w:rPr>
            </w:pPr>
            <w:r>
              <w:rPr>
                <w:rFonts w:hint="eastAsia" w:ascii="宋体" w:hAnsi="宋体" w:cs="宋体"/>
                <w:color w:val="auto"/>
              </w:rPr>
              <w:t>是否按时足额的缴纳投标保证金或投标保函（需提供投标保证金缴纳凭证/保函且加盖公章）</w:t>
            </w:r>
          </w:p>
        </w:tc>
      </w:tr>
    </w:tbl>
    <w:p w14:paraId="7F4DF60C">
      <w:pPr>
        <w:rPr>
          <w:color w:val="auto"/>
        </w:rPr>
      </w:pPr>
    </w:p>
    <w:p w14:paraId="45C4142D">
      <w:pPr>
        <w:pStyle w:val="37"/>
        <w:outlineLvl w:val="1"/>
        <w:rPr>
          <w:rFonts w:hint="eastAsia"/>
          <w:color w:val="auto"/>
        </w:rPr>
        <w:sectPr>
          <w:headerReference r:id="rId4" w:type="first"/>
          <w:footerReference r:id="rId6" w:type="first"/>
          <w:headerReference r:id="rId3" w:type="default"/>
          <w:footerReference r:id="rId5" w:type="default"/>
          <w:pgSz w:w="11906" w:h="16838"/>
          <w:pgMar w:top="1418" w:right="1588" w:bottom="1418" w:left="1365" w:header="851" w:footer="907" w:gutter="0"/>
          <w:cols w:space="720" w:num="1"/>
          <w:docGrid w:type="lines" w:linePitch="290" w:charSpace="0"/>
        </w:sectPr>
      </w:pPr>
    </w:p>
    <w:p w14:paraId="1C799114">
      <w:pPr>
        <w:pStyle w:val="37"/>
        <w:spacing w:before="280"/>
        <w:jc w:val="center"/>
        <w:outlineLvl w:val="1"/>
        <w:rPr>
          <w:rFonts w:hint="eastAsia" w:ascii="黑体" w:hAnsi="黑体" w:eastAsia="黑体"/>
          <w:color w:val="auto"/>
          <w:sz w:val="40"/>
          <w:szCs w:val="40"/>
        </w:rPr>
      </w:pPr>
      <w:r>
        <w:rPr>
          <w:rFonts w:hint="eastAsia"/>
          <w:color w:val="auto"/>
        </w:rPr>
        <w:t xml:space="preserve">  </w:t>
      </w:r>
      <w:r>
        <w:rPr>
          <w:rFonts w:hint="eastAsia" w:ascii="黑体" w:hAnsi="黑体" w:eastAsia="黑体"/>
          <w:color w:val="auto"/>
          <w:sz w:val="40"/>
          <w:szCs w:val="40"/>
        </w:rPr>
        <w:t>符合性审查表</w:t>
      </w:r>
    </w:p>
    <w:tbl>
      <w:tblPr>
        <w:tblStyle w:val="42"/>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84"/>
      </w:tblGrid>
      <w:tr w14:paraId="2D73D8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170EE1D">
            <w:pPr>
              <w:widowControl/>
              <w:jc w:val="center"/>
              <w:rPr>
                <w:color w:val="auto"/>
                <w:sz w:val="28"/>
                <w:szCs w:val="28"/>
              </w:rPr>
            </w:pPr>
            <w:r>
              <w:rPr>
                <w:rFonts w:ascii="宋体" w:hAnsi="宋体" w:cs="宋体"/>
                <w:color w:val="auto"/>
                <w:kern w:val="0"/>
                <w:sz w:val="28"/>
                <w:szCs w:val="2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E6EFFA"/>
            <w:vAlign w:val="center"/>
          </w:tcPr>
          <w:p w14:paraId="33069D6F">
            <w:pPr>
              <w:widowControl/>
              <w:jc w:val="center"/>
              <w:rPr>
                <w:color w:val="auto"/>
                <w:sz w:val="28"/>
                <w:szCs w:val="28"/>
              </w:rPr>
            </w:pPr>
            <w:r>
              <w:rPr>
                <w:rFonts w:ascii="宋体" w:hAnsi="宋体" w:cs="宋体"/>
                <w:color w:val="auto"/>
                <w:kern w:val="0"/>
                <w:sz w:val="28"/>
                <w:szCs w:val="28"/>
              </w:rPr>
              <w:t>内容</w:t>
            </w:r>
          </w:p>
        </w:tc>
      </w:tr>
      <w:tr w14:paraId="2FE003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16DA430">
            <w:pPr>
              <w:widowControl/>
              <w:ind w:firstLine="210" w:firstLineChars="100"/>
              <w:textAlignment w:val="top"/>
              <w:rPr>
                <w:rFonts w:hint="eastAsia" w:ascii="宋体" w:hAnsi="宋体" w:cs="宋体"/>
                <w:color w:val="auto"/>
              </w:rPr>
            </w:pPr>
            <w:r>
              <w:rPr>
                <w:rFonts w:hint="eastAsia" w:ascii="宋体" w:hAnsi="宋体" w:cs="宋体"/>
                <w:color w:val="auto"/>
              </w:rPr>
              <w:t>1</w:t>
            </w:r>
          </w:p>
        </w:tc>
        <w:tc>
          <w:tcPr>
            <w:tcW w:w="0" w:type="auto"/>
            <w:tcBorders>
              <w:top w:val="single" w:color="000000" w:sz="8" w:space="0"/>
              <w:left w:val="single" w:color="000000" w:sz="8" w:space="0"/>
              <w:bottom w:val="single" w:color="000000" w:sz="8" w:space="0"/>
              <w:right w:val="single" w:color="000000" w:sz="8" w:space="0"/>
            </w:tcBorders>
          </w:tcPr>
          <w:p w14:paraId="552A20DE">
            <w:pPr>
              <w:widowControl/>
              <w:jc w:val="left"/>
              <w:textAlignment w:val="top"/>
              <w:rPr>
                <w:color w:val="auto"/>
              </w:rPr>
            </w:pPr>
            <w:r>
              <w:rPr>
                <w:rFonts w:hint="eastAsia"/>
                <w:color w:val="auto"/>
              </w:rPr>
              <w:t>是否按招标文件所提供的样式填写《投标函》；</w:t>
            </w:r>
          </w:p>
        </w:tc>
      </w:tr>
      <w:tr w14:paraId="469C71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8A5D0D3">
            <w:pPr>
              <w:widowControl/>
              <w:ind w:firstLine="210" w:firstLineChars="100"/>
              <w:textAlignment w:val="top"/>
              <w:rPr>
                <w:rFonts w:hint="eastAsia" w:ascii="宋体" w:hAnsi="宋体" w:cs="宋体"/>
                <w:color w:val="auto"/>
              </w:rPr>
            </w:pPr>
            <w:r>
              <w:rPr>
                <w:rFonts w:hint="eastAsia" w:ascii="宋体" w:hAnsi="宋体" w:cs="宋体"/>
                <w:color w:val="auto"/>
              </w:rPr>
              <w:t>2</w:t>
            </w:r>
          </w:p>
        </w:tc>
        <w:tc>
          <w:tcPr>
            <w:tcW w:w="0" w:type="auto"/>
            <w:tcBorders>
              <w:top w:val="single" w:color="000000" w:sz="8" w:space="0"/>
              <w:left w:val="single" w:color="000000" w:sz="8" w:space="0"/>
              <w:bottom w:val="single" w:color="000000" w:sz="8" w:space="0"/>
              <w:right w:val="single" w:color="000000" w:sz="8" w:space="0"/>
            </w:tcBorders>
          </w:tcPr>
          <w:p w14:paraId="6E827087">
            <w:pPr>
              <w:widowControl/>
              <w:jc w:val="left"/>
              <w:textAlignment w:val="top"/>
              <w:rPr>
                <w:color w:val="auto"/>
              </w:rPr>
            </w:pPr>
            <w:r>
              <w:rPr>
                <w:rFonts w:hint="eastAsia"/>
                <w:color w:val="auto"/>
              </w:rPr>
              <w:t>是否按招标文件所提供的《政府采购投标及履约承诺函》进行承诺或不符合承诺的；</w:t>
            </w:r>
          </w:p>
        </w:tc>
      </w:tr>
      <w:tr w14:paraId="21131A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88EE4B1">
            <w:pPr>
              <w:widowControl/>
              <w:jc w:val="center"/>
              <w:textAlignment w:val="top"/>
              <w:rPr>
                <w:rFonts w:hint="eastAsia" w:ascii="宋体" w:hAnsi="宋体" w:cs="宋体"/>
                <w:color w:val="auto"/>
                <w:kern w:val="0"/>
              </w:rPr>
            </w:pPr>
            <w:r>
              <w:rPr>
                <w:rFonts w:hint="eastAsia" w:ascii="宋体" w:hAnsi="宋体" w:cs="宋体"/>
                <w:color w:val="auto"/>
                <w:kern w:val="0"/>
              </w:rPr>
              <w:t>3</w:t>
            </w:r>
          </w:p>
        </w:tc>
        <w:tc>
          <w:tcPr>
            <w:tcW w:w="0" w:type="auto"/>
            <w:tcBorders>
              <w:top w:val="single" w:color="000000" w:sz="8" w:space="0"/>
              <w:left w:val="single" w:color="000000" w:sz="8" w:space="0"/>
              <w:bottom w:val="single" w:color="000000" w:sz="8" w:space="0"/>
              <w:right w:val="single" w:color="000000" w:sz="8" w:space="0"/>
            </w:tcBorders>
          </w:tcPr>
          <w:p w14:paraId="4D5E835F">
            <w:pPr>
              <w:widowControl/>
              <w:jc w:val="left"/>
              <w:textAlignment w:val="top"/>
              <w:rPr>
                <w:color w:val="auto"/>
              </w:rPr>
            </w:pPr>
            <w:r>
              <w:rPr>
                <w:rFonts w:hint="eastAsia" w:ascii="宋体" w:hAnsi="宋体" w:cs="宋体"/>
                <w:iCs/>
                <w:color w:val="auto"/>
              </w:rPr>
              <w:t>是否具备履行合同所必需的设备和专业技术能力（提供书面声明函）；</w:t>
            </w:r>
          </w:p>
        </w:tc>
      </w:tr>
      <w:tr w14:paraId="281999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397AC49">
            <w:pPr>
              <w:widowControl/>
              <w:jc w:val="center"/>
              <w:textAlignment w:val="top"/>
              <w:rPr>
                <w:rFonts w:hint="eastAsia" w:ascii="宋体" w:hAnsi="宋体" w:cs="宋体"/>
                <w:color w:val="auto"/>
                <w:kern w:val="0"/>
              </w:rPr>
            </w:pPr>
            <w:r>
              <w:rPr>
                <w:rFonts w:hint="eastAsia" w:ascii="宋体" w:hAnsi="宋体" w:cs="宋体"/>
                <w:color w:val="auto"/>
                <w:kern w:val="0"/>
              </w:rPr>
              <w:t>4</w:t>
            </w:r>
          </w:p>
        </w:tc>
        <w:tc>
          <w:tcPr>
            <w:tcW w:w="0" w:type="auto"/>
            <w:tcBorders>
              <w:top w:val="single" w:color="000000" w:sz="8" w:space="0"/>
              <w:left w:val="single" w:color="000000" w:sz="8" w:space="0"/>
              <w:bottom w:val="single" w:color="000000" w:sz="8" w:space="0"/>
              <w:right w:val="single" w:color="000000" w:sz="8" w:space="0"/>
            </w:tcBorders>
          </w:tcPr>
          <w:p w14:paraId="24762EF7">
            <w:pPr>
              <w:widowControl/>
              <w:jc w:val="left"/>
              <w:textAlignment w:val="top"/>
              <w:rPr>
                <w:rFonts w:hint="eastAsia" w:ascii="宋体" w:hAnsi="宋体" w:cs="宋体"/>
                <w:iCs/>
                <w:color w:val="auto"/>
              </w:rPr>
            </w:pPr>
            <w:r>
              <w:rPr>
                <w:rFonts w:hint="eastAsia"/>
                <w:color w:val="auto"/>
              </w:rPr>
              <w:t>是否按招标文件对投标文件组成的要求提供投标文件；</w:t>
            </w:r>
          </w:p>
        </w:tc>
      </w:tr>
      <w:tr w14:paraId="7B659D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920FAC5">
            <w:pPr>
              <w:widowControl/>
              <w:jc w:val="center"/>
              <w:textAlignment w:val="top"/>
              <w:rPr>
                <w:rFonts w:hint="eastAsia" w:ascii="宋体" w:hAnsi="宋体" w:cs="宋体"/>
                <w:color w:val="auto"/>
                <w:kern w:val="0"/>
              </w:rPr>
            </w:pPr>
            <w:r>
              <w:rPr>
                <w:rFonts w:hint="eastAsia" w:ascii="宋体" w:hAnsi="宋体" w:cs="宋体"/>
                <w:color w:val="auto"/>
                <w:kern w:val="0"/>
              </w:rPr>
              <w:t>5</w:t>
            </w:r>
          </w:p>
        </w:tc>
        <w:tc>
          <w:tcPr>
            <w:tcW w:w="0" w:type="auto"/>
            <w:tcBorders>
              <w:top w:val="single" w:color="000000" w:sz="8" w:space="0"/>
              <w:left w:val="single" w:color="000000" w:sz="8" w:space="0"/>
              <w:bottom w:val="single" w:color="000000" w:sz="8" w:space="0"/>
              <w:right w:val="single" w:color="000000" w:sz="8" w:space="0"/>
            </w:tcBorders>
          </w:tcPr>
          <w:p w14:paraId="4C134F60">
            <w:pPr>
              <w:widowControl/>
              <w:jc w:val="left"/>
              <w:textAlignment w:val="top"/>
              <w:rPr>
                <w:rFonts w:hint="eastAsia" w:ascii="宋体" w:hAnsi="宋体" w:cs="宋体"/>
                <w:iCs/>
                <w:color w:val="auto"/>
              </w:rPr>
            </w:pPr>
            <w:r>
              <w:rPr>
                <w:rFonts w:hint="eastAsia" w:ascii="宋体" w:hAnsi="宋体" w:cs="宋体"/>
                <w:color w:val="auto"/>
              </w:rPr>
              <w:t>投标文件的编制、签署及盖章是否符合采购文件的要求；</w:t>
            </w:r>
          </w:p>
        </w:tc>
      </w:tr>
      <w:tr w14:paraId="6A0B298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BDDDF5E">
            <w:pPr>
              <w:widowControl/>
              <w:jc w:val="center"/>
              <w:textAlignment w:val="top"/>
              <w:rPr>
                <w:rFonts w:hint="eastAsia" w:ascii="宋体" w:hAnsi="宋体" w:cs="宋体"/>
                <w:color w:val="auto"/>
              </w:rPr>
            </w:pPr>
            <w:r>
              <w:rPr>
                <w:rFonts w:hint="eastAsia" w:ascii="宋体" w:hAnsi="宋体" w:cs="宋体"/>
                <w:color w:val="auto"/>
              </w:rPr>
              <w:t>6</w:t>
            </w:r>
          </w:p>
        </w:tc>
        <w:tc>
          <w:tcPr>
            <w:tcW w:w="0" w:type="auto"/>
            <w:tcBorders>
              <w:top w:val="single" w:color="000000" w:sz="8" w:space="0"/>
              <w:left w:val="single" w:color="000000" w:sz="8" w:space="0"/>
              <w:bottom w:val="single" w:color="000000" w:sz="8" w:space="0"/>
              <w:right w:val="single" w:color="000000" w:sz="8" w:space="0"/>
            </w:tcBorders>
          </w:tcPr>
          <w:p w14:paraId="6A0DA8B6">
            <w:pPr>
              <w:widowControl/>
              <w:jc w:val="left"/>
              <w:textAlignment w:val="top"/>
              <w:rPr>
                <w:color w:val="auto"/>
              </w:rPr>
            </w:pPr>
            <w:r>
              <w:rPr>
                <w:rFonts w:hint="eastAsia"/>
                <w:color w:val="auto"/>
              </w:rPr>
              <w:t>对同一项目投标时，不得提供两套以上的投标方案（招标文件另有规定的除外）；</w:t>
            </w:r>
          </w:p>
        </w:tc>
      </w:tr>
      <w:tr w14:paraId="1C16DC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CE9225F">
            <w:pPr>
              <w:widowControl/>
              <w:jc w:val="center"/>
              <w:textAlignment w:val="top"/>
              <w:rPr>
                <w:rFonts w:hint="eastAsia" w:ascii="宋体" w:hAnsi="宋体" w:cs="宋体"/>
                <w:color w:val="auto"/>
              </w:rPr>
            </w:pPr>
            <w:r>
              <w:rPr>
                <w:rFonts w:hint="eastAsia" w:ascii="宋体" w:hAnsi="宋体" w:cs="宋体"/>
                <w:color w:val="auto"/>
              </w:rPr>
              <w:t>7</w:t>
            </w:r>
          </w:p>
        </w:tc>
        <w:tc>
          <w:tcPr>
            <w:tcW w:w="0" w:type="auto"/>
            <w:tcBorders>
              <w:top w:val="single" w:color="000000" w:sz="8" w:space="0"/>
              <w:left w:val="single" w:color="000000" w:sz="8" w:space="0"/>
              <w:bottom w:val="single" w:color="000000" w:sz="8" w:space="0"/>
              <w:right w:val="single" w:color="000000" w:sz="8" w:space="0"/>
            </w:tcBorders>
          </w:tcPr>
          <w:p w14:paraId="21764DCC">
            <w:pPr>
              <w:widowControl/>
              <w:jc w:val="left"/>
              <w:textAlignment w:val="top"/>
              <w:rPr>
                <w:color w:val="auto"/>
              </w:rPr>
            </w:pPr>
            <w:r>
              <w:rPr>
                <w:rFonts w:hint="eastAsia"/>
                <w:color w:val="auto"/>
              </w:rPr>
              <w:t>投标文件载明的履约期是否符合招标文件规定的期限；</w:t>
            </w:r>
          </w:p>
        </w:tc>
      </w:tr>
      <w:tr w14:paraId="7D5405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91D8988">
            <w:pPr>
              <w:widowControl/>
              <w:jc w:val="center"/>
              <w:textAlignment w:val="top"/>
              <w:rPr>
                <w:rFonts w:hint="eastAsia" w:ascii="宋体" w:hAnsi="宋体" w:cs="宋体"/>
                <w:color w:val="auto"/>
              </w:rPr>
            </w:pPr>
            <w:r>
              <w:rPr>
                <w:rFonts w:hint="eastAsia" w:ascii="宋体" w:hAnsi="宋体" w:cs="宋体"/>
                <w:color w:val="auto"/>
              </w:rPr>
              <w:t>8</w:t>
            </w:r>
          </w:p>
        </w:tc>
        <w:tc>
          <w:tcPr>
            <w:tcW w:w="0" w:type="auto"/>
            <w:tcBorders>
              <w:top w:val="single" w:color="000000" w:sz="8" w:space="0"/>
              <w:left w:val="single" w:color="000000" w:sz="8" w:space="0"/>
              <w:bottom w:val="single" w:color="000000" w:sz="8" w:space="0"/>
              <w:right w:val="single" w:color="000000" w:sz="8" w:space="0"/>
            </w:tcBorders>
          </w:tcPr>
          <w:p w14:paraId="1B470B24">
            <w:pPr>
              <w:widowControl/>
              <w:jc w:val="left"/>
              <w:textAlignment w:val="top"/>
              <w:rPr>
                <w:color w:val="auto"/>
              </w:rPr>
            </w:pPr>
            <w:r>
              <w:rPr>
                <w:rFonts w:hint="eastAsia"/>
                <w:color w:val="auto"/>
              </w:rPr>
              <w:t>所投货物、服务在技术、商务等方面是否实质性满足招标文件要求（第三章用户需求书中附表四实质性条款要求），由评审委员会根据实质性条款响应情况作出评判；</w:t>
            </w:r>
          </w:p>
        </w:tc>
      </w:tr>
      <w:tr w14:paraId="059CA4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4E21139">
            <w:pPr>
              <w:widowControl/>
              <w:jc w:val="center"/>
              <w:textAlignment w:val="top"/>
              <w:rPr>
                <w:rFonts w:hint="eastAsia" w:ascii="宋体" w:hAnsi="宋体" w:cs="宋体"/>
                <w:color w:val="auto"/>
              </w:rPr>
            </w:pPr>
            <w:r>
              <w:rPr>
                <w:rFonts w:hint="eastAsia" w:ascii="宋体" w:hAnsi="宋体" w:cs="宋体"/>
                <w:color w:val="auto"/>
              </w:rPr>
              <w:t>9</w:t>
            </w:r>
          </w:p>
        </w:tc>
        <w:tc>
          <w:tcPr>
            <w:tcW w:w="0" w:type="auto"/>
            <w:tcBorders>
              <w:top w:val="single" w:color="000000" w:sz="8" w:space="0"/>
              <w:left w:val="single" w:color="000000" w:sz="8" w:space="0"/>
              <w:bottom w:val="single" w:color="000000" w:sz="8" w:space="0"/>
              <w:right w:val="single" w:color="000000" w:sz="8" w:space="0"/>
            </w:tcBorders>
          </w:tcPr>
          <w:p w14:paraId="5DE5F575">
            <w:pPr>
              <w:widowControl/>
              <w:jc w:val="left"/>
              <w:textAlignment w:val="top"/>
              <w:rPr>
                <w:color w:val="auto"/>
              </w:rPr>
            </w:pPr>
            <w:r>
              <w:rPr>
                <w:rFonts w:hint="eastAsia"/>
                <w:color w:val="auto"/>
              </w:rPr>
              <w:t>法律、法规、规章、规范性文件规定的其他情形。</w:t>
            </w:r>
          </w:p>
        </w:tc>
      </w:tr>
      <w:tr w14:paraId="001043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center"/>
          </w:tcPr>
          <w:p w14:paraId="772AA5E0">
            <w:pPr>
              <w:widowControl/>
              <w:jc w:val="center"/>
              <w:textAlignment w:val="top"/>
              <w:rPr>
                <w:rFonts w:hint="eastAsia" w:ascii="宋体" w:hAnsi="宋体" w:cs="宋体"/>
                <w:color w:val="auto"/>
                <w:highlight w:val="none"/>
              </w:rPr>
            </w:pPr>
            <w:r>
              <w:rPr>
                <w:rFonts w:hint="eastAsia" w:ascii="宋体" w:hAnsi="宋体" w:cs="宋体"/>
                <w:color w:val="auto"/>
                <w:highlight w:val="none"/>
              </w:rPr>
              <w:t>10</w:t>
            </w:r>
          </w:p>
        </w:tc>
        <w:tc>
          <w:tcPr>
            <w:tcW w:w="0" w:type="auto"/>
            <w:tcBorders>
              <w:top w:val="single" w:color="000000" w:sz="8" w:space="0"/>
              <w:left w:val="single" w:color="000000" w:sz="8" w:space="0"/>
              <w:bottom w:val="single" w:color="000000" w:sz="8" w:space="0"/>
              <w:right w:val="single" w:color="000000" w:sz="8" w:space="0"/>
            </w:tcBorders>
          </w:tcPr>
          <w:p w14:paraId="47E95F42">
            <w:pPr>
              <w:widowControl/>
              <w:numPr>
                <w:ilvl w:val="0"/>
                <w:numId w:val="0"/>
              </w:numPr>
              <w:jc w:val="left"/>
              <w:textAlignment w:val="top"/>
              <w:rPr>
                <w:rFonts w:hint="eastAsia"/>
                <w:color w:val="auto"/>
                <w:highlight w:val="none"/>
              </w:rPr>
            </w:pPr>
            <w:r>
              <w:rPr>
                <w:rFonts w:hint="eastAsia"/>
                <w:color w:val="auto"/>
                <w:highlight w:val="none"/>
                <w:lang w:val="en-US" w:eastAsia="zh-CN"/>
              </w:rPr>
              <w:t>1.</w:t>
            </w:r>
            <w:r>
              <w:rPr>
                <w:rFonts w:hint="eastAsia"/>
                <w:color w:val="auto"/>
                <w:highlight w:val="none"/>
              </w:rPr>
              <w:t>本项目所投智慧互联黑板须提供国家强制性CCC认证证书。</w:t>
            </w:r>
          </w:p>
          <w:p w14:paraId="6C50F21C">
            <w:pPr>
              <w:widowControl/>
              <w:numPr>
                <w:ilvl w:val="0"/>
                <w:numId w:val="0"/>
              </w:numPr>
              <w:jc w:val="left"/>
              <w:textAlignment w:val="top"/>
              <w:rPr>
                <w:rFonts w:hint="eastAsia"/>
                <w:color w:val="auto"/>
                <w:highlight w:val="none"/>
                <w:lang w:eastAsia="zh-CN"/>
              </w:rPr>
            </w:pPr>
            <w:r>
              <w:rPr>
                <w:rFonts w:hint="eastAsia"/>
                <w:color w:val="auto"/>
                <w:highlight w:val="none"/>
                <w:lang w:val="en-US" w:eastAsia="zh-CN"/>
              </w:rPr>
              <w:t>2.</w:t>
            </w:r>
            <w:r>
              <w:rPr>
                <w:rFonts w:hint="eastAsia"/>
                <w:color w:val="auto"/>
                <w:highlight w:val="none"/>
              </w:rPr>
              <w:t>所投计算机产品必须提供有效的节能产品认证证书</w:t>
            </w:r>
            <w:r>
              <w:rPr>
                <w:rFonts w:hint="eastAsia"/>
                <w:color w:val="auto"/>
                <w:highlight w:val="none"/>
                <w:lang w:eastAsia="zh-CN"/>
              </w:rPr>
              <w:t>。</w:t>
            </w:r>
          </w:p>
          <w:p w14:paraId="38C36FF6">
            <w:pPr>
              <w:widowControl/>
              <w:numPr>
                <w:ilvl w:val="0"/>
                <w:numId w:val="0"/>
              </w:numPr>
              <w:jc w:val="left"/>
              <w:textAlignment w:val="top"/>
              <w:rPr>
                <w:color w:val="auto"/>
                <w:highlight w:val="none"/>
              </w:rPr>
            </w:pPr>
            <w:r>
              <w:rPr>
                <w:rFonts w:hint="eastAsia"/>
                <w:color w:val="auto"/>
                <w:highlight w:val="none"/>
              </w:rPr>
              <w:t>3.空调属于强制节能产品，供应商须提供由《参与实施政府采购节能产品认证机构名录》中确定的认证机构出具的、处于有效期之内的节能产品认证证书或者在中国政府采购网 http://www.ccgp.gov.cn/search/jnqdchaxun.htm的查询截图（复印件/扫描件加盖供应商公章）（证书和截图至少提供一项）</w:t>
            </w:r>
          </w:p>
        </w:tc>
      </w:tr>
    </w:tbl>
    <w:p w14:paraId="5F729A8B">
      <w:pPr>
        <w:pStyle w:val="37"/>
        <w:ind w:firstLine="3600" w:firstLineChars="900"/>
        <w:jc w:val="both"/>
        <w:outlineLvl w:val="1"/>
        <w:rPr>
          <w:rFonts w:hint="eastAsia" w:ascii="黑体" w:hAnsi="黑体" w:eastAsia="黑体"/>
          <w:color w:val="auto"/>
          <w:sz w:val="40"/>
          <w:szCs w:val="40"/>
        </w:rPr>
      </w:pPr>
    </w:p>
    <w:p w14:paraId="5DB20A01">
      <w:pPr>
        <w:pStyle w:val="37"/>
        <w:spacing w:before="280"/>
        <w:jc w:val="center"/>
        <w:outlineLvl w:val="1"/>
        <w:rPr>
          <w:rFonts w:hint="eastAsia" w:ascii="黑体" w:hAnsi="黑体" w:eastAsia="黑体"/>
          <w:color w:val="auto"/>
          <w:sz w:val="40"/>
          <w:szCs w:val="40"/>
        </w:rPr>
      </w:pPr>
      <w:r>
        <w:rPr>
          <w:rFonts w:hint="eastAsia" w:ascii="黑体" w:hAnsi="黑体" w:eastAsia="黑体"/>
          <w:color w:val="auto"/>
          <w:sz w:val="40"/>
          <w:szCs w:val="40"/>
        </w:rPr>
        <w:t>报价符合性审查表</w:t>
      </w:r>
    </w:p>
    <w:tbl>
      <w:tblPr>
        <w:tblStyle w:val="42"/>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94"/>
        <w:gridCol w:w="8284"/>
      </w:tblGrid>
      <w:tr w14:paraId="49D77D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21726E2">
            <w:pPr>
              <w:widowControl/>
              <w:jc w:val="center"/>
              <w:rPr>
                <w:color w:val="auto"/>
                <w:sz w:val="28"/>
                <w:szCs w:val="28"/>
              </w:rPr>
            </w:pPr>
            <w:r>
              <w:rPr>
                <w:rFonts w:ascii="宋体" w:hAnsi="宋体" w:cs="宋体"/>
                <w:color w:val="auto"/>
                <w:kern w:val="0"/>
                <w:sz w:val="28"/>
                <w:szCs w:val="28"/>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E6EFFA"/>
            <w:vAlign w:val="center"/>
          </w:tcPr>
          <w:p w14:paraId="2836D005">
            <w:pPr>
              <w:widowControl/>
              <w:jc w:val="center"/>
              <w:rPr>
                <w:color w:val="auto"/>
                <w:sz w:val="28"/>
                <w:szCs w:val="28"/>
              </w:rPr>
            </w:pPr>
            <w:r>
              <w:rPr>
                <w:rFonts w:ascii="宋体" w:hAnsi="宋体" w:cs="宋体"/>
                <w:color w:val="auto"/>
                <w:kern w:val="0"/>
                <w:sz w:val="28"/>
                <w:szCs w:val="28"/>
              </w:rPr>
              <w:t>内容</w:t>
            </w:r>
          </w:p>
        </w:tc>
      </w:tr>
      <w:tr w14:paraId="6DBBD5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928B9B6">
            <w:pPr>
              <w:widowControl/>
              <w:jc w:val="center"/>
              <w:textAlignment w:val="top"/>
              <w:rPr>
                <w:rFonts w:hint="eastAsia" w:ascii="宋体" w:hAnsi="宋体" w:cs="宋体"/>
                <w:color w:val="auto"/>
              </w:rPr>
            </w:pPr>
            <w:r>
              <w:rPr>
                <w:rFonts w:hint="eastAsia" w:ascii="宋体" w:hAnsi="宋体" w:cs="宋体"/>
                <w:color w:val="auto"/>
              </w:rPr>
              <w:t>1</w:t>
            </w:r>
          </w:p>
        </w:tc>
        <w:tc>
          <w:tcPr>
            <w:tcW w:w="8284" w:type="dxa"/>
            <w:tcBorders>
              <w:top w:val="single" w:color="000000" w:sz="8" w:space="0"/>
              <w:left w:val="single" w:color="000000" w:sz="8" w:space="0"/>
              <w:bottom w:val="single" w:color="000000" w:sz="8" w:space="0"/>
              <w:right w:val="single" w:color="000000" w:sz="8" w:space="0"/>
            </w:tcBorders>
          </w:tcPr>
          <w:p w14:paraId="4D81A869">
            <w:pPr>
              <w:widowControl/>
              <w:jc w:val="left"/>
              <w:textAlignment w:val="top"/>
              <w:rPr>
                <w:color w:val="auto"/>
              </w:rPr>
            </w:pPr>
            <w:r>
              <w:rPr>
                <w:rFonts w:hint="eastAsia"/>
                <w:color w:val="auto"/>
              </w:rPr>
              <w:t>《开标一览表》是否符合填写要求；</w:t>
            </w:r>
          </w:p>
        </w:tc>
      </w:tr>
      <w:tr w14:paraId="0783263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B2CF988">
            <w:pPr>
              <w:widowControl/>
              <w:jc w:val="center"/>
              <w:textAlignment w:val="top"/>
              <w:rPr>
                <w:rFonts w:hint="eastAsia" w:ascii="宋体" w:hAnsi="宋体" w:cs="宋体"/>
                <w:color w:val="auto"/>
              </w:rPr>
            </w:pPr>
            <w:r>
              <w:rPr>
                <w:rFonts w:hint="eastAsia" w:ascii="宋体" w:hAnsi="宋体" w:cs="宋体"/>
                <w:color w:val="auto"/>
              </w:rPr>
              <w:t>2</w:t>
            </w:r>
          </w:p>
        </w:tc>
        <w:tc>
          <w:tcPr>
            <w:tcW w:w="8284" w:type="dxa"/>
            <w:tcBorders>
              <w:top w:val="single" w:color="000000" w:sz="8" w:space="0"/>
              <w:left w:val="single" w:color="000000" w:sz="8" w:space="0"/>
              <w:bottom w:val="single" w:color="000000" w:sz="8" w:space="0"/>
              <w:right w:val="single" w:color="000000" w:sz="8" w:space="0"/>
            </w:tcBorders>
          </w:tcPr>
          <w:p w14:paraId="43D77D28">
            <w:pPr>
              <w:widowControl/>
              <w:jc w:val="left"/>
              <w:textAlignment w:val="top"/>
              <w:rPr>
                <w:color w:val="auto"/>
              </w:rPr>
            </w:pPr>
            <w:r>
              <w:rPr>
                <w:rFonts w:hint="eastAsia"/>
                <w:color w:val="auto"/>
              </w:rPr>
              <w:t>分项报价或投标总价不得高于相应预算金额（或设定的预算金额下的最高限价）；</w:t>
            </w:r>
          </w:p>
        </w:tc>
      </w:tr>
      <w:tr w14:paraId="2DBD1B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4119AF5">
            <w:pPr>
              <w:widowControl/>
              <w:jc w:val="center"/>
              <w:textAlignment w:val="top"/>
              <w:rPr>
                <w:rFonts w:hint="eastAsia" w:ascii="宋体" w:hAnsi="宋体" w:cs="宋体"/>
                <w:color w:val="auto"/>
              </w:rPr>
            </w:pPr>
          </w:p>
          <w:p w14:paraId="2EABB852">
            <w:pPr>
              <w:widowControl/>
              <w:jc w:val="center"/>
              <w:textAlignment w:val="top"/>
              <w:rPr>
                <w:rFonts w:hint="eastAsia" w:ascii="宋体" w:hAnsi="宋体" w:cs="宋体"/>
                <w:color w:val="auto"/>
              </w:rPr>
            </w:pPr>
            <w:r>
              <w:rPr>
                <w:rFonts w:hint="eastAsia" w:ascii="宋体" w:hAnsi="宋体" w:cs="宋体"/>
                <w:color w:val="auto"/>
              </w:rPr>
              <w:t>3</w:t>
            </w:r>
          </w:p>
        </w:tc>
        <w:tc>
          <w:tcPr>
            <w:tcW w:w="8284" w:type="dxa"/>
            <w:tcBorders>
              <w:top w:val="single" w:color="000000" w:sz="8" w:space="0"/>
              <w:left w:val="single" w:color="000000" w:sz="8" w:space="0"/>
              <w:bottom w:val="single" w:color="000000" w:sz="8" w:space="0"/>
              <w:right w:val="single" w:color="000000" w:sz="8" w:space="0"/>
            </w:tcBorders>
          </w:tcPr>
          <w:p w14:paraId="5F534F1C">
            <w:pPr>
              <w:widowControl/>
              <w:jc w:val="left"/>
              <w:textAlignment w:val="top"/>
              <w:rPr>
                <w:color w:val="auto"/>
              </w:rPr>
            </w:pPr>
            <w:r>
              <w:rPr>
                <w:rFonts w:hint="eastAsia"/>
                <w:color w:val="auto"/>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6D5339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645691B5">
            <w:pPr>
              <w:widowControl/>
              <w:jc w:val="center"/>
              <w:textAlignment w:val="top"/>
              <w:rPr>
                <w:rFonts w:hint="eastAsia" w:ascii="宋体" w:hAnsi="宋体" w:cs="宋体"/>
                <w:color w:val="auto"/>
              </w:rPr>
            </w:pPr>
            <w:r>
              <w:rPr>
                <w:rFonts w:hint="eastAsia" w:ascii="宋体" w:hAnsi="宋体" w:cs="宋体"/>
                <w:color w:val="auto"/>
              </w:rPr>
              <w:t>4</w:t>
            </w:r>
          </w:p>
        </w:tc>
        <w:tc>
          <w:tcPr>
            <w:tcW w:w="8284" w:type="dxa"/>
            <w:tcBorders>
              <w:top w:val="single" w:color="000000" w:sz="8" w:space="0"/>
              <w:left w:val="single" w:color="000000" w:sz="8" w:space="0"/>
              <w:bottom w:val="single" w:color="000000" w:sz="8" w:space="0"/>
              <w:right w:val="single" w:color="000000" w:sz="8" w:space="0"/>
            </w:tcBorders>
          </w:tcPr>
          <w:p w14:paraId="07D60405">
            <w:pPr>
              <w:widowControl/>
              <w:jc w:val="left"/>
              <w:textAlignment w:val="top"/>
              <w:rPr>
                <w:color w:val="auto"/>
              </w:rPr>
            </w:pPr>
            <w:r>
              <w:rPr>
                <w:rFonts w:hint="eastAsia"/>
                <w:color w:val="auto"/>
              </w:rPr>
              <w:t>投标报价有缺漏项目,或者对招标文件规定的项目需求内容或者需求数量进行修改，评审委员会判定投标响应不满足采购需求；</w:t>
            </w:r>
          </w:p>
        </w:tc>
      </w:tr>
    </w:tbl>
    <w:p w14:paraId="049EA4EC">
      <w:pPr>
        <w:pStyle w:val="37"/>
        <w:ind w:firstLine="3600" w:firstLineChars="900"/>
        <w:jc w:val="both"/>
        <w:outlineLvl w:val="1"/>
        <w:rPr>
          <w:rFonts w:hint="eastAsia" w:ascii="黑体" w:hAnsi="黑体" w:eastAsia="黑体"/>
          <w:color w:val="auto"/>
          <w:sz w:val="40"/>
          <w:szCs w:val="40"/>
        </w:rPr>
      </w:pPr>
    </w:p>
    <w:p w14:paraId="42130D05">
      <w:pPr>
        <w:pStyle w:val="37"/>
        <w:jc w:val="both"/>
        <w:outlineLvl w:val="1"/>
        <w:rPr>
          <w:rFonts w:hint="eastAsia" w:ascii="黑体" w:hAnsi="黑体" w:eastAsia="黑体"/>
          <w:color w:val="auto"/>
          <w:sz w:val="40"/>
          <w:szCs w:val="40"/>
        </w:rPr>
      </w:pPr>
    </w:p>
    <w:p w14:paraId="6C203B0A">
      <w:pPr>
        <w:pStyle w:val="37"/>
        <w:jc w:val="center"/>
        <w:outlineLvl w:val="1"/>
        <w:rPr>
          <w:rFonts w:hint="eastAsia" w:ascii="黑体" w:hAnsi="黑体" w:eastAsia="黑体"/>
          <w:color w:val="auto"/>
          <w:sz w:val="40"/>
          <w:szCs w:val="40"/>
        </w:rPr>
      </w:pPr>
      <w:r>
        <w:rPr>
          <w:rFonts w:hint="eastAsia" w:ascii="黑体" w:hAnsi="黑体" w:eastAsia="黑体"/>
          <w:color w:val="auto"/>
          <w:sz w:val="40"/>
          <w:szCs w:val="40"/>
        </w:rPr>
        <w:t>评标信息</w:t>
      </w:r>
    </w:p>
    <w:tbl>
      <w:tblPr>
        <w:tblStyle w:val="42"/>
        <w:tblW w:w="9031"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1"/>
      </w:tblGrid>
      <w:tr w14:paraId="5572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9031" w:type="dxa"/>
            <w:vAlign w:val="center"/>
          </w:tcPr>
          <w:p w14:paraId="2887E514">
            <w:pPr>
              <w:spacing w:before="45"/>
              <w:ind w:left="44"/>
              <w:rPr>
                <w:color w:val="auto"/>
              </w:rPr>
            </w:pPr>
            <w:r>
              <w:rPr>
                <w:color w:val="auto"/>
              </w:rPr>
              <w:t>评标方法：综合评分法</w:t>
            </w:r>
          </w:p>
        </w:tc>
      </w:tr>
      <w:tr w14:paraId="5715B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1" w:type="dxa"/>
            <w:vAlign w:val="center"/>
          </w:tcPr>
          <w:p w14:paraId="46E9390A">
            <w:pPr>
              <w:pStyle w:val="37"/>
              <w:spacing w:before="0" w:beforeAutospacing="0" w:after="0" w:afterAutospacing="0"/>
              <w:ind w:firstLine="420"/>
              <w:rPr>
                <w:rFonts w:hint="eastAsia"/>
                <w:color w:val="auto"/>
                <w:sz w:val="21"/>
                <w:szCs w:val="21"/>
              </w:rPr>
            </w:pPr>
            <w:r>
              <w:rPr>
                <w:rFonts w:hint="eastAsia"/>
                <w:color w:val="auto"/>
                <w:sz w:val="21"/>
                <w:szCs w:val="21"/>
              </w:rPr>
              <w:t>综合评分法。在最大限度地满足招标文件实质性要求的前提下，按照招标文件中规定的各项因素进行综合评审，评标总得分排名前列的投标人，作为推荐的候选中标供应商</w:t>
            </w:r>
            <w:r>
              <w:rPr>
                <w:color w:val="auto"/>
                <w:sz w:val="21"/>
                <w:szCs w:val="21"/>
              </w:rPr>
              <w:t xml:space="preserve">。 </w:t>
            </w:r>
          </w:p>
          <w:p w14:paraId="08F8F0DC">
            <w:pPr>
              <w:pStyle w:val="37"/>
              <w:spacing w:before="0" w:beforeAutospacing="0" w:after="0" w:afterAutospacing="0"/>
              <w:ind w:firstLine="420"/>
              <w:rPr>
                <w:rFonts w:hint="eastAsia"/>
                <w:color w:val="auto"/>
                <w:sz w:val="21"/>
                <w:szCs w:val="21"/>
              </w:rPr>
            </w:pPr>
            <w:r>
              <w:rPr>
                <w:color w:val="auto"/>
                <w:sz w:val="21"/>
                <w:szCs w:val="21"/>
              </w:rPr>
              <w:t>价格分计算方法：</w:t>
            </w:r>
          </w:p>
          <w:p w14:paraId="093A7C8B">
            <w:pPr>
              <w:pStyle w:val="23"/>
              <w:ind w:firstLine="210"/>
              <w:rPr>
                <w:color w:val="auto"/>
                <w:szCs w:val="18"/>
              </w:rPr>
            </w:pPr>
            <w:r>
              <w:rPr>
                <w:color w:val="auto"/>
              </w:rPr>
              <w:t xml:space="preserve">采用低价优先法计算，即满足招标文件要求且投标价格最低的投标报价为评标基准价，其价格分为满分。其他投标人的价格分统一按照下列公式计算： </w:t>
            </w:r>
            <w:r>
              <w:rPr>
                <w:color w:val="auto"/>
              </w:rPr>
              <w:br w:type="textWrapping"/>
            </w:r>
            <w:r>
              <w:rPr>
                <w:color w:val="auto"/>
              </w:rPr>
              <w:t xml:space="preserve">投标报价得分=(评标基准价／投标报价)×100 </w:t>
            </w:r>
            <w:r>
              <w:rPr>
                <w:color w:val="auto"/>
              </w:rPr>
              <w:br w:type="textWrapping"/>
            </w:r>
            <w:r>
              <w:rPr>
                <w:rFonts w:hint="eastAsia"/>
                <w:color w:val="auto"/>
              </w:rPr>
              <w:t xml:space="preserve">    </w:t>
            </w:r>
            <w:r>
              <w:rPr>
                <w:color w:val="auto"/>
              </w:rPr>
              <w:t xml:space="preserve">评标总得分＝F1×A1＋F2×A2＋……＋Fn×An </w:t>
            </w:r>
            <w:r>
              <w:rPr>
                <w:color w:val="auto"/>
              </w:rPr>
              <w:br w:type="textWrapping"/>
            </w:r>
            <w:r>
              <w:rPr>
                <w:color w:val="auto"/>
              </w:rPr>
              <w:t xml:space="preserve">F1、F2……Fn分别为各项评审因素的得分； </w:t>
            </w:r>
            <w:r>
              <w:rPr>
                <w:color w:val="auto"/>
              </w:rPr>
              <w:br w:type="textWrapping"/>
            </w:r>
            <w:r>
              <w:rPr>
                <w:color w:val="auto"/>
              </w:rPr>
              <w:t xml:space="preserve">A1、A2、……An 分别为各项评审因素所占的权重(A1＋A2＋……＋An＝1)。 </w:t>
            </w:r>
            <w:r>
              <w:rPr>
                <w:color w:val="auto"/>
              </w:rPr>
              <w:br w:type="textWrapping"/>
            </w:r>
            <w:r>
              <w:rPr>
                <w:color w:val="auto"/>
              </w:rPr>
              <w:t xml:space="preserve">评标过程中，不得去掉报价中的最高报价和最低报价。 </w:t>
            </w:r>
            <w:r>
              <w:rPr>
                <w:color w:val="auto"/>
              </w:rPr>
              <w:br w:type="textWrapping"/>
            </w:r>
            <w:r>
              <w:rPr>
                <w:color w:val="auto"/>
              </w:rPr>
              <w:t>此方法适用于货物类、服务类、工程类项目。</w:t>
            </w:r>
          </w:p>
        </w:tc>
      </w:tr>
    </w:tbl>
    <w:p w14:paraId="41F1B2B0">
      <w:pPr>
        <w:rPr>
          <w:color w:val="auto"/>
        </w:rPr>
      </w:pPr>
    </w:p>
    <w:tbl>
      <w:tblPr>
        <w:tblStyle w:val="42"/>
        <w:tblpPr w:leftFromText="180" w:rightFromText="180" w:vertAnchor="text" w:horzAnchor="page" w:tblpX="1542" w:tblpY="602"/>
        <w:tblOverlap w:val="never"/>
        <w:tblW w:w="9072" w:type="dxa"/>
        <w:tblCellSpacing w:w="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20" w:type="dxa"/>
          <w:left w:w="108" w:type="dxa"/>
          <w:bottom w:w="20" w:type="dxa"/>
          <w:right w:w="108" w:type="dxa"/>
        </w:tblCellMar>
      </w:tblPr>
      <w:tblGrid>
        <w:gridCol w:w="668"/>
        <w:gridCol w:w="646"/>
        <w:gridCol w:w="1958"/>
        <w:gridCol w:w="917"/>
        <w:gridCol w:w="4883"/>
      </w:tblGrid>
      <w:tr w14:paraId="39471F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tcBorders>
              <w:tl2br w:val="nil"/>
              <w:tr2bl w:val="nil"/>
            </w:tcBorders>
            <w:shd w:val="clear" w:color="auto" w:fill="E6EFFA"/>
            <w:vAlign w:val="center"/>
          </w:tcPr>
          <w:p w14:paraId="6A10455D">
            <w:pPr>
              <w:wordWrap w:val="0"/>
              <w:rPr>
                <w:rFonts w:hint="eastAsia" w:ascii="宋体" w:hAnsi="宋体" w:cs="宋体"/>
                <w:b/>
                <w:bCs/>
                <w:color w:val="auto"/>
              </w:rPr>
            </w:pPr>
            <w:r>
              <w:rPr>
                <w:rFonts w:ascii="宋体" w:hAnsi="宋体" w:eastAsia="宋体"/>
                <w:b/>
                <w:bCs/>
                <w:color w:val="auto"/>
                <w:szCs w:val="21"/>
              </w:rPr>
              <w:t>序号</w:t>
            </w:r>
          </w:p>
        </w:tc>
        <w:tc>
          <w:tcPr>
            <w:tcW w:w="3521" w:type="dxa"/>
            <w:gridSpan w:val="3"/>
            <w:tcBorders>
              <w:tl2br w:val="nil"/>
              <w:tr2bl w:val="nil"/>
            </w:tcBorders>
            <w:shd w:val="clear" w:color="auto" w:fill="E6EFFA"/>
            <w:vAlign w:val="center"/>
          </w:tcPr>
          <w:p w14:paraId="0484D895">
            <w:pPr>
              <w:wordWrap w:val="0"/>
              <w:jc w:val="center"/>
              <w:rPr>
                <w:rFonts w:hint="eastAsia" w:ascii="宋体" w:hAnsi="宋体" w:cs="宋体"/>
                <w:b/>
                <w:bCs/>
                <w:color w:val="auto"/>
              </w:rPr>
            </w:pPr>
            <w:r>
              <w:rPr>
                <w:rFonts w:ascii="宋体" w:hAnsi="宋体" w:eastAsia="宋体"/>
                <w:b/>
                <w:bCs/>
                <w:color w:val="auto"/>
                <w:szCs w:val="21"/>
              </w:rPr>
              <w:t>评分项</w:t>
            </w:r>
          </w:p>
        </w:tc>
        <w:tc>
          <w:tcPr>
            <w:tcW w:w="4883" w:type="dxa"/>
            <w:tcBorders>
              <w:tl2br w:val="nil"/>
              <w:tr2bl w:val="nil"/>
            </w:tcBorders>
            <w:shd w:val="clear" w:color="auto" w:fill="E6EFFA"/>
            <w:vAlign w:val="center"/>
          </w:tcPr>
          <w:p w14:paraId="6E0C5ABC">
            <w:pPr>
              <w:wordWrap w:val="0"/>
              <w:jc w:val="center"/>
              <w:rPr>
                <w:rFonts w:hint="eastAsia" w:ascii="宋体" w:hAnsi="宋体" w:cs="宋体"/>
                <w:b/>
                <w:bCs/>
                <w:color w:val="auto"/>
              </w:rPr>
            </w:pPr>
            <w:r>
              <w:rPr>
                <w:rFonts w:ascii="宋体" w:hAnsi="宋体" w:eastAsia="宋体"/>
                <w:b/>
                <w:bCs/>
                <w:color w:val="auto"/>
                <w:szCs w:val="21"/>
              </w:rPr>
              <w:t>权重(%)</w:t>
            </w:r>
          </w:p>
        </w:tc>
      </w:tr>
      <w:tr w14:paraId="645B5B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restart"/>
            <w:tcBorders>
              <w:tl2br w:val="nil"/>
              <w:tr2bl w:val="nil"/>
            </w:tcBorders>
            <w:vAlign w:val="center"/>
          </w:tcPr>
          <w:p w14:paraId="65A6B3E6">
            <w:pPr>
              <w:wordWrap w:val="0"/>
              <w:jc w:val="center"/>
              <w:rPr>
                <w:rFonts w:hint="eastAsia" w:ascii="宋体" w:hAnsi="宋体" w:cs="宋体"/>
                <w:b/>
                <w:bCs/>
                <w:color w:val="auto"/>
              </w:rPr>
            </w:pPr>
            <w:r>
              <w:rPr>
                <w:rFonts w:ascii="宋体" w:hAnsi="宋体" w:eastAsia="宋体"/>
                <w:b/>
                <w:bCs/>
                <w:color w:val="auto"/>
                <w:szCs w:val="21"/>
              </w:rPr>
              <w:t>1</w:t>
            </w:r>
          </w:p>
        </w:tc>
        <w:tc>
          <w:tcPr>
            <w:tcW w:w="3521" w:type="dxa"/>
            <w:gridSpan w:val="3"/>
            <w:tcBorders>
              <w:tl2br w:val="nil"/>
              <w:tr2bl w:val="nil"/>
            </w:tcBorders>
            <w:vAlign w:val="center"/>
          </w:tcPr>
          <w:p w14:paraId="478008EB">
            <w:pPr>
              <w:wordWrap w:val="0"/>
              <w:jc w:val="center"/>
              <w:rPr>
                <w:rFonts w:hint="eastAsia" w:ascii="宋体" w:hAnsi="宋体" w:cs="宋体"/>
                <w:b/>
                <w:bCs/>
                <w:color w:val="auto"/>
              </w:rPr>
            </w:pPr>
            <w:r>
              <w:rPr>
                <w:rFonts w:ascii="宋体" w:hAnsi="宋体" w:eastAsia="宋体"/>
                <w:b/>
                <w:bCs/>
                <w:color w:val="auto"/>
                <w:szCs w:val="21"/>
              </w:rPr>
              <w:t>价格</w:t>
            </w:r>
          </w:p>
        </w:tc>
        <w:tc>
          <w:tcPr>
            <w:tcW w:w="4883" w:type="dxa"/>
            <w:tcBorders>
              <w:tl2br w:val="nil"/>
              <w:tr2bl w:val="nil"/>
            </w:tcBorders>
            <w:vAlign w:val="center"/>
          </w:tcPr>
          <w:p w14:paraId="42A58F74">
            <w:pPr>
              <w:wordWrap w:val="0"/>
              <w:jc w:val="center"/>
              <w:rPr>
                <w:rFonts w:hint="eastAsia" w:ascii="宋体" w:hAnsi="宋体" w:cs="宋体"/>
                <w:b/>
                <w:bCs/>
                <w:color w:val="auto"/>
              </w:rPr>
            </w:pPr>
            <w:r>
              <w:rPr>
                <w:rFonts w:hint="eastAsia" w:ascii="宋体" w:hAnsi="宋体" w:eastAsia="宋体"/>
                <w:b/>
                <w:bCs/>
                <w:color w:val="auto"/>
                <w:szCs w:val="21"/>
              </w:rPr>
              <w:t>30</w:t>
            </w:r>
          </w:p>
        </w:tc>
      </w:tr>
      <w:tr w14:paraId="3B3AEB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continue"/>
            <w:tcBorders>
              <w:tl2br w:val="nil"/>
              <w:tr2bl w:val="nil"/>
            </w:tcBorders>
            <w:vAlign w:val="center"/>
          </w:tcPr>
          <w:p w14:paraId="70F8F058">
            <w:pPr>
              <w:rPr>
                <w:rFonts w:hint="eastAsia" w:ascii="宋体" w:hAnsi="宋体" w:cs="宋体"/>
                <w:b/>
                <w:bCs/>
                <w:color w:val="auto"/>
              </w:rPr>
            </w:pPr>
          </w:p>
        </w:tc>
        <w:tc>
          <w:tcPr>
            <w:tcW w:w="8404" w:type="dxa"/>
            <w:gridSpan w:val="4"/>
            <w:tcBorders>
              <w:tl2br w:val="nil"/>
              <w:tr2bl w:val="nil"/>
            </w:tcBorders>
            <w:vAlign w:val="center"/>
          </w:tcPr>
          <w:p w14:paraId="794EB66A">
            <w:pPr>
              <w:wordWrap w:val="0"/>
              <w:rPr>
                <w:color w:val="auto"/>
              </w:rPr>
            </w:pPr>
            <w:r>
              <w:rPr>
                <w:rFonts w:hint="eastAsia"/>
                <w:color w:val="auto"/>
                <w:szCs w:val="21"/>
              </w:rPr>
              <w:t>综合评分法。在最大限度地满足招标文件实质性要求的前提下，按照招标文件中规定的各项因素进行综合评审，评标总得分排名前列的投标人，作为推荐的候选中标供应商</w:t>
            </w:r>
            <w:r>
              <w:rPr>
                <w:color w:val="auto"/>
                <w:szCs w:val="21"/>
              </w:rPr>
              <w:t>。</w:t>
            </w:r>
          </w:p>
          <w:p w14:paraId="4907EB92">
            <w:pPr>
              <w:wordWrap w:val="0"/>
              <w:rPr>
                <w:rFonts w:hint="eastAsia" w:ascii="宋体" w:hAnsi="宋体" w:cs="宋体"/>
                <w:color w:val="auto"/>
              </w:rPr>
            </w:pPr>
            <w:r>
              <w:rPr>
                <w:rFonts w:hint="eastAsia" w:ascii="宋体" w:hAnsi="宋体" w:eastAsia="宋体" w:cs="宋体"/>
                <w:color w:val="auto"/>
                <w:szCs w:val="21"/>
              </w:rPr>
              <w:t>价格分采用低价优先法计算，即满足招标文件要求且投标</w:t>
            </w:r>
            <w:r>
              <w:rPr>
                <w:rFonts w:ascii="宋体" w:hAnsi="宋体" w:eastAsia="宋体" w:cs="宋体"/>
                <w:color w:val="auto"/>
                <w:szCs w:val="21"/>
              </w:rPr>
              <w:t>价</w:t>
            </w:r>
            <w:r>
              <w:rPr>
                <w:rFonts w:hint="eastAsia" w:ascii="宋体" w:hAnsi="宋体" w:eastAsia="宋体" w:cs="宋体"/>
                <w:color w:val="auto"/>
                <w:szCs w:val="21"/>
              </w:rPr>
              <w:t>格最低的投标报价为评标基准价，其价格分为满分。其他投标人的价格份统一按下列公式计算：</w:t>
            </w:r>
          </w:p>
          <w:p w14:paraId="29B1FF4D">
            <w:pPr>
              <w:wordWrap w:val="0"/>
              <w:rPr>
                <w:rFonts w:hint="eastAsia" w:ascii="宋体" w:hAnsi="宋体" w:cs="宋体"/>
                <w:color w:val="auto"/>
              </w:rPr>
            </w:pPr>
            <w:r>
              <w:rPr>
                <w:rFonts w:hint="eastAsia" w:ascii="宋体" w:hAnsi="宋体" w:eastAsia="宋体" w:cs="宋体"/>
                <w:color w:val="auto"/>
                <w:szCs w:val="21"/>
              </w:rPr>
              <w:t>投标报价得分=（评标基准价/投标报价）*30%*100；计算结果保留至小数点后两位。</w:t>
            </w:r>
          </w:p>
        </w:tc>
      </w:tr>
      <w:tr w14:paraId="4A38D1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restart"/>
            <w:tcBorders>
              <w:tl2br w:val="nil"/>
              <w:tr2bl w:val="nil"/>
            </w:tcBorders>
            <w:vAlign w:val="center"/>
          </w:tcPr>
          <w:p w14:paraId="42294FB3">
            <w:pPr>
              <w:wordWrap w:val="0"/>
              <w:jc w:val="center"/>
              <w:rPr>
                <w:rFonts w:hint="eastAsia" w:ascii="宋体" w:hAnsi="宋体" w:cs="宋体"/>
                <w:b/>
                <w:bCs/>
                <w:color w:val="auto"/>
              </w:rPr>
            </w:pPr>
            <w:r>
              <w:rPr>
                <w:rFonts w:ascii="宋体" w:hAnsi="宋体" w:eastAsia="宋体"/>
                <w:b/>
                <w:bCs/>
                <w:color w:val="auto"/>
                <w:szCs w:val="21"/>
              </w:rPr>
              <w:t>2</w:t>
            </w:r>
          </w:p>
        </w:tc>
        <w:tc>
          <w:tcPr>
            <w:tcW w:w="3521" w:type="dxa"/>
            <w:gridSpan w:val="3"/>
            <w:tcBorders>
              <w:tl2br w:val="nil"/>
              <w:tr2bl w:val="nil"/>
            </w:tcBorders>
            <w:vAlign w:val="center"/>
          </w:tcPr>
          <w:p w14:paraId="35AE7CA3">
            <w:pPr>
              <w:wordWrap w:val="0"/>
              <w:jc w:val="center"/>
              <w:rPr>
                <w:rFonts w:hint="eastAsia" w:ascii="宋体" w:hAnsi="宋体" w:cs="宋体"/>
                <w:b/>
                <w:bCs/>
                <w:color w:val="auto"/>
              </w:rPr>
            </w:pPr>
            <w:r>
              <w:rPr>
                <w:rFonts w:ascii="宋体" w:hAnsi="宋体" w:eastAsia="宋体"/>
                <w:b/>
                <w:bCs/>
                <w:color w:val="auto"/>
                <w:szCs w:val="21"/>
              </w:rPr>
              <w:t>技术</w:t>
            </w:r>
            <w:r>
              <w:rPr>
                <w:rFonts w:hint="eastAsia" w:ascii="宋体" w:hAnsi="宋体" w:eastAsia="宋体"/>
                <w:b/>
                <w:bCs/>
                <w:color w:val="auto"/>
                <w:szCs w:val="21"/>
              </w:rPr>
              <w:t>部分</w:t>
            </w:r>
          </w:p>
        </w:tc>
        <w:tc>
          <w:tcPr>
            <w:tcW w:w="4883" w:type="dxa"/>
            <w:tcBorders>
              <w:tl2br w:val="nil"/>
              <w:tr2bl w:val="nil"/>
            </w:tcBorders>
            <w:vAlign w:val="center"/>
          </w:tcPr>
          <w:p w14:paraId="14C65BCB">
            <w:pPr>
              <w:wordWrap w:val="0"/>
              <w:jc w:val="center"/>
              <w:rPr>
                <w:rFonts w:hint="default" w:ascii="宋体" w:hAnsi="宋体" w:eastAsia="宋体" w:cs="宋体"/>
                <w:b/>
                <w:bCs/>
                <w:color w:val="auto"/>
                <w:lang w:val="en-US" w:eastAsia="zh-CN"/>
              </w:rPr>
            </w:pPr>
            <w:r>
              <w:rPr>
                <w:rFonts w:hint="eastAsia" w:ascii="宋体" w:hAnsi="宋体" w:cs="宋体"/>
                <w:b/>
                <w:bCs/>
                <w:color w:val="auto"/>
                <w:lang w:val="en-US" w:eastAsia="zh-CN"/>
              </w:rPr>
              <w:t>49</w:t>
            </w:r>
          </w:p>
        </w:tc>
      </w:tr>
      <w:tr w14:paraId="10AE8D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continue"/>
            <w:tcBorders>
              <w:tl2br w:val="nil"/>
              <w:tr2bl w:val="nil"/>
            </w:tcBorders>
            <w:vAlign w:val="center"/>
          </w:tcPr>
          <w:p w14:paraId="32AC50F5">
            <w:pPr>
              <w:rPr>
                <w:rFonts w:hint="eastAsia" w:ascii="宋体" w:hAnsi="宋体" w:cs="宋体"/>
                <w:b/>
                <w:bCs/>
                <w:color w:val="auto"/>
              </w:rPr>
            </w:pPr>
          </w:p>
        </w:tc>
        <w:tc>
          <w:tcPr>
            <w:tcW w:w="8404" w:type="dxa"/>
            <w:gridSpan w:val="4"/>
            <w:tcBorders>
              <w:tl2br w:val="nil"/>
              <w:tr2bl w:val="nil"/>
            </w:tcBorders>
            <w:vAlign w:val="center"/>
          </w:tcPr>
          <w:p w14:paraId="1E6066D8">
            <w:pPr>
              <w:wordWrap w:val="0"/>
              <w:rPr>
                <w:rFonts w:hint="eastAsia" w:ascii="宋体" w:hAnsi="宋体" w:cs="宋体"/>
                <w:color w:val="auto"/>
              </w:rPr>
            </w:pPr>
          </w:p>
        </w:tc>
      </w:tr>
      <w:tr w14:paraId="638216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continue"/>
            <w:tcBorders>
              <w:tl2br w:val="nil"/>
              <w:tr2bl w:val="nil"/>
            </w:tcBorders>
            <w:shd w:val="clear" w:color="auto" w:fill="E6EFFA"/>
            <w:vAlign w:val="center"/>
          </w:tcPr>
          <w:p w14:paraId="7A39F749">
            <w:pPr>
              <w:rPr>
                <w:rFonts w:hint="eastAsia" w:ascii="宋体" w:hAnsi="宋体" w:cs="宋体"/>
                <w:b/>
                <w:bCs/>
                <w:color w:val="auto"/>
              </w:rPr>
            </w:pPr>
          </w:p>
        </w:tc>
        <w:tc>
          <w:tcPr>
            <w:tcW w:w="646" w:type="dxa"/>
            <w:tcBorders>
              <w:tl2br w:val="nil"/>
              <w:tr2bl w:val="nil"/>
            </w:tcBorders>
            <w:shd w:val="clear" w:color="auto" w:fill="E6EFFA"/>
            <w:vAlign w:val="center"/>
          </w:tcPr>
          <w:p w14:paraId="3AE11B72">
            <w:pPr>
              <w:wordWrap w:val="0"/>
              <w:jc w:val="center"/>
              <w:rPr>
                <w:rFonts w:hint="eastAsia" w:ascii="宋体" w:hAnsi="宋体" w:cs="宋体"/>
                <w:color w:val="auto"/>
              </w:rPr>
            </w:pPr>
            <w:r>
              <w:rPr>
                <w:rFonts w:ascii="宋体" w:hAnsi="宋体" w:eastAsia="宋体"/>
                <w:color w:val="auto"/>
                <w:szCs w:val="21"/>
              </w:rPr>
              <w:t>序号</w:t>
            </w:r>
          </w:p>
        </w:tc>
        <w:tc>
          <w:tcPr>
            <w:tcW w:w="1958" w:type="dxa"/>
            <w:tcBorders>
              <w:tl2br w:val="nil"/>
              <w:tr2bl w:val="nil"/>
            </w:tcBorders>
            <w:shd w:val="clear" w:color="auto" w:fill="E6EFFA"/>
            <w:vAlign w:val="center"/>
          </w:tcPr>
          <w:p w14:paraId="4C795FF0">
            <w:pPr>
              <w:wordWrap w:val="0"/>
              <w:jc w:val="center"/>
              <w:rPr>
                <w:rFonts w:hint="eastAsia" w:ascii="宋体" w:hAnsi="宋体" w:cs="宋体"/>
                <w:color w:val="auto"/>
              </w:rPr>
            </w:pPr>
            <w:r>
              <w:rPr>
                <w:rFonts w:ascii="宋体" w:hAnsi="宋体" w:eastAsia="宋体"/>
                <w:color w:val="auto"/>
                <w:szCs w:val="21"/>
              </w:rPr>
              <w:t>评分因素</w:t>
            </w:r>
          </w:p>
        </w:tc>
        <w:tc>
          <w:tcPr>
            <w:tcW w:w="917" w:type="dxa"/>
            <w:tcBorders>
              <w:tl2br w:val="nil"/>
              <w:tr2bl w:val="nil"/>
            </w:tcBorders>
            <w:shd w:val="clear" w:color="auto" w:fill="E6EFFA"/>
            <w:vAlign w:val="center"/>
          </w:tcPr>
          <w:p w14:paraId="284D22A3">
            <w:pPr>
              <w:wordWrap w:val="0"/>
              <w:jc w:val="center"/>
              <w:rPr>
                <w:rFonts w:hint="eastAsia" w:ascii="宋体" w:hAnsi="宋体" w:cs="宋体"/>
                <w:color w:val="auto"/>
              </w:rPr>
            </w:pPr>
            <w:r>
              <w:rPr>
                <w:rFonts w:hint="eastAsia" w:ascii="宋体" w:hAnsi="宋体" w:eastAsia="宋体"/>
                <w:color w:val="auto"/>
                <w:szCs w:val="21"/>
              </w:rPr>
              <w:t>分值</w:t>
            </w:r>
          </w:p>
        </w:tc>
        <w:tc>
          <w:tcPr>
            <w:tcW w:w="4883" w:type="dxa"/>
            <w:tcBorders>
              <w:tl2br w:val="nil"/>
              <w:tr2bl w:val="nil"/>
            </w:tcBorders>
            <w:shd w:val="clear" w:color="auto" w:fill="E6EFFA"/>
            <w:vAlign w:val="center"/>
          </w:tcPr>
          <w:p w14:paraId="1DFD0B1D">
            <w:pPr>
              <w:wordWrap w:val="0"/>
              <w:jc w:val="center"/>
              <w:rPr>
                <w:rFonts w:hint="eastAsia" w:ascii="宋体" w:hAnsi="宋体" w:cs="宋体"/>
                <w:color w:val="auto"/>
              </w:rPr>
            </w:pPr>
            <w:r>
              <w:rPr>
                <w:rFonts w:ascii="宋体" w:hAnsi="宋体" w:eastAsia="宋体"/>
                <w:color w:val="auto"/>
                <w:szCs w:val="21"/>
              </w:rPr>
              <w:t>评分准则</w:t>
            </w:r>
          </w:p>
        </w:tc>
      </w:tr>
      <w:tr w14:paraId="2B36ED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rHeight w:val="90" w:hRule="atLeast"/>
          <w:tblCellSpacing w:w="0" w:type="dxa"/>
        </w:trPr>
        <w:tc>
          <w:tcPr>
            <w:tcW w:w="668" w:type="dxa"/>
            <w:vMerge w:val="continue"/>
            <w:tcBorders>
              <w:tl2br w:val="nil"/>
              <w:tr2bl w:val="nil"/>
            </w:tcBorders>
            <w:vAlign w:val="center"/>
          </w:tcPr>
          <w:p w14:paraId="313E7054">
            <w:pPr>
              <w:rPr>
                <w:rFonts w:hint="eastAsia" w:ascii="宋体" w:hAnsi="宋体" w:cs="宋体"/>
                <w:b/>
                <w:bCs/>
                <w:color w:val="auto"/>
              </w:rPr>
            </w:pPr>
          </w:p>
        </w:tc>
        <w:tc>
          <w:tcPr>
            <w:tcW w:w="646" w:type="dxa"/>
            <w:tcBorders>
              <w:tl2br w:val="nil"/>
              <w:tr2bl w:val="nil"/>
            </w:tcBorders>
            <w:vAlign w:val="center"/>
          </w:tcPr>
          <w:p w14:paraId="6E1F16B4">
            <w:pPr>
              <w:wordWrap w:val="0"/>
              <w:jc w:val="center"/>
              <w:rPr>
                <w:rFonts w:hint="eastAsia" w:ascii="宋体" w:hAnsi="宋体"/>
                <w:color w:val="auto"/>
              </w:rPr>
            </w:pPr>
            <w:r>
              <w:rPr>
                <w:rFonts w:hint="eastAsia" w:ascii="宋体" w:hAnsi="宋体"/>
                <w:color w:val="auto"/>
                <w:szCs w:val="21"/>
              </w:rPr>
              <w:t>1</w:t>
            </w:r>
          </w:p>
        </w:tc>
        <w:tc>
          <w:tcPr>
            <w:tcW w:w="1958" w:type="dxa"/>
            <w:tcBorders>
              <w:tl2br w:val="nil"/>
              <w:tr2bl w:val="nil"/>
            </w:tcBorders>
            <w:vAlign w:val="center"/>
          </w:tcPr>
          <w:p w14:paraId="00EB7C98">
            <w:pPr>
              <w:jc w:val="center"/>
              <w:rPr>
                <w:rFonts w:hint="eastAsia" w:ascii="宋体" w:hAnsi="宋体" w:cs="宋体"/>
                <w:color w:val="auto"/>
              </w:rPr>
            </w:pPr>
            <w:r>
              <w:rPr>
                <w:rFonts w:hint="eastAsia"/>
                <w:b/>
                <w:bCs/>
                <w:color w:val="auto"/>
              </w:rPr>
              <w:t>技术参数响应</w:t>
            </w:r>
          </w:p>
        </w:tc>
        <w:tc>
          <w:tcPr>
            <w:tcW w:w="917" w:type="dxa"/>
            <w:tcBorders>
              <w:tl2br w:val="nil"/>
              <w:tr2bl w:val="nil"/>
            </w:tcBorders>
            <w:vAlign w:val="center"/>
          </w:tcPr>
          <w:p w14:paraId="31E9B2BA">
            <w:pPr>
              <w:jc w:val="center"/>
              <w:rPr>
                <w:rFonts w:hint="default" w:ascii="宋体" w:hAnsi="宋体" w:eastAsia="宋体" w:cs="宋体"/>
                <w:color w:val="auto"/>
                <w:lang w:val="en-US" w:eastAsia="zh-CN"/>
              </w:rPr>
            </w:pPr>
            <w:r>
              <w:rPr>
                <w:rFonts w:hint="eastAsia"/>
                <w:color w:val="auto"/>
                <w:lang w:val="en-US" w:eastAsia="zh-CN"/>
              </w:rPr>
              <w:t>26</w:t>
            </w:r>
          </w:p>
        </w:tc>
        <w:tc>
          <w:tcPr>
            <w:tcW w:w="4883" w:type="dxa"/>
            <w:tcBorders>
              <w:tl2br w:val="nil"/>
              <w:tr2bl w:val="nil"/>
            </w:tcBorders>
            <w:vAlign w:val="center"/>
          </w:tcPr>
          <w:p w14:paraId="069A2B2D">
            <w:pPr>
              <w:wordWrap w:val="0"/>
              <w:rPr>
                <w:rFonts w:hint="eastAsia"/>
                <w:b/>
                <w:bCs/>
                <w:color w:val="auto"/>
                <w:szCs w:val="21"/>
              </w:rPr>
            </w:pPr>
            <w:r>
              <w:rPr>
                <w:rFonts w:hint="eastAsia"/>
                <w:b/>
                <w:bCs/>
                <w:color w:val="auto"/>
                <w:szCs w:val="21"/>
              </w:rPr>
              <w:t>（一）评审内容</w:t>
            </w:r>
          </w:p>
          <w:p w14:paraId="54D3B6A7">
            <w:pPr>
              <w:wordWrap w:val="0"/>
              <w:rPr>
                <w:rFonts w:hint="eastAsia"/>
                <w:color w:val="auto"/>
                <w:szCs w:val="21"/>
              </w:rPr>
            </w:pPr>
            <w:r>
              <w:rPr>
                <w:rFonts w:hint="eastAsia"/>
                <w:color w:val="auto"/>
                <w:szCs w:val="21"/>
              </w:rPr>
              <w:t>1.带“★”号技术条款为不可偏离条款，投标人须填写《实质性条款响应情况表》，逐项完全响应，并按要求提供佐证材料，否则将导致投标无效；</w:t>
            </w:r>
          </w:p>
          <w:p w14:paraId="378F36BC">
            <w:pPr>
              <w:wordWrap w:val="0"/>
              <w:rPr>
                <w:rFonts w:hint="eastAsia"/>
                <w:color w:val="auto"/>
                <w:szCs w:val="21"/>
              </w:rPr>
            </w:pPr>
            <w:r>
              <w:rPr>
                <w:rFonts w:hint="eastAsia"/>
                <w:color w:val="auto"/>
                <w:szCs w:val="21"/>
              </w:rPr>
              <w:t>2.带“▲”标识的技术条款为重要技术参数，投标人须填写《重要技术参数响应情况表》，逐项响应（完全响应、正偏离、负偏离），并按要求提供佐证材料（仅简单复制粘贴参数内容，视为无效响应）；</w:t>
            </w:r>
          </w:p>
          <w:p w14:paraId="4ACC17DC">
            <w:pPr>
              <w:wordWrap w:val="0"/>
              <w:rPr>
                <w:rFonts w:hint="eastAsia"/>
                <w:color w:val="auto"/>
                <w:szCs w:val="21"/>
              </w:rPr>
            </w:pPr>
            <w:r>
              <w:rPr>
                <w:rFonts w:hint="eastAsia"/>
                <w:color w:val="auto"/>
                <w:szCs w:val="21"/>
              </w:rPr>
              <w:t>3.未标注任何符号的为普通技术参数，投标人须逐项响应（完全响应、正偏离、负偏离），并自附相关证明材料，确保响应内容真实、有效。</w:t>
            </w:r>
          </w:p>
          <w:p w14:paraId="132CC597">
            <w:pPr>
              <w:wordWrap w:val="0"/>
              <w:rPr>
                <w:rFonts w:hint="eastAsia"/>
                <w:b/>
                <w:bCs/>
                <w:color w:val="auto"/>
                <w:szCs w:val="21"/>
              </w:rPr>
            </w:pPr>
            <w:r>
              <w:rPr>
                <w:rFonts w:hint="eastAsia"/>
                <w:b/>
                <w:bCs/>
                <w:color w:val="auto"/>
                <w:szCs w:val="21"/>
              </w:rPr>
              <w:t>（二）评审标准</w:t>
            </w:r>
          </w:p>
          <w:p w14:paraId="55A020E1">
            <w:pPr>
              <w:wordWrap w:val="0"/>
              <w:rPr>
                <w:rFonts w:hint="eastAsia"/>
                <w:color w:val="auto"/>
                <w:szCs w:val="21"/>
              </w:rPr>
            </w:pPr>
            <w:r>
              <w:rPr>
                <w:rFonts w:hint="eastAsia"/>
                <w:color w:val="auto"/>
                <w:szCs w:val="21"/>
              </w:rPr>
              <w:t>1.重要技术参数（带“▲”）：满分</w:t>
            </w:r>
            <w:r>
              <w:rPr>
                <w:rFonts w:hint="eastAsia"/>
                <w:color w:val="auto"/>
                <w:szCs w:val="21"/>
                <w:lang w:val="en-US" w:eastAsia="zh-CN"/>
              </w:rPr>
              <w:t>19</w:t>
            </w:r>
            <w:r>
              <w:rPr>
                <w:rFonts w:hint="eastAsia"/>
                <w:color w:val="auto"/>
                <w:szCs w:val="21"/>
              </w:rPr>
              <w:t>分。投标人须逐项响应，评审专家根据参数响应度进行评审， 每有一项不满足（未响应、未提供佐证材料）扣1分，扣完为止。</w:t>
            </w:r>
          </w:p>
          <w:p w14:paraId="27701FC8">
            <w:pPr>
              <w:wordWrap w:val="0"/>
              <w:rPr>
                <w:rFonts w:hint="eastAsia"/>
                <w:color w:val="auto"/>
                <w:szCs w:val="18"/>
              </w:rPr>
            </w:pPr>
            <w:r>
              <w:rPr>
                <w:rFonts w:hint="eastAsia"/>
                <w:color w:val="auto"/>
                <w:szCs w:val="21"/>
              </w:rPr>
              <w:t>2.普通技术参数（未标注符号）：满分</w:t>
            </w:r>
            <w:r>
              <w:rPr>
                <w:rFonts w:hint="eastAsia"/>
                <w:color w:val="auto"/>
                <w:szCs w:val="21"/>
                <w:lang w:val="en-US" w:eastAsia="zh-CN"/>
              </w:rPr>
              <w:t>7</w:t>
            </w:r>
            <w:r>
              <w:rPr>
                <w:rFonts w:hint="eastAsia"/>
                <w:color w:val="auto"/>
                <w:szCs w:val="21"/>
              </w:rPr>
              <w:t>分。投标人须逐项响应，评审专家根据参数响应度进行评审。</w:t>
            </w:r>
            <w:r>
              <w:rPr>
                <w:rFonts w:hint="eastAsia"/>
                <w:color w:val="auto"/>
                <w:szCs w:val="18"/>
              </w:rPr>
              <w:t>完全响应得</w:t>
            </w:r>
            <w:r>
              <w:rPr>
                <w:rFonts w:hint="eastAsia"/>
                <w:color w:val="auto"/>
                <w:szCs w:val="18"/>
                <w:lang w:val="en-US" w:eastAsia="zh-CN"/>
              </w:rPr>
              <w:t>7</w:t>
            </w:r>
            <w:r>
              <w:rPr>
                <w:rFonts w:hint="eastAsia"/>
                <w:color w:val="auto"/>
                <w:szCs w:val="18"/>
              </w:rPr>
              <w:t>分，响应度大于90%得</w:t>
            </w:r>
            <w:r>
              <w:rPr>
                <w:rFonts w:hint="eastAsia"/>
                <w:color w:val="auto"/>
                <w:szCs w:val="18"/>
                <w:lang w:val="en-US" w:eastAsia="zh-CN"/>
              </w:rPr>
              <w:t>6</w:t>
            </w:r>
            <w:r>
              <w:rPr>
                <w:rFonts w:hint="eastAsia"/>
                <w:color w:val="auto"/>
                <w:szCs w:val="18"/>
              </w:rPr>
              <w:t>分，响应度大于80%得</w:t>
            </w:r>
            <w:r>
              <w:rPr>
                <w:rFonts w:hint="eastAsia"/>
                <w:color w:val="auto"/>
                <w:szCs w:val="18"/>
                <w:lang w:val="en-US" w:eastAsia="zh-CN"/>
              </w:rPr>
              <w:t>4</w:t>
            </w:r>
            <w:r>
              <w:rPr>
                <w:rFonts w:hint="eastAsia"/>
                <w:color w:val="auto"/>
                <w:szCs w:val="18"/>
              </w:rPr>
              <w:t>分，响应度大于70%得 2分，响应度低于60%不得分。</w:t>
            </w:r>
          </w:p>
          <w:p w14:paraId="69B32C49">
            <w:pPr>
              <w:wordWrap w:val="0"/>
              <w:rPr>
                <w:rFonts w:hint="eastAsia"/>
                <w:b/>
                <w:bCs/>
                <w:color w:val="auto"/>
                <w:szCs w:val="21"/>
              </w:rPr>
            </w:pPr>
            <w:r>
              <w:rPr>
                <w:rFonts w:hint="eastAsia"/>
                <w:b/>
                <w:bCs/>
                <w:color w:val="auto"/>
                <w:szCs w:val="21"/>
              </w:rPr>
              <w:t>（三）佐证材料提交及评审标准</w:t>
            </w:r>
          </w:p>
          <w:p w14:paraId="467D51F8">
            <w:pPr>
              <w:wordWrap w:val="0"/>
              <w:rPr>
                <w:rFonts w:hint="eastAsia"/>
                <w:color w:val="auto"/>
                <w:szCs w:val="21"/>
              </w:rPr>
            </w:pPr>
            <w:r>
              <w:rPr>
                <w:rFonts w:hint="eastAsia"/>
                <w:color w:val="auto"/>
                <w:szCs w:val="21"/>
              </w:rPr>
              <w:t>投标人提供的佐证材料须符合以下要求，未按要求提交的，相关技术参数视为负偏离，不予计分：</w:t>
            </w:r>
          </w:p>
          <w:p w14:paraId="433CA9A5">
            <w:pPr>
              <w:wordWrap w:val="0"/>
              <w:rPr>
                <w:rFonts w:hint="eastAsia"/>
                <w:color w:val="auto"/>
                <w:szCs w:val="21"/>
              </w:rPr>
            </w:pPr>
            <w:r>
              <w:rPr>
                <w:rFonts w:hint="eastAsia"/>
                <w:color w:val="auto"/>
                <w:szCs w:val="21"/>
              </w:rPr>
              <w:t>1.技术参数中明确要求提供指定证明材料的（如：第三方检测报告、系统截图、产品官方说明书、厂家授权证明等），投标人必须按要求提供对应材料，且需在《参数响应偏离表》中明确备注该证明材料在投标文件中的具体页码，并将证明材料按备注页码附于投标文件对应位置，便于评审专家核查。</w:t>
            </w:r>
          </w:p>
          <w:p w14:paraId="3BCE8A94">
            <w:pPr>
              <w:wordWrap w:val="0"/>
              <w:rPr>
                <w:rFonts w:hint="eastAsia"/>
                <w:color w:val="auto"/>
                <w:szCs w:val="21"/>
              </w:rPr>
            </w:pPr>
            <w:r>
              <w:rPr>
                <w:rFonts w:hint="eastAsia"/>
                <w:color w:val="auto"/>
                <w:szCs w:val="21"/>
              </w:rPr>
              <w:t>2.技术参数中未明确要求指定证明材料的，投标人可结合自身投标产品实际情况，自行提供能佐证参数响应真实性的材料（如：产品合格证、技术说明文档、厂家检测报告等），并在《参数响应偏离表》中备注材料在投标文件中的具体页码，同步附后备查；未主动提供佐证材料的，该参数视为负偏离。</w:t>
            </w:r>
          </w:p>
          <w:p w14:paraId="7411C962">
            <w:pPr>
              <w:wordWrap w:val="0"/>
              <w:rPr>
                <w:rFonts w:hint="eastAsia"/>
                <w:color w:val="auto"/>
                <w:szCs w:val="21"/>
              </w:rPr>
            </w:pPr>
            <w:r>
              <w:rPr>
                <w:rFonts w:hint="eastAsia"/>
                <w:color w:val="auto"/>
                <w:szCs w:val="21"/>
              </w:rPr>
              <w:t>3.所有佐证材料须清晰可辨、真实有效，复印件需加盖投标人公章（鲜章），若为第三方出具的材料（如检测报告），需提供完整原件复印件（含封面、检测结论页、盖章页），缺失相关页面视为佐证材料无效。</w:t>
            </w:r>
          </w:p>
          <w:p w14:paraId="59F40250">
            <w:pPr>
              <w:wordWrap w:val="0"/>
              <w:rPr>
                <w:rFonts w:ascii="Times New Roman" w:hAnsi="Times New Roman"/>
                <w:color w:val="auto"/>
                <w:kern w:val="0"/>
                <w:lang w:bidi="ar"/>
              </w:rPr>
            </w:pPr>
            <w:r>
              <w:rPr>
                <w:rFonts w:hint="eastAsia"/>
                <w:color w:val="auto"/>
                <w:szCs w:val="21"/>
              </w:rPr>
              <w:t>4.投标人提供的所有技术响应材料、佐证材料必须真实、合法、有效，严禁提供虚假材料、伪造佐证文件（包括但不限于伪造检测报告、篡改产品说明书、虚假截图等）。若经评审专家核查发现存在弄虚作假、提供虚假材料等行为，该投标文件视为无效投标，投标人将被取消投标资格，并承担由此产生的一切法律责任。</w:t>
            </w:r>
          </w:p>
        </w:tc>
      </w:tr>
      <w:tr w14:paraId="501DC3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rHeight w:val="23" w:hRule="atLeast"/>
          <w:tblCellSpacing w:w="0" w:type="dxa"/>
        </w:trPr>
        <w:tc>
          <w:tcPr>
            <w:tcW w:w="668" w:type="dxa"/>
            <w:vMerge w:val="continue"/>
            <w:tcBorders>
              <w:tl2br w:val="nil"/>
              <w:tr2bl w:val="nil"/>
            </w:tcBorders>
            <w:vAlign w:val="center"/>
          </w:tcPr>
          <w:p w14:paraId="7C21E250">
            <w:pPr>
              <w:rPr>
                <w:rFonts w:hint="eastAsia" w:ascii="宋体" w:hAnsi="宋体" w:cs="宋体"/>
                <w:b/>
                <w:bCs/>
                <w:color w:val="auto"/>
              </w:rPr>
            </w:pPr>
          </w:p>
        </w:tc>
        <w:tc>
          <w:tcPr>
            <w:tcW w:w="646" w:type="dxa"/>
            <w:tcBorders>
              <w:tl2br w:val="nil"/>
              <w:tr2bl w:val="nil"/>
            </w:tcBorders>
            <w:vAlign w:val="center"/>
          </w:tcPr>
          <w:p w14:paraId="00F01FD1">
            <w:pPr>
              <w:wordWrap w:val="0"/>
              <w:jc w:val="center"/>
              <w:rPr>
                <w:rFonts w:hint="eastAsia" w:ascii="宋体" w:hAnsi="宋体"/>
                <w:color w:val="auto"/>
              </w:rPr>
            </w:pPr>
            <w:r>
              <w:rPr>
                <w:rFonts w:hint="eastAsia" w:ascii="宋体" w:hAnsi="宋体"/>
                <w:color w:val="auto"/>
                <w:szCs w:val="21"/>
              </w:rPr>
              <w:t>2</w:t>
            </w:r>
          </w:p>
        </w:tc>
        <w:tc>
          <w:tcPr>
            <w:tcW w:w="1958" w:type="dxa"/>
            <w:tcBorders>
              <w:tl2br w:val="nil"/>
              <w:tr2bl w:val="nil"/>
            </w:tcBorders>
            <w:vAlign w:val="center"/>
          </w:tcPr>
          <w:p w14:paraId="67B2D94F">
            <w:pPr>
              <w:jc w:val="center"/>
              <w:rPr>
                <w:rFonts w:hint="eastAsia" w:ascii="宋体" w:hAnsi="宋体"/>
                <w:b/>
                <w:bCs/>
                <w:color w:val="auto"/>
              </w:rPr>
            </w:pPr>
            <w:r>
              <w:rPr>
                <w:rFonts w:hint="eastAsia"/>
                <w:b/>
                <w:bCs/>
                <w:color w:val="auto"/>
              </w:rPr>
              <w:t>产品视频演示</w:t>
            </w:r>
          </w:p>
        </w:tc>
        <w:tc>
          <w:tcPr>
            <w:tcW w:w="917" w:type="dxa"/>
            <w:tcBorders>
              <w:tl2br w:val="nil"/>
              <w:tr2bl w:val="nil"/>
            </w:tcBorders>
            <w:vAlign w:val="center"/>
          </w:tcPr>
          <w:p w14:paraId="6E7DB896">
            <w:pPr>
              <w:spacing w:line="360" w:lineRule="auto"/>
              <w:jc w:val="center"/>
              <w:rPr>
                <w:rFonts w:hint="eastAsia" w:ascii="宋体" w:hAnsi="宋体" w:cs="宋体"/>
                <w:color w:val="auto"/>
              </w:rPr>
            </w:pPr>
            <w:r>
              <w:rPr>
                <w:rFonts w:hint="eastAsia"/>
                <w:color w:val="auto"/>
              </w:rPr>
              <w:t>10</w:t>
            </w:r>
          </w:p>
        </w:tc>
        <w:tc>
          <w:tcPr>
            <w:tcW w:w="4883" w:type="dxa"/>
            <w:tcBorders>
              <w:tl2br w:val="nil"/>
              <w:tr2bl w:val="nil"/>
            </w:tcBorders>
            <w:vAlign w:val="center"/>
          </w:tcPr>
          <w:p w14:paraId="2A78C843">
            <w:pPr>
              <w:pStyle w:val="23"/>
              <w:rPr>
                <w:rFonts w:hint="eastAsia"/>
                <w:b/>
                <w:bCs/>
                <w:color w:val="auto"/>
                <w:szCs w:val="18"/>
              </w:rPr>
            </w:pPr>
            <w:r>
              <w:rPr>
                <w:rFonts w:hint="eastAsia"/>
                <w:b/>
                <w:bCs/>
                <w:color w:val="auto"/>
                <w:szCs w:val="18"/>
              </w:rPr>
              <w:t>本项目需要视频演示</w:t>
            </w:r>
          </w:p>
          <w:p w14:paraId="15EA8935">
            <w:pPr>
              <w:pStyle w:val="23"/>
              <w:numPr>
                <w:ilvl w:val="0"/>
                <w:numId w:val="0"/>
              </w:numPr>
              <w:rPr>
                <w:rFonts w:hint="eastAsia"/>
                <w:b/>
                <w:bCs/>
                <w:color w:val="auto"/>
                <w:szCs w:val="18"/>
              </w:rPr>
            </w:pPr>
            <w:r>
              <w:rPr>
                <w:rFonts w:hint="eastAsia"/>
                <w:b/>
                <w:bCs/>
                <w:color w:val="auto"/>
                <w:szCs w:val="18"/>
                <w:lang w:eastAsia="zh-CN"/>
              </w:rPr>
              <w:t>（</w:t>
            </w:r>
            <w:r>
              <w:rPr>
                <w:rFonts w:hint="eastAsia"/>
                <w:b/>
                <w:bCs/>
                <w:color w:val="auto"/>
                <w:szCs w:val="18"/>
                <w:lang w:val="en-US" w:eastAsia="zh-CN"/>
              </w:rPr>
              <w:t>一</w:t>
            </w:r>
            <w:r>
              <w:rPr>
                <w:rFonts w:hint="eastAsia"/>
                <w:b/>
                <w:bCs/>
                <w:color w:val="auto"/>
                <w:szCs w:val="18"/>
                <w:lang w:eastAsia="zh-CN"/>
              </w:rPr>
              <w:t>）</w:t>
            </w:r>
            <w:r>
              <w:rPr>
                <w:rFonts w:hint="eastAsia"/>
                <w:b/>
                <w:bCs/>
                <w:color w:val="auto"/>
                <w:szCs w:val="18"/>
              </w:rPr>
              <w:t>演示要求</w:t>
            </w:r>
          </w:p>
          <w:p w14:paraId="6B806426">
            <w:pPr>
              <w:pStyle w:val="23"/>
              <w:numPr>
                <w:ilvl w:val="0"/>
                <w:numId w:val="0"/>
              </w:numPr>
              <w:ind w:firstLine="420" w:firstLineChars="200"/>
              <w:rPr>
                <w:rFonts w:hint="eastAsia" w:eastAsia="宋体"/>
                <w:b/>
                <w:bCs/>
                <w:color w:val="auto"/>
                <w:szCs w:val="18"/>
                <w:lang w:eastAsia="zh-CN"/>
              </w:rPr>
            </w:pPr>
            <w:r>
              <w:rPr>
                <w:rFonts w:hint="eastAsia"/>
                <w:b w:val="0"/>
                <w:bCs w:val="0"/>
                <w:color w:val="auto"/>
                <w:szCs w:val="18"/>
              </w:rPr>
              <w:t>开标当日，投标人需在政采云开标大厅随时准备进入视频讲标，进行屏幕共享操作演示；演示方式可选择现场演示/预录制视频演示两种之一，演示内容须过程完整、符合招标文件技术参数要求，不得出现专业性错误</w:t>
            </w:r>
            <w:r>
              <w:rPr>
                <w:rFonts w:hint="eastAsia"/>
                <w:b w:val="0"/>
                <w:bCs w:val="0"/>
                <w:color w:val="auto"/>
                <w:szCs w:val="18"/>
                <w:lang w:eastAsia="zh-CN"/>
              </w:rPr>
              <w:t>。</w:t>
            </w:r>
          </w:p>
          <w:p w14:paraId="5854A72D">
            <w:pPr>
              <w:pStyle w:val="23"/>
              <w:numPr>
                <w:ilvl w:val="0"/>
                <w:numId w:val="0"/>
              </w:numPr>
              <w:ind w:leftChars="0"/>
              <w:rPr>
                <w:rFonts w:hint="eastAsia"/>
                <w:b w:val="0"/>
                <w:bCs w:val="0"/>
                <w:color w:val="auto"/>
                <w:szCs w:val="18"/>
                <w:lang w:val="en-US" w:eastAsia="zh-CN"/>
              </w:rPr>
            </w:pPr>
            <w:r>
              <w:rPr>
                <w:rFonts w:hint="eastAsia"/>
                <w:b/>
                <w:bCs/>
                <w:color w:val="auto"/>
                <w:szCs w:val="18"/>
                <w:lang w:val="en-US" w:eastAsia="zh-CN"/>
              </w:rPr>
              <w:t>（二）评分标准</w:t>
            </w:r>
          </w:p>
          <w:p w14:paraId="6F8D0FD5">
            <w:pPr>
              <w:pStyle w:val="23"/>
              <w:numPr>
                <w:ilvl w:val="0"/>
                <w:numId w:val="0"/>
              </w:numPr>
              <w:ind w:leftChars="0" w:firstLine="420" w:firstLineChars="200"/>
              <w:rPr>
                <w:rFonts w:hint="eastAsia"/>
                <w:b w:val="0"/>
                <w:bCs w:val="0"/>
                <w:color w:val="auto"/>
                <w:szCs w:val="18"/>
                <w:lang w:val="en-US" w:eastAsia="zh-CN"/>
              </w:rPr>
            </w:pPr>
            <w:r>
              <w:rPr>
                <w:rFonts w:hint="eastAsia"/>
                <w:b w:val="0"/>
                <w:bCs w:val="0"/>
                <w:color w:val="auto"/>
                <w:szCs w:val="18"/>
                <w:lang w:val="en-US" w:eastAsia="zh-CN"/>
              </w:rPr>
              <w:t>演示模块共计10 个，每个模块满分1分，满分10 分。</w:t>
            </w:r>
          </w:p>
          <w:p w14:paraId="3E50DA15">
            <w:pPr>
              <w:pStyle w:val="23"/>
              <w:ind w:firstLine="420" w:firstLineChars="200"/>
              <w:rPr>
                <w:rFonts w:hint="eastAsia"/>
                <w:b w:val="0"/>
                <w:bCs w:val="0"/>
                <w:color w:val="auto"/>
                <w:szCs w:val="18"/>
                <w:lang w:val="en-US" w:eastAsia="zh-CN"/>
              </w:rPr>
            </w:pPr>
            <w:r>
              <w:rPr>
                <w:rFonts w:hint="eastAsia"/>
                <w:b w:val="0"/>
                <w:bCs w:val="0"/>
                <w:color w:val="auto"/>
                <w:szCs w:val="18"/>
                <w:lang w:val="en-US" w:eastAsia="zh-CN"/>
              </w:rPr>
              <w:t>1.投标人对单个模块内容完全演示且无专业性错误，该单项得 1分；</w:t>
            </w:r>
          </w:p>
          <w:p w14:paraId="13428DD2">
            <w:pPr>
              <w:pStyle w:val="23"/>
              <w:ind w:firstLine="420" w:firstLineChars="200"/>
              <w:rPr>
                <w:rFonts w:hint="eastAsia"/>
                <w:b w:val="0"/>
                <w:bCs w:val="0"/>
                <w:color w:val="auto"/>
                <w:szCs w:val="18"/>
                <w:lang w:val="en-US" w:eastAsia="zh-CN"/>
              </w:rPr>
            </w:pPr>
            <w:r>
              <w:rPr>
                <w:rFonts w:hint="eastAsia"/>
                <w:b w:val="0"/>
                <w:bCs w:val="0"/>
                <w:color w:val="auto"/>
                <w:szCs w:val="18"/>
                <w:lang w:val="en-US" w:eastAsia="zh-CN"/>
              </w:rPr>
              <w:t>2.若出现专业性错误、未按功能要求进行演示或演示不完整，该单项不得分。</w:t>
            </w:r>
          </w:p>
          <w:p w14:paraId="257494E1">
            <w:pPr>
              <w:pStyle w:val="23"/>
              <w:rPr>
                <w:rFonts w:hint="eastAsia"/>
                <w:b/>
                <w:bCs/>
                <w:color w:val="auto"/>
                <w:szCs w:val="18"/>
                <w:lang w:eastAsia="zh-CN"/>
              </w:rPr>
            </w:pPr>
            <w:r>
              <w:rPr>
                <w:rFonts w:hint="eastAsia"/>
                <w:b/>
                <w:bCs/>
                <w:color w:val="auto"/>
                <w:szCs w:val="18"/>
                <w:lang w:eastAsia="zh-CN"/>
              </w:rPr>
              <w:t>（三）注意事项</w:t>
            </w:r>
          </w:p>
          <w:p w14:paraId="1F80724D">
            <w:pPr>
              <w:pStyle w:val="23"/>
              <w:ind w:firstLine="422" w:firstLineChars="200"/>
              <w:rPr>
                <w:rFonts w:hint="eastAsia"/>
                <w:b/>
                <w:bCs/>
                <w:color w:val="auto"/>
                <w:szCs w:val="18"/>
                <w:lang w:eastAsia="zh-CN"/>
              </w:rPr>
            </w:pPr>
            <w:r>
              <w:rPr>
                <w:rFonts w:hint="eastAsia"/>
                <w:b/>
                <w:bCs/>
                <w:color w:val="auto"/>
                <w:szCs w:val="18"/>
                <w:lang w:eastAsia="zh-CN"/>
              </w:rPr>
              <w:t>所有演示内容总时长严格控制在</w:t>
            </w:r>
            <w:r>
              <w:rPr>
                <w:rFonts w:hint="eastAsia"/>
                <w:b/>
                <w:bCs/>
                <w:color w:val="auto"/>
                <w:szCs w:val="18"/>
                <w:lang w:val="en-US" w:eastAsia="zh-CN"/>
              </w:rPr>
              <w:t>20</w:t>
            </w:r>
            <w:r>
              <w:rPr>
                <w:rFonts w:hint="eastAsia"/>
                <w:b/>
                <w:bCs/>
                <w:color w:val="auto"/>
                <w:szCs w:val="18"/>
                <w:lang w:eastAsia="zh-CN"/>
              </w:rPr>
              <w:t xml:space="preserve"> 分钟以内。若超时，超出部分的内容将不予展示且不计入得分，请务必提前演练并严格控制时间。</w:t>
            </w:r>
          </w:p>
          <w:p w14:paraId="48CBE1D6">
            <w:pPr>
              <w:pStyle w:val="23"/>
              <w:rPr>
                <w:rFonts w:hint="eastAsia"/>
                <w:b/>
                <w:bCs/>
                <w:color w:val="auto"/>
                <w:szCs w:val="18"/>
                <w:lang w:eastAsia="zh-CN"/>
              </w:rPr>
            </w:pPr>
            <w:r>
              <w:rPr>
                <w:rFonts w:hint="eastAsia"/>
                <w:b/>
                <w:bCs/>
                <w:color w:val="auto"/>
                <w:szCs w:val="18"/>
                <w:lang w:eastAsia="zh-CN"/>
              </w:rPr>
              <w:t>（注：该演示功能需用到麦克风和摄像头，建议投标人使用笔记本电脑/一体机，或提前准备外置麦克风和摄像头接入电脑设备后，在开标当天登录账号进行自测，确保音视频正常。）</w:t>
            </w:r>
          </w:p>
          <w:p w14:paraId="32BB9AEC">
            <w:pPr>
              <w:pStyle w:val="23"/>
              <w:rPr>
                <w:rFonts w:hint="eastAsia"/>
                <w:b/>
                <w:bCs/>
                <w:color w:val="auto"/>
                <w:szCs w:val="18"/>
                <w:lang w:val="en-US" w:eastAsia="zh-CN"/>
              </w:rPr>
            </w:pPr>
            <w:r>
              <w:rPr>
                <w:rFonts w:hint="eastAsia"/>
                <w:b/>
                <w:bCs/>
                <w:color w:val="auto"/>
                <w:szCs w:val="18"/>
                <w:lang w:eastAsia="zh-CN"/>
              </w:rPr>
              <w:t>（</w:t>
            </w:r>
            <w:r>
              <w:rPr>
                <w:rFonts w:hint="eastAsia"/>
                <w:b/>
                <w:bCs/>
                <w:color w:val="auto"/>
                <w:szCs w:val="18"/>
                <w:lang w:val="en-US" w:eastAsia="zh-CN"/>
              </w:rPr>
              <w:t>三</w:t>
            </w:r>
            <w:r>
              <w:rPr>
                <w:rFonts w:hint="eastAsia"/>
                <w:b/>
                <w:bCs/>
                <w:color w:val="auto"/>
                <w:szCs w:val="18"/>
                <w:lang w:eastAsia="zh-CN"/>
              </w:rPr>
              <w:t>）</w:t>
            </w:r>
            <w:r>
              <w:rPr>
                <w:rFonts w:hint="eastAsia"/>
                <w:b/>
                <w:bCs/>
                <w:color w:val="auto"/>
                <w:szCs w:val="18"/>
                <w:lang w:val="en-US" w:eastAsia="zh-CN"/>
              </w:rPr>
              <w:t>演示内容：</w:t>
            </w:r>
          </w:p>
          <w:p w14:paraId="6F02EC67">
            <w:pPr>
              <w:pStyle w:val="23"/>
              <w:rPr>
                <w:b/>
                <w:bCs/>
                <w:color w:val="auto"/>
                <w:szCs w:val="18"/>
              </w:rPr>
            </w:pPr>
            <w:r>
              <w:rPr>
                <w:rFonts w:hint="eastAsia"/>
                <w:b/>
                <w:bCs/>
                <w:color w:val="auto"/>
                <w:szCs w:val="18"/>
              </w:rPr>
              <w:t>一、真三维虚拟演播系统演示内容要求：</w:t>
            </w:r>
          </w:p>
          <w:p w14:paraId="19970AA7">
            <w:pPr>
              <w:pStyle w:val="23"/>
              <w:rPr>
                <w:b w:val="0"/>
                <w:bCs w:val="0"/>
                <w:color w:val="auto"/>
                <w:szCs w:val="18"/>
              </w:rPr>
            </w:pPr>
            <w:r>
              <w:rPr>
                <w:rFonts w:hint="eastAsia"/>
                <w:b w:val="0"/>
                <w:bCs w:val="0"/>
                <w:color w:val="auto"/>
                <w:szCs w:val="18"/>
              </w:rPr>
              <w:t>1.</w:t>
            </w:r>
            <w:r>
              <w:rPr>
                <w:rFonts w:hint="eastAsia"/>
                <w:b w:val="0"/>
                <w:bCs w:val="0"/>
                <w:color w:val="auto"/>
              </w:rPr>
              <w:t xml:space="preserve"> </w:t>
            </w:r>
            <w:r>
              <w:rPr>
                <w:rFonts w:hint="eastAsia"/>
                <w:b w:val="0"/>
                <w:bCs w:val="0"/>
                <w:color w:val="auto"/>
                <w:szCs w:val="18"/>
              </w:rPr>
              <w:t>虚拟摄像头功能演示：</w:t>
            </w:r>
          </w:p>
          <w:p w14:paraId="333FCC4A">
            <w:pPr>
              <w:pStyle w:val="23"/>
              <w:rPr>
                <w:color w:val="auto"/>
                <w:szCs w:val="18"/>
              </w:rPr>
            </w:pPr>
            <w:r>
              <w:rPr>
                <w:rFonts w:hint="eastAsia"/>
                <w:color w:val="auto"/>
                <w:szCs w:val="18"/>
              </w:rPr>
              <w:sym w:font="Wingdings" w:char="F081"/>
            </w:r>
            <w:r>
              <w:rPr>
                <w:rFonts w:hint="eastAsia"/>
                <w:color w:val="auto"/>
                <w:szCs w:val="18"/>
              </w:rPr>
              <w:t>.系统提供虚拟摄像头功能，支持将接入系统的信号、PGM合成信号作为摄像头画面直接用于会议、视频对话使用；</w:t>
            </w:r>
          </w:p>
          <w:p w14:paraId="24B3A801">
            <w:pPr>
              <w:pStyle w:val="23"/>
              <w:rPr>
                <w:color w:val="auto"/>
                <w:szCs w:val="18"/>
              </w:rPr>
            </w:pPr>
            <w:r>
              <w:rPr>
                <w:rFonts w:hint="eastAsia"/>
                <w:color w:val="auto"/>
                <w:szCs w:val="18"/>
              </w:rPr>
              <w:sym w:font="Wingdings" w:char="F082"/>
            </w:r>
            <w:r>
              <w:rPr>
                <w:rFonts w:hint="eastAsia"/>
                <w:color w:val="auto"/>
                <w:szCs w:val="18"/>
              </w:rPr>
              <w:t>.系统将抠像合成后的信号作为一个摄像头画面加入腾讯会议软件。</w:t>
            </w:r>
          </w:p>
          <w:p w14:paraId="0161542E">
            <w:pPr>
              <w:pStyle w:val="23"/>
              <w:rPr>
                <w:b w:val="0"/>
                <w:bCs w:val="0"/>
                <w:color w:val="auto"/>
                <w:szCs w:val="18"/>
              </w:rPr>
            </w:pPr>
            <w:r>
              <w:rPr>
                <w:rFonts w:hint="eastAsia"/>
                <w:b w:val="0"/>
                <w:bCs w:val="0"/>
                <w:color w:val="auto"/>
                <w:szCs w:val="18"/>
              </w:rPr>
              <w:t>2.</w:t>
            </w:r>
            <w:r>
              <w:rPr>
                <w:rFonts w:hint="eastAsia"/>
                <w:b w:val="0"/>
                <w:bCs w:val="0"/>
                <w:color w:val="auto"/>
              </w:rPr>
              <w:t xml:space="preserve"> </w:t>
            </w:r>
            <w:r>
              <w:rPr>
                <w:rFonts w:hint="eastAsia"/>
                <w:b w:val="0"/>
                <w:bCs w:val="0"/>
                <w:color w:val="auto"/>
                <w:szCs w:val="18"/>
              </w:rPr>
              <w:t>3D虚拟主播功能演示：</w:t>
            </w:r>
          </w:p>
          <w:p w14:paraId="61827502">
            <w:pPr>
              <w:pStyle w:val="23"/>
              <w:rPr>
                <w:color w:val="auto"/>
                <w:szCs w:val="18"/>
              </w:rPr>
            </w:pPr>
            <w:r>
              <w:rPr>
                <w:rFonts w:hint="eastAsia"/>
                <w:color w:val="auto"/>
                <w:szCs w:val="18"/>
              </w:rPr>
              <w:sym w:font="Wingdings" w:char="F081"/>
            </w:r>
            <w:r>
              <w:rPr>
                <w:rFonts w:hint="eastAsia"/>
                <w:color w:val="auto"/>
                <w:szCs w:val="18"/>
              </w:rPr>
              <w:t>.系统添加3D虚拟主播，3D虚拟主播支持设置其位置、大小、角度、快速动画、创建轨迹动画；支持多组服装、发型、鞋子选择，支持选择站姿、坐姿等不同姿势，支持是否有凳子选择；</w:t>
            </w:r>
          </w:p>
          <w:p w14:paraId="00ADFF00">
            <w:pPr>
              <w:pStyle w:val="23"/>
              <w:rPr>
                <w:color w:val="auto"/>
                <w:szCs w:val="18"/>
              </w:rPr>
            </w:pPr>
            <w:r>
              <w:rPr>
                <w:rFonts w:hint="eastAsia"/>
                <w:color w:val="auto"/>
                <w:szCs w:val="18"/>
              </w:rPr>
              <w:sym w:font="Wingdings" w:char="F082"/>
            </w:r>
            <w:r>
              <w:rPr>
                <w:rFonts w:hint="eastAsia"/>
                <w:color w:val="auto"/>
                <w:szCs w:val="18"/>
              </w:rPr>
              <w:t>.系统3D虚拟主播的播报组添加，可调节语速、音量、预调，选择发音不同的男声、女声、童声、方言等数十种，可调节每个播报组的时间间隔。</w:t>
            </w:r>
          </w:p>
          <w:p w14:paraId="3768DF46">
            <w:pPr>
              <w:pStyle w:val="23"/>
              <w:rPr>
                <w:b/>
                <w:bCs/>
                <w:color w:val="auto"/>
                <w:szCs w:val="18"/>
              </w:rPr>
            </w:pPr>
            <w:r>
              <w:rPr>
                <w:rFonts w:hint="eastAsia"/>
                <w:b/>
                <w:bCs/>
                <w:color w:val="auto"/>
                <w:szCs w:val="18"/>
              </w:rPr>
              <w:t>二、流媒体系统演示内容要求：</w:t>
            </w:r>
          </w:p>
          <w:p w14:paraId="07BAF20E">
            <w:pPr>
              <w:pStyle w:val="23"/>
              <w:rPr>
                <w:color w:val="auto"/>
                <w:szCs w:val="18"/>
              </w:rPr>
            </w:pPr>
            <w:r>
              <w:rPr>
                <w:rFonts w:hint="eastAsia"/>
                <w:color w:val="auto"/>
                <w:szCs w:val="18"/>
              </w:rPr>
              <w:t>1.</w:t>
            </w:r>
            <w:r>
              <w:rPr>
                <w:rFonts w:hint="eastAsia"/>
                <w:color w:val="auto"/>
              </w:rPr>
              <w:t xml:space="preserve"> </w:t>
            </w:r>
            <w:r>
              <w:rPr>
                <w:rFonts w:hint="eastAsia"/>
                <w:color w:val="auto"/>
                <w:szCs w:val="18"/>
              </w:rPr>
              <w:t>支持协议演示：</w:t>
            </w:r>
          </w:p>
          <w:p w14:paraId="6D96FE54">
            <w:pPr>
              <w:pStyle w:val="23"/>
              <w:rPr>
                <w:color w:val="auto"/>
                <w:szCs w:val="18"/>
              </w:rPr>
            </w:pPr>
            <w:r>
              <w:rPr>
                <w:rFonts w:hint="eastAsia"/>
                <w:color w:val="auto"/>
                <w:szCs w:val="18"/>
              </w:rPr>
              <w:sym w:font="Wingdings" w:char="F081"/>
            </w:r>
            <w:r>
              <w:rPr>
                <w:rFonts w:hint="eastAsia"/>
                <w:color w:val="auto"/>
                <w:szCs w:val="18"/>
              </w:rPr>
              <w:t>.系统支持GB/T28181协议，同时支持RTSP协议、RTMP协议等流媒体信号输入。</w:t>
            </w:r>
          </w:p>
          <w:p w14:paraId="2B029460">
            <w:pPr>
              <w:pStyle w:val="23"/>
              <w:rPr>
                <w:color w:val="auto"/>
                <w:szCs w:val="18"/>
              </w:rPr>
            </w:pPr>
            <w:r>
              <w:rPr>
                <w:rFonts w:hint="eastAsia"/>
                <w:color w:val="auto"/>
                <w:szCs w:val="18"/>
              </w:rPr>
              <w:sym w:font="Wingdings" w:char="F082"/>
            </w:r>
            <w:r>
              <w:rPr>
                <w:rFonts w:hint="eastAsia"/>
                <w:color w:val="auto"/>
                <w:szCs w:val="18"/>
              </w:rPr>
              <w:t>.系统支持SDK调用方式的输出协议有：HTTP-FLV、HTTP-TS、HTTP-FMP4、Websocket-FLV、Websocket-TS、Websocket-FMP4、HLS。</w:t>
            </w:r>
          </w:p>
          <w:p w14:paraId="6B8BF29A">
            <w:pPr>
              <w:pStyle w:val="23"/>
              <w:rPr>
                <w:color w:val="auto"/>
                <w:szCs w:val="18"/>
              </w:rPr>
            </w:pPr>
            <w:r>
              <w:rPr>
                <w:rFonts w:hint="eastAsia"/>
                <w:color w:val="auto"/>
                <w:szCs w:val="18"/>
              </w:rPr>
              <w:t>2.</w:t>
            </w:r>
            <w:r>
              <w:rPr>
                <w:rFonts w:hint="eastAsia"/>
                <w:color w:val="auto"/>
              </w:rPr>
              <w:t xml:space="preserve"> </w:t>
            </w:r>
            <w:r>
              <w:rPr>
                <w:rFonts w:hint="eastAsia"/>
                <w:color w:val="auto"/>
                <w:szCs w:val="18"/>
              </w:rPr>
              <w:t>用户/角色/岗位/部门演示：</w:t>
            </w:r>
          </w:p>
          <w:p w14:paraId="192BD1F9">
            <w:pPr>
              <w:pStyle w:val="23"/>
              <w:rPr>
                <w:color w:val="auto"/>
                <w:szCs w:val="18"/>
              </w:rPr>
            </w:pPr>
            <w:r>
              <w:rPr>
                <w:rFonts w:hint="eastAsia"/>
                <w:color w:val="auto"/>
                <w:szCs w:val="18"/>
              </w:rPr>
              <w:sym w:font="Wingdings" w:char="F081"/>
            </w:r>
            <w:r>
              <w:rPr>
                <w:rFonts w:hint="eastAsia"/>
                <w:color w:val="auto"/>
                <w:szCs w:val="18"/>
              </w:rPr>
              <w:t>.用户/角色/岗位/组织的演示：系统支持组织架构管理，如公司—&gt;中心—&gt;部门—&gt;岗位，从上自下为一对多的关系；一个岗位对应一个或多个角色（全部角色供多选），一个用户可以兼任多个岗位。</w:t>
            </w:r>
          </w:p>
          <w:p w14:paraId="531FC1B4">
            <w:pPr>
              <w:pStyle w:val="23"/>
              <w:rPr>
                <w:color w:val="auto"/>
                <w:szCs w:val="18"/>
              </w:rPr>
            </w:pPr>
            <w:r>
              <w:rPr>
                <w:rFonts w:hint="eastAsia"/>
                <w:color w:val="auto"/>
                <w:szCs w:val="18"/>
              </w:rPr>
              <w:sym w:font="Wingdings" w:char="F082"/>
            </w:r>
            <w:r>
              <w:rPr>
                <w:rFonts w:hint="eastAsia"/>
                <w:color w:val="auto"/>
                <w:szCs w:val="18"/>
              </w:rPr>
              <w:t>.权限的演示：根据系统功能定义权限，支持数据权限到群组。</w:t>
            </w:r>
          </w:p>
          <w:p w14:paraId="1D2CA1A8">
            <w:pPr>
              <w:pStyle w:val="23"/>
              <w:rPr>
                <w:color w:val="auto"/>
                <w:szCs w:val="18"/>
              </w:rPr>
            </w:pPr>
            <w:r>
              <w:rPr>
                <w:rFonts w:hint="eastAsia"/>
                <w:color w:val="auto"/>
                <w:szCs w:val="18"/>
              </w:rPr>
              <w:t>3.</w:t>
            </w:r>
            <w:r>
              <w:rPr>
                <w:rFonts w:hint="eastAsia"/>
                <w:color w:val="auto"/>
              </w:rPr>
              <w:t xml:space="preserve"> </w:t>
            </w:r>
            <w:r>
              <w:rPr>
                <w:rFonts w:hint="eastAsia"/>
                <w:color w:val="auto"/>
                <w:szCs w:val="18"/>
              </w:rPr>
              <w:t>多画面输出演示：</w:t>
            </w:r>
          </w:p>
          <w:p w14:paraId="273E4425">
            <w:pPr>
              <w:pStyle w:val="23"/>
              <w:rPr>
                <w:color w:val="auto"/>
                <w:szCs w:val="18"/>
              </w:rPr>
            </w:pPr>
            <w:r>
              <w:rPr>
                <w:rFonts w:hint="eastAsia"/>
                <w:color w:val="auto"/>
                <w:szCs w:val="18"/>
              </w:rPr>
              <w:sym w:font="Wingdings" w:char="F081"/>
            </w:r>
            <w:r>
              <w:rPr>
                <w:rFonts w:hint="eastAsia"/>
                <w:color w:val="auto"/>
                <w:szCs w:val="18"/>
              </w:rPr>
              <w:t>.系统支持多画面通道输出，多画面显示个数≥25。</w:t>
            </w:r>
          </w:p>
          <w:p w14:paraId="1C502174">
            <w:pPr>
              <w:pStyle w:val="23"/>
              <w:rPr>
                <w:rFonts w:hint="eastAsia" w:hAnsi="宋体" w:cs="宋体"/>
                <w:color w:val="auto"/>
              </w:rPr>
            </w:pPr>
            <w:r>
              <w:rPr>
                <w:rFonts w:hint="eastAsia"/>
                <w:color w:val="auto"/>
                <w:szCs w:val="18"/>
              </w:rPr>
              <w:sym w:font="Wingdings" w:char="F082"/>
            </w:r>
            <w:r>
              <w:rPr>
                <w:rFonts w:hint="eastAsia"/>
                <w:color w:val="auto"/>
                <w:szCs w:val="18"/>
              </w:rPr>
              <w:t>.支持视频巡视，可按预定时间间隔巡视。</w:t>
            </w:r>
          </w:p>
        </w:tc>
      </w:tr>
      <w:tr w14:paraId="496EBE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rHeight w:val="23" w:hRule="atLeast"/>
          <w:tblCellSpacing w:w="0" w:type="dxa"/>
        </w:trPr>
        <w:tc>
          <w:tcPr>
            <w:tcW w:w="668" w:type="dxa"/>
            <w:vMerge w:val="continue"/>
            <w:tcBorders>
              <w:tl2br w:val="nil"/>
              <w:tr2bl w:val="nil"/>
            </w:tcBorders>
            <w:vAlign w:val="center"/>
          </w:tcPr>
          <w:p w14:paraId="55C7A965">
            <w:pPr>
              <w:rPr>
                <w:rFonts w:hint="eastAsia" w:ascii="宋体" w:hAnsi="宋体" w:cs="宋体"/>
                <w:b/>
                <w:bCs/>
                <w:color w:val="auto"/>
              </w:rPr>
            </w:pPr>
          </w:p>
        </w:tc>
        <w:tc>
          <w:tcPr>
            <w:tcW w:w="646" w:type="dxa"/>
            <w:tcBorders>
              <w:tl2br w:val="nil"/>
              <w:tr2bl w:val="nil"/>
            </w:tcBorders>
            <w:vAlign w:val="center"/>
          </w:tcPr>
          <w:p w14:paraId="26B4606F">
            <w:pPr>
              <w:wordWrap w:val="0"/>
              <w:jc w:val="center"/>
              <w:rPr>
                <w:rFonts w:hint="eastAsia" w:ascii="宋体" w:hAnsi="宋体"/>
                <w:color w:val="auto"/>
              </w:rPr>
            </w:pPr>
            <w:r>
              <w:rPr>
                <w:rFonts w:hint="eastAsia" w:ascii="宋体" w:hAnsi="宋体"/>
                <w:color w:val="auto"/>
                <w:szCs w:val="21"/>
              </w:rPr>
              <w:t>3</w:t>
            </w:r>
          </w:p>
        </w:tc>
        <w:tc>
          <w:tcPr>
            <w:tcW w:w="1958" w:type="dxa"/>
            <w:tcBorders>
              <w:tl2br w:val="nil"/>
              <w:tr2bl w:val="nil"/>
            </w:tcBorders>
            <w:vAlign w:val="center"/>
          </w:tcPr>
          <w:p w14:paraId="5504348D">
            <w:pPr>
              <w:wordWrap w:val="0"/>
              <w:jc w:val="center"/>
              <w:rPr>
                <w:rFonts w:hint="eastAsia" w:ascii="宋体" w:hAnsi="宋体"/>
                <w:b/>
                <w:bCs/>
                <w:color w:val="auto"/>
              </w:rPr>
            </w:pPr>
            <w:r>
              <w:rPr>
                <w:rFonts w:hint="eastAsia"/>
                <w:b/>
                <w:bCs/>
                <w:color w:val="auto"/>
                <w:szCs w:val="18"/>
              </w:rPr>
              <w:t>项目实施方案</w:t>
            </w:r>
          </w:p>
        </w:tc>
        <w:tc>
          <w:tcPr>
            <w:tcW w:w="917" w:type="dxa"/>
            <w:tcBorders>
              <w:tl2br w:val="nil"/>
              <w:tr2bl w:val="nil"/>
            </w:tcBorders>
            <w:vAlign w:val="center"/>
          </w:tcPr>
          <w:p w14:paraId="57C84CA0">
            <w:pPr>
              <w:wordWrap w:val="0"/>
              <w:spacing w:line="360" w:lineRule="auto"/>
              <w:jc w:val="center"/>
              <w:rPr>
                <w:rFonts w:hint="default" w:ascii="宋体" w:hAnsi="宋体" w:eastAsia="宋体" w:cs="宋体"/>
                <w:color w:val="auto"/>
                <w:lang w:val="en-US" w:eastAsia="zh-CN"/>
              </w:rPr>
            </w:pPr>
            <w:r>
              <w:rPr>
                <w:rFonts w:hint="eastAsia"/>
                <w:color w:val="auto"/>
                <w:szCs w:val="18"/>
                <w:lang w:val="en-US" w:eastAsia="zh-CN"/>
              </w:rPr>
              <w:t>10</w:t>
            </w:r>
          </w:p>
        </w:tc>
        <w:tc>
          <w:tcPr>
            <w:tcW w:w="4883" w:type="dxa"/>
            <w:tcBorders>
              <w:tl2br w:val="nil"/>
              <w:tr2bl w:val="nil"/>
            </w:tcBorders>
          </w:tcPr>
          <w:p w14:paraId="67D97E4E">
            <w:pPr>
              <w:wordWrap w:val="0"/>
              <w:rPr>
                <w:b/>
                <w:bCs/>
                <w:color w:val="auto"/>
              </w:rPr>
            </w:pPr>
            <w:r>
              <w:rPr>
                <w:rFonts w:hint="eastAsia"/>
                <w:b/>
                <w:bCs/>
                <w:color w:val="auto"/>
              </w:rPr>
              <w:t>（一）评审内容：</w:t>
            </w:r>
          </w:p>
          <w:p w14:paraId="59225568">
            <w:pPr>
              <w:wordWrap w:val="0"/>
              <w:rPr>
                <w:color w:val="auto"/>
              </w:rPr>
            </w:pPr>
            <w:r>
              <w:rPr>
                <w:rFonts w:hint="eastAsia"/>
                <w:color w:val="auto"/>
              </w:rPr>
              <w:t>投标供应商应根据用户需求制定详细的实施方案，</w:t>
            </w:r>
            <w:r>
              <w:rPr>
                <w:rFonts w:hint="eastAsia" w:ascii="宋体" w:hAnsi="宋体" w:eastAsia="宋体" w:cs="宋体"/>
                <w:color w:val="auto"/>
                <w:kern w:val="0"/>
                <w:szCs w:val="21"/>
                <w:lang w:bidi="ar"/>
              </w:rPr>
              <w:t>包含但不限于：</w:t>
            </w:r>
          </w:p>
          <w:p w14:paraId="1298EE79">
            <w:pPr>
              <w:numPr>
                <w:ilvl w:val="0"/>
                <w:numId w:val="5"/>
              </w:numPr>
              <w:wordWrap w:val="0"/>
              <w:rPr>
                <w:color w:val="auto"/>
              </w:rPr>
            </w:pPr>
            <w:r>
              <w:rPr>
                <w:rFonts w:hint="eastAsia"/>
                <w:color w:val="auto"/>
              </w:rPr>
              <w:t>项目实施的规划、步骤、进度安排；</w:t>
            </w:r>
          </w:p>
          <w:p w14:paraId="74551DE5">
            <w:pPr>
              <w:numPr>
                <w:ilvl w:val="0"/>
                <w:numId w:val="5"/>
              </w:numPr>
              <w:wordWrap w:val="0"/>
              <w:rPr>
                <w:color w:val="auto"/>
              </w:rPr>
            </w:pPr>
            <w:r>
              <w:rPr>
                <w:rFonts w:hint="eastAsia"/>
                <w:color w:val="auto"/>
              </w:rPr>
              <w:t>设备供货、运输、安装调试方案；</w:t>
            </w:r>
          </w:p>
          <w:p w14:paraId="05344EBB">
            <w:pPr>
              <w:pStyle w:val="2"/>
              <w:numPr>
                <w:ilvl w:val="0"/>
                <w:numId w:val="5"/>
              </w:numPr>
              <w:rPr>
                <w:rFonts w:ascii="Times New Roman" w:hAnsi="Times New Roman" w:eastAsia="宋体"/>
                <w:color w:val="auto"/>
                <w:sz w:val="21"/>
                <w:szCs w:val="21"/>
              </w:rPr>
            </w:pPr>
            <w:r>
              <w:rPr>
                <w:rFonts w:hint="eastAsia" w:ascii="Times New Roman" w:hAnsi="Times New Roman" w:eastAsia="宋体"/>
                <w:color w:val="auto"/>
                <w:sz w:val="21"/>
                <w:szCs w:val="21"/>
              </w:rPr>
              <w:t>系统软件升级服务方案；</w:t>
            </w:r>
          </w:p>
          <w:p w14:paraId="3A08038E">
            <w:pPr>
              <w:numPr>
                <w:ilvl w:val="0"/>
                <w:numId w:val="5"/>
              </w:numPr>
              <w:wordWrap w:val="0"/>
              <w:rPr>
                <w:color w:val="auto"/>
              </w:rPr>
            </w:pPr>
            <w:r>
              <w:rPr>
                <w:rFonts w:hint="eastAsia"/>
                <w:color w:val="auto"/>
              </w:rPr>
              <w:t>项目实施过程应急预案；</w:t>
            </w:r>
          </w:p>
          <w:p w14:paraId="28F33D77">
            <w:pPr>
              <w:widowControl/>
              <w:jc w:val="left"/>
              <w:rPr>
                <w:color w:val="auto"/>
              </w:rPr>
            </w:pPr>
            <w:r>
              <w:rPr>
                <w:rFonts w:hint="eastAsia" w:ascii="宋体" w:hAnsi="宋体" w:eastAsia="宋体" w:cs="宋体"/>
                <w:b/>
                <w:bCs/>
                <w:color w:val="auto"/>
                <w:kern w:val="0"/>
                <w:szCs w:val="21"/>
                <w:lang w:bidi="ar"/>
              </w:rPr>
              <w:t xml:space="preserve">（二）评分标准： </w:t>
            </w:r>
          </w:p>
          <w:p w14:paraId="04B87BF6">
            <w:pPr>
              <w:wordWrap w:val="0"/>
              <w:ind w:firstLine="420" w:firstLineChars="200"/>
              <w:rPr>
                <w:color w:val="auto"/>
              </w:rPr>
            </w:pPr>
            <w:r>
              <w:rPr>
                <w:rFonts w:hint="eastAsia" w:ascii="Times New Roman" w:hAnsi="Times New Roman" w:eastAsia="宋体" w:cs="Times New Roman"/>
                <w:color w:val="auto"/>
              </w:rPr>
              <w:t>以上</w:t>
            </w:r>
            <w:r>
              <w:rPr>
                <w:rFonts w:hint="eastAsia" w:ascii="Times New Roman" w:hAnsi="Times New Roman" w:eastAsia="宋体" w:cs="Times New Roman"/>
                <w:color w:val="auto"/>
                <w:lang w:val="en-US" w:eastAsia="zh-CN"/>
              </w:rPr>
              <w:t>五</w:t>
            </w:r>
            <w:r>
              <w:rPr>
                <w:rFonts w:hint="eastAsia" w:ascii="Times New Roman" w:hAnsi="Times New Roman" w:eastAsia="宋体" w:cs="Times New Roman"/>
                <w:color w:val="auto"/>
              </w:rPr>
              <w:t>项方案全部提供的得</w:t>
            </w:r>
            <w:r>
              <w:rPr>
                <w:rFonts w:hint="eastAsia" w:cs="Times New Roman"/>
                <w:color w:val="auto"/>
                <w:lang w:val="en-US" w:eastAsia="zh-CN"/>
              </w:rPr>
              <w:t>5</w:t>
            </w:r>
            <w:r>
              <w:rPr>
                <w:rFonts w:hint="eastAsia" w:ascii="Times New Roman" w:hAnsi="Times New Roman" w:eastAsia="宋体" w:cs="Times New Roman"/>
                <w:color w:val="auto"/>
              </w:rPr>
              <w:t>分，缺少一项不得分。</w:t>
            </w:r>
            <w:r>
              <w:rPr>
                <w:rFonts w:hint="eastAsia" w:cs="Times New Roman"/>
                <w:color w:val="auto"/>
              </w:rPr>
              <w:t>并在此</w:t>
            </w:r>
            <w:r>
              <w:rPr>
                <w:rFonts w:hint="eastAsia" w:ascii="Times New Roman" w:hAnsi="Times New Roman" w:eastAsia="宋体" w:cs="Times New Roman"/>
                <w:color w:val="auto"/>
              </w:rPr>
              <w:t>基础上</w:t>
            </w:r>
            <w:r>
              <w:rPr>
                <w:rFonts w:hint="eastAsia" w:cs="Times New Roman"/>
                <w:color w:val="auto"/>
              </w:rPr>
              <w:t>，</w:t>
            </w:r>
            <w:r>
              <w:rPr>
                <w:rFonts w:hint="eastAsia" w:ascii="Times New Roman" w:hAnsi="Times New Roman" w:eastAsia="宋体" w:cs="Times New Roman"/>
                <w:color w:val="auto"/>
              </w:rPr>
              <w:t>对方案进行比较和评价：</w:t>
            </w:r>
          </w:p>
          <w:p w14:paraId="2CCCA554">
            <w:pPr>
              <w:wordWrap w:val="0"/>
              <w:ind w:firstLine="420" w:firstLineChars="200"/>
              <w:rPr>
                <w:color w:val="auto"/>
              </w:rPr>
            </w:pPr>
            <w:r>
              <w:rPr>
                <w:rFonts w:hint="eastAsia" w:ascii="宋体" w:hAnsi="宋体" w:cs="宋体"/>
                <w:color w:val="auto"/>
              </w:rPr>
              <w:t>方案内容完善无瑕疵的，评价为优，得5分；</w:t>
            </w:r>
          </w:p>
          <w:p w14:paraId="0865E166">
            <w:pPr>
              <w:wordWrap w:val="0"/>
              <w:ind w:firstLine="420" w:firstLineChars="200"/>
              <w:rPr>
                <w:color w:val="auto"/>
              </w:rPr>
            </w:pPr>
            <w:r>
              <w:rPr>
                <w:rFonts w:hint="eastAsia" w:ascii="Times New Roman" w:hAnsi="Times New Roman" w:eastAsia="宋体" w:cs="Times New Roman"/>
                <w:color w:val="auto"/>
              </w:rPr>
              <w:t>存在下述1项缺陷，评价为良，得</w:t>
            </w:r>
            <w:r>
              <w:rPr>
                <w:rFonts w:hint="eastAsia" w:cs="Times New Roman"/>
                <w:color w:val="auto"/>
              </w:rPr>
              <w:t>4</w:t>
            </w:r>
            <w:r>
              <w:rPr>
                <w:rFonts w:hint="eastAsia" w:ascii="Times New Roman" w:hAnsi="Times New Roman" w:eastAsia="宋体" w:cs="Times New Roman"/>
                <w:color w:val="auto"/>
              </w:rPr>
              <w:t>分；</w:t>
            </w:r>
          </w:p>
          <w:p w14:paraId="49BD8664">
            <w:pPr>
              <w:pStyle w:val="2"/>
              <w:ind w:firstLine="420" w:firstLineChars="200"/>
              <w:rPr>
                <w:color w:val="auto"/>
              </w:rPr>
            </w:pPr>
            <w:r>
              <w:rPr>
                <w:rFonts w:hint="eastAsia" w:ascii="Times New Roman" w:hAnsi="Times New Roman" w:eastAsia="宋体"/>
                <w:color w:val="auto"/>
                <w:sz w:val="21"/>
                <w:szCs w:val="21"/>
              </w:rPr>
              <w:t>存在下述2项缺陷，评价为</w:t>
            </w:r>
            <w:r>
              <w:rPr>
                <w:rFonts w:hint="eastAsia" w:ascii="Times New Roman" w:hAnsi="Times New Roman" w:eastAsia="宋体"/>
                <w:color w:val="auto"/>
                <w:sz w:val="21"/>
                <w:szCs w:val="21"/>
                <w:lang w:val="en-US" w:eastAsia="zh-CN"/>
              </w:rPr>
              <w:t>中</w:t>
            </w:r>
            <w:r>
              <w:rPr>
                <w:rFonts w:hint="eastAsia" w:ascii="Times New Roman" w:hAnsi="Times New Roman" w:eastAsia="宋体"/>
                <w:color w:val="auto"/>
                <w:sz w:val="21"/>
                <w:szCs w:val="21"/>
              </w:rPr>
              <w:t>，得3分；</w:t>
            </w:r>
          </w:p>
          <w:p w14:paraId="563F841B">
            <w:pPr>
              <w:wordWrap w:val="0"/>
              <w:ind w:firstLine="420" w:firstLineChars="200"/>
              <w:rPr>
                <w:color w:val="auto"/>
              </w:rPr>
            </w:pPr>
            <w:r>
              <w:rPr>
                <w:rFonts w:hint="eastAsia" w:ascii="Times New Roman" w:hAnsi="Times New Roman" w:eastAsia="宋体" w:cs="Times New Roman"/>
                <w:color w:val="auto"/>
              </w:rPr>
              <w:t>存在下述3项缺陷，评价为</w:t>
            </w:r>
            <w:r>
              <w:rPr>
                <w:rFonts w:hint="eastAsia" w:cs="Times New Roman"/>
                <w:color w:val="auto"/>
                <w:lang w:val="en-US" w:eastAsia="zh-CN"/>
              </w:rPr>
              <w:t>一般</w:t>
            </w:r>
            <w:r>
              <w:rPr>
                <w:rFonts w:hint="eastAsia" w:ascii="Times New Roman" w:hAnsi="Times New Roman" w:eastAsia="宋体" w:cs="Times New Roman"/>
                <w:color w:val="auto"/>
              </w:rPr>
              <w:t>，得1分；</w:t>
            </w:r>
          </w:p>
          <w:p w14:paraId="788F8E53">
            <w:pPr>
              <w:wordWrap w:val="0"/>
              <w:ind w:firstLine="420" w:firstLineChars="200"/>
              <w:rPr>
                <w:color w:val="auto"/>
              </w:rPr>
            </w:pPr>
            <w:r>
              <w:rPr>
                <w:rFonts w:hint="eastAsia" w:ascii="Times New Roman" w:hAnsi="Times New Roman" w:eastAsia="宋体" w:cs="Times New Roman"/>
                <w:color w:val="auto"/>
              </w:rPr>
              <w:t>存在下述</w:t>
            </w:r>
            <w:r>
              <w:rPr>
                <w:rFonts w:hint="eastAsia" w:cs="Times New Roman"/>
                <w:color w:val="auto"/>
              </w:rPr>
              <w:t>4项及以上</w:t>
            </w:r>
            <w:r>
              <w:rPr>
                <w:rFonts w:hint="eastAsia" w:ascii="Times New Roman" w:hAnsi="Times New Roman" w:eastAsia="宋体" w:cs="Times New Roman"/>
                <w:color w:val="auto"/>
              </w:rPr>
              <w:t>缺陷，评价为差，不得分；</w:t>
            </w:r>
          </w:p>
          <w:p w14:paraId="3D1DFCCA">
            <w:pPr>
              <w:wordWrap w:val="0"/>
              <w:rPr>
                <w:b/>
                <w:bCs/>
                <w:color w:val="auto"/>
              </w:rPr>
            </w:pPr>
            <w:bookmarkStart w:id="0" w:name="OLE_LINK10"/>
            <w:r>
              <w:rPr>
                <w:rFonts w:hint="eastAsia"/>
                <w:b/>
                <w:bCs/>
                <w:color w:val="auto"/>
              </w:rPr>
              <w:t>（三）缺陷是指：</w:t>
            </w:r>
          </w:p>
          <w:bookmarkEnd w:id="0"/>
          <w:p w14:paraId="4E4BBBDE">
            <w:pPr>
              <w:wordWrap w:val="0"/>
              <w:rPr>
                <w:color w:val="auto"/>
              </w:rPr>
            </w:pPr>
            <w:r>
              <w:rPr>
                <w:rFonts w:hint="eastAsia"/>
                <w:color w:val="auto"/>
              </w:rPr>
              <w:t>1.</w:t>
            </w:r>
            <w:r>
              <w:rPr>
                <w:rFonts w:hint="eastAsia" w:ascii="Times New Roman" w:hAnsi="Times New Roman" w:eastAsia="宋体" w:cs="Times New Roman"/>
                <w:color w:val="auto"/>
              </w:rPr>
              <w:t>未制定清晰的项目实施流程图，各阶段是否有明确的责任主体、交付成果与确认机制。</w:t>
            </w:r>
          </w:p>
          <w:p w14:paraId="2ABE69E7">
            <w:pPr>
              <w:wordWrap w:val="0"/>
              <w:rPr>
                <w:rFonts w:ascii="Times New Roman" w:hAnsi="Times New Roman" w:eastAsia="宋体" w:cs="Times New Roman"/>
                <w:color w:val="auto"/>
              </w:rPr>
            </w:pPr>
            <w:r>
              <w:rPr>
                <w:rFonts w:hint="eastAsia"/>
                <w:color w:val="auto"/>
              </w:rPr>
              <w:t>2.</w:t>
            </w:r>
            <w:r>
              <w:rPr>
                <w:rFonts w:hint="eastAsia" w:ascii="宋体" w:hAnsi="宋体" w:eastAsia="宋体" w:cs="宋体"/>
                <w:color w:val="auto"/>
                <w:kern w:val="0"/>
                <w:szCs w:val="21"/>
                <w:lang w:bidi="ar"/>
              </w:rPr>
              <w:t>未制定明确的供货进度安排（如：未制定详细的供货时间表、未明确运输、安装、调试等环节的时间节点；</w:t>
            </w:r>
            <w:r>
              <w:rPr>
                <w:rFonts w:hint="eastAsia" w:ascii="Times New Roman" w:hAnsi="Times New Roman" w:eastAsia="宋体" w:cs="Times New Roman"/>
                <w:color w:val="auto"/>
              </w:rPr>
              <w:t>未考虑到学校放假情况无法尽快供货。</w:t>
            </w:r>
          </w:p>
          <w:p w14:paraId="6EE501BA">
            <w:pPr>
              <w:wordWrap w:val="0"/>
              <w:rPr>
                <w:rFonts w:ascii="Times New Roman" w:hAnsi="Times New Roman" w:eastAsia="宋体" w:cs="Times New Roman"/>
                <w:color w:val="auto"/>
              </w:rPr>
            </w:pPr>
            <w:r>
              <w:rPr>
                <w:rFonts w:hint="eastAsia" w:ascii="Times New Roman" w:hAnsi="Times New Roman" w:eastAsia="宋体" w:cs="Times New Roman"/>
                <w:color w:val="auto"/>
              </w:rPr>
              <w:t>3.软件升级服务中未考虑到安装、调试、升级过程中可能存在的软件与硬件的兼容性问题、数据安全性问题、性能问题等问题；</w:t>
            </w:r>
          </w:p>
          <w:p w14:paraId="160920AD">
            <w:pPr>
              <w:tabs>
                <w:tab w:val="left" w:pos="2869"/>
                <w:tab w:val="left" w:pos="3010"/>
              </w:tabs>
              <w:rPr>
                <w:color w:val="auto"/>
              </w:rPr>
            </w:pPr>
            <w:r>
              <w:rPr>
                <w:rFonts w:hint="eastAsia" w:ascii="Times New Roman" w:hAnsi="Times New Roman" w:eastAsia="宋体" w:cs="Times New Roman"/>
                <w:color w:val="auto"/>
              </w:rPr>
              <w:t>4.应急预案内容未制定识别常见风险点，如‌</w:t>
            </w:r>
            <w:r>
              <w:rPr>
                <w:rFonts w:ascii="Times New Roman" w:hAnsi="Times New Roman" w:eastAsia="宋体" w:cs="Times New Roman"/>
                <w:color w:val="auto"/>
              </w:rPr>
              <w:t>设备延期交付、施工人员安全、网络环境不兼容、</w:t>
            </w:r>
            <w:r>
              <w:rPr>
                <w:rFonts w:hint="eastAsia" w:ascii="Times New Roman" w:hAnsi="Times New Roman" w:eastAsia="宋体" w:cs="Times New Roman"/>
                <w:color w:val="auto"/>
              </w:rPr>
              <w:t>系统功能测试报告、72小时连续运行无故障等。</w:t>
            </w:r>
          </w:p>
        </w:tc>
      </w:tr>
      <w:tr w14:paraId="772FC2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rHeight w:val="23" w:hRule="atLeast"/>
          <w:tblCellSpacing w:w="0" w:type="dxa"/>
        </w:trPr>
        <w:tc>
          <w:tcPr>
            <w:tcW w:w="668" w:type="dxa"/>
            <w:tcBorders>
              <w:tl2br w:val="nil"/>
              <w:tr2bl w:val="nil"/>
            </w:tcBorders>
            <w:vAlign w:val="center"/>
          </w:tcPr>
          <w:p w14:paraId="1754ACFB">
            <w:pPr>
              <w:rPr>
                <w:rFonts w:hint="eastAsia" w:ascii="宋体" w:hAnsi="宋体" w:cs="宋体"/>
                <w:b/>
                <w:bCs/>
                <w:color w:val="auto"/>
              </w:rPr>
            </w:pPr>
          </w:p>
        </w:tc>
        <w:tc>
          <w:tcPr>
            <w:tcW w:w="646" w:type="dxa"/>
            <w:tcBorders>
              <w:tl2br w:val="nil"/>
              <w:tr2bl w:val="nil"/>
            </w:tcBorders>
            <w:vAlign w:val="center"/>
          </w:tcPr>
          <w:p w14:paraId="4A0027B3">
            <w:pPr>
              <w:wordWrap w:val="0"/>
              <w:jc w:val="center"/>
              <w:rPr>
                <w:rFonts w:hint="eastAsia" w:ascii="宋体" w:hAnsi="宋体" w:eastAsia="宋体"/>
                <w:color w:val="auto"/>
                <w:szCs w:val="21"/>
                <w:lang w:val="en-US" w:eastAsia="zh-CN"/>
              </w:rPr>
            </w:pPr>
            <w:r>
              <w:rPr>
                <w:rFonts w:hint="eastAsia" w:ascii="宋体" w:hAnsi="宋体"/>
                <w:color w:val="auto"/>
                <w:szCs w:val="21"/>
                <w:lang w:val="en-US" w:eastAsia="zh-CN"/>
              </w:rPr>
              <w:t>4</w:t>
            </w:r>
          </w:p>
        </w:tc>
        <w:tc>
          <w:tcPr>
            <w:tcW w:w="1958" w:type="dxa"/>
            <w:tcBorders>
              <w:tl2br w:val="nil"/>
              <w:tr2bl w:val="nil"/>
            </w:tcBorders>
            <w:vAlign w:val="center"/>
          </w:tcPr>
          <w:p w14:paraId="5E67E563">
            <w:pPr>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节能</w:t>
            </w:r>
            <w:r>
              <w:rPr>
                <w:rFonts w:hint="eastAsia" w:ascii="Times New Roman" w:hAnsi="Times New Roman" w:eastAsia="宋体" w:cs="Times New Roman"/>
                <w:color w:val="auto"/>
                <w:highlight w:val="none"/>
                <w:lang w:val="en-US" w:eastAsia="zh-CN"/>
              </w:rPr>
              <w:t>环保</w:t>
            </w:r>
            <w:r>
              <w:rPr>
                <w:rFonts w:hint="eastAsia" w:ascii="Times New Roman" w:hAnsi="Times New Roman" w:eastAsia="宋体" w:cs="Times New Roman"/>
                <w:color w:val="auto"/>
                <w:highlight w:val="none"/>
              </w:rPr>
              <w:t>标志产品</w:t>
            </w:r>
          </w:p>
          <w:p w14:paraId="039DBD14">
            <w:pPr>
              <w:jc w:val="center"/>
              <w:rPr>
                <w:rFonts w:hint="default" w:eastAsia="宋体"/>
                <w:b/>
                <w:bCs/>
                <w:color w:val="auto"/>
                <w:szCs w:val="18"/>
                <w:lang w:val="en-US" w:eastAsia="zh-CN"/>
              </w:rPr>
            </w:pPr>
            <w:r>
              <w:rPr>
                <w:rFonts w:hint="eastAsia" w:ascii="Times New Roman" w:hAnsi="Times New Roman" w:eastAsia="宋体" w:cs="Times New Roman"/>
                <w:color w:val="auto"/>
                <w:highlight w:val="none"/>
              </w:rPr>
              <w:t>优先采购</w:t>
            </w:r>
          </w:p>
        </w:tc>
        <w:tc>
          <w:tcPr>
            <w:tcW w:w="917" w:type="dxa"/>
            <w:tcBorders>
              <w:tl2br w:val="nil"/>
              <w:tr2bl w:val="nil"/>
            </w:tcBorders>
            <w:vAlign w:val="center"/>
          </w:tcPr>
          <w:p w14:paraId="144A0EB4">
            <w:pPr>
              <w:jc w:val="center"/>
              <w:rPr>
                <w:rFonts w:hint="eastAsia"/>
                <w:color w:val="auto"/>
                <w:szCs w:val="18"/>
                <w:lang w:val="en-US" w:eastAsia="zh-CN"/>
              </w:rPr>
            </w:pPr>
            <w:r>
              <w:rPr>
                <w:rFonts w:hint="eastAsia" w:cs="Times New Roman"/>
                <w:color w:val="auto"/>
                <w:highlight w:val="none"/>
                <w:lang w:val="en-US" w:eastAsia="zh-CN"/>
              </w:rPr>
              <w:t>3</w:t>
            </w:r>
          </w:p>
        </w:tc>
        <w:tc>
          <w:tcPr>
            <w:tcW w:w="4883" w:type="dxa"/>
            <w:tcBorders>
              <w:tl2br w:val="nil"/>
              <w:tr2bl w:val="nil"/>
            </w:tcBorders>
            <w:vAlign w:val="center"/>
          </w:tcPr>
          <w:p w14:paraId="52B7DC97">
            <w:pPr>
              <w:wordWrap w:val="0"/>
              <w:rPr>
                <w:rFonts w:hint="eastAsia" w:ascii="Times New Roman" w:hAnsi="Times New Roman" w:eastAsia="宋体" w:cs="Times New Roman"/>
                <w:color w:val="auto"/>
                <w:highlight w:val="none"/>
              </w:rPr>
            </w:pPr>
            <w:r>
              <w:rPr>
                <w:rFonts w:hint="eastAsia" w:ascii="Times New Roman" w:hAnsi="Times New Roman" w:eastAsia="宋体" w:cs="Times New Roman"/>
                <w:b/>
                <w:bCs/>
                <w:color w:val="auto"/>
                <w:highlight w:val="none"/>
              </w:rPr>
              <w:t>（一）评审内容：</w:t>
            </w:r>
          </w:p>
          <w:p w14:paraId="45DEF73D">
            <w:pPr>
              <w:keepNext w:val="0"/>
              <w:keepLines w:val="0"/>
              <w:widowControl/>
              <w:suppressLineNumbers w:val="0"/>
              <w:ind w:firstLine="420" w:firstLineChars="200"/>
              <w:jc w:val="left"/>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根据</w:t>
            </w:r>
            <w:r>
              <w:rPr>
                <w:rFonts w:hint="eastAsia" w:ascii="Times New Roman" w:hAnsi="Times New Roman" w:eastAsia="宋体" w:cs="Times New Roman"/>
                <w:color w:val="auto"/>
                <w:highlight w:val="none"/>
              </w:rPr>
              <w:t>《关于印发环境标志产品政府采购品目清单的通知》（财库〔2019〕18号）</w:t>
            </w:r>
            <w:r>
              <w:rPr>
                <w:rFonts w:hint="eastAsia" w:cs="Times New Roman"/>
                <w:color w:val="auto"/>
                <w:highlight w:val="none"/>
                <w:lang w:eastAsia="zh-CN"/>
              </w:rPr>
              <w:t>，</w:t>
            </w:r>
            <w:r>
              <w:rPr>
                <w:rFonts w:hint="eastAsia" w:cs="Times New Roman"/>
                <w:color w:val="auto"/>
                <w:highlight w:val="none"/>
                <w:lang w:val="en-US" w:eastAsia="zh-CN"/>
              </w:rPr>
              <w:t>对环保产品优先采购：</w:t>
            </w:r>
          </w:p>
          <w:p w14:paraId="48C3AD62">
            <w:pPr>
              <w:pStyle w:val="2"/>
              <w:ind w:firstLine="420" w:firstLineChars="200"/>
              <w:rPr>
                <w:rFonts w:hint="eastAsia"/>
                <w:color w:val="auto"/>
              </w:rPr>
            </w:pPr>
            <w:r>
              <w:rPr>
                <w:rFonts w:hint="eastAsia" w:ascii="Times New Roman" w:hAnsi="Times New Roman" w:eastAsia="宋体" w:cs="Times New Roman"/>
                <w:color w:val="auto"/>
                <w:kern w:val="2"/>
                <w:sz w:val="21"/>
                <w:szCs w:val="21"/>
                <w:highlight w:val="none"/>
                <w:lang w:val="en-US" w:eastAsia="zh-CN" w:bidi="ar-SA"/>
              </w:rPr>
              <w:t>1、提供“乳胶漆”、“实木门”有效期内的环保认证证书得1分，满分2分。</w:t>
            </w:r>
          </w:p>
          <w:p w14:paraId="1757D648">
            <w:pPr>
              <w:wordWrap w:val="0"/>
              <w:ind w:firstLine="420" w:firstLineChars="200"/>
              <w:rPr>
                <w:rFonts w:hint="eastAsia"/>
                <w:color w:val="auto"/>
              </w:rPr>
            </w:pPr>
            <w:r>
              <w:rPr>
                <w:rFonts w:hint="eastAsia" w:cs="Times New Roman"/>
                <w:color w:val="auto"/>
                <w:kern w:val="2"/>
                <w:sz w:val="21"/>
                <w:szCs w:val="21"/>
                <w:highlight w:val="none"/>
                <w:lang w:val="en-US" w:eastAsia="zh-CN" w:bidi="ar-SA"/>
              </w:rPr>
              <w:t>2、提供</w:t>
            </w:r>
            <w:r>
              <w:rPr>
                <w:rFonts w:hint="eastAsia" w:ascii="Times New Roman" w:hAnsi="Times New Roman" w:eastAsia="宋体" w:cs="Times New Roman"/>
                <w:color w:val="auto"/>
                <w:kern w:val="2"/>
                <w:sz w:val="21"/>
                <w:szCs w:val="21"/>
                <w:highlight w:val="none"/>
                <w:lang w:val="en-US" w:eastAsia="zh-CN" w:bidi="ar-SA"/>
              </w:rPr>
              <w:t>“课桌椅”有效期内的《中国环境标志产品认证证书》</w:t>
            </w:r>
            <w:r>
              <w:rPr>
                <w:rFonts w:hint="eastAsia"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得</w:t>
            </w:r>
            <w:r>
              <w:rPr>
                <w:rFonts w:hint="eastAsia" w:eastAsia="宋体" w:cs="Times New Roman"/>
                <w:color w:val="auto"/>
                <w:kern w:val="2"/>
                <w:sz w:val="21"/>
                <w:szCs w:val="21"/>
                <w:highlight w:val="none"/>
                <w:lang w:val="en-US" w:eastAsia="zh-CN" w:bidi="ar-SA"/>
              </w:rPr>
              <w:t>1</w:t>
            </w:r>
            <w:r>
              <w:rPr>
                <w:rFonts w:hint="eastAsia" w:ascii="Times New Roman" w:hAnsi="Times New Roman" w:eastAsia="宋体" w:cs="Times New Roman"/>
                <w:color w:val="auto"/>
                <w:kern w:val="2"/>
                <w:sz w:val="21"/>
                <w:szCs w:val="21"/>
                <w:highlight w:val="none"/>
                <w:lang w:val="en-US" w:eastAsia="zh-CN" w:bidi="ar-SA"/>
              </w:rPr>
              <w:t>分。</w:t>
            </w:r>
          </w:p>
          <w:p w14:paraId="43AC60D5">
            <w:pPr>
              <w:wordWrap w:val="0"/>
              <w:rPr>
                <w:rFonts w:hint="eastAsia"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w:t>
            </w:r>
            <w:r>
              <w:rPr>
                <w:rFonts w:hint="eastAsia" w:ascii="Times New Roman" w:hAnsi="Times New Roman" w:eastAsia="宋体" w:cs="Times New Roman"/>
                <w:b/>
                <w:bCs/>
                <w:color w:val="auto"/>
                <w:highlight w:val="none"/>
                <w:lang w:val="en-US" w:eastAsia="zh-CN"/>
              </w:rPr>
              <w:t>二</w:t>
            </w:r>
            <w:r>
              <w:rPr>
                <w:rFonts w:hint="eastAsia" w:ascii="Times New Roman" w:hAnsi="Times New Roman" w:eastAsia="宋体" w:cs="Times New Roman"/>
                <w:b/>
                <w:bCs/>
                <w:color w:val="auto"/>
                <w:highlight w:val="none"/>
              </w:rPr>
              <w:t>）评分标准：</w:t>
            </w:r>
          </w:p>
          <w:p w14:paraId="710F724D">
            <w:pPr>
              <w:pStyle w:val="2"/>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1、投标供应商须提供国家认可的认证机构出具的、处于有效期之内的环境标志产品认证证书及查询截图，并填写附表中的《环保产品明细清单》；</w:t>
            </w:r>
          </w:p>
          <w:p w14:paraId="57BD366F">
            <w:pPr>
              <w:pStyle w:val="2"/>
              <w:rPr>
                <w:rFonts w:hint="default" w:eastAsia="宋体"/>
                <w:color w:val="auto"/>
                <w:lang w:val="en-US" w:eastAsia="zh-CN"/>
              </w:rPr>
            </w:pPr>
            <w:r>
              <w:rPr>
                <w:rFonts w:hint="eastAsia" w:ascii="Times New Roman" w:hAnsi="Times New Roman" w:eastAsia="宋体" w:cs="Times New Roman"/>
                <w:color w:val="auto"/>
                <w:kern w:val="2"/>
                <w:sz w:val="21"/>
                <w:szCs w:val="21"/>
                <w:highlight w:val="none"/>
                <w:lang w:val="en-US" w:eastAsia="zh-CN" w:bidi="ar-SA"/>
              </w:rPr>
              <w:t>2.认证证书需与所投产品品牌规格型号一致，否则不予加分。</w:t>
            </w:r>
          </w:p>
        </w:tc>
      </w:tr>
      <w:tr w14:paraId="427E31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restart"/>
            <w:tcBorders>
              <w:tl2br w:val="nil"/>
              <w:tr2bl w:val="nil"/>
            </w:tcBorders>
            <w:vAlign w:val="center"/>
          </w:tcPr>
          <w:p w14:paraId="25C149FE">
            <w:pPr>
              <w:wordWrap w:val="0"/>
              <w:jc w:val="center"/>
              <w:rPr>
                <w:rFonts w:hint="eastAsia" w:ascii="宋体" w:hAnsi="宋体" w:cs="宋体"/>
                <w:b/>
                <w:bCs/>
                <w:color w:val="auto"/>
              </w:rPr>
            </w:pPr>
            <w:r>
              <w:rPr>
                <w:rFonts w:ascii="宋体" w:hAnsi="宋体" w:eastAsia="宋体"/>
                <w:b/>
                <w:bCs/>
                <w:color w:val="auto"/>
                <w:szCs w:val="21"/>
              </w:rPr>
              <w:t>3</w:t>
            </w:r>
          </w:p>
        </w:tc>
        <w:tc>
          <w:tcPr>
            <w:tcW w:w="3521" w:type="dxa"/>
            <w:gridSpan w:val="3"/>
            <w:tcBorders>
              <w:tl2br w:val="nil"/>
              <w:tr2bl w:val="nil"/>
            </w:tcBorders>
            <w:vAlign w:val="center"/>
          </w:tcPr>
          <w:p w14:paraId="69664A75">
            <w:pPr>
              <w:wordWrap w:val="0"/>
              <w:jc w:val="center"/>
              <w:rPr>
                <w:rFonts w:hint="eastAsia" w:ascii="宋体" w:hAnsi="宋体" w:cs="宋体"/>
                <w:b/>
                <w:bCs/>
                <w:color w:val="auto"/>
              </w:rPr>
            </w:pPr>
            <w:r>
              <w:rPr>
                <w:rFonts w:hint="eastAsia" w:ascii="宋体" w:hAnsi="宋体" w:eastAsia="宋体"/>
                <w:b/>
                <w:bCs/>
                <w:color w:val="auto"/>
                <w:szCs w:val="21"/>
              </w:rPr>
              <w:t>商务部分</w:t>
            </w:r>
          </w:p>
        </w:tc>
        <w:tc>
          <w:tcPr>
            <w:tcW w:w="4883" w:type="dxa"/>
            <w:tcBorders>
              <w:tl2br w:val="nil"/>
              <w:tr2bl w:val="nil"/>
            </w:tcBorders>
            <w:vAlign w:val="center"/>
          </w:tcPr>
          <w:p w14:paraId="2FEA9CE2">
            <w:pPr>
              <w:wordWrap w:val="0"/>
              <w:jc w:val="center"/>
              <w:rPr>
                <w:rFonts w:hint="default" w:ascii="宋体" w:hAnsi="宋体" w:eastAsia="宋体" w:cs="宋体"/>
                <w:b/>
                <w:bCs/>
                <w:color w:val="auto"/>
                <w:lang w:val="en-US" w:eastAsia="zh-CN"/>
              </w:rPr>
            </w:pPr>
            <w:r>
              <w:rPr>
                <w:rFonts w:hint="eastAsia" w:ascii="宋体" w:hAnsi="宋体" w:cs="宋体"/>
                <w:b/>
                <w:bCs/>
                <w:color w:val="auto"/>
                <w:lang w:val="en-US" w:eastAsia="zh-CN"/>
              </w:rPr>
              <w:t>21</w:t>
            </w:r>
          </w:p>
        </w:tc>
      </w:tr>
      <w:tr w14:paraId="078753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continue"/>
            <w:tcBorders>
              <w:tl2br w:val="nil"/>
              <w:tr2bl w:val="nil"/>
            </w:tcBorders>
            <w:vAlign w:val="center"/>
          </w:tcPr>
          <w:p w14:paraId="13D346C5">
            <w:pPr>
              <w:rPr>
                <w:rFonts w:hint="eastAsia" w:ascii="宋体" w:hAnsi="宋体" w:cs="宋体"/>
                <w:b/>
                <w:bCs/>
                <w:color w:val="auto"/>
              </w:rPr>
            </w:pPr>
          </w:p>
        </w:tc>
        <w:tc>
          <w:tcPr>
            <w:tcW w:w="8404" w:type="dxa"/>
            <w:gridSpan w:val="4"/>
            <w:tcBorders>
              <w:tl2br w:val="nil"/>
              <w:tr2bl w:val="nil"/>
            </w:tcBorders>
            <w:vAlign w:val="center"/>
          </w:tcPr>
          <w:p w14:paraId="025B2B2D">
            <w:pPr>
              <w:wordWrap w:val="0"/>
              <w:rPr>
                <w:rFonts w:hint="eastAsia" w:ascii="宋体" w:hAnsi="宋体" w:cs="宋体"/>
                <w:color w:val="auto"/>
              </w:rPr>
            </w:pPr>
          </w:p>
        </w:tc>
      </w:tr>
      <w:tr w14:paraId="79A859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continue"/>
            <w:tcBorders>
              <w:tl2br w:val="nil"/>
              <w:tr2bl w:val="nil"/>
            </w:tcBorders>
            <w:shd w:val="clear" w:color="auto" w:fill="E6EFFA"/>
            <w:vAlign w:val="center"/>
          </w:tcPr>
          <w:p w14:paraId="16C05E8B">
            <w:pPr>
              <w:rPr>
                <w:rFonts w:hint="eastAsia" w:ascii="宋体" w:hAnsi="宋体" w:cs="宋体"/>
                <w:b/>
                <w:bCs/>
                <w:color w:val="auto"/>
              </w:rPr>
            </w:pPr>
          </w:p>
        </w:tc>
        <w:tc>
          <w:tcPr>
            <w:tcW w:w="646" w:type="dxa"/>
            <w:tcBorders>
              <w:tl2br w:val="nil"/>
              <w:tr2bl w:val="nil"/>
            </w:tcBorders>
            <w:shd w:val="clear" w:color="auto" w:fill="E6EFFA"/>
            <w:vAlign w:val="center"/>
          </w:tcPr>
          <w:p w14:paraId="7907D240">
            <w:pPr>
              <w:wordWrap w:val="0"/>
              <w:jc w:val="center"/>
              <w:rPr>
                <w:rFonts w:hint="eastAsia" w:ascii="宋体" w:hAnsi="宋体" w:cs="宋体"/>
                <w:color w:val="auto"/>
              </w:rPr>
            </w:pPr>
            <w:r>
              <w:rPr>
                <w:rFonts w:ascii="宋体" w:hAnsi="宋体" w:eastAsia="宋体"/>
                <w:color w:val="auto"/>
                <w:szCs w:val="21"/>
              </w:rPr>
              <w:t>序号</w:t>
            </w:r>
          </w:p>
        </w:tc>
        <w:tc>
          <w:tcPr>
            <w:tcW w:w="1958" w:type="dxa"/>
            <w:tcBorders>
              <w:tl2br w:val="nil"/>
              <w:tr2bl w:val="nil"/>
            </w:tcBorders>
            <w:shd w:val="clear" w:color="auto" w:fill="E6EFFA"/>
            <w:vAlign w:val="center"/>
          </w:tcPr>
          <w:p w14:paraId="4C256E91">
            <w:pPr>
              <w:wordWrap w:val="0"/>
              <w:jc w:val="center"/>
              <w:rPr>
                <w:rFonts w:hint="eastAsia" w:ascii="宋体" w:hAnsi="宋体" w:cs="宋体"/>
                <w:color w:val="auto"/>
              </w:rPr>
            </w:pPr>
            <w:r>
              <w:rPr>
                <w:rFonts w:ascii="宋体" w:hAnsi="宋体" w:eastAsia="宋体"/>
                <w:color w:val="auto"/>
                <w:szCs w:val="21"/>
              </w:rPr>
              <w:t>评分因素</w:t>
            </w:r>
          </w:p>
        </w:tc>
        <w:tc>
          <w:tcPr>
            <w:tcW w:w="917" w:type="dxa"/>
            <w:tcBorders>
              <w:tl2br w:val="nil"/>
              <w:tr2bl w:val="nil"/>
            </w:tcBorders>
            <w:shd w:val="clear" w:color="auto" w:fill="E6EFFA"/>
            <w:vAlign w:val="center"/>
          </w:tcPr>
          <w:p w14:paraId="700DE3D1">
            <w:pPr>
              <w:wordWrap w:val="0"/>
              <w:jc w:val="center"/>
              <w:rPr>
                <w:rFonts w:hint="eastAsia" w:ascii="宋体" w:hAnsi="宋体" w:cs="宋体"/>
                <w:color w:val="auto"/>
              </w:rPr>
            </w:pPr>
            <w:r>
              <w:rPr>
                <w:rFonts w:hint="eastAsia" w:ascii="宋体" w:hAnsi="宋体" w:eastAsia="宋体" w:cs="宋体"/>
                <w:color w:val="auto"/>
                <w:szCs w:val="21"/>
              </w:rPr>
              <w:t>分值</w:t>
            </w:r>
          </w:p>
        </w:tc>
        <w:tc>
          <w:tcPr>
            <w:tcW w:w="4883" w:type="dxa"/>
            <w:tcBorders>
              <w:tl2br w:val="nil"/>
              <w:tr2bl w:val="nil"/>
            </w:tcBorders>
            <w:shd w:val="clear" w:color="auto" w:fill="E6EFFA"/>
            <w:vAlign w:val="center"/>
          </w:tcPr>
          <w:p w14:paraId="553E9EFC">
            <w:pPr>
              <w:wordWrap w:val="0"/>
              <w:jc w:val="center"/>
              <w:rPr>
                <w:rFonts w:hint="eastAsia" w:ascii="宋体" w:hAnsi="宋体" w:cs="宋体"/>
                <w:color w:val="auto"/>
              </w:rPr>
            </w:pPr>
            <w:r>
              <w:rPr>
                <w:rFonts w:ascii="宋体" w:hAnsi="宋体" w:eastAsia="宋体"/>
                <w:color w:val="auto"/>
                <w:szCs w:val="21"/>
              </w:rPr>
              <w:t>评分准则</w:t>
            </w:r>
          </w:p>
        </w:tc>
      </w:tr>
      <w:tr w14:paraId="35C000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rHeight w:val="90" w:hRule="atLeast"/>
          <w:tblCellSpacing w:w="0" w:type="dxa"/>
        </w:trPr>
        <w:tc>
          <w:tcPr>
            <w:tcW w:w="668" w:type="dxa"/>
            <w:vMerge w:val="continue"/>
            <w:tcBorders>
              <w:tl2br w:val="nil"/>
              <w:tr2bl w:val="nil"/>
            </w:tcBorders>
            <w:vAlign w:val="center"/>
          </w:tcPr>
          <w:p w14:paraId="611B4F59">
            <w:pPr>
              <w:rPr>
                <w:rFonts w:hint="eastAsia" w:ascii="宋体" w:hAnsi="宋体" w:cs="宋体"/>
                <w:b/>
                <w:bCs/>
                <w:color w:val="auto"/>
              </w:rPr>
            </w:pPr>
          </w:p>
        </w:tc>
        <w:tc>
          <w:tcPr>
            <w:tcW w:w="646" w:type="dxa"/>
            <w:tcBorders>
              <w:tl2br w:val="nil"/>
              <w:tr2bl w:val="nil"/>
            </w:tcBorders>
            <w:vAlign w:val="center"/>
          </w:tcPr>
          <w:p w14:paraId="06F5448B">
            <w:pPr>
              <w:wordWrap w:val="0"/>
              <w:jc w:val="center"/>
              <w:rPr>
                <w:rFonts w:hint="eastAsia" w:ascii="宋体" w:hAnsi="宋体" w:eastAsia="宋体" w:cs="宋体"/>
                <w:color w:val="auto"/>
                <w:lang w:val="en-US" w:eastAsia="zh-CN"/>
              </w:rPr>
            </w:pPr>
            <w:r>
              <w:rPr>
                <w:rFonts w:hint="eastAsia" w:ascii="宋体" w:hAnsi="宋体" w:cs="宋体"/>
                <w:color w:val="auto"/>
                <w:lang w:val="en-US" w:eastAsia="zh-CN"/>
              </w:rPr>
              <w:t>1</w:t>
            </w:r>
          </w:p>
        </w:tc>
        <w:tc>
          <w:tcPr>
            <w:tcW w:w="1958" w:type="dxa"/>
            <w:tcBorders>
              <w:tl2br w:val="nil"/>
              <w:tr2bl w:val="nil"/>
            </w:tcBorders>
            <w:vAlign w:val="center"/>
          </w:tcPr>
          <w:p w14:paraId="7F61630E">
            <w:pPr>
              <w:wordWrap w:val="0"/>
              <w:jc w:val="center"/>
              <w:rPr>
                <w:rFonts w:hint="eastAsia" w:ascii="宋体" w:hAnsi="宋体" w:cs="宋体"/>
                <w:color w:val="auto"/>
              </w:rPr>
            </w:pPr>
            <w:r>
              <w:rPr>
                <w:rFonts w:hint="eastAsia" w:ascii="宋体" w:hAnsi="宋体"/>
                <w:b/>
                <w:bCs/>
                <w:color w:val="auto"/>
              </w:rPr>
              <w:t>企业业绩</w:t>
            </w:r>
          </w:p>
        </w:tc>
        <w:tc>
          <w:tcPr>
            <w:tcW w:w="917" w:type="dxa"/>
            <w:tcBorders>
              <w:tl2br w:val="nil"/>
              <w:tr2bl w:val="nil"/>
            </w:tcBorders>
            <w:vAlign w:val="center"/>
          </w:tcPr>
          <w:p w14:paraId="09383206">
            <w:pPr>
              <w:wordWrap w:val="0"/>
              <w:spacing w:line="360" w:lineRule="auto"/>
              <w:jc w:val="center"/>
              <w:rPr>
                <w:rFonts w:hint="default" w:ascii="宋体" w:hAnsi="宋体" w:eastAsia="宋体" w:cs="宋体"/>
                <w:color w:val="auto"/>
                <w:lang w:val="en-US" w:eastAsia="zh-CN"/>
              </w:rPr>
            </w:pPr>
            <w:r>
              <w:rPr>
                <w:rFonts w:hint="eastAsia" w:ascii="宋体" w:hAnsi="宋体" w:cs="宋体"/>
                <w:color w:val="auto"/>
                <w:lang w:val="en-US" w:eastAsia="zh-CN"/>
              </w:rPr>
              <w:t>4</w:t>
            </w:r>
          </w:p>
        </w:tc>
        <w:tc>
          <w:tcPr>
            <w:tcW w:w="4883" w:type="dxa"/>
            <w:tcBorders>
              <w:tl2br w:val="nil"/>
              <w:tr2bl w:val="nil"/>
            </w:tcBorders>
            <w:vAlign w:val="center"/>
          </w:tcPr>
          <w:p w14:paraId="435BA175">
            <w:pPr>
              <w:pStyle w:val="23"/>
              <w:rPr>
                <w:rFonts w:hint="eastAsia" w:ascii="宋体" w:hAnsi="Courier New" w:eastAsia="宋体" w:cs="Courier New"/>
                <w:b w:val="0"/>
                <w:bCs w:val="0"/>
                <w:color w:val="auto"/>
                <w:szCs w:val="21"/>
              </w:rPr>
            </w:pPr>
            <w:r>
              <w:rPr>
                <w:rFonts w:hint="eastAsia" w:cs="Courier New"/>
                <w:b w:val="0"/>
                <w:bCs w:val="0"/>
                <w:color w:val="auto"/>
                <w:szCs w:val="21"/>
                <w:lang w:eastAsia="zh-CN"/>
              </w:rPr>
              <w:t>（</w:t>
            </w:r>
            <w:r>
              <w:rPr>
                <w:rFonts w:hint="eastAsia" w:ascii="宋体" w:hAnsi="Courier New" w:eastAsia="宋体" w:cs="Courier New"/>
                <w:b w:val="0"/>
                <w:bCs w:val="0"/>
                <w:color w:val="auto"/>
                <w:szCs w:val="21"/>
              </w:rPr>
              <w:t>一）评审内容：</w:t>
            </w:r>
          </w:p>
          <w:p w14:paraId="720E9707">
            <w:pPr>
              <w:pStyle w:val="23"/>
              <w:ind w:firstLine="420" w:firstLineChars="200"/>
              <w:rPr>
                <w:rFonts w:hint="eastAsia" w:ascii="宋体" w:hAnsi="Courier New" w:eastAsia="宋体" w:cs="Courier New"/>
                <w:b w:val="0"/>
                <w:bCs w:val="0"/>
                <w:color w:val="auto"/>
                <w:szCs w:val="21"/>
              </w:rPr>
            </w:pPr>
            <w:r>
              <w:rPr>
                <w:rFonts w:hint="eastAsia" w:ascii="宋体" w:hAnsi="Courier New" w:eastAsia="宋体" w:cs="Courier New"/>
                <w:b w:val="0"/>
                <w:bCs w:val="0"/>
                <w:color w:val="auto"/>
                <w:szCs w:val="21"/>
              </w:rPr>
              <w:t>投标供应商须提供自</w:t>
            </w:r>
            <w:r>
              <w:rPr>
                <w:rFonts w:hint="eastAsia" w:cs="Courier New"/>
                <w:b w:val="0"/>
                <w:bCs w:val="0"/>
                <w:color w:val="auto"/>
                <w:szCs w:val="21"/>
                <w:lang w:val="en-US" w:eastAsia="zh-CN"/>
              </w:rPr>
              <w:t>2024</w:t>
            </w:r>
            <w:r>
              <w:rPr>
                <w:rFonts w:hint="eastAsia" w:ascii="宋体" w:hAnsi="Courier New" w:eastAsia="宋体" w:cs="Courier New"/>
                <w:b w:val="0"/>
                <w:bCs w:val="0"/>
                <w:color w:val="auto"/>
                <w:szCs w:val="21"/>
              </w:rPr>
              <w:t>年</w:t>
            </w:r>
            <w:r>
              <w:rPr>
                <w:rFonts w:hint="eastAsia" w:cs="Courier New"/>
                <w:b w:val="0"/>
                <w:bCs w:val="0"/>
                <w:color w:val="auto"/>
                <w:szCs w:val="21"/>
                <w:lang w:val="en-US" w:eastAsia="zh-CN"/>
              </w:rPr>
              <w:t>5</w:t>
            </w:r>
            <w:r>
              <w:rPr>
                <w:rFonts w:hint="eastAsia" w:ascii="宋体" w:hAnsi="Courier New" w:eastAsia="宋体" w:cs="Courier New"/>
                <w:b w:val="0"/>
                <w:bCs w:val="0"/>
                <w:color w:val="auto"/>
                <w:szCs w:val="21"/>
              </w:rPr>
              <w:t>月</w:t>
            </w:r>
            <w:r>
              <w:rPr>
                <w:rFonts w:hint="eastAsia" w:cs="Courier New"/>
                <w:b w:val="0"/>
                <w:bCs w:val="0"/>
                <w:color w:val="auto"/>
                <w:szCs w:val="21"/>
                <w:lang w:val="en-US" w:eastAsia="zh-CN"/>
              </w:rPr>
              <w:t>1</w:t>
            </w:r>
            <w:r>
              <w:rPr>
                <w:rFonts w:hint="eastAsia" w:ascii="宋体" w:hAnsi="Courier New" w:eastAsia="宋体" w:cs="Courier New"/>
                <w:b w:val="0"/>
                <w:bCs w:val="0"/>
                <w:color w:val="auto"/>
                <w:szCs w:val="21"/>
              </w:rPr>
              <w:t>日起至投标截止时间前，完成的类似项目供货业绩。每提供一项业绩得</w:t>
            </w:r>
            <w:r>
              <w:rPr>
                <w:rFonts w:hint="eastAsia" w:cs="Courier New"/>
                <w:b w:val="0"/>
                <w:bCs w:val="0"/>
                <w:color w:val="auto"/>
                <w:szCs w:val="21"/>
                <w:lang w:val="en-US" w:eastAsia="zh-CN"/>
              </w:rPr>
              <w:t>2</w:t>
            </w:r>
            <w:r>
              <w:rPr>
                <w:rFonts w:hint="eastAsia" w:ascii="宋体" w:hAnsi="Courier New" w:eastAsia="宋体" w:cs="Courier New"/>
                <w:b w:val="0"/>
                <w:bCs w:val="0"/>
                <w:color w:val="auto"/>
                <w:szCs w:val="21"/>
              </w:rPr>
              <w:t>分，满分</w:t>
            </w:r>
            <w:r>
              <w:rPr>
                <w:rFonts w:hint="eastAsia" w:cs="Courier New"/>
                <w:b w:val="0"/>
                <w:bCs w:val="0"/>
                <w:color w:val="auto"/>
                <w:szCs w:val="21"/>
                <w:lang w:val="en-US" w:eastAsia="zh-CN"/>
              </w:rPr>
              <w:t>4</w:t>
            </w:r>
            <w:r>
              <w:rPr>
                <w:rFonts w:hint="eastAsia" w:ascii="宋体" w:hAnsi="Courier New" w:eastAsia="宋体" w:cs="Courier New"/>
                <w:b w:val="0"/>
                <w:bCs w:val="0"/>
                <w:color w:val="auto"/>
                <w:szCs w:val="21"/>
              </w:rPr>
              <w:t>分。</w:t>
            </w:r>
          </w:p>
          <w:p w14:paraId="5B9B5921">
            <w:pPr>
              <w:pStyle w:val="23"/>
              <w:rPr>
                <w:rFonts w:hint="eastAsia" w:ascii="宋体" w:hAnsi="Courier New" w:eastAsia="宋体" w:cs="Courier New"/>
                <w:b w:val="0"/>
                <w:bCs w:val="0"/>
                <w:color w:val="auto"/>
                <w:szCs w:val="21"/>
              </w:rPr>
            </w:pPr>
            <w:r>
              <w:rPr>
                <w:rFonts w:hint="eastAsia" w:ascii="宋体" w:hAnsi="Courier New" w:eastAsia="宋体" w:cs="Courier New"/>
                <w:b w:val="0"/>
                <w:bCs w:val="0"/>
                <w:color w:val="auto"/>
                <w:szCs w:val="21"/>
              </w:rPr>
              <w:t>（二）评分标准：</w:t>
            </w:r>
          </w:p>
          <w:p w14:paraId="1EAAF86A">
            <w:pPr>
              <w:pStyle w:val="23"/>
              <w:ind w:firstLine="420" w:firstLineChars="200"/>
              <w:rPr>
                <w:rFonts w:hint="eastAsia" w:ascii="宋体" w:hAnsi="Courier New" w:eastAsia="宋体" w:cs="Courier New"/>
                <w:b w:val="0"/>
                <w:bCs w:val="0"/>
                <w:color w:val="auto"/>
                <w:szCs w:val="21"/>
              </w:rPr>
            </w:pPr>
            <w:r>
              <w:rPr>
                <w:rFonts w:hint="eastAsia" w:ascii="宋体" w:hAnsi="Courier New" w:eastAsia="宋体" w:cs="Courier New"/>
                <w:b w:val="0"/>
                <w:bCs w:val="0"/>
                <w:color w:val="auto"/>
                <w:szCs w:val="21"/>
              </w:rPr>
              <w:t>1.本项目类似业绩是指：与本次投标产品的核心功能、用途一致，或属于同一类别、同一用途的相近产品；若业绩产品与投标产品类别、用途差异较大，不认定为类似业绩，不计分。</w:t>
            </w:r>
          </w:p>
          <w:p w14:paraId="14275A48">
            <w:pPr>
              <w:pStyle w:val="23"/>
              <w:ind w:firstLine="420" w:firstLineChars="200"/>
              <w:rPr>
                <w:rFonts w:hint="eastAsia" w:hAnsi="宋体" w:cs="宋体"/>
                <w:color w:val="auto"/>
              </w:rPr>
            </w:pPr>
            <w:r>
              <w:rPr>
                <w:rFonts w:hint="eastAsia" w:ascii="宋体" w:hAnsi="Courier New" w:eastAsia="宋体" w:cs="Courier New"/>
                <w:b w:val="0"/>
                <w:bCs w:val="0"/>
                <w:color w:val="auto"/>
                <w:szCs w:val="21"/>
              </w:rPr>
              <w:t>2.提供业绩证明材料要求：（1）内容清晰：合同或中标通知书及清单的关键信息（甲乙双方名称、项目名称、产品清单等）需清晰可辨，关键字迹模糊、缺失的，不计入有效业绩。（2）签章有效：合同需加盖甲乙双方公章（或合同专用章），中标通知书需加盖招标单位或代理机构公章；签章模糊、无签章、伪造的，业绩无效。（3） 关键页齐全：合同需提供首页、签章页、供货清单页等核心关键页，中标通知书需完整且附清单，缺失关键页无法核实的，不计入有效业绩。</w:t>
            </w:r>
          </w:p>
        </w:tc>
      </w:tr>
      <w:tr w14:paraId="6928FD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continue"/>
            <w:tcBorders>
              <w:tl2br w:val="nil"/>
              <w:tr2bl w:val="nil"/>
            </w:tcBorders>
            <w:vAlign w:val="center"/>
          </w:tcPr>
          <w:p w14:paraId="42E6FD08">
            <w:pPr>
              <w:rPr>
                <w:rFonts w:hint="eastAsia" w:ascii="宋体" w:hAnsi="宋体" w:cs="宋体"/>
                <w:b/>
                <w:bCs/>
                <w:color w:val="auto"/>
              </w:rPr>
            </w:pPr>
          </w:p>
        </w:tc>
        <w:tc>
          <w:tcPr>
            <w:tcW w:w="646" w:type="dxa"/>
            <w:tcBorders>
              <w:tl2br w:val="nil"/>
              <w:tr2bl w:val="nil"/>
            </w:tcBorders>
            <w:vAlign w:val="center"/>
          </w:tcPr>
          <w:p w14:paraId="6735532B">
            <w:pPr>
              <w:wordWrap w:val="0"/>
              <w:jc w:val="center"/>
              <w:rPr>
                <w:rFonts w:hint="eastAsia" w:ascii="宋体" w:hAnsi="宋体" w:eastAsia="宋体" w:cs="宋体"/>
                <w:color w:val="auto"/>
                <w:lang w:val="en-US" w:eastAsia="zh-CN"/>
              </w:rPr>
            </w:pPr>
            <w:r>
              <w:rPr>
                <w:rFonts w:hint="eastAsia" w:ascii="宋体" w:hAnsi="宋体" w:cs="宋体"/>
                <w:color w:val="auto"/>
                <w:lang w:val="en-US" w:eastAsia="zh-CN"/>
              </w:rPr>
              <w:t>2</w:t>
            </w:r>
          </w:p>
        </w:tc>
        <w:tc>
          <w:tcPr>
            <w:tcW w:w="1958" w:type="dxa"/>
            <w:tcBorders>
              <w:tl2br w:val="nil"/>
              <w:tr2bl w:val="nil"/>
            </w:tcBorders>
            <w:vAlign w:val="center"/>
          </w:tcPr>
          <w:p w14:paraId="6ACB8965">
            <w:pPr>
              <w:wordWrap w:val="0"/>
              <w:jc w:val="center"/>
              <w:rPr>
                <w:rFonts w:hint="eastAsia" w:ascii="宋体" w:hAnsi="宋体" w:cs="宋体"/>
                <w:b/>
                <w:bCs/>
                <w:color w:val="auto"/>
              </w:rPr>
            </w:pPr>
            <w:r>
              <w:rPr>
                <w:rFonts w:hint="eastAsia" w:ascii="宋体" w:hAnsi="宋体" w:cs="宋体"/>
                <w:b/>
                <w:bCs/>
                <w:color w:val="auto"/>
              </w:rPr>
              <w:t>企业</w:t>
            </w:r>
            <w:r>
              <w:rPr>
                <w:rFonts w:hint="eastAsia" w:ascii="宋体" w:hAnsi="宋体" w:cs="宋体"/>
                <w:b/>
                <w:bCs/>
                <w:color w:val="auto"/>
                <w:lang w:val="zh-CN"/>
              </w:rPr>
              <w:t>实力</w:t>
            </w:r>
          </w:p>
        </w:tc>
        <w:tc>
          <w:tcPr>
            <w:tcW w:w="917" w:type="dxa"/>
            <w:tcBorders>
              <w:tl2br w:val="nil"/>
              <w:tr2bl w:val="nil"/>
            </w:tcBorders>
            <w:vAlign w:val="center"/>
          </w:tcPr>
          <w:p w14:paraId="4E7BA97C">
            <w:pPr>
              <w:wordWrap w:val="0"/>
              <w:spacing w:line="360" w:lineRule="auto"/>
              <w:jc w:val="center"/>
              <w:rPr>
                <w:rFonts w:hint="eastAsia" w:ascii="宋体" w:hAnsi="宋体" w:cs="宋体"/>
                <w:color w:val="auto"/>
              </w:rPr>
            </w:pPr>
            <w:r>
              <w:rPr>
                <w:rFonts w:hint="eastAsia"/>
                <w:color w:val="auto"/>
              </w:rPr>
              <w:t>3</w:t>
            </w:r>
          </w:p>
        </w:tc>
        <w:tc>
          <w:tcPr>
            <w:tcW w:w="4883" w:type="dxa"/>
            <w:tcBorders>
              <w:tl2br w:val="nil"/>
              <w:tr2bl w:val="nil"/>
            </w:tcBorders>
            <w:vAlign w:val="center"/>
          </w:tcPr>
          <w:p w14:paraId="1B275923">
            <w:pPr>
              <w:wordWrap w:val="0"/>
              <w:rPr>
                <w:b/>
                <w:bCs/>
                <w:color w:val="auto"/>
              </w:rPr>
            </w:pPr>
            <w:r>
              <w:rPr>
                <w:rFonts w:hint="eastAsia" w:ascii="Times New Roman" w:hAnsi="Times New Roman" w:eastAsia="宋体" w:cs="Times New Roman"/>
                <w:b/>
                <w:bCs/>
                <w:color w:val="auto"/>
                <w:szCs w:val="21"/>
              </w:rPr>
              <w:t>（一）评审内容：</w:t>
            </w:r>
          </w:p>
          <w:p w14:paraId="4CEF424A">
            <w:pPr>
              <w:pStyle w:val="16"/>
              <w:ind w:firstLine="420" w:firstLineChars="200"/>
              <w:rPr>
                <w:color w:val="auto"/>
              </w:rPr>
            </w:pPr>
            <w:bookmarkStart w:id="1" w:name="OLE_LINK12"/>
            <w:r>
              <w:rPr>
                <w:rFonts w:hint="eastAsia"/>
                <w:color w:val="auto"/>
                <w:lang w:val="en-US" w:eastAsia="zh-CN"/>
              </w:rPr>
              <w:t>投标供应商须提供</w:t>
            </w:r>
            <w:r>
              <w:rPr>
                <w:rFonts w:hint="eastAsia"/>
                <w:color w:val="auto"/>
              </w:rPr>
              <w:t>智慧互联黑板制造</w:t>
            </w:r>
            <w:r>
              <w:rPr>
                <w:rFonts w:hint="eastAsia"/>
                <w:color w:val="auto"/>
                <w:lang w:val="en-US" w:eastAsia="zh-CN"/>
              </w:rPr>
              <w:t>厂商的</w:t>
            </w:r>
            <w:r>
              <w:rPr>
                <w:rFonts w:hint="eastAsia"/>
                <w:color w:val="auto"/>
              </w:rPr>
              <w:t>有效认证证书包括：</w:t>
            </w:r>
          </w:p>
          <w:bookmarkEnd w:id="1"/>
          <w:p w14:paraId="160E3282">
            <w:pPr>
              <w:pStyle w:val="16"/>
              <w:ind w:firstLine="420" w:firstLineChars="200"/>
              <w:rPr>
                <w:color w:val="auto"/>
              </w:rPr>
            </w:pPr>
            <w:r>
              <w:rPr>
                <w:rFonts w:hint="eastAsia"/>
                <w:color w:val="auto"/>
              </w:rPr>
              <w:t>1.质量管理体系认证证书，得1分；</w:t>
            </w:r>
          </w:p>
          <w:p w14:paraId="1107CBCE">
            <w:pPr>
              <w:pStyle w:val="16"/>
              <w:ind w:firstLine="420" w:firstLineChars="200"/>
              <w:rPr>
                <w:color w:val="auto"/>
              </w:rPr>
            </w:pPr>
            <w:r>
              <w:rPr>
                <w:rFonts w:hint="eastAsia"/>
                <w:color w:val="auto"/>
              </w:rPr>
              <w:t>2.环境管理体系认证证书，得1分；</w:t>
            </w:r>
          </w:p>
          <w:p w14:paraId="1B199E67">
            <w:pPr>
              <w:pStyle w:val="16"/>
              <w:ind w:firstLine="420" w:firstLineChars="200"/>
              <w:rPr>
                <w:color w:val="auto"/>
              </w:rPr>
            </w:pPr>
            <w:r>
              <w:rPr>
                <w:rFonts w:hint="eastAsia"/>
                <w:color w:val="auto"/>
              </w:rPr>
              <w:t>3.职业健康安全管理体系认证证书，得1分；</w:t>
            </w:r>
          </w:p>
          <w:p w14:paraId="0536EC76">
            <w:pPr>
              <w:wordWrap w:val="0"/>
              <w:rPr>
                <w:b/>
                <w:bCs/>
                <w:color w:val="auto"/>
              </w:rPr>
            </w:pPr>
            <w:r>
              <w:rPr>
                <w:rFonts w:hint="eastAsia" w:ascii="Times New Roman" w:hAnsi="Times New Roman" w:eastAsia="宋体" w:cs="Times New Roman"/>
                <w:b/>
                <w:bCs/>
                <w:color w:val="auto"/>
                <w:szCs w:val="21"/>
              </w:rPr>
              <w:t>（二）评审依据：</w:t>
            </w:r>
          </w:p>
          <w:p w14:paraId="6C36C1AA">
            <w:pPr>
              <w:pStyle w:val="16"/>
              <w:rPr>
                <w:color w:val="auto"/>
              </w:rPr>
            </w:pPr>
            <w:r>
              <w:rPr>
                <w:rFonts w:hint="eastAsia"/>
                <w:color w:val="auto"/>
              </w:rPr>
              <w:t xml:space="preserve">  1.证书同时提供有效证书扫描件及国家市场监督管理总局-全国认证认可信息公共服务平台http://cx.cnca.cn/CertECloud/index/index/page 证书查询截图或证书相应网站的查询截图作为评审依据。</w:t>
            </w:r>
          </w:p>
          <w:p w14:paraId="5A0E2E03">
            <w:pPr>
              <w:pStyle w:val="23"/>
              <w:rPr>
                <w:rFonts w:hint="eastAsia" w:hAnsi="宋体" w:cs="宋体"/>
                <w:color w:val="auto"/>
              </w:rPr>
            </w:pPr>
            <w:r>
              <w:rPr>
                <w:rFonts w:hint="eastAsia" w:ascii="Times New Roman" w:hAnsi="Times New Roman"/>
                <w:color w:val="auto"/>
                <w:szCs w:val="21"/>
              </w:rPr>
              <w:t xml:space="preserve">  2.以上资料均要求提供扫描件并加盖供应商公章。评分中出现无证明资料或专家无法凭所提供资料判断是否得分的情况，一律作不得分处理。</w:t>
            </w:r>
          </w:p>
        </w:tc>
      </w:tr>
      <w:tr w14:paraId="6ACEA9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rHeight w:val="90" w:hRule="atLeast"/>
          <w:tblCellSpacing w:w="0" w:type="dxa"/>
        </w:trPr>
        <w:tc>
          <w:tcPr>
            <w:tcW w:w="668" w:type="dxa"/>
            <w:vMerge w:val="continue"/>
            <w:tcBorders>
              <w:tl2br w:val="nil"/>
              <w:tr2bl w:val="nil"/>
            </w:tcBorders>
            <w:vAlign w:val="center"/>
          </w:tcPr>
          <w:p w14:paraId="5AE9979B">
            <w:pPr>
              <w:rPr>
                <w:rFonts w:hint="eastAsia" w:ascii="宋体" w:hAnsi="宋体" w:cs="宋体"/>
                <w:b/>
                <w:bCs/>
                <w:color w:val="auto"/>
              </w:rPr>
            </w:pPr>
          </w:p>
        </w:tc>
        <w:tc>
          <w:tcPr>
            <w:tcW w:w="646" w:type="dxa"/>
            <w:tcBorders>
              <w:tl2br w:val="nil"/>
              <w:tr2bl w:val="nil"/>
            </w:tcBorders>
            <w:vAlign w:val="center"/>
          </w:tcPr>
          <w:p w14:paraId="3006321B">
            <w:pPr>
              <w:wordWrap w:val="0"/>
              <w:jc w:val="center"/>
              <w:rPr>
                <w:rFonts w:hint="eastAsia" w:ascii="宋体" w:hAnsi="宋体" w:eastAsia="宋体"/>
                <w:color w:val="auto"/>
                <w:lang w:val="en-US" w:eastAsia="zh-CN"/>
              </w:rPr>
            </w:pPr>
            <w:r>
              <w:rPr>
                <w:rFonts w:hint="eastAsia" w:ascii="宋体" w:hAnsi="宋体"/>
                <w:color w:val="auto"/>
                <w:lang w:val="en-US" w:eastAsia="zh-CN"/>
              </w:rPr>
              <w:t>3</w:t>
            </w:r>
          </w:p>
        </w:tc>
        <w:tc>
          <w:tcPr>
            <w:tcW w:w="1958" w:type="dxa"/>
            <w:tcBorders>
              <w:tl2br w:val="nil"/>
              <w:tr2bl w:val="nil"/>
            </w:tcBorders>
            <w:vAlign w:val="center"/>
          </w:tcPr>
          <w:p w14:paraId="559BF216">
            <w:pPr>
              <w:jc w:val="center"/>
              <w:rPr>
                <w:rFonts w:hint="eastAsia" w:ascii="宋体" w:hAnsi="宋体" w:cs="宋体"/>
                <w:color w:val="auto"/>
              </w:rPr>
            </w:pPr>
            <w:r>
              <w:rPr>
                <w:rFonts w:hint="eastAsia"/>
                <w:b/>
                <w:bCs/>
                <w:color w:val="auto"/>
              </w:rPr>
              <w:t>自主知识产权</w:t>
            </w:r>
          </w:p>
        </w:tc>
        <w:tc>
          <w:tcPr>
            <w:tcW w:w="917" w:type="dxa"/>
            <w:tcBorders>
              <w:tl2br w:val="nil"/>
              <w:tr2bl w:val="nil"/>
            </w:tcBorders>
            <w:vAlign w:val="center"/>
          </w:tcPr>
          <w:p w14:paraId="5EECE45E">
            <w:pPr>
              <w:spacing w:line="360" w:lineRule="auto"/>
              <w:jc w:val="center"/>
              <w:rPr>
                <w:rFonts w:hint="eastAsia" w:ascii="宋体" w:hAnsi="宋体" w:cs="宋体"/>
                <w:color w:val="auto"/>
              </w:rPr>
            </w:pPr>
            <w:r>
              <w:rPr>
                <w:rFonts w:hint="eastAsia"/>
                <w:color w:val="auto"/>
              </w:rPr>
              <w:t>5</w:t>
            </w:r>
          </w:p>
        </w:tc>
        <w:tc>
          <w:tcPr>
            <w:tcW w:w="4883" w:type="dxa"/>
            <w:tcBorders>
              <w:tl2br w:val="nil"/>
              <w:tr2bl w:val="nil"/>
            </w:tcBorders>
            <w:vAlign w:val="center"/>
          </w:tcPr>
          <w:p w14:paraId="2E5D46F4">
            <w:pPr>
              <w:wordWrap w:val="0"/>
              <w:rPr>
                <w:b/>
                <w:bCs/>
                <w:color w:val="auto"/>
              </w:rPr>
            </w:pPr>
            <w:r>
              <w:rPr>
                <w:rFonts w:hint="eastAsia" w:ascii="Times New Roman" w:hAnsi="Times New Roman" w:eastAsia="宋体" w:cs="Times New Roman"/>
                <w:b/>
                <w:bCs/>
                <w:color w:val="auto"/>
                <w:szCs w:val="21"/>
              </w:rPr>
              <w:t>（一）评审内容：</w:t>
            </w:r>
          </w:p>
          <w:p w14:paraId="791C2F9E">
            <w:pPr>
              <w:textAlignment w:val="baseline"/>
              <w:rPr>
                <w:rFonts w:ascii="宋体" w:hAnsi="Courier New" w:cs="Courier New"/>
                <w:color w:val="auto"/>
                <w:szCs w:val="18"/>
              </w:rPr>
            </w:pPr>
            <w:r>
              <w:rPr>
                <w:rFonts w:hint="eastAsia" w:ascii="宋体" w:hAnsi="Courier New" w:eastAsia="宋体" w:cs="Courier New"/>
                <w:color w:val="auto"/>
                <w:szCs w:val="18"/>
              </w:rPr>
              <w:t>考察投标供应商所投产品的自主知识产权情况：</w:t>
            </w:r>
          </w:p>
          <w:p w14:paraId="4DE9A2D6">
            <w:pPr>
              <w:pStyle w:val="23"/>
              <w:numPr>
                <w:ilvl w:val="0"/>
                <w:numId w:val="0"/>
              </w:numPr>
              <w:ind w:firstLine="420" w:firstLineChars="200"/>
              <w:jc w:val="both"/>
              <w:rPr>
                <w:color w:val="auto"/>
                <w:szCs w:val="18"/>
              </w:rPr>
            </w:pPr>
            <w:r>
              <w:rPr>
                <w:rFonts w:hint="eastAsia"/>
                <w:color w:val="auto"/>
                <w:szCs w:val="18"/>
                <w:lang w:val="en-US" w:eastAsia="zh-CN"/>
              </w:rPr>
              <w:t>1、</w:t>
            </w:r>
            <w:r>
              <w:rPr>
                <w:rFonts w:hint="eastAsia"/>
                <w:color w:val="auto"/>
                <w:szCs w:val="18"/>
              </w:rPr>
              <w:t>真三维虚拟演播系统</w:t>
            </w:r>
          </w:p>
          <w:p w14:paraId="3C9875A9">
            <w:pPr>
              <w:pStyle w:val="23"/>
              <w:ind w:firstLine="420" w:firstLineChars="200"/>
              <w:rPr>
                <w:color w:val="auto"/>
                <w:szCs w:val="18"/>
              </w:rPr>
            </w:pPr>
            <w:r>
              <w:rPr>
                <w:rFonts w:hint="eastAsia"/>
                <w:color w:val="auto"/>
                <w:szCs w:val="18"/>
              </w:rPr>
              <w:t>所投产品须具有自主知识产权，提供对应产品的计算机软件著作权登记证书。证书对应的软件功能应能支撑本项目相应设备使用。得1分；</w:t>
            </w:r>
          </w:p>
          <w:p w14:paraId="1D18B926">
            <w:pPr>
              <w:pStyle w:val="23"/>
              <w:numPr>
                <w:ilvl w:val="0"/>
                <w:numId w:val="0"/>
              </w:numPr>
              <w:ind w:firstLine="420" w:firstLineChars="200"/>
              <w:jc w:val="both"/>
              <w:rPr>
                <w:color w:val="auto"/>
                <w:szCs w:val="18"/>
              </w:rPr>
            </w:pPr>
            <w:r>
              <w:rPr>
                <w:rFonts w:hint="eastAsia"/>
                <w:color w:val="auto"/>
                <w:szCs w:val="18"/>
                <w:lang w:val="en-US" w:eastAsia="zh-CN"/>
              </w:rPr>
              <w:t>2、</w:t>
            </w:r>
            <w:r>
              <w:rPr>
                <w:rFonts w:hint="eastAsia"/>
                <w:color w:val="auto"/>
                <w:szCs w:val="18"/>
              </w:rPr>
              <w:t>流媒体系统</w:t>
            </w:r>
          </w:p>
          <w:p w14:paraId="6C6CF977">
            <w:pPr>
              <w:pStyle w:val="23"/>
              <w:ind w:firstLine="420" w:firstLineChars="200"/>
              <w:rPr>
                <w:rFonts w:hint="eastAsia"/>
                <w:color w:val="auto"/>
                <w:szCs w:val="18"/>
              </w:rPr>
            </w:pPr>
            <w:r>
              <w:rPr>
                <w:rFonts w:hint="eastAsia"/>
                <w:color w:val="auto"/>
                <w:szCs w:val="18"/>
              </w:rPr>
              <w:t>所投产品须具有自主知识产权，提供对应产品的计算机软件著作权登记证书。证书对应的软件功能应能支撑本项目相应设备使用。得1分；</w:t>
            </w:r>
          </w:p>
          <w:p w14:paraId="431F6763">
            <w:pPr>
              <w:pStyle w:val="23"/>
              <w:ind w:firstLine="420" w:firstLineChars="200"/>
              <w:rPr>
                <w:color w:val="auto"/>
                <w:szCs w:val="18"/>
              </w:rPr>
            </w:pPr>
            <w:r>
              <w:rPr>
                <w:rFonts w:hint="eastAsia"/>
                <w:color w:val="auto"/>
                <w:szCs w:val="18"/>
                <w:lang w:val="en-US" w:eastAsia="zh-CN"/>
              </w:rPr>
              <w:t xml:space="preserve">3、 </w:t>
            </w:r>
            <w:r>
              <w:rPr>
                <w:rFonts w:hint="eastAsia"/>
                <w:color w:val="auto"/>
                <w:szCs w:val="18"/>
              </w:rPr>
              <w:t>非线性编辑系统</w:t>
            </w:r>
          </w:p>
          <w:p w14:paraId="3248ECCB">
            <w:pPr>
              <w:pStyle w:val="23"/>
              <w:ind w:firstLine="420" w:firstLineChars="200"/>
              <w:rPr>
                <w:color w:val="auto"/>
                <w:szCs w:val="18"/>
              </w:rPr>
            </w:pPr>
            <w:r>
              <w:rPr>
                <w:rFonts w:hint="eastAsia"/>
                <w:color w:val="auto"/>
                <w:szCs w:val="18"/>
              </w:rPr>
              <w:t>所投产品须具有自主知识产权，提供对应产品的计算机软件著作权登记证书。 证书对应的软件功能应能支撑本项目相应设备使用。得1分；</w:t>
            </w:r>
          </w:p>
          <w:p w14:paraId="5854477A">
            <w:pPr>
              <w:pStyle w:val="23"/>
              <w:ind w:firstLine="420" w:firstLineChars="200"/>
              <w:rPr>
                <w:color w:val="auto"/>
                <w:szCs w:val="18"/>
              </w:rPr>
            </w:pPr>
            <w:r>
              <w:rPr>
                <w:rFonts w:hint="eastAsia"/>
                <w:color w:val="auto"/>
                <w:szCs w:val="18"/>
              </w:rPr>
              <w:t>4、4K录播一体机</w:t>
            </w:r>
          </w:p>
          <w:p w14:paraId="5FD821B3">
            <w:pPr>
              <w:pStyle w:val="23"/>
              <w:ind w:firstLine="420" w:firstLineChars="200"/>
              <w:rPr>
                <w:color w:val="auto"/>
                <w:szCs w:val="18"/>
              </w:rPr>
            </w:pPr>
            <w:r>
              <w:rPr>
                <w:rFonts w:hint="eastAsia"/>
                <w:color w:val="auto"/>
                <w:szCs w:val="18"/>
              </w:rPr>
              <w:t>所投产品须具有自主知识产权，提供对应产品的计算机软件著作权登记证书。证书对应的软件功能应能支撑本项目相应设备使用。得1分；</w:t>
            </w:r>
          </w:p>
          <w:p w14:paraId="190B73CE">
            <w:pPr>
              <w:pStyle w:val="23"/>
              <w:ind w:firstLine="420" w:firstLineChars="200"/>
              <w:rPr>
                <w:color w:val="auto"/>
                <w:szCs w:val="18"/>
              </w:rPr>
            </w:pPr>
            <w:r>
              <w:rPr>
                <w:rFonts w:hint="eastAsia"/>
                <w:color w:val="auto"/>
                <w:szCs w:val="18"/>
              </w:rPr>
              <w:t>5、智能课堂行为分析软件</w:t>
            </w:r>
          </w:p>
          <w:p w14:paraId="3C723271">
            <w:pPr>
              <w:pStyle w:val="23"/>
              <w:ind w:firstLine="420" w:firstLineChars="200"/>
              <w:rPr>
                <w:color w:val="auto"/>
                <w:szCs w:val="18"/>
              </w:rPr>
            </w:pPr>
            <w:r>
              <w:rPr>
                <w:rFonts w:hint="eastAsia"/>
                <w:color w:val="auto"/>
                <w:szCs w:val="18"/>
              </w:rPr>
              <w:t>所投产品须具有自主知识产权，提供对应产品的计算机软件著作权登记证书。证书对应的软件功能应能支撑本项目相应设备使用。得1分；</w:t>
            </w:r>
          </w:p>
          <w:p w14:paraId="6CF64AB8">
            <w:pPr>
              <w:wordWrap w:val="0"/>
              <w:rPr>
                <w:b/>
                <w:bCs/>
                <w:color w:val="auto"/>
              </w:rPr>
            </w:pPr>
            <w:r>
              <w:rPr>
                <w:rFonts w:hint="eastAsia" w:ascii="Times New Roman" w:hAnsi="Times New Roman" w:eastAsia="宋体" w:cs="Times New Roman"/>
                <w:b/>
                <w:bCs/>
                <w:color w:val="auto"/>
                <w:szCs w:val="21"/>
              </w:rPr>
              <w:t>（二）评审依据：</w:t>
            </w:r>
          </w:p>
          <w:p w14:paraId="45A41F8C">
            <w:pPr>
              <w:ind w:firstLine="420" w:firstLineChars="200"/>
              <w:textAlignment w:val="baseline"/>
              <w:rPr>
                <w:rFonts w:hint="eastAsia" w:ascii="宋体" w:hAnsi="宋体" w:cs="宋体"/>
                <w:color w:val="auto"/>
              </w:rPr>
            </w:pPr>
            <w:r>
              <w:rPr>
                <w:rFonts w:hint="eastAsia" w:hAnsi="宋体" w:cs="宋体"/>
                <w:color w:val="auto"/>
              </w:rPr>
              <w:t>以上资料要求提供证书扫描件并加盖供应商公章。评分中出现无证明资料或专家无法凭所提供资料判断是否得分的情况，一律作不得分处理。</w:t>
            </w:r>
          </w:p>
        </w:tc>
      </w:tr>
      <w:tr w14:paraId="4A7693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rHeight w:val="1381" w:hRule="atLeast"/>
          <w:tblCellSpacing w:w="0" w:type="dxa"/>
        </w:trPr>
        <w:tc>
          <w:tcPr>
            <w:tcW w:w="668" w:type="dxa"/>
            <w:vMerge w:val="continue"/>
            <w:tcBorders>
              <w:tl2br w:val="nil"/>
              <w:tr2bl w:val="nil"/>
            </w:tcBorders>
            <w:vAlign w:val="center"/>
          </w:tcPr>
          <w:p w14:paraId="48716192">
            <w:pPr>
              <w:rPr>
                <w:rFonts w:hint="eastAsia" w:ascii="宋体" w:hAnsi="宋体" w:cs="宋体"/>
                <w:b/>
                <w:bCs/>
                <w:color w:val="auto"/>
              </w:rPr>
            </w:pPr>
          </w:p>
        </w:tc>
        <w:tc>
          <w:tcPr>
            <w:tcW w:w="646" w:type="dxa"/>
            <w:tcBorders>
              <w:tl2br w:val="nil"/>
              <w:tr2bl w:val="nil"/>
            </w:tcBorders>
            <w:vAlign w:val="center"/>
          </w:tcPr>
          <w:p w14:paraId="3A72DEF6">
            <w:pPr>
              <w:wordWrap w:val="0"/>
              <w:jc w:val="center"/>
              <w:rPr>
                <w:rFonts w:hint="eastAsia" w:ascii="宋体" w:hAnsi="宋体" w:eastAsia="宋体"/>
                <w:color w:val="auto"/>
                <w:lang w:val="en-US" w:eastAsia="zh-CN"/>
              </w:rPr>
            </w:pPr>
            <w:r>
              <w:rPr>
                <w:rFonts w:hint="eastAsia" w:ascii="宋体" w:hAnsi="宋体"/>
                <w:color w:val="auto"/>
                <w:lang w:val="en-US" w:eastAsia="zh-CN"/>
              </w:rPr>
              <w:t>4</w:t>
            </w:r>
          </w:p>
        </w:tc>
        <w:tc>
          <w:tcPr>
            <w:tcW w:w="1958" w:type="dxa"/>
            <w:tcBorders>
              <w:tl2br w:val="nil"/>
              <w:tr2bl w:val="nil"/>
            </w:tcBorders>
            <w:vAlign w:val="center"/>
          </w:tcPr>
          <w:p w14:paraId="0F5F7321">
            <w:pPr>
              <w:jc w:val="center"/>
              <w:rPr>
                <w:rFonts w:hint="eastAsia" w:ascii="宋体" w:hAnsi="宋体" w:cs="宋体"/>
                <w:color w:val="auto"/>
              </w:rPr>
            </w:pPr>
            <w:r>
              <w:rPr>
                <w:rFonts w:hint="eastAsia"/>
                <w:b/>
                <w:bCs/>
                <w:color w:val="auto"/>
              </w:rPr>
              <w:t>售后服务方案</w:t>
            </w:r>
          </w:p>
        </w:tc>
        <w:tc>
          <w:tcPr>
            <w:tcW w:w="917" w:type="dxa"/>
            <w:tcBorders>
              <w:tl2br w:val="nil"/>
              <w:tr2bl w:val="nil"/>
            </w:tcBorders>
            <w:vAlign w:val="center"/>
          </w:tcPr>
          <w:p w14:paraId="2E4D4E06">
            <w:pPr>
              <w:spacing w:line="360" w:lineRule="auto"/>
              <w:jc w:val="center"/>
              <w:rPr>
                <w:rFonts w:hint="default" w:ascii="宋体" w:hAnsi="宋体" w:eastAsia="宋体" w:cs="宋体"/>
                <w:color w:val="auto"/>
                <w:lang w:val="en-US" w:eastAsia="zh-CN"/>
              </w:rPr>
            </w:pPr>
            <w:r>
              <w:rPr>
                <w:rFonts w:hint="eastAsia"/>
                <w:color w:val="auto"/>
                <w:lang w:val="en-US" w:eastAsia="zh-CN"/>
              </w:rPr>
              <w:t>6</w:t>
            </w:r>
          </w:p>
        </w:tc>
        <w:tc>
          <w:tcPr>
            <w:tcW w:w="4883" w:type="dxa"/>
            <w:tcBorders>
              <w:tl2br w:val="nil"/>
              <w:tr2bl w:val="nil"/>
            </w:tcBorders>
            <w:vAlign w:val="center"/>
          </w:tcPr>
          <w:p w14:paraId="29926F98">
            <w:pPr>
              <w:wordWrap w:val="0"/>
              <w:rPr>
                <w:rFonts w:hint="eastAsia" w:ascii="宋体" w:hAnsi="宋体" w:cs="宋体"/>
                <w:b/>
                <w:bCs/>
                <w:color w:val="auto"/>
              </w:rPr>
            </w:pPr>
            <w:r>
              <w:rPr>
                <w:rFonts w:hint="eastAsia" w:ascii="宋体" w:hAnsi="宋体" w:eastAsia="宋体" w:cs="宋体"/>
                <w:b/>
                <w:bCs/>
                <w:color w:val="auto"/>
                <w:szCs w:val="21"/>
              </w:rPr>
              <w:t>（一）评审内容：</w:t>
            </w:r>
          </w:p>
          <w:p w14:paraId="3D83CE4B">
            <w:pPr>
              <w:wordWrap w:val="0"/>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售后保障方案应详细说明售后服务内容，包括但不仅限于</w:t>
            </w:r>
            <w:r>
              <w:rPr>
                <w:rFonts w:hint="eastAsia" w:ascii="宋体" w:hAnsi="宋体" w:cs="宋体"/>
                <w:color w:val="auto"/>
                <w:szCs w:val="21"/>
                <w:highlight w:val="none"/>
                <w:lang w:val="en-US" w:eastAsia="zh-CN"/>
              </w:rPr>
              <w:t>：</w:t>
            </w:r>
          </w:p>
          <w:p w14:paraId="1203F1DE">
            <w:pPr>
              <w:wordWrap w:val="0"/>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①</w:t>
            </w:r>
            <w:r>
              <w:rPr>
                <w:rFonts w:hint="eastAsia" w:ascii="宋体" w:hAnsi="宋体" w:cs="宋体"/>
                <w:color w:val="auto"/>
                <w:szCs w:val="21"/>
                <w:highlight w:val="none"/>
                <w:lang w:val="en-US" w:eastAsia="zh-CN"/>
              </w:rPr>
              <w:t>货物</w:t>
            </w:r>
            <w:r>
              <w:rPr>
                <w:rFonts w:hint="eastAsia" w:ascii="宋体" w:hAnsi="宋体" w:eastAsia="宋体" w:cs="宋体"/>
                <w:color w:val="auto"/>
                <w:szCs w:val="21"/>
                <w:highlight w:val="none"/>
                <w:lang w:val="en-US" w:eastAsia="zh-CN"/>
              </w:rPr>
              <w:t>保修</w:t>
            </w:r>
            <w:r>
              <w:rPr>
                <w:rFonts w:hint="eastAsia" w:ascii="宋体" w:hAnsi="宋体" w:cs="宋体"/>
                <w:color w:val="auto"/>
                <w:szCs w:val="21"/>
                <w:highlight w:val="none"/>
                <w:lang w:val="en-US" w:eastAsia="zh-CN"/>
              </w:rPr>
              <w:t>措施；</w:t>
            </w:r>
          </w:p>
          <w:p w14:paraId="7F486A99">
            <w:pPr>
              <w:wordWrap w:val="0"/>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②售后保障方案</w:t>
            </w:r>
            <w:r>
              <w:rPr>
                <w:rFonts w:hint="eastAsia" w:ascii="宋体" w:hAnsi="宋体" w:cs="宋体"/>
                <w:color w:val="auto"/>
                <w:szCs w:val="21"/>
                <w:highlight w:val="none"/>
                <w:lang w:val="en-US" w:eastAsia="zh-CN"/>
              </w:rPr>
              <w:t>；</w:t>
            </w:r>
          </w:p>
          <w:p w14:paraId="0CCDB70C">
            <w:pPr>
              <w:wordWrap w:val="0"/>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③服务响应</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修复时间</w:t>
            </w:r>
            <w:r>
              <w:rPr>
                <w:rFonts w:hint="eastAsia" w:ascii="宋体" w:hAnsi="宋体" w:cs="宋体"/>
                <w:color w:val="auto"/>
                <w:szCs w:val="21"/>
                <w:highlight w:val="none"/>
                <w:lang w:val="en-US" w:eastAsia="zh-CN"/>
              </w:rPr>
              <w:t>安排；</w:t>
            </w:r>
          </w:p>
          <w:p w14:paraId="2A274DFA">
            <w:pPr>
              <w:wordWrap w:val="0"/>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④</w:t>
            </w:r>
            <w:r>
              <w:rPr>
                <w:rFonts w:hint="eastAsia" w:ascii="宋体" w:hAnsi="宋体" w:cs="宋体"/>
                <w:color w:val="auto"/>
                <w:szCs w:val="21"/>
                <w:highlight w:val="none"/>
                <w:lang w:val="en-US" w:eastAsia="zh-CN"/>
              </w:rPr>
              <w:t>故障</w:t>
            </w:r>
            <w:r>
              <w:rPr>
                <w:rFonts w:hint="eastAsia" w:ascii="宋体" w:hAnsi="宋体" w:eastAsia="宋体" w:cs="宋体"/>
                <w:color w:val="auto"/>
                <w:szCs w:val="21"/>
                <w:highlight w:val="none"/>
                <w:lang w:val="en-US" w:eastAsia="zh-CN"/>
              </w:rPr>
              <w:t>应急处理</w:t>
            </w:r>
            <w:r>
              <w:rPr>
                <w:rFonts w:hint="eastAsia" w:ascii="宋体" w:hAnsi="宋体" w:cs="宋体"/>
                <w:color w:val="auto"/>
                <w:szCs w:val="21"/>
                <w:highlight w:val="none"/>
                <w:lang w:val="en-US" w:eastAsia="zh-CN"/>
              </w:rPr>
              <w:t>方案</w:t>
            </w:r>
            <w:r>
              <w:rPr>
                <w:rFonts w:hint="eastAsia" w:ascii="宋体" w:hAnsi="宋体" w:eastAsia="宋体" w:cs="宋体"/>
                <w:color w:val="auto"/>
                <w:szCs w:val="21"/>
                <w:highlight w:val="none"/>
                <w:lang w:val="en-US" w:eastAsia="zh-CN"/>
              </w:rPr>
              <w:t>。</w:t>
            </w:r>
          </w:p>
          <w:p w14:paraId="7D5FE461">
            <w:pPr>
              <w:wordWrap w:val="0"/>
              <w:ind w:firstLine="420" w:firstLineChars="200"/>
              <w:rPr>
                <w:rFonts w:hint="default"/>
                <w:color w:val="auto"/>
                <w:lang w:val="en-US"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投标人承诺提供本地化的售后服务，得</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lang w:val="en-US" w:eastAsia="zh-CN"/>
              </w:rPr>
              <w:t xml:space="preserve">分；不提供的不得分。 </w:t>
            </w:r>
          </w:p>
          <w:p w14:paraId="188AFB4E">
            <w:pPr>
              <w:wordWrap w:val="0"/>
              <w:rPr>
                <w:rFonts w:hint="eastAsia" w:ascii="宋体" w:hAnsi="宋体" w:cs="宋体"/>
                <w:b/>
                <w:bCs/>
                <w:color w:val="auto"/>
              </w:rPr>
            </w:pPr>
            <w:r>
              <w:rPr>
                <w:rFonts w:hint="eastAsia" w:ascii="宋体" w:hAnsi="宋体" w:eastAsia="宋体" w:cs="宋体"/>
                <w:b/>
                <w:bCs/>
                <w:color w:val="auto"/>
                <w:szCs w:val="21"/>
              </w:rPr>
              <w:t>（二）评分标准：</w:t>
            </w:r>
          </w:p>
          <w:p w14:paraId="69BFFAE9">
            <w:pPr>
              <w:wordWrap w:val="0"/>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olor w:val="auto"/>
                <w:sz w:val="21"/>
                <w:szCs w:val="21"/>
              </w:rPr>
              <w:t xml:space="preserve"> </w:t>
            </w:r>
            <w:r>
              <w:rPr>
                <w:rFonts w:hint="eastAsia" w:ascii="Times New Roman" w:hAnsi="Times New Roman" w:eastAsia="宋体" w:cs="Times New Roman"/>
                <w:color w:val="auto"/>
              </w:rPr>
              <w:t>以上</w:t>
            </w:r>
            <w:r>
              <w:rPr>
                <w:rFonts w:hint="eastAsia" w:eastAsia="宋体" w:cs="Times New Roman"/>
                <w:color w:val="auto"/>
                <w:lang w:val="en-US" w:eastAsia="zh-CN"/>
              </w:rPr>
              <w:t>四</w:t>
            </w:r>
            <w:r>
              <w:rPr>
                <w:rFonts w:hint="eastAsia" w:ascii="Times New Roman" w:hAnsi="Times New Roman" w:eastAsia="宋体" w:cs="Times New Roman"/>
                <w:color w:val="auto"/>
              </w:rPr>
              <w:t>项方案全部提供的得</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分</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缺少一项</w:t>
            </w:r>
            <w:r>
              <w:rPr>
                <w:rFonts w:hint="eastAsia" w:ascii="Times New Roman" w:hAnsi="Times New Roman" w:eastAsia="宋体" w:cs="Times New Roman"/>
                <w:color w:val="auto"/>
              </w:rPr>
              <w:t>不得</w:t>
            </w:r>
            <w:r>
              <w:rPr>
                <w:rFonts w:hint="eastAsia" w:ascii="Times New Roman" w:hAnsi="Times New Roman" w:eastAsia="宋体" w:cs="Times New Roman"/>
                <w:color w:val="auto"/>
                <w:lang w:val="en-US" w:eastAsia="zh-CN"/>
              </w:rPr>
              <w:t>分</w:t>
            </w:r>
            <w:r>
              <w:rPr>
                <w:rFonts w:hint="eastAsia" w:ascii="Times New Roman" w:hAnsi="Times New Roman" w:eastAsia="宋体" w:cs="Times New Roman"/>
                <w:color w:val="auto"/>
              </w:rPr>
              <w:t>。</w:t>
            </w:r>
            <w:r>
              <w:rPr>
                <w:rFonts w:hint="eastAsia" w:ascii="Times New Roman" w:hAnsi="Times New Roman" w:eastAsia="宋体" w:cs="Times New Roman"/>
                <w:color w:val="auto"/>
                <w:lang w:val="en-US" w:eastAsia="zh-CN"/>
              </w:rPr>
              <w:t>在</w:t>
            </w:r>
            <w:r>
              <w:rPr>
                <w:rFonts w:hint="eastAsia" w:cs="Times New Roman"/>
                <w:color w:val="auto"/>
                <w:lang w:val="en-US" w:eastAsia="zh-CN"/>
              </w:rPr>
              <w:t>此</w:t>
            </w:r>
            <w:r>
              <w:rPr>
                <w:rFonts w:hint="eastAsia" w:ascii="Times New Roman" w:hAnsi="Times New Roman" w:eastAsia="宋体" w:cs="Times New Roman"/>
                <w:color w:val="auto"/>
                <w:lang w:val="en-US" w:eastAsia="zh-CN"/>
              </w:rPr>
              <w:t>基础上</w:t>
            </w:r>
            <w:r>
              <w:rPr>
                <w:rFonts w:hint="eastAsia" w:cs="Times New Roman"/>
                <w:color w:val="auto"/>
                <w:lang w:val="en-US" w:eastAsia="zh-CN"/>
              </w:rPr>
              <w:t>，</w:t>
            </w:r>
            <w:r>
              <w:rPr>
                <w:rFonts w:hint="eastAsia" w:ascii="Times New Roman" w:hAnsi="Times New Roman" w:eastAsia="宋体" w:cs="Times New Roman"/>
                <w:color w:val="auto"/>
                <w:lang w:val="en-US" w:eastAsia="zh-CN"/>
              </w:rPr>
              <w:t>对方案进行比较和评价：</w:t>
            </w:r>
            <w:r>
              <w:rPr>
                <w:rFonts w:hint="eastAsia" w:ascii="Times New Roman" w:hAnsi="Times New Roman" w:eastAsia="宋体" w:cs="Times New Roman"/>
                <w:color w:val="auto"/>
                <w:lang w:val="en-US" w:eastAsia="zh-CN"/>
              </w:rPr>
              <w:br w:type="textWrapping"/>
            </w:r>
            <w:r>
              <w:rPr>
                <w:rFonts w:hint="eastAsia" w:cs="Times New Roman"/>
                <w:color w:val="auto"/>
                <w:lang w:val="en-US" w:eastAsia="zh-CN"/>
              </w:rPr>
              <w:t xml:space="preserve">    </w:t>
            </w:r>
            <w:r>
              <w:rPr>
                <w:rFonts w:hint="eastAsia" w:ascii="宋体" w:hAnsi="宋体" w:cs="宋体"/>
                <w:color w:val="auto"/>
              </w:rPr>
              <w:t>方案内容完善无瑕疵的，评价为优，</w:t>
            </w:r>
            <w:r>
              <w:rPr>
                <w:rFonts w:hint="eastAsia" w:ascii="宋体" w:hAnsi="宋体" w:cs="宋体"/>
                <w:color w:val="auto"/>
                <w:shd w:val="clear" w:color="auto" w:fill="auto"/>
              </w:rPr>
              <w:t>得</w:t>
            </w:r>
            <w:r>
              <w:rPr>
                <w:rFonts w:hint="eastAsia" w:ascii="宋体" w:hAnsi="宋体" w:cs="宋体"/>
                <w:color w:val="auto"/>
                <w:shd w:val="clear" w:color="auto" w:fill="auto"/>
                <w:lang w:val="en-US" w:eastAsia="zh-CN"/>
              </w:rPr>
              <w:t>3</w:t>
            </w:r>
            <w:r>
              <w:rPr>
                <w:rFonts w:hint="eastAsia" w:ascii="宋体" w:hAnsi="宋体" w:cs="宋体"/>
                <w:color w:val="auto"/>
                <w:shd w:val="clear" w:color="auto" w:fill="auto"/>
              </w:rPr>
              <w:t>分；</w:t>
            </w:r>
          </w:p>
          <w:p w14:paraId="53FDA286">
            <w:pPr>
              <w:wordWrap w:val="0"/>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存在下述1项缺陷，评价为良，得</w:t>
            </w:r>
            <w:r>
              <w:rPr>
                <w:rFonts w:hint="eastAsia" w:cs="Times New Roman"/>
                <w:color w:val="auto"/>
                <w:lang w:val="en-US" w:eastAsia="zh-CN"/>
              </w:rPr>
              <w:t>2</w:t>
            </w:r>
            <w:r>
              <w:rPr>
                <w:rFonts w:hint="eastAsia" w:ascii="Times New Roman" w:hAnsi="Times New Roman" w:eastAsia="宋体" w:cs="Times New Roman"/>
                <w:color w:val="auto"/>
              </w:rPr>
              <w:t>分；</w:t>
            </w:r>
          </w:p>
          <w:p w14:paraId="5A2901A6">
            <w:pPr>
              <w:wordWrap w:val="0"/>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存在下述</w:t>
            </w:r>
            <w:r>
              <w:rPr>
                <w:rFonts w:hint="eastAsia" w:cs="Times New Roman"/>
                <w:color w:val="auto"/>
                <w:lang w:val="en-US" w:eastAsia="zh-CN"/>
              </w:rPr>
              <w:t>2</w:t>
            </w:r>
            <w:r>
              <w:rPr>
                <w:rFonts w:hint="eastAsia" w:ascii="Times New Roman" w:hAnsi="Times New Roman" w:eastAsia="宋体" w:cs="Times New Roman"/>
                <w:color w:val="auto"/>
              </w:rPr>
              <w:t>项缺陷，评价为</w:t>
            </w:r>
            <w:r>
              <w:rPr>
                <w:rFonts w:hint="eastAsia" w:cs="Times New Roman"/>
                <w:color w:val="auto"/>
                <w:lang w:val="en-US" w:eastAsia="zh-CN"/>
              </w:rPr>
              <w:t>中</w:t>
            </w:r>
            <w:r>
              <w:rPr>
                <w:rFonts w:hint="eastAsia" w:ascii="Times New Roman" w:hAnsi="Times New Roman" w:eastAsia="宋体" w:cs="Times New Roman"/>
                <w:color w:val="auto"/>
              </w:rPr>
              <w:t>，得</w:t>
            </w:r>
            <w:r>
              <w:rPr>
                <w:rFonts w:hint="eastAsia" w:cs="Times New Roman"/>
                <w:color w:val="auto"/>
                <w:lang w:val="en-US" w:eastAsia="zh-CN"/>
              </w:rPr>
              <w:t>1</w:t>
            </w:r>
            <w:r>
              <w:rPr>
                <w:rFonts w:hint="eastAsia" w:ascii="Times New Roman" w:hAnsi="Times New Roman" w:eastAsia="宋体" w:cs="Times New Roman"/>
                <w:color w:val="auto"/>
              </w:rPr>
              <w:t>分；</w:t>
            </w:r>
          </w:p>
          <w:p w14:paraId="05763317">
            <w:pPr>
              <w:wordWrap w:val="0"/>
              <w:ind w:firstLine="420" w:firstLineChars="200"/>
              <w:rPr>
                <w:color w:val="auto"/>
              </w:rPr>
            </w:pPr>
            <w:r>
              <w:rPr>
                <w:rFonts w:hint="eastAsia" w:ascii="Times New Roman" w:hAnsi="Times New Roman" w:eastAsia="宋体" w:cs="Times New Roman"/>
                <w:color w:val="auto"/>
              </w:rPr>
              <w:t>存在下述</w:t>
            </w:r>
            <w:r>
              <w:rPr>
                <w:rFonts w:hint="eastAsia" w:eastAsia="宋体" w:cs="Times New Roman"/>
                <w:color w:val="auto"/>
                <w:lang w:val="en-US" w:eastAsia="zh-CN"/>
              </w:rPr>
              <w:t>3</w:t>
            </w:r>
            <w:r>
              <w:rPr>
                <w:rFonts w:hint="eastAsia" w:cs="Times New Roman"/>
                <w:color w:val="auto"/>
                <w:lang w:val="en-US" w:eastAsia="zh-CN"/>
              </w:rPr>
              <w:t>-4</w:t>
            </w:r>
            <w:r>
              <w:rPr>
                <w:rFonts w:hint="eastAsia" w:ascii="Times New Roman" w:hAnsi="Times New Roman" w:eastAsia="宋体" w:cs="Times New Roman"/>
                <w:color w:val="auto"/>
              </w:rPr>
              <w:t>项缺陷，评价为差，不得分；</w:t>
            </w:r>
          </w:p>
          <w:p w14:paraId="7F087227">
            <w:pPr>
              <w:wordWrap w:val="0"/>
              <w:rPr>
                <w:rFonts w:hint="eastAsia" w:ascii="宋体" w:hAnsi="宋体" w:cs="宋体"/>
                <w:b/>
                <w:bCs/>
                <w:color w:val="auto"/>
              </w:rPr>
            </w:pPr>
            <w:r>
              <w:rPr>
                <w:rFonts w:hint="eastAsia" w:ascii="宋体" w:hAnsi="宋体" w:eastAsia="宋体" w:cs="宋体"/>
                <w:b/>
                <w:bCs/>
                <w:color w:val="auto"/>
                <w:szCs w:val="21"/>
              </w:rPr>
              <w:t>（三）缺陷是指：</w:t>
            </w:r>
          </w:p>
          <w:p w14:paraId="6617C1F3">
            <w:pPr>
              <w:numPr>
                <w:ilvl w:val="0"/>
                <w:numId w:val="0"/>
              </w:numPr>
              <w:wordWrap w:val="0"/>
              <w:ind w:firstLine="42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1.未制定货物的保修范围、‌</w:t>
            </w:r>
            <w:r>
              <w:rPr>
                <w:rFonts w:hint="default" w:ascii="宋体" w:hAnsi="宋体" w:cs="宋体"/>
                <w:color w:val="auto"/>
                <w:szCs w:val="21"/>
                <w:highlight w:val="none"/>
                <w:lang w:val="en-US" w:eastAsia="zh-CN"/>
              </w:rPr>
              <w:t>备件供应与库存保障</w:t>
            </w:r>
            <w:r>
              <w:rPr>
                <w:rFonts w:hint="eastAsia" w:ascii="宋体" w:hAnsi="宋体" w:cs="宋体"/>
                <w:color w:val="auto"/>
                <w:szCs w:val="21"/>
                <w:highlight w:val="none"/>
                <w:lang w:val="en-US" w:eastAsia="zh-CN"/>
              </w:rPr>
              <w:t>等；</w:t>
            </w:r>
          </w:p>
          <w:p w14:paraId="7816863F">
            <w:pPr>
              <w:numPr>
                <w:ilvl w:val="0"/>
                <w:numId w:val="0"/>
              </w:numPr>
              <w:wordWrap w:val="0"/>
              <w:ind w:leftChars="0"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eastAsia="宋体" w:cs="宋体"/>
                <w:color w:val="auto"/>
                <w:szCs w:val="21"/>
                <w:highlight w:val="none"/>
                <w:lang w:val="en-US" w:eastAsia="zh-CN"/>
              </w:rPr>
              <w:t>售后人员服务体系不完善、未有专门的项目管理和售后团队售后服务能力弱，例行维护、巡检、保养、升级等售后服务反馈处理机制不完善。</w:t>
            </w:r>
          </w:p>
          <w:p w14:paraId="7500DAC0">
            <w:pPr>
              <w:wordWrap w:val="0"/>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.响应时间长，修复速度慢、不及时更换零配件；</w:t>
            </w:r>
          </w:p>
          <w:p w14:paraId="7BC3630B">
            <w:pPr>
              <w:wordWrap w:val="0"/>
              <w:ind w:firstLine="420" w:firstLineChars="200"/>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.故障应急响应机制不完善，不能够快速、正确、有效组织故障抢修；</w:t>
            </w:r>
          </w:p>
          <w:p w14:paraId="4EB26AA5">
            <w:pPr>
              <w:pStyle w:val="16"/>
              <w:rPr>
                <w:color w:val="auto"/>
              </w:rPr>
            </w:pPr>
            <w:r>
              <w:rPr>
                <w:rFonts w:hint="eastAsia" w:ascii="宋体" w:hAnsi="宋体" w:cs="宋体"/>
                <w:color w:val="auto"/>
                <w:szCs w:val="21"/>
                <w:highlight w:val="none"/>
                <w:lang w:val="en-US" w:eastAsia="zh-CN"/>
              </w:rPr>
              <w:t>注：</w:t>
            </w:r>
            <w:r>
              <w:rPr>
                <w:rFonts w:hint="eastAsia" w:ascii="宋体" w:hAnsi="宋体" w:eastAsia="宋体" w:cs="宋体"/>
                <w:color w:val="auto"/>
                <w:szCs w:val="21"/>
                <w:highlight w:val="none"/>
                <w:lang w:val="en-US" w:eastAsia="zh-CN"/>
              </w:rPr>
              <w:t>本地化的售后服务包含但不限于：本地化的售后服务方案、配备人员、售后保障方案等</w:t>
            </w:r>
            <w:r>
              <w:rPr>
                <w:rFonts w:hint="eastAsia" w:ascii="宋体" w:hAnsi="宋体" w:cs="宋体"/>
                <w:color w:val="auto"/>
                <w:szCs w:val="21"/>
                <w:highlight w:val="none"/>
                <w:lang w:val="en-US" w:eastAsia="zh-CN"/>
              </w:rPr>
              <w:t>。</w:t>
            </w:r>
          </w:p>
        </w:tc>
      </w:tr>
      <w:tr w14:paraId="2AA134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0" w:type="dxa"/>
            <w:left w:w="108" w:type="dxa"/>
            <w:bottom w:w="20" w:type="dxa"/>
            <w:right w:w="108" w:type="dxa"/>
          </w:tblCellMar>
        </w:tblPrEx>
        <w:trPr>
          <w:tblCellSpacing w:w="0" w:type="dxa"/>
        </w:trPr>
        <w:tc>
          <w:tcPr>
            <w:tcW w:w="668" w:type="dxa"/>
            <w:vMerge w:val="continue"/>
            <w:tcBorders>
              <w:tl2br w:val="nil"/>
              <w:tr2bl w:val="nil"/>
            </w:tcBorders>
            <w:vAlign w:val="center"/>
          </w:tcPr>
          <w:p w14:paraId="14E19207">
            <w:pPr>
              <w:rPr>
                <w:rFonts w:hint="eastAsia" w:ascii="宋体" w:hAnsi="宋体" w:cs="宋体"/>
                <w:b/>
                <w:bCs/>
                <w:color w:val="auto"/>
              </w:rPr>
            </w:pPr>
          </w:p>
        </w:tc>
        <w:tc>
          <w:tcPr>
            <w:tcW w:w="646" w:type="dxa"/>
            <w:tcBorders>
              <w:tl2br w:val="nil"/>
              <w:tr2bl w:val="nil"/>
            </w:tcBorders>
            <w:vAlign w:val="center"/>
          </w:tcPr>
          <w:p w14:paraId="15D53DF7">
            <w:pPr>
              <w:wordWrap w:val="0"/>
              <w:jc w:val="center"/>
              <w:rPr>
                <w:rFonts w:hint="eastAsia" w:ascii="宋体" w:hAnsi="宋体" w:eastAsia="宋体"/>
                <w:color w:val="auto"/>
                <w:lang w:val="en-US" w:eastAsia="zh-CN"/>
              </w:rPr>
            </w:pPr>
            <w:r>
              <w:rPr>
                <w:rFonts w:hint="eastAsia" w:ascii="宋体" w:hAnsi="宋体"/>
                <w:color w:val="auto"/>
                <w:lang w:val="en-US" w:eastAsia="zh-CN"/>
              </w:rPr>
              <w:t>5</w:t>
            </w:r>
          </w:p>
        </w:tc>
        <w:tc>
          <w:tcPr>
            <w:tcW w:w="1958" w:type="dxa"/>
            <w:tcBorders>
              <w:tl2br w:val="nil"/>
              <w:tr2bl w:val="nil"/>
            </w:tcBorders>
            <w:vAlign w:val="center"/>
          </w:tcPr>
          <w:p w14:paraId="1D71AB92">
            <w:pPr>
              <w:wordWrap w:val="0"/>
              <w:jc w:val="center"/>
              <w:rPr>
                <w:rFonts w:hint="eastAsia" w:ascii="宋体" w:hAnsi="宋体" w:cs="宋体"/>
                <w:color w:val="auto"/>
              </w:rPr>
            </w:pPr>
            <w:r>
              <w:rPr>
                <w:rFonts w:hint="eastAsia"/>
                <w:color w:val="auto"/>
              </w:rPr>
              <w:t>项目培训方案</w:t>
            </w:r>
          </w:p>
        </w:tc>
        <w:tc>
          <w:tcPr>
            <w:tcW w:w="917" w:type="dxa"/>
            <w:tcBorders>
              <w:tl2br w:val="nil"/>
              <w:tr2bl w:val="nil"/>
            </w:tcBorders>
            <w:vAlign w:val="center"/>
          </w:tcPr>
          <w:p w14:paraId="499E0D1B">
            <w:pPr>
              <w:wordWrap w:val="0"/>
              <w:spacing w:line="360" w:lineRule="auto"/>
              <w:jc w:val="center"/>
              <w:rPr>
                <w:rFonts w:hint="eastAsia" w:ascii="宋体" w:hAnsi="宋体" w:eastAsia="宋体" w:cs="宋体"/>
                <w:color w:val="auto"/>
                <w:lang w:eastAsia="zh-CN"/>
              </w:rPr>
            </w:pPr>
            <w:r>
              <w:rPr>
                <w:rFonts w:hint="eastAsia"/>
                <w:color w:val="auto"/>
                <w:lang w:val="en-US" w:eastAsia="zh-CN"/>
              </w:rPr>
              <w:t>3</w:t>
            </w:r>
          </w:p>
        </w:tc>
        <w:tc>
          <w:tcPr>
            <w:tcW w:w="4883" w:type="dxa"/>
            <w:tcBorders>
              <w:tl2br w:val="nil"/>
              <w:tr2bl w:val="nil"/>
            </w:tcBorders>
            <w:vAlign w:val="center"/>
          </w:tcPr>
          <w:p w14:paraId="6104A1B2">
            <w:pPr>
              <w:wordWrap w:val="0"/>
              <w:rPr>
                <w:rFonts w:hint="eastAsia"/>
                <w:b/>
                <w:bCs/>
                <w:color w:val="auto"/>
              </w:rPr>
            </w:pPr>
            <w:r>
              <w:rPr>
                <w:rFonts w:hint="eastAsia"/>
                <w:b/>
                <w:bCs/>
                <w:color w:val="auto"/>
              </w:rPr>
              <w:t>（一）评审内容：</w:t>
            </w:r>
          </w:p>
          <w:p w14:paraId="5BB28E57">
            <w:pPr>
              <w:wordWrap w:val="0"/>
              <w:ind w:firstLine="420" w:firstLineChars="200"/>
              <w:rPr>
                <w:rFonts w:hint="eastAsia" w:ascii="宋体" w:hAnsi="宋体" w:eastAsia="宋体" w:cs="宋体"/>
                <w:color w:val="auto"/>
              </w:rPr>
            </w:pPr>
            <w:r>
              <w:rPr>
                <w:rFonts w:hint="eastAsia"/>
                <w:color w:val="auto"/>
              </w:rPr>
              <w:t>投标供应商根据本次项目实际需求</w:t>
            </w:r>
            <w:r>
              <w:rPr>
                <w:rFonts w:hint="eastAsia" w:ascii="宋体" w:hAnsi="宋体" w:eastAsia="宋体" w:cs="宋体"/>
                <w:color w:val="auto"/>
              </w:rPr>
              <w:t>提供培训服务计划，内容包含但不限于：</w:t>
            </w:r>
          </w:p>
          <w:p w14:paraId="26CB0C87">
            <w:pPr>
              <w:wordWrap w:val="0"/>
              <w:ind w:firstLine="420" w:firstLineChars="200"/>
              <w:rPr>
                <w:rFonts w:hint="eastAsia" w:ascii="宋体" w:hAnsi="宋体" w:eastAsia="宋体" w:cs="宋体"/>
                <w:color w:val="auto"/>
              </w:rPr>
            </w:pPr>
            <w:r>
              <w:rPr>
                <w:rFonts w:hint="eastAsia" w:ascii="宋体" w:hAnsi="宋体" w:eastAsia="宋体" w:cs="宋体"/>
                <w:color w:val="auto"/>
              </w:rPr>
              <w:t>1.人员培训计划及方案（方案至少包含①设备的工作原理、系统构成和功能；②使用维护与安全操作规程，以及检修规程和安全导则；③常见故障的成因及其排除；④各系统部件（设备）的检查、调整和维护）；</w:t>
            </w:r>
          </w:p>
          <w:p w14:paraId="12AFC53A">
            <w:pPr>
              <w:wordWrap w:val="0"/>
              <w:ind w:firstLine="420" w:firstLineChars="200"/>
              <w:rPr>
                <w:rFonts w:hint="eastAsia" w:ascii="宋体" w:hAnsi="宋体" w:eastAsia="宋体" w:cs="宋体"/>
                <w:color w:val="auto"/>
              </w:rPr>
            </w:pPr>
            <w:r>
              <w:rPr>
                <w:rFonts w:hint="eastAsia" w:ascii="宋体" w:hAnsi="宋体" w:eastAsia="宋体" w:cs="宋体"/>
                <w:color w:val="auto"/>
              </w:rPr>
              <w:t>2.培训形式及内容；</w:t>
            </w:r>
          </w:p>
          <w:p w14:paraId="7F9B5CFC">
            <w:pPr>
              <w:wordWrap w:val="0"/>
              <w:ind w:firstLine="420" w:firstLineChars="200"/>
              <w:rPr>
                <w:rFonts w:hint="eastAsia" w:ascii="宋体" w:hAnsi="宋体" w:eastAsia="宋体" w:cs="宋体"/>
                <w:color w:val="auto"/>
              </w:rPr>
            </w:pPr>
            <w:r>
              <w:rPr>
                <w:rFonts w:hint="eastAsia" w:ascii="宋体" w:hAnsi="宋体" w:eastAsia="宋体" w:cs="宋体"/>
                <w:color w:val="auto"/>
              </w:rPr>
              <w:t>3.培训次数及时长；</w:t>
            </w:r>
          </w:p>
          <w:p w14:paraId="5EBC7DE4">
            <w:pPr>
              <w:wordWrap w:val="0"/>
              <w:ind w:firstLine="420" w:firstLineChars="200"/>
              <w:rPr>
                <w:rFonts w:hint="eastAsia" w:ascii="宋体" w:hAnsi="宋体" w:eastAsia="宋体" w:cs="宋体"/>
                <w:color w:val="auto"/>
                <w:lang w:eastAsia="zh-CN"/>
              </w:rPr>
            </w:pPr>
            <w:r>
              <w:rPr>
                <w:rFonts w:hint="eastAsia" w:ascii="宋体" w:hAnsi="宋体"/>
                <w:color w:val="auto"/>
                <w:lang w:val="en-US" w:eastAsia="zh-CN"/>
              </w:rPr>
              <w:t>4.</w:t>
            </w:r>
            <w:r>
              <w:rPr>
                <w:rFonts w:ascii="宋体" w:hAnsi="宋体"/>
                <w:color w:val="auto"/>
              </w:rPr>
              <w:t>培训地点</w:t>
            </w:r>
            <w:r>
              <w:rPr>
                <w:rFonts w:hint="eastAsia" w:ascii="宋体" w:hAnsi="宋体"/>
                <w:color w:val="auto"/>
              </w:rPr>
              <w:t>和</w:t>
            </w:r>
            <w:r>
              <w:rPr>
                <w:rFonts w:ascii="宋体" w:hAnsi="宋体"/>
                <w:color w:val="auto"/>
              </w:rPr>
              <w:t>时间安排</w:t>
            </w:r>
            <w:r>
              <w:rPr>
                <w:rFonts w:hint="eastAsia" w:ascii="宋体" w:hAnsi="宋体"/>
                <w:color w:val="auto"/>
                <w:lang w:eastAsia="zh-CN"/>
              </w:rPr>
              <w:t>；</w:t>
            </w:r>
          </w:p>
          <w:p w14:paraId="53A5EDA7">
            <w:pPr>
              <w:wordWrap w:val="0"/>
              <w:rPr>
                <w:rFonts w:hint="eastAsia" w:ascii="Times New Roman" w:hAnsi="Times New Roman" w:eastAsia="宋体" w:cs="Times New Roman"/>
                <w:b/>
                <w:bCs/>
                <w:color w:val="auto"/>
              </w:rPr>
            </w:pPr>
            <w:r>
              <w:rPr>
                <w:rFonts w:hint="eastAsia" w:ascii="Times New Roman" w:hAnsi="Times New Roman" w:eastAsia="宋体" w:cs="Times New Roman"/>
                <w:b/>
                <w:bCs/>
                <w:color w:val="auto"/>
              </w:rPr>
              <w:t xml:space="preserve">（二）评分标准： </w:t>
            </w:r>
          </w:p>
          <w:p w14:paraId="509332DA">
            <w:pPr>
              <w:wordWrap w:val="0"/>
              <w:rPr>
                <w:color w:val="auto"/>
              </w:rPr>
            </w:pPr>
            <w:r>
              <w:rPr>
                <w:rFonts w:hint="eastAsia"/>
                <w:color w:val="auto"/>
              </w:rPr>
              <w:t xml:space="preserve"> </w:t>
            </w:r>
            <w:r>
              <w:rPr>
                <w:rFonts w:hint="eastAsia"/>
                <w:color w:val="auto"/>
                <w:lang w:val="en-US" w:eastAsia="zh-CN"/>
              </w:rPr>
              <w:t xml:space="preserve"> </w:t>
            </w:r>
            <w:r>
              <w:rPr>
                <w:rFonts w:hint="eastAsia"/>
                <w:color w:val="auto"/>
              </w:rPr>
              <w:t xml:space="preserve"> 评审专家对投标供应商提供的上述方案进行评价与比较</w:t>
            </w:r>
            <w:r>
              <w:rPr>
                <w:color w:val="auto"/>
                <w:lang w:val="zh-CN"/>
              </w:rPr>
              <w:t>，</w:t>
            </w:r>
            <w:r>
              <w:rPr>
                <w:rFonts w:hint="eastAsia"/>
                <w:color w:val="auto"/>
              </w:rPr>
              <w:t>并根据缺陷程度，给予综合评价：</w:t>
            </w:r>
          </w:p>
          <w:p w14:paraId="32C970DD">
            <w:pPr>
              <w:pStyle w:val="16"/>
              <w:ind w:firstLine="420" w:firstLineChars="200"/>
              <w:rPr>
                <w:rFonts w:hint="eastAsia"/>
                <w:color w:val="auto"/>
              </w:rPr>
            </w:pPr>
            <w:r>
              <w:rPr>
                <w:rFonts w:hint="eastAsia"/>
                <w:color w:val="auto"/>
              </w:rPr>
              <w:t>1.培训方案内容完整可行，符合项目实际需求，提供符合教学需求的增值服务承诺及证明材料，评价为优，得</w:t>
            </w:r>
            <w:r>
              <w:rPr>
                <w:rFonts w:hint="eastAsia"/>
                <w:color w:val="auto"/>
                <w:lang w:val="en-US" w:eastAsia="zh-CN"/>
              </w:rPr>
              <w:t>3</w:t>
            </w:r>
            <w:r>
              <w:rPr>
                <w:rFonts w:hint="eastAsia"/>
                <w:color w:val="auto"/>
              </w:rPr>
              <w:t>分；</w:t>
            </w:r>
          </w:p>
          <w:p w14:paraId="5889D69C">
            <w:pPr>
              <w:pStyle w:val="16"/>
              <w:ind w:firstLine="420" w:firstLineChars="200"/>
              <w:rPr>
                <w:color w:val="auto"/>
              </w:rPr>
            </w:pPr>
            <w:r>
              <w:rPr>
                <w:rFonts w:hint="eastAsia"/>
                <w:color w:val="auto"/>
              </w:rPr>
              <w:t>2.培训方案内容基本完整，基本符合项目实际需求，评价为良，得</w:t>
            </w:r>
            <w:r>
              <w:rPr>
                <w:rFonts w:hint="eastAsia"/>
                <w:color w:val="auto"/>
                <w:lang w:val="en-US" w:eastAsia="zh-CN"/>
              </w:rPr>
              <w:t>2</w:t>
            </w:r>
            <w:r>
              <w:rPr>
                <w:rFonts w:hint="eastAsia"/>
                <w:color w:val="auto"/>
              </w:rPr>
              <w:t>分；</w:t>
            </w:r>
          </w:p>
          <w:p w14:paraId="3CC53E0B">
            <w:pPr>
              <w:wordWrap w:val="0"/>
              <w:ind w:firstLine="420" w:firstLineChars="200"/>
              <w:rPr>
                <w:color w:val="auto"/>
              </w:rPr>
            </w:pPr>
            <w:r>
              <w:rPr>
                <w:rFonts w:hint="eastAsia"/>
                <w:color w:val="auto"/>
              </w:rPr>
              <w:t>3.培训方案内容存在缺漏，且与项目实际不相符，评价为差，1分；</w:t>
            </w:r>
          </w:p>
          <w:p w14:paraId="41E9D4CB">
            <w:pPr>
              <w:wordWrap w:val="0"/>
              <w:ind w:firstLine="420" w:firstLineChars="200"/>
              <w:rPr>
                <w:rFonts w:hint="eastAsia"/>
                <w:color w:val="auto"/>
              </w:rPr>
            </w:pPr>
            <w:r>
              <w:rPr>
                <w:rFonts w:hint="eastAsia"/>
                <w:color w:val="auto"/>
              </w:rPr>
              <w:t>4.未提供方案，得0分。</w:t>
            </w:r>
          </w:p>
          <w:p w14:paraId="4D22128C">
            <w:pPr>
              <w:wordWrap w:val="0"/>
              <w:rPr>
                <w:rFonts w:hint="eastAsia" w:ascii="Times New Roman" w:hAnsi="Times New Roman" w:eastAsia="宋体" w:cs="Times New Roman"/>
                <w:b/>
                <w:bCs/>
                <w:color w:val="auto"/>
              </w:rPr>
            </w:pP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color w:val="auto"/>
                <w:lang w:val="en-US" w:eastAsia="zh-CN"/>
              </w:rPr>
              <w:t>三</w:t>
            </w: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color w:val="auto"/>
              </w:rPr>
              <w:t>缺陷是指：</w:t>
            </w:r>
          </w:p>
          <w:p w14:paraId="2CB7E105">
            <w:pPr>
              <w:pStyle w:val="16"/>
              <w:keepNext/>
              <w:keepLines/>
              <w:pageBreakBefore w:val="0"/>
              <w:widowControl w:val="0"/>
              <w:numPr>
                <w:ilvl w:val="0"/>
                <w:numId w:val="0"/>
              </w:numPr>
              <w:tabs>
                <w:tab w:val="left" w:pos="396"/>
              </w:tabs>
              <w:kinsoku/>
              <w:wordWrap/>
              <w:overflowPunct/>
              <w:topLinePunct w:val="0"/>
              <w:autoSpaceDE/>
              <w:autoSpaceDN/>
              <w:bidi w:val="0"/>
              <w:adjustRightInd/>
              <w:snapToGrid/>
              <w:spacing w:line="240" w:lineRule="auto"/>
              <w:ind w:firstLine="420" w:firstLineChars="200"/>
              <w:textAlignment w:val="auto"/>
              <w:rPr>
                <w:rFonts w:hint="eastAsia" w:ascii="宋体" w:hAnsi="宋体" w:cs="宋体"/>
                <w:color w:val="auto"/>
                <w:szCs w:val="22"/>
              </w:rPr>
            </w:pPr>
            <w:r>
              <w:rPr>
                <w:rFonts w:hint="eastAsia" w:ascii="宋体" w:hAnsi="宋体" w:cs="宋体"/>
                <w:color w:val="auto"/>
                <w:szCs w:val="22"/>
                <w:lang w:val="en-US" w:eastAsia="zh-CN"/>
              </w:rPr>
              <w:t>1.</w:t>
            </w:r>
            <w:r>
              <w:rPr>
                <w:rFonts w:hint="eastAsia" w:ascii="宋体" w:hAnsi="宋体" w:cs="宋体"/>
                <w:color w:val="auto"/>
                <w:szCs w:val="22"/>
              </w:rPr>
              <w:t>培训目标不明确；</w:t>
            </w:r>
          </w:p>
          <w:p w14:paraId="5AF3BEF0">
            <w:pPr>
              <w:pStyle w:val="16"/>
              <w:keepNext/>
              <w:keepLines/>
              <w:pageBreakBefore w:val="0"/>
              <w:widowControl w:val="0"/>
              <w:numPr>
                <w:ilvl w:val="0"/>
                <w:numId w:val="0"/>
              </w:numPr>
              <w:kinsoku/>
              <w:overflowPunct/>
              <w:topLinePunct w:val="0"/>
              <w:autoSpaceDE/>
              <w:autoSpaceDN/>
              <w:bidi w:val="0"/>
              <w:adjustRightInd/>
              <w:spacing w:line="240" w:lineRule="auto"/>
              <w:ind w:firstLine="420" w:firstLineChars="200"/>
              <w:textAlignment w:val="auto"/>
              <w:rPr>
                <w:rFonts w:hint="eastAsia" w:ascii="宋体" w:hAnsi="宋体" w:eastAsia="宋体" w:cs="宋体"/>
                <w:color w:val="auto"/>
                <w:lang w:eastAsia="zh-CN"/>
              </w:rPr>
            </w:pPr>
            <w:r>
              <w:rPr>
                <w:rFonts w:hint="eastAsia" w:ascii="宋体" w:hAnsi="宋体" w:cs="宋体"/>
                <w:color w:val="auto"/>
                <w:lang w:val="en-US" w:eastAsia="zh-CN"/>
              </w:rPr>
              <w:t>2.</w:t>
            </w:r>
            <w:r>
              <w:rPr>
                <w:rFonts w:hint="eastAsia" w:ascii="宋体" w:hAnsi="宋体" w:cs="宋体"/>
                <w:color w:val="auto"/>
              </w:rPr>
              <w:t>培训方式与形式，对线上、线下培训进行描述</w:t>
            </w:r>
            <w:r>
              <w:rPr>
                <w:rFonts w:hint="eastAsia" w:ascii="宋体" w:hAnsi="宋体" w:cs="宋体"/>
                <w:color w:val="auto"/>
                <w:lang w:eastAsia="zh-CN"/>
              </w:rPr>
              <w:t>；</w:t>
            </w:r>
          </w:p>
          <w:p w14:paraId="2C55BDD9">
            <w:pPr>
              <w:pStyle w:val="16"/>
              <w:keepNext/>
              <w:keepLines/>
              <w:pageBreakBefore w:val="0"/>
              <w:widowControl w:val="0"/>
              <w:numPr>
                <w:ilvl w:val="0"/>
                <w:numId w:val="0"/>
              </w:numPr>
              <w:kinsoku/>
              <w:overflowPunct/>
              <w:topLinePunct w:val="0"/>
              <w:autoSpaceDE/>
              <w:autoSpaceDN/>
              <w:bidi w:val="0"/>
              <w:adjustRightInd/>
              <w:spacing w:line="240" w:lineRule="auto"/>
              <w:ind w:firstLine="420" w:firstLineChars="200"/>
              <w:textAlignment w:val="auto"/>
              <w:rPr>
                <w:rFonts w:hint="eastAsia" w:ascii="宋体" w:hAnsi="宋体" w:cs="宋体"/>
                <w:color w:val="auto"/>
                <w:szCs w:val="22"/>
              </w:rPr>
            </w:pPr>
            <w:r>
              <w:rPr>
                <w:rFonts w:hint="eastAsia" w:ascii="宋体" w:hAnsi="宋体" w:cs="宋体"/>
                <w:color w:val="auto"/>
                <w:szCs w:val="22"/>
                <w:lang w:val="en-US" w:eastAsia="zh-CN"/>
              </w:rPr>
              <w:t>3.</w:t>
            </w:r>
            <w:r>
              <w:rPr>
                <w:rFonts w:hint="eastAsia" w:ascii="宋体" w:hAnsi="宋体" w:cs="宋体"/>
                <w:color w:val="auto"/>
                <w:szCs w:val="22"/>
              </w:rPr>
              <w:t>培训内容过少，培训时长过短。</w:t>
            </w:r>
          </w:p>
          <w:p w14:paraId="2B634ABF">
            <w:pPr>
              <w:wordWrap w:val="0"/>
              <w:ind w:firstLine="420" w:firstLineChars="200"/>
              <w:rPr>
                <w:rFonts w:hint="eastAsia" w:eastAsia="宋体"/>
                <w:color w:val="auto"/>
                <w:lang w:eastAsia="zh-CN"/>
              </w:rPr>
            </w:pPr>
            <w:r>
              <w:rPr>
                <w:rFonts w:hint="eastAsia" w:ascii="宋体" w:hAnsi="宋体"/>
                <w:color w:val="auto"/>
                <w:lang w:val="en-US" w:eastAsia="zh-CN"/>
              </w:rPr>
              <w:t>4.</w:t>
            </w:r>
            <w:r>
              <w:rPr>
                <w:rFonts w:hint="eastAsia" w:ascii="宋体" w:hAnsi="宋体"/>
                <w:color w:val="auto"/>
              </w:rPr>
              <w:t>未描述</w:t>
            </w:r>
            <w:r>
              <w:rPr>
                <w:rFonts w:ascii="宋体" w:hAnsi="宋体"/>
                <w:color w:val="auto"/>
              </w:rPr>
              <w:t>培训地点</w:t>
            </w:r>
            <w:r>
              <w:rPr>
                <w:rFonts w:hint="eastAsia" w:ascii="宋体" w:hAnsi="宋体"/>
                <w:color w:val="auto"/>
              </w:rPr>
              <w:t>和</w:t>
            </w:r>
            <w:r>
              <w:rPr>
                <w:rFonts w:ascii="宋体" w:hAnsi="宋体"/>
                <w:color w:val="auto"/>
              </w:rPr>
              <w:t>时间安排</w:t>
            </w:r>
            <w:r>
              <w:rPr>
                <w:rFonts w:hint="eastAsia" w:ascii="宋体" w:hAnsi="宋体"/>
                <w:color w:val="auto"/>
                <w:lang w:eastAsia="zh-CN"/>
              </w:rPr>
              <w:t>。</w:t>
            </w:r>
          </w:p>
        </w:tc>
      </w:tr>
    </w:tbl>
    <w:p w14:paraId="3A50724F">
      <w:pPr>
        <w:rPr>
          <w:color w:val="auto"/>
        </w:rPr>
      </w:pPr>
      <w:r>
        <w:rPr>
          <w:color w:val="auto"/>
        </w:rPr>
        <w:br w:type="page"/>
      </w:r>
    </w:p>
    <w:p w14:paraId="6DDE34B6">
      <w:pPr>
        <w:pStyle w:val="4"/>
        <w:spacing w:line="360" w:lineRule="auto"/>
        <w:ind w:left="0" w:leftChars="0" w:firstLine="0" w:firstLineChars="0"/>
        <w:jc w:val="center"/>
        <w:rPr>
          <w:rFonts w:hint="eastAsia" w:ascii="宋体" w:hAnsi="宋体" w:eastAsia="宋体" w:cs="宋体"/>
          <w:b/>
          <w:bCs w:val="0"/>
          <w:color w:val="auto"/>
          <w:sz w:val="30"/>
          <w:szCs w:val="30"/>
        </w:rPr>
      </w:pPr>
    </w:p>
    <w:p w14:paraId="3A8DE5CB">
      <w:pPr>
        <w:pStyle w:val="4"/>
        <w:spacing w:line="360" w:lineRule="auto"/>
        <w:ind w:left="0" w:leftChars="0" w:firstLine="0" w:firstLineChars="0"/>
        <w:jc w:val="center"/>
        <w:rPr>
          <w:b/>
          <w:bCs w:val="0"/>
          <w:color w:val="auto"/>
          <w:sz w:val="30"/>
          <w:szCs w:val="30"/>
        </w:rPr>
      </w:pPr>
      <w:r>
        <w:rPr>
          <w:rFonts w:hint="eastAsia" w:ascii="宋体" w:hAnsi="宋体" w:eastAsia="宋体" w:cs="宋体"/>
          <w:b/>
          <w:bCs w:val="0"/>
          <w:color w:val="auto"/>
          <w:sz w:val="30"/>
          <w:szCs w:val="30"/>
        </w:rPr>
        <w:t>目   录</w:t>
      </w:r>
    </w:p>
    <w:p w14:paraId="4801D025">
      <w:pPr>
        <w:spacing w:line="360" w:lineRule="auto"/>
        <w:ind w:firstLine="482" w:firstLineChars="200"/>
        <w:outlineLvl w:val="0"/>
        <w:rPr>
          <w:b/>
          <w:color w:val="auto"/>
          <w:sz w:val="24"/>
        </w:rPr>
      </w:pPr>
      <w:r>
        <w:rPr>
          <w:rFonts w:hint="eastAsia"/>
          <w:b/>
          <w:color w:val="auto"/>
          <w:sz w:val="24"/>
        </w:rPr>
        <w:t>第一册  专用条款</w:t>
      </w:r>
    </w:p>
    <w:p w14:paraId="6BC8E49F">
      <w:pPr>
        <w:spacing w:line="360" w:lineRule="auto"/>
        <w:rPr>
          <w:color w:val="auto"/>
          <w:sz w:val="24"/>
        </w:rPr>
      </w:pPr>
      <w:r>
        <w:rPr>
          <w:rFonts w:hint="eastAsia"/>
          <w:color w:val="auto"/>
          <w:sz w:val="24"/>
        </w:rPr>
        <w:t xml:space="preserve">            关键信息</w:t>
      </w:r>
    </w:p>
    <w:p w14:paraId="3556D6B2">
      <w:pPr>
        <w:spacing w:line="360" w:lineRule="auto"/>
        <w:ind w:firstLine="1470" w:firstLineChars="700"/>
        <w:rPr>
          <w:rFonts w:hint="eastAsia" w:ascii="宋体" w:hAnsi="宋体"/>
          <w:color w:val="auto"/>
        </w:rPr>
      </w:pPr>
      <w:r>
        <w:rPr>
          <w:rFonts w:hint="eastAsia" w:ascii="宋体" w:hAnsi="宋体"/>
          <w:color w:val="auto"/>
        </w:rPr>
        <w:t>第一章  招标公告</w:t>
      </w:r>
    </w:p>
    <w:p w14:paraId="21B1DC08">
      <w:pPr>
        <w:spacing w:line="360" w:lineRule="auto"/>
        <w:ind w:left="630" w:leftChars="300" w:firstLine="840" w:firstLineChars="400"/>
        <w:rPr>
          <w:rFonts w:hint="eastAsia" w:ascii="宋体" w:hAnsi="宋体"/>
          <w:color w:val="auto"/>
        </w:rPr>
      </w:pPr>
      <w:r>
        <w:rPr>
          <w:rFonts w:hint="eastAsia" w:ascii="宋体" w:hAnsi="宋体"/>
          <w:color w:val="auto"/>
        </w:rPr>
        <w:t xml:space="preserve">第二章  </w:t>
      </w:r>
      <w:bookmarkStart w:id="2" w:name="_Hlk71994379"/>
      <w:r>
        <w:rPr>
          <w:rFonts w:hint="eastAsia" w:ascii="宋体" w:hAnsi="宋体"/>
          <w:color w:val="auto"/>
        </w:rPr>
        <w:t>对通用条款的补充内容及其他关键信息</w:t>
      </w:r>
      <w:bookmarkEnd w:id="2"/>
    </w:p>
    <w:p w14:paraId="57EDA4C2">
      <w:pPr>
        <w:spacing w:line="360" w:lineRule="auto"/>
        <w:ind w:left="630" w:leftChars="300" w:firstLine="840" w:firstLineChars="400"/>
        <w:rPr>
          <w:rFonts w:hint="eastAsia" w:ascii="宋体" w:hAnsi="宋体"/>
          <w:color w:val="auto"/>
        </w:rPr>
      </w:pPr>
      <w:r>
        <w:rPr>
          <w:rFonts w:hint="eastAsia" w:ascii="宋体" w:hAnsi="宋体"/>
          <w:color w:val="auto"/>
        </w:rPr>
        <w:t xml:space="preserve">第三章 </w:t>
      </w:r>
      <w:r>
        <w:rPr>
          <w:rFonts w:ascii="宋体" w:hAnsi="宋体"/>
          <w:color w:val="auto"/>
        </w:rPr>
        <w:t xml:space="preserve"> </w:t>
      </w:r>
      <w:r>
        <w:rPr>
          <w:rFonts w:hint="eastAsia" w:ascii="宋体" w:hAnsi="宋体"/>
          <w:color w:val="auto"/>
        </w:rPr>
        <w:t>用户需求书</w:t>
      </w:r>
    </w:p>
    <w:p w14:paraId="2D862396">
      <w:pPr>
        <w:spacing w:line="360" w:lineRule="auto"/>
        <w:ind w:left="630" w:leftChars="300" w:firstLine="840" w:firstLineChars="400"/>
        <w:rPr>
          <w:rFonts w:hint="eastAsia" w:ascii="宋体" w:hAnsi="宋体"/>
          <w:color w:val="auto"/>
        </w:rPr>
      </w:pPr>
      <w:r>
        <w:rPr>
          <w:rFonts w:hint="eastAsia" w:ascii="宋体" w:hAnsi="宋体"/>
          <w:color w:val="auto"/>
        </w:rPr>
        <w:t xml:space="preserve">第四章 </w:t>
      </w:r>
      <w:r>
        <w:rPr>
          <w:rFonts w:ascii="宋体" w:hAnsi="宋体"/>
          <w:color w:val="auto"/>
        </w:rPr>
        <w:t xml:space="preserve"> </w:t>
      </w:r>
      <w:r>
        <w:rPr>
          <w:rFonts w:hint="eastAsia" w:ascii="宋体" w:hAnsi="宋体"/>
          <w:color w:val="auto"/>
        </w:rPr>
        <w:t>投标文件组成要求及格式</w:t>
      </w:r>
    </w:p>
    <w:p w14:paraId="32A8FD2D">
      <w:pPr>
        <w:spacing w:line="360" w:lineRule="auto"/>
        <w:ind w:left="630" w:leftChars="300" w:firstLine="840" w:firstLineChars="400"/>
        <w:rPr>
          <w:rFonts w:hint="eastAsia" w:ascii="宋体" w:hAnsi="宋体"/>
          <w:color w:val="auto"/>
        </w:rPr>
      </w:pPr>
      <w:r>
        <w:rPr>
          <w:rFonts w:hint="eastAsia" w:ascii="宋体" w:hAnsi="宋体"/>
          <w:color w:val="auto"/>
        </w:rPr>
        <w:t>第五章  合同条款及格式</w:t>
      </w:r>
    </w:p>
    <w:p w14:paraId="7FA0F8D7">
      <w:pPr>
        <w:spacing w:line="360" w:lineRule="auto"/>
        <w:rPr>
          <w:b/>
          <w:color w:val="auto"/>
          <w:sz w:val="24"/>
        </w:rPr>
      </w:pPr>
    </w:p>
    <w:p w14:paraId="6F668404">
      <w:pPr>
        <w:spacing w:line="360" w:lineRule="auto"/>
        <w:ind w:firstLine="482" w:firstLineChars="200"/>
        <w:outlineLvl w:val="0"/>
        <w:rPr>
          <w:b/>
          <w:color w:val="auto"/>
          <w:sz w:val="24"/>
        </w:rPr>
      </w:pPr>
      <w:r>
        <w:rPr>
          <w:rFonts w:hint="eastAsia"/>
          <w:b/>
          <w:color w:val="auto"/>
          <w:sz w:val="24"/>
        </w:rPr>
        <w:t>第二册  通用条款</w:t>
      </w:r>
    </w:p>
    <w:p w14:paraId="4180EE66">
      <w:pPr>
        <w:spacing w:line="360" w:lineRule="auto"/>
        <w:ind w:firstLine="1470" w:firstLineChars="700"/>
        <w:rPr>
          <w:rFonts w:hint="eastAsia" w:ascii="宋体" w:hAnsi="宋体"/>
          <w:color w:val="auto"/>
        </w:rPr>
      </w:pPr>
      <w:r>
        <w:rPr>
          <w:rFonts w:hint="eastAsia" w:ascii="宋体" w:hAnsi="宋体"/>
          <w:color w:val="auto"/>
        </w:rPr>
        <w:t>第一章  总则</w:t>
      </w:r>
    </w:p>
    <w:p w14:paraId="35190AE8">
      <w:pPr>
        <w:spacing w:line="360" w:lineRule="auto"/>
        <w:ind w:left="630" w:leftChars="300" w:firstLine="831" w:firstLineChars="396"/>
        <w:rPr>
          <w:rFonts w:hint="eastAsia" w:ascii="宋体" w:hAnsi="宋体"/>
          <w:color w:val="auto"/>
        </w:rPr>
      </w:pPr>
      <w:r>
        <w:rPr>
          <w:rFonts w:hint="eastAsia" w:ascii="宋体" w:hAnsi="宋体"/>
          <w:color w:val="auto"/>
        </w:rPr>
        <w:t>第二章  招标文件</w:t>
      </w:r>
    </w:p>
    <w:p w14:paraId="7605710F">
      <w:pPr>
        <w:spacing w:line="360" w:lineRule="auto"/>
        <w:ind w:left="630" w:leftChars="300" w:firstLine="831" w:firstLineChars="396"/>
        <w:rPr>
          <w:rFonts w:hint="eastAsia" w:ascii="宋体" w:hAnsi="宋体"/>
          <w:color w:val="auto"/>
        </w:rPr>
      </w:pPr>
      <w:r>
        <w:rPr>
          <w:rFonts w:hint="eastAsia" w:ascii="宋体" w:hAnsi="宋体"/>
          <w:color w:val="auto"/>
        </w:rPr>
        <w:t>第三章  投标文件的编制</w:t>
      </w:r>
    </w:p>
    <w:p w14:paraId="403FBBBD">
      <w:pPr>
        <w:spacing w:line="360" w:lineRule="auto"/>
        <w:ind w:left="630" w:leftChars="300" w:firstLine="831" w:firstLineChars="396"/>
        <w:rPr>
          <w:rFonts w:hint="eastAsia" w:ascii="宋体" w:hAnsi="宋体"/>
          <w:color w:val="auto"/>
        </w:rPr>
      </w:pPr>
      <w:r>
        <w:rPr>
          <w:rFonts w:hint="eastAsia" w:ascii="宋体" w:hAnsi="宋体"/>
          <w:color w:val="auto"/>
        </w:rPr>
        <w:t>第四章  投标文件的递交</w:t>
      </w:r>
    </w:p>
    <w:p w14:paraId="2BF7F1B0">
      <w:pPr>
        <w:spacing w:line="360" w:lineRule="auto"/>
        <w:ind w:left="630" w:leftChars="300" w:firstLine="831" w:firstLineChars="396"/>
        <w:rPr>
          <w:rFonts w:hint="eastAsia" w:ascii="宋体" w:hAnsi="宋体"/>
          <w:color w:val="auto"/>
        </w:rPr>
      </w:pPr>
      <w:r>
        <w:rPr>
          <w:rFonts w:hint="eastAsia" w:ascii="宋体" w:hAnsi="宋体"/>
          <w:color w:val="auto"/>
        </w:rPr>
        <w:t>第五章  开标</w:t>
      </w:r>
    </w:p>
    <w:p w14:paraId="0042DE41">
      <w:pPr>
        <w:spacing w:line="360" w:lineRule="auto"/>
        <w:ind w:left="630" w:leftChars="300" w:firstLine="831" w:firstLineChars="396"/>
        <w:rPr>
          <w:rFonts w:hint="eastAsia" w:ascii="宋体" w:hAnsi="宋体"/>
          <w:color w:val="auto"/>
        </w:rPr>
      </w:pPr>
      <w:r>
        <w:rPr>
          <w:rFonts w:hint="eastAsia" w:ascii="宋体" w:hAnsi="宋体"/>
          <w:color w:val="auto"/>
        </w:rPr>
        <w:t>第六章  评审要求</w:t>
      </w:r>
    </w:p>
    <w:p w14:paraId="11A7ECE7">
      <w:pPr>
        <w:spacing w:line="360" w:lineRule="auto"/>
        <w:ind w:left="630" w:leftChars="300" w:firstLine="831" w:firstLineChars="396"/>
        <w:rPr>
          <w:rFonts w:hint="eastAsia" w:ascii="宋体" w:hAnsi="宋体"/>
          <w:color w:val="auto"/>
        </w:rPr>
      </w:pPr>
      <w:r>
        <w:rPr>
          <w:rFonts w:hint="eastAsia" w:ascii="宋体" w:hAnsi="宋体"/>
          <w:color w:val="auto"/>
        </w:rPr>
        <w:t>第七章  评审程序及评审方法</w:t>
      </w:r>
    </w:p>
    <w:p w14:paraId="4B091CEC">
      <w:pPr>
        <w:spacing w:line="360" w:lineRule="auto"/>
        <w:ind w:left="630" w:leftChars="300" w:firstLine="831" w:firstLineChars="396"/>
        <w:rPr>
          <w:rFonts w:hint="eastAsia" w:ascii="宋体" w:hAnsi="宋体"/>
          <w:color w:val="auto"/>
        </w:rPr>
      </w:pPr>
      <w:r>
        <w:rPr>
          <w:rFonts w:hint="eastAsia" w:ascii="宋体" w:hAnsi="宋体"/>
          <w:color w:val="auto"/>
        </w:rPr>
        <w:t>第八章  定标及公示</w:t>
      </w:r>
    </w:p>
    <w:p w14:paraId="497D76C9">
      <w:pPr>
        <w:spacing w:line="360" w:lineRule="auto"/>
        <w:ind w:left="630" w:leftChars="300" w:firstLine="831" w:firstLineChars="396"/>
        <w:rPr>
          <w:rFonts w:hint="eastAsia" w:ascii="宋体" w:hAnsi="宋体"/>
          <w:color w:val="auto"/>
        </w:rPr>
      </w:pPr>
      <w:r>
        <w:rPr>
          <w:rFonts w:hint="eastAsia" w:ascii="宋体" w:hAnsi="宋体"/>
          <w:color w:val="auto"/>
        </w:rPr>
        <w:t>第九章  公开招标失败的后续处理</w:t>
      </w:r>
    </w:p>
    <w:p w14:paraId="6E409EAB">
      <w:pPr>
        <w:spacing w:line="360" w:lineRule="auto"/>
        <w:ind w:left="630" w:leftChars="300" w:firstLine="831" w:firstLineChars="396"/>
        <w:rPr>
          <w:rFonts w:hint="eastAsia" w:ascii="宋体" w:hAnsi="宋体"/>
          <w:color w:val="auto"/>
        </w:rPr>
      </w:pPr>
      <w:r>
        <w:rPr>
          <w:rFonts w:hint="eastAsia" w:ascii="宋体" w:hAnsi="宋体"/>
          <w:color w:val="auto"/>
        </w:rPr>
        <w:t>第十章  合同的授予与备案</w:t>
      </w:r>
    </w:p>
    <w:p w14:paraId="6367E450">
      <w:pPr>
        <w:spacing w:line="360" w:lineRule="auto"/>
        <w:ind w:firstLine="1470" w:firstLineChars="700"/>
        <w:outlineLvl w:val="0"/>
        <w:rPr>
          <w:b/>
          <w:color w:val="auto"/>
          <w:sz w:val="24"/>
        </w:rPr>
      </w:pPr>
      <w:r>
        <w:rPr>
          <w:rFonts w:hint="eastAsia" w:ascii="宋体" w:hAnsi="宋体"/>
          <w:color w:val="auto"/>
        </w:rPr>
        <w:t>第十一章  质疑处理</w:t>
      </w:r>
    </w:p>
    <w:p w14:paraId="01325266">
      <w:pPr>
        <w:pStyle w:val="140"/>
        <w:ind w:firstLine="0" w:firstLineChars="0"/>
        <w:rPr>
          <w:rFonts w:hint="eastAsia" w:ascii="方正小标宋_GBK" w:hAnsi="方正小标宋_GBK" w:eastAsia="方正小标宋_GBK" w:cs="方正小标宋_GBK"/>
          <w:b/>
          <w:color w:val="auto"/>
          <w:sz w:val="32"/>
          <w:szCs w:val="32"/>
        </w:rPr>
      </w:pPr>
      <w:bookmarkStart w:id="3" w:name="_Toc494375077"/>
      <w:bookmarkStart w:id="4" w:name="_Toc120614210"/>
      <w:bookmarkStart w:id="5" w:name="_Toc16938516"/>
      <w:bookmarkStart w:id="6" w:name="_Toc479757206"/>
      <w:bookmarkStart w:id="7" w:name="_Toc523127445"/>
      <w:bookmarkStart w:id="8" w:name="_Toc513029200"/>
      <w:bookmarkStart w:id="9" w:name="_Toc20823272"/>
    </w:p>
    <w:p w14:paraId="0484451E">
      <w:pPr>
        <w:pStyle w:val="140"/>
        <w:ind w:firstLine="0" w:firstLineChars="0"/>
        <w:rPr>
          <w:rFonts w:hint="eastAsia" w:ascii="方正小标宋_GBK" w:hAnsi="方正小标宋_GBK" w:eastAsia="方正小标宋_GBK" w:cs="方正小标宋_GBK"/>
          <w:b/>
          <w:color w:val="auto"/>
          <w:sz w:val="32"/>
          <w:szCs w:val="32"/>
        </w:rPr>
      </w:pPr>
    </w:p>
    <w:bookmarkEnd w:id="3"/>
    <w:bookmarkEnd w:id="4"/>
    <w:p w14:paraId="601ADDA9">
      <w:pPr>
        <w:pStyle w:val="140"/>
        <w:ind w:firstLine="0" w:firstLineChars="0"/>
        <w:jc w:val="center"/>
        <w:rPr>
          <w:rFonts w:hint="eastAsia" w:ascii="方正小标宋_GBK" w:hAnsi="方正小标宋_GBK" w:eastAsia="方正小标宋_GBK" w:cs="方正小标宋_GBK"/>
          <w:b/>
          <w:color w:val="auto"/>
          <w:sz w:val="32"/>
          <w:szCs w:val="32"/>
        </w:rPr>
      </w:pPr>
    </w:p>
    <w:p w14:paraId="01A4B691">
      <w:pPr>
        <w:pStyle w:val="140"/>
        <w:ind w:firstLine="0" w:firstLineChars="0"/>
        <w:jc w:val="center"/>
        <w:rPr>
          <w:rFonts w:hint="eastAsia" w:ascii="方正小标宋_GBK" w:hAnsi="方正小标宋_GBK" w:eastAsia="方正小标宋_GBK" w:cs="方正小标宋_GBK"/>
          <w:b/>
          <w:color w:val="auto"/>
          <w:sz w:val="32"/>
          <w:szCs w:val="32"/>
        </w:rPr>
      </w:pPr>
    </w:p>
    <w:p w14:paraId="096753C4">
      <w:pPr>
        <w:pStyle w:val="140"/>
        <w:ind w:firstLine="0" w:firstLineChars="0"/>
        <w:jc w:val="center"/>
        <w:rPr>
          <w:rFonts w:hint="eastAsia" w:ascii="方正小标宋_GBK" w:hAnsi="方正小标宋_GBK" w:eastAsia="方正小标宋_GBK" w:cs="方正小标宋_GBK"/>
          <w:b/>
          <w:color w:val="auto"/>
          <w:sz w:val="32"/>
          <w:szCs w:val="32"/>
        </w:rPr>
      </w:pPr>
    </w:p>
    <w:p w14:paraId="74241BDE">
      <w:pPr>
        <w:pStyle w:val="140"/>
        <w:ind w:firstLine="0" w:firstLineChars="0"/>
        <w:jc w:val="center"/>
        <w:rPr>
          <w:rFonts w:hint="eastAsia" w:ascii="方正黑体_GBK" w:hAnsi="方正黑体_GBK" w:eastAsia="方正黑体_GBK" w:cs="方正黑体_GBK"/>
          <w:bCs/>
          <w:color w:val="auto"/>
          <w:sz w:val="32"/>
          <w:szCs w:val="32"/>
        </w:rPr>
      </w:pPr>
      <w:r>
        <w:rPr>
          <w:rFonts w:hint="eastAsia" w:ascii="方正小标宋_GBK" w:hAnsi="方正小标宋_GBK" w:eastAsia="方正小标宋_GBK" w:cs="方正小标宋_GBK"/>
          <w:b/>
          <w:color w:val="auto"/>
          <w:sz w:val="32"/>
          <w:szCs w:val="32"/>
        </w:rPr>
        <w:t>第一册专用条款</w:t>
      </w:r>
    </w:p>
    <w:p w14:paraId="276C78F5">
      <w:pPr>
        <w:pStyle w:val="7"/>
        <w:ind w:firstLine="3200" w:firstLineChars="1000"/>
        <w:jc w:val="both"/>
        <w:rPr>
          <w:rFonts w:hint="eastAsia" w:ascii="方正黑体_GBK" w:hAnsi="方正黑体_GBK" w:eastAsia="方正黑体_GBK" w:cs="方正黑体_GBK"/>
          <w:b w:val="0"/>
          <w:color w:val="auto"/>
          <w:sz w:val="32"/>
          <w:szCs w:val="32"/>
        </w:rPr>
      </w:pPr>
      <w:r>
        <w:rPr>
          <w:rFonts w:hint="eastAsia" w:ascii="方正黑体_GBK" w:hAnsi="方正黑体_GBK" w:eastAsia="方正黑体_GBK" w:cs="方正黑体_GBK"/>
          <w:b w:val="0"/>
          <w:color w:val="auto"/>
          <w:sz w:val="32"/>
          <w:szCs w:val="32"/>
        </w:rPr>
        <w:t>第一章  招标公告</w:t>
      </w:r>
    </w:p>
    <w:p w14:paraId="6273A8A2">
      <w:pPr>
        <w:pStyle w:val="129"/>
        <w:spacing w:before="0" w:after="0"/>
        <w:ind w:firstLine="630" w:firstLineChars="300"/>
        <w:jc w:val="both"/>
        <w:rPr>
          <w:rFonts w:hint="eastAsia" w:ascii="宋体" w:hAnsi="宋体" w:cs="宋体"/>
          <w:color w:val="auto"/>
          <w:sz w:val="21"/>
          <w:szCs w:val="21"/>
        </w:rPr>
      </w:pPr>
      <w:r>
        <w:rPr>
          <w:rFonts w:hint="eastAsia" w:ascii="宋体" w:hAnsi="宋体" w:cs="宋体"/>
          <w:color w:val="auto"/>
          <w:sz w:val="21"/>
          <w:szCs w:val="21"/>
        </w:rPr>
        <w:t>巴音郭楞蒙古自治州政务服务和公共资源交易中心（以下简称“集采代理机构”）受</w:t>
      </w:r>
      <w:r>
        <w:rPr>
          <w:rFonts w:hint="eastAsia" w:ascii="宋体" w:hAnsi="宋体" w:cs="宋体"/>
          <w:color w:val="auto"/>
          <w:sz w:val="21"/>
          <w:szCs w:val="21"/>
          <w:u w:val="single"/>
        </w:rPr>
        <w:t>若羌县教育和科学技术局</w:t>
      </w:r>
      <w:r>
        <w:rPr>
          <w:rFonts w:hint="eastAsia" w:ascii="宋体" w:hAnsi="宋体" w:cs="宋体"/>
          <w:color w:val="auto"/>
          <w:sz w:val="21"/>
          <w:szCs w:val="21"/>
        </w:rPr>
        <w:t>（以下简称“采购人”）的委托，对</w:t>
      </w:r>
      <w:r>
        <w:rPr>
          <w:rFonts w:hint="eastAsia" w:ascii="宋体" w:hAnsi="宋体" w:cs="宋体"/>
          <w:color w:val="auto"/>
          <w:sz w:val="21"/>
          <w:szCs w:val="21"/>
          <w:u w:val="single"/>
        </w:rPr>
        <w:t xml:space="preserve"> 若羌县职业高中智慧校园建设项目</w:t>
      </w:r>
      <w:r>
        <w:rPr>
          <w:rFonts w:hint="eastAsia" w:ascii="宋体" w:hAnsi="宋体" w:cs="宋体"/>
          <w:color w:val="auto"/>
          <w:sz w:val="21"/>
          <w:szCs w:val="21"/>
        </w:rPr>
        <w:t>进行</w:t>
      </w:r>
      <w:r>
        <w:rPr>
          <w:rFonts w:hint="eastAsia" w:ascii="宋体" w:hAnsi="宋体" w:cs="宋体"/>
          <w:color w:val="auto"/>
          <w:sz w:val="21"/>
          <w:szCs w:val="21"/>
          <w:u w:val="single"/>
        </w:rPr>
        <w:t>公开招标</w:t>
      </w:r>
      <w:r>
        <w:rPr>
          <w:rFonts w:hint="eastAsia" w:ascii="宋体" w:hAnsi="宋体" w:cs="宋体"/>
          <w:color w:val="auto"/>
          <w:sz w:val="21"/>
          <w:szCs w:val="21"/>
        </w:rPr>
        <w:t>采购，欢迎符合相关条件的合格供应商参加投标。</w:t>
      </w:r>
    </w:p>
    <w:p w14:paraId="716018C2">
      <w:pPr>
        <w:pStyle w:val="134"/>
        <w:spacing w:line="360" w:lineRule="auto"/>
        <w:jc w:val="both"/>
        <w:rPr>
          <w:rFonts w:hint="eastAsia" w:ascii="宋体" w:hAnsi="宋体" w:cs="宋体"/>
          <w:color w:val="auto"/>
          <w:sz w:val="21"/>
          <w:szCs w:val="21"/>
          <w:highlight w:val="none"/>
        </w:rPr>
      </w:pPr>
    </w:p>
    <w:p w14:paraId="39E734BE">
      <w:pPr>
        <w:pBdr>
          <w:top w:val="single" w:color="auto" w:sz="4" w:space="1"/>
          <w:left w:val="single" w:color="auto" w:sz="4" w:space="4"/>
          <w:bottom w:val="single" w:color="auto" w:sz="4" w:space="1"/>
          <w:right w:val="single" w:color="auto" w:sz="4" w:space="4"/>
        </w:pBdr>
        <w:spacing w:line="360" w:lineRule="auto"/>
        <w:rPr>
          <w:rFonts w:hint="eastAsia" w:ascii="宋体" w:hAnsi="宋体" w:cs="宋体"/>
          <w:color w:val="auto"/>
          <w:kern w:val="0"/>
          <w:highlight w:val="none"/>
        </w:rPr>
      </w:pPr>
      <w:r>
        <w:rPr>
          <w:rFonts w:hint="eastAsia" w:ascii="宋体" w:hAnsi="宋体" w:cs="宋体"/>
          <w:color w:val="auto"/>
          <w:kern w:val="0"/>
          <w:highlight w:val="none"/>
        </w:rPr>
        <w:t>项目概况</w:t>
      </w:r>
    </w:p>
    <w:p w14:paraId="2DC2EBCF">
      <w:pPr>
        <w:pBdr>
          <w:top w:val="single" w:color="auto" w:sz="4" w:space="1"/>
          <w:left w:val="single" w:color="auto" w:sz="4" w:space="4"/>
          <w:bottom w:val="single" w:color="auto" w:sz="4" w:space="1"/>
          <w:right w:val="single" w:color="auto" w:sz="4" w:space="4"/>
        </w:pBdr>
        <w:spacing w:line="360" w:lineRule="auto"/>
        <w:ind w:firstLine="630" w:firstLineChars="300"/>
        <w:rPr>
          <w:rFonts w:hint="eastAsia" w:ascii="宋体" w:hAnsi="宋体" w:cs="宋体"/>
          <w:color w:val="auto"/>
          <w:highlight w:val="none"/>
        </w:rPr>
      </w:pPr>
      <w:r>
        <w:rPr>
          <w:rFonts w:hint="eastAsia" w:ascii="宋体" w:hAnsi="宋体" w:cs="宋体"/>
          <w:color w:val="auto"/>
          <w:highlight w:val="none"/>
          <w:u w:val="single"/>
        </w:rPr>
        <w:t xml:space="preserve"> 若羌县职业高中智慧校园建设项目</w:t>
      </w:r>
      <w:r>
        <w:rPr>
          <w:rFonts w:hint="eastAsia" w:ascii="宋体" w:hAnsi="宋体" w:cs="宋体"/>
          <w:color w:val="auto"/>
          <w:kern w:val="0"/>
          <w:highlight w:val="none"/>
        </w:rPr>
        <w:t xml:space="preserve">招标项目的潜在投标人应在 </w:t>
      </w:r>
      <w:r>
        <w:rPr>
          <w:rFonts w:hint="eastAsia" w:ascii="宋体" w:hAnsi="宋体" w:cs="宋体"/>
          <w:color w:val="auto"/>
          <w:kern w:val="0"/>
          <w:highlight w:val="none"/>
          <w:u w:val="single"/>
        </w:rPr>
        <w:t xml:space="preserve">政采云平台 </w:t>
      </w:r>
      <w:r>
        <w:rPr>
          <w:rFonts w:hint="eastAsia" w:ascii="宋体" w:hAnsi="宋体" w:cs="宋体"/>
          <w:color w:val="auto"/>
          <w:kern w:val="0"/>
          <w:highlight w:val="none"/>
        </w:rPr>
        <w:t>获取招标文件，并于</w:t>
      </w:r>
      <w:r>
        <w:rPr>
          <w:rFonts w:hint="eastAsia" w:ascii="宋体" w:hAnsi="宋体" w:cs="宋体"/>
          <w:color w:val="auto"/>
          <w:kern w:val="0"/>
          <w:highlight w:val="none"/>
          <w:u w:val="single"/>
        </w:rPr>
        <w:t>2026年</w:t>
      </w:r>
      <w:r>
        <w:rPr>
          <w:rFonts w:hint="eastAsia" w:ascii="宋体" w:hAnsi="宋体" w:cs="宋体"/>
          <w:color w:val="auto"/>
          <w:kern w:val="0"/>
          <w:highlight w:val="none"/>
          <w:u w:val="single"/>
          <w:lang w:val="en-US" w:eastAsia="zh-CN"/>
        </w:rPr>
        <w:t>06</w:t>
      </w:r>
      <w:r>
        <w:rPr>
          <w:rFonts w:hint="eastAsia" w:ascii="宋体" w:hAnsi="宋体" w:cs="宋体"/>
          <w:color w:val="auto"/>
          <w:kern w:val="0"/>
          <w:highlight w:val="none"/>
          <w:u w:val="single"/>
        </w:rPr>
        <w:t>月</w:t>
      </w:r>
      <w:r>
        <w:rPr>
          <w:rFonts w:hint="eastAsia" w:ascii="宋体" w:hAnsi="宋体" w:cs="宋体"/>
          <w:color w:val="auto"/>
          <w:kern w:val="0"/>
          <w:highlight w:val="none"/>
          <w:u w:val="single"/>
          <w:lang w:val="en-US" w:eastAsia="zh-CN"/>
        </w:rPr>
        <w:t>04</w:t>
      </w:r>
      <w:r>
        <w:rPr>
          <w:rFonts w:hint="eastAsia" w:ascii="宋体" w:hAnsi="宋体" w:cs="宋体"/>
          <w:color w:val="auto"/>
          <w:kern w:val="0"/>
          <w:highlight w:val="none"/>
          <w:u w:val="single"/>
        </w:rPr>
        <w:t>日  上午 10：30时（北京时间）</w:t>
      </w:r>
      <w:r>
        <w:rPr>
          <w:rFonts w:hint="eastAsia" w:ascii="宋体" w:hAnsi="宋体" w:cs="宋体"/>
          <w:color w:val="auto"/>
          <w:kern w:val="0"/>
          <w:highlight w:val="none"/>
        </w:rPr>
        <w:t>前递交投标文件。</w:t>
      </w:r>
    </w:p>
    <w:p w14:paraId="42C83AB7">
      <w:pPr>
        <w:tabs>
          <w:tab w:val="left" w:pos="900"/>
        </w:tabs>
        <w:ind w:firstLine="422" w:firstLineChars="200"/>
        <w:rPr>
          <w:rFonts w:hint="eastAsia" w:ascii="宋体" w:hAnsi="宋体" w:cs="宋体"/>
          <w:b/>
          <w:bCs/>
          <w:color w:val="auto"/>
          <w:highlight w:val="none"/>
        </w:rPr>
      </w:pPr>
      <w:bookmarkStart w:id="10" w:name="_Toc28359079"/>
      <w:bookmarkStart w:id="11" w:name="_Toc35393621"/>
      <w:bookmarkStart w:id="12" w:name="_Toc35393790"/>
      <w:bookmarkStart w:id="13" w:name="_Toc28359002"/>
      <w:bookmarkStart w:id="14" w:name="_Hlk24379207"/>
      <w:bookmarkStart w:id="15" w:name="_Toc35393792"/>
      <w:bookmarkStart w:id="16" w:name="_Toc28359004"/>
      <w:bookmarkStart w:id="17" w:name="_Toc28359081"/>
      <w:bookmarkStart w:id="18" w:name="_Toc35393623"/>
      <w:r>
        <w:rPr>
          <w:rFonts w:hint="eastAsia" w:ascii="宋体" w:hAnsi="宋体" w:cs="宋体"/>
          <w:b/>
          <w:bCs/>
          <w:color w:val="auto"/>
          <w:highlight w:val="none"/>
        </w:rPr>
        <w:t>一、项目基本情况</w:t>
      </w:r>
      <w:bookmarkEnd w:id="10"/>
      <w:bookmarkEnd w:id="11"/>
      <w:bookmarkEnd w:id="12"/>
      <w:bookmarkEnd w:id="13"/>
    </w:p>
    <w:p w14:paraId="50DEFD64">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 xml:space="preserve">1.项目编号: BZZZZX（GK）2026-011号   </w:t>
      </w:r>
    </w:p>
    <w:p w14:paraId="1C78E880">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2.项目名称：</w:t>
      </w:r>
      <w:bookmarkEnd w:id="14"/>
      <w:r>
        <w:rPr>
          <w:rFonts w:hint="eastAsia" w:ascii="宋体" w:hAnsi="宋体" w:cs="宋体"/>
          <w:color w:val="auto"/>
          <w:highlight w:val="none"/>
        </w:rPr>
        <w:t>若羌县职业高中智慧校园建设项目</w:t>
      </w:r>
    </w:p>
    <w:p w14:paraId="0CB6EB20">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3.预算金额：200万元</w:t>
      </w:r>
    </w:p>
    <w:p w14:paraId="54C28CEA">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4.最高限价: 200万元</w:t>
      </w:r>
    </w:p>
    <w:p w14:paraId="0D6FB7DE">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5.采购需求：若羌县职业高中智慧校园建设项目，为提升现代职业教育质量结合学校实际业务需求，现采购全光校园网络建设、校园数字IP广播建设、班班通设备采购建设，校园直播、虚拟电视台采购建设以及录播实训室等相关软硬件设施设备采购、安装、调试，并根据现场实际需求进行线路改造、墙体改造（包括现场混泥土开槽恢复，线材穿管等防护措施），校园虚拟电视台及录播实训室的配套课桌椅等，进行整体系统集成与安装服务。详见采购需求清单。</w:t>
      </w:r>
    </w:p>
    <w:p w14:paraId="7C1BEE3D">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6.供货期：合同签订之日起50日历日完成供货及系统集成。</w:t>
      </w:r>
    </w:p>
    <w:p w14:paraId="4189556A">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7.本项目不接受联合体投标。</w:t>
      </w:r>
    </w:p>
    <w:p w14:paraId="16B3F225">
      <w:pPr>
        <w:tabs>
          <w:tab w:val="left" w:pos="900"/>
        </w:tabs>
        <w:ind w:firstLine="420" w:firstLineChars="200"/>
        <w:rPr>
          <w:rFonts w:hint="eastAsia" w:ascii="宋体" w:hAnsi="宋体" w:cs="宋体"/>
          <w:b/>
          <w:bCs/>
          <w:color w:val="auto"/>
          <w:highlight w:val="none"/>
        </w:rPr>
      </w:pPr>
      <w:r>
        <w:rPr>
          <w:rFonts w:hint="eastAsia" w:ascii="宋体" w:hAnsi="宋体" w:cs="宋体"/>
          <w:color w:val="auto"/>
          <w:highlight w:val="none"/>
        </w:rPr>
        <w:t>8.本项目不接受项目合同分包</w:t>
      </w:r>
      <w:bookmarkStart w:id="19" w:name="_Toc35393791"/>
      <w:bookmarkStart w:id="20" w:name="_Toc35393622"/>
      <w:bookmarkStart w:id="21" w:name="_Toc28359080"/>
      <w:bookmarkStart w:id="22" w:name="_Toc28359003"/>
      <w:r>
        <w:rPr>
          <w:rFonts w:hint="eastAsia" w:ascii="宋体" w:hAnsi="宋体"/>
          <w:color w:val="auto"/>
          <w:highlight w:val="none"/>
        </w:rPr>
        <w:t>。</w:t>
      </w:r>
    </w:p>
    <w:p w14:paraId="7F0BBE54">
      <w:pPr>
        <w:tabs>
          <w:tab w:val="left" w:pos="900"/>
        </w:tabs>
        <w:ind w:firstLine="422" w:firstLineChars="200"/>
        <w:rPr>
          <w:rFonts w:hint="eastAsia" w:ascii="宋体" w:hAnsi="宋体" w:cs="宋体"/>
          <w:b/>
          <w:bCs/>
          <w:color w:val="auto"/>
          <w:highlight w:val="none"/>
        </w:rPr>
      </w:pPr>
      <w:r>
        <w:rPr>
          <w:rFonts w:hint="eastAsia" w:ascii="宋体" w:hAnsi="宋体" w:cs="宋体"/>
          <w:b/>
          <w:bCs/>
          <w:color w:val="auto"/>
          <w:highlight w:val="none"/>
        </w:rPr>
        <w:t>二、合格投标供应商资格要求：</w:t>
      </w:r>
      <w:bookmarkEnd w:id="19"/>
      <w:bookmarkEnd w:id="20"/>
      <w:bookmarkEnd w:id="21"/>
      <w:bookmarkEnd w:id="22"/>
    </w:p>
    <w:p w14:paraId="26551A26">
      <w:pPr>
        <w:tabs>
          <w:tab w:val="left" w:pos="900"/>
        </w:tabs>
        <w:ind w:firstLine="420" w:firstLineChars="200"/>
        <w:rPr>
          <w:rFonts w:hint="eastAsia" w:ascii="宋体" w:hAnsi="宋体" w:cs="宋体"/>
          <w:color w:val="auto"/>
        </w:rPr>
      </w:pPr>
      <w:r>
        <w:rPr>
          <w:rFonts w:hint="eastAsia" w:ascii="宋体" w:hAnsi="宋体" w:cs="宋体"/>
          <w:color w:val="auto"/>
          <w:highlight w:val="none"/>
        </w:rPr>
        <w:t>1.满足《中华人民共和国政府采购</w:t>
      </w:r>
      <w:r>
        <w:rPr>
          <w:rFonts w:hint="eastAsia" w:ascii="宋体" w:hAnsi="宋体" w:cs="宋体"/>
          <w:color w:val="auto"/>
        </w:rPr>
        <w:t>法》第二十二条规定；</w:t>
      </w:r>
    </w:p>
    <w:p w14:paraId="352169A2">
      <w:pPr>
        <w:tabs>
          <w:tab w:val="left" w:pos="900"/>
        </w:tabs>
        <w:ind w:firstLine="420" w:firstLineChars="200"/>
        <w:rPr>
          <w:rFonts w:hint="eastAsia" w:ascii="宋体" w:hAnsi="宋体" w:eastAsia="宋体" w:cs="宋体"/>
          <w:color w:val="auto"/>
          <w:lang w:eastAsia="zh-CN"/>
        </w:rPr>
      </w:pPr>
      <w:r>
        <w:rPr>
          <w:rFonts w:hint="eastAsia" w:ascii="宋体" w:hAnsi="宋体" w:cs="宋体"/>
          <w:color w:val="auto"/>
        </w:rPr>
        <w:t>（1）</w:t>
      </w:r>
      <w:r>
        <w:rPr>
          <w:color w:val="auto"/>
        </w:rPr>
        <w:t>具有独立承担民事责任的能力：</w:t>
      </w:r>
      <w:r>
        <w:rPr>
          <w:rFonts w:hint="eastAsia" w:ascii="宋体" w:hAnsi="宋体" w:cs="宋体"/>
          <w:color w:val="auto"/>
        </w:rPr>
        <w:t>在中华人民共和国境内注册的法人或其他组织或自然人， 投标（响应）时提交有效的营业执照（或事业法人登记证或身份证等相关证明）复印件。</w:t>
      </w:r>
      <w:r>
        <w:rPr>
          <w:rFonts w:hint="eastAsia"/>
          <w:color w:val="auto"/>
        </w:rPr>
        <w:t>分支机构投标的（仅限银行、保险、石油石化、电力、电信 、邮政、铁路等特殊行业），须提供总公司和分公司营业执照扫描件，总公司出具给分支机构的授权书</w:t>
      </w:r>
      <w:r>
        <w:rPr>
          <w:rFonts w:hint="eastAsia"/>
          <w:color w:val="auto"/>
          <w:lang w:eastAsia="zh-CN"/>
        </w:rPr>
        <w:t>。</w:t>
      </w:r>
    </w:p>
    <w:p w14:paraId="6F322B95">
      <w:pPr>
        <w:ind w:firstLine="420" w:firstLineChars="200"/>
        <w:rPr>
          <w:rFonts w:hint="eastAsia" w:ascii="宋体" w:hAnsi="宋体" w:cs="宋体"/>
          <w:color w:val="auto"/>
          <w:kern w:val="0"/>
        </w:rPr>
      </w:pPr>
      <w:r>
        <w:rPr>
          <w:rFonts w:hint="eastAsia" w:ascii="宋体" w:hAnsi="宋体" w:cs="宋体"/>
          <w:color w:val="auto"/>
          <w:kern w:val="0"/>
        </w:rPr>
        <w:t>（2）参与本项目投标前三年内，在经营活动 中没有重大违法记录（由供应商在《政府采购投标及履约承诺函》中作出声明）；</w:t>
      </w:r>
    </w:p>
    <w:p w14:paraId="72033B29">
      <w:pPr>
        <w:ind w:firstLine="420" w:firstLineChars="200"/>
        <w:rPr>
          <w:rFonts w:hint="eastAsia" w:ascii="宋体" w:hAnsi="宋体" w:cs="宋体"/>
          <w:color w:val="auto"/>
          <w:kern w:val="0"/>
        </w:rPr>
      </w:pPr>
      <w:r>
        <w:rPr>
          <w:rFonts w:hint="eastAsia" w:ascii="宋体" w:hAnsi="宋体" w:cs="宋体"/>
          <w:color w:val="auto"/>
          <w:kern w:val="0"/>
        </w:rPr>
        <w:t>（3）参与本项目政府采购活动时不存在被有关部门禁止参与政府采购活动且在有效期内的情况（由供应商在《政府采购投标及履约承诺函》中作出声明）；</w:t>
      </w:r>
    </w:p>
    <w:p w14:paraId="00522267">
      <w:pPr>
        <w:ind w:firstLine="420" w:firstLineChars="200"/>
        <w:rPr>
          <w:rFonts w:hint="eastAsia" w:ascii="宋体" w:hAnsi="宋体" w:cs="宋体"/>
          <w:color w:val="auto"/>
          <w:kern w:val="0"/>
        </w:rPr>
      </w:pPr>
      <w:r>
        <w:rPr>
          <w:rFonts w:hint="eastAsia" w:ascii="宋体" w:hAnsi="宋体" w:cs="宋体"/>
          <w:color w:val="auto"/>
          <w:kern w:val="0"/>
        </w:rPr>
        <w:t>（4）</w:t>
      </w:r>
      <w:r>
        <w:rPr>
          <w:rFonts w:hint="eastAsia" w:ascii="宋体" w:hAnsi="宋体" w:cs="宋体"/>
          <w:color w:val="auto"/>
        </w:rPr>
        <w:t>投标供应商须提供参加政府采购活动前三年内，在经营活动中没有重大违法记录的书面声明（重大违法记录是指供应商因违法经营受到刑事处罚或者责令停产停业、吊销许可证或者执照、较大数额罚款等行政处罚）；2.未被列入失信被执行人、重大税收违法案件当事人名单、政府采购严重违法失信行为记录名单（信用中国网站、政府采购网）</w:t>
      </w:r>
      <w:r>
        <w:rPr>
          <w:rFonts w:hint="eastAsia" w:ascii="宋体" w:hAnsi="宋体" w:cs="宋体"/>
          <w:color w:val="auto"/>
          <w:kern w:val="0"/>
        </w:rPr>
        <w:t>；</w:t>
      </w:r>
    </w:p>
    <w:p w14:paraId="29CAEF94">
      <w:pPr>
        <w:ind w:firstLine="420" w:firstLineChars="200"/>
        <w:rPr>
          <w:rFonts w:hint="eastAsia" w:ascii="宋体" w:hAnsi="宋体" w:cs="宋体"/>
          <w:color w:val="auto"/>
          <w:kern w:val="0"/>
        </w:rPr>
      </w:pPr>
      <w:r>
        <w:rPr>
          <w:rFonts w:hint="eastAsia" w:ascii="宋体" w:hAnsi="宋体" w:cs="宋体"/>
          <w:color w:val="auto"/>
          <w:kern w:val="0"/>
        </w:rPr>
        <w:t>（5）单位负责人为同一人或者存在直接控股、管理关系的不同供应商，不得参加同一合同项下的政府采购活动；为采购项目提供整体设计、规范编制或者项目管理、监理、检测等服务的供应商，不得再参加该采购项目的其他采购活动（由供应商在《政府采购投标及履约承诺函》中作出声明）。</w:t>
      </w:r>
    </w:p>
    <w:p w14:paraId="102A4D00">
      <w:pPr>
        <w:widowControl/>
        <w:ind w:firstLine="210" w:firstLineChars="100"/>
        <w:jc w:val="left"/>
        <w:textAlignment w:val="center"/>
        <w:rPr>
          <w:rFonts w:hint="eastAsia" w:ascii="宋体" w:hAnsi="宋体" w:cs="宋体"/>
          <w:b/>
          <w:bCs/>
          <w:color w:val="auto"/>
          <w:kern w:val="0"/>
          <w:lang w:bidi="ar"/>
        </w:rPr>
      </w:pPr>
      <w:r>
        <w:rPr>
          <w:rFonts w:hint="eastAsia" w:ascii="宋体" w:hAnsi="宋体" w:cs="宋体"/>
          <w:color w:val="auto"/>
        </w:rPr>
        <w:t>2.</w:t>
      </w:r>
      <w:bookmarkStart w:id="23" w:name="OLE_LINK5"/>
      <w:r>
        <w:rPr>
          <w:rFonts w:hint="eastAsia" w:ascii="宋体" w:hAnsi="宋体" w:cs="宋体"/>
          <w:b w:val="0"/>
          <w:bCs w:val="0"/>
          <w:color w:val="auto"/>
          <w:kern w:val="0"/>
          <w:lang w:bidi="ar"/>
        </w:rPr>
        <w:t>落实政府采购政策：</w:t>
      </w:r>
    </w:p>
    <w:p w14:paraId="434E08F4">
      <w:pPr>
        <w:tabs>
          <w:tab w:val="left" w:pos="900"/>
        </w:tabs>
        <w:ind w:firstLine="420" w:firstLineChars="200"/>
        <w:rPr>
          <w:rFonts w:hint="eastAsia" w:ascii="宋体" w:hAnsi="宋体" w:cs="宋体"/>
          <w:color w:val="auto"/>
        </w:rPr>
      </w:pPr>
      <w:r>
        <w:rPr>
          <w:rFonts w:hint="eastAsia" w:ascii="宋体" w:hAnsi="宋体" w:cs="宋体"/>
          <w:color w:val="auto"/>
          <w:lang w:bidi="ar"/>
        </w:rPr>
        <w:t>本项目</w:t>
      </w:r>
      <w:r>
        <w:rPr>
          <w:rFonts w:ascii="宋体" w:hAnsi="宋体" w:cs="宋体"/>
          <w:color w:val="auto"/>
          <w:lang w:bidi="ar"/>
        </w:rPr>
        <w:t>不专门</w:t>
      </w:r>
      <w:r>
        <w:rPr>
          <w:rFonts w:hint="eastAsia" w:ascii="宋体" w:hAnsi="宋体" w:cs="宋体"/>
          <w:color w:val="auto"/>
          <w:lang w:bidi="ar"/>
        </w:rPr>
        <w:t>面向中小企业，供应商所投全部货物标的由小微企业制造的，须提供 《中小企业声明函（货物）》并符合填报要求，可享受 10%的价格扣除优惠；</w:t>
      </w:r>
      <w:r>
        <w:rPr>
          <w:rFonts w:hint="eastAsia" w:ascii="宋体" w:hAnsi="宋体" w:cs="宋体"/>
          <w:color w:val="auto"/>
        </w:rPr>
        <w:t xml:space="preserve"> </w:t>
      </w:r>
    </w:p>
    <w:bookmarkEnd w:id="23"/>
    <w:p w14:paraId="64B7A94F">
      <w:pPr>
        <w:pStyle w:val="2"/>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3.本项目的特定资格要求：无</w:t>
      </w:r>
    </w:p>
    <w:p w14:paraId="35BCA0CA">
      <w:pPr>
        <w:tabs>
          <w:tab w:val="left" w:pos="900"/>
        </w:tabs>
        <w:ind w:firstLine="422" w:firstLineChars="200"/>
        <w:rPr>
          <w:rFonts w:hint="eastAsia" w:ascii="宋体" w:hAnsi="宋体" w:cs="宋体"/>
          <w:b/>
          <w:bCs/>
          <w:color w:val="auto"/>
          <w:highlight w:val="none"/>
        </w:rPr>
      </w:pPr>
      <w:r>
        <w:rPr>
          <w:rFonts w:hint="eastAsia" w:ascii="宋体" w:hAnsi="宋体" w:cs="宋体"/>
          <w:b/>
          <w:bCs/>
          <w:color w:val="auto"/>
          <w:highlight w:val="none"/>
        </w:rPr>
        <w:t>三、获取</w:t>
      </w:r>
      <w:bookmarkEnd w:id="15"/>
      <w:bookmarkEnd w:id="16"/>
      <w:bookmarkEnd w:id="17"/>
      <w:bookmarkEnd w:id="18"/>
      <w:r>
        <w:rPr>
          <w:rFonts w:hint="eastAsia" w:ascii="宋体" w:hAnsi="宋体" w:cs="宋体"/>
          <w:b/>
          <w:bCs/>
          <w:color w:val="auto"/>
          <w:highlight w:val="none"/>
        </w:rPr>
        <w:t>招标文件时间及方式</w:t>
      </w:r>
    </w:p>
    <w:p w14:paraId="6039C37B">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时间：2026年</w:t>
      </w:r>
      <w:r>
        <w:rPr>
          <w:rFonts w:hint="eastAsia" w:ascii="宋体" w:hAnsi="宋体" w:cs="宋体"/>
          <w:color w:val="auto"/>
          <w:highlight w:val="none"/>
          <w:lang w:val="en-US" w:eastAsia="zh-CN"/>
        </w:rPr>
        <w:t>5</w:t>
      </w:r>
      <w:r>
        <w:rPr>
          <w:rFonts w:hint="eastAsia" w:ascii="宋体" w:hAnsi="宋体" w:cs="宋体"/>
          <w:color w:val="auto"/>
          <w:highlight w:val="none"/>
        </w:rPr>
        <w:t>月</w:t>
      </w:r>
      <w:r>
        <w:rPr>
          <w:rFonts w:hint="eastAsia" w:ascii="宋体" w:hAnsi="宋体" w:cs="宋体"/>
          <w:color w:val="auto"/>
          <w:highlight w:val="none"/>
          <w:lang w:val="en-US" w:eastAsia="zh-CN"/>
        </w:rPr>
        <w:t>15</w:t>
      </w:r>
      <w:r>
        <w:rPr>
          <w:rFonts w:hint="eastAsia" w:ascii="宋体" w:hAnsi="宋体" w:cs="宋体"/>
          <w:color w:val="auto"/>
          <w:highlight w:val="none"/>
        </w:rPr>
        <w:t>日至2026年</w:t>
      </w:r>
      <w:r>
        <w:rPr>
          <w:rFonts w:hint="eastAsia" w:ascii="宋体" w:hAnsi="宋体" w:cs="宋体"/>
          <w:color w:val="auto"/>
          <w:highlight w:val="none"/>
          <w:lang w:val="en-US" w:eastAsia="zh-CN"/>
        </w:rPr>
        <w:t>5</w:t>
      </w:r>
      <w:r>
        <w:rPr>
          <w:rFonts w:hint="eastAsia" w:ascii="宋体" w:hAnsi="宋体" w:cs="宋体"/>
          <w:color w:val="auto"/>
          <w:highlight w:val="none"/>
        </w:rPr>
        <w:t>月</w:t>
      </w:r>
      <w:r>
        <w:rPr>
          <w:rFonts w:hint="eastAsia" w:ascii="宋体" w:hAnsi="宋体" w:cs="宋体"/>
          <w:color w:val="auto"/>
          <w:highlight w:val="none"/>
          <w:lang w:val="en-US" w:eastAsia="zh-CN"/>
        </w:rPr>
        <w:t>22</w:t>
      </w:r>
      <w:r>
        <w:rPr>
          <w:rFonts w:hint="eastAsia" w:ascii="宋体" w:hAnsi="宋体" w:cs="宋体"/>
          <w:color w:val="auto"/>
          <w:highlight w:val="none"/>
        </w:rPr>
        <w:t>日，每天上午00:00至14:00，下午14：00至23：59（提供期限自本公告发布之日起不得少于5个工作日，北京时间，法定节假日除外）</w:t>
      </w:r>
    </w:p>
    <w:p w14:paraId="62D02B26">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地点：新疆政采云平台</w:t>
      </w:r>
    </w:p>
    <w:p w14:paraId="644A8197">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方式：供应商登陆政采云平台http://www.zcygov.cn/，在线申请获取采购文件（登录政府采购云平台 → 项目采购 → 获取采购文件 → 申请，审核通过后可下载招标文件，如有操作性问题，可与政采云在线客服进行咨询，咨询电话：95763）</w:t>
      </w:r>
    </w:p>
    <w:p w14:paraId="79865F4D">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售价：0元</w:t>
      </w:r>
    </w:p>
    <w:p w14:paraId="3E1F1E54">
      <w:pPr>
        <w:tabs>
          <w:tab w:val="left" w:pos="900"/>
        </w:tabs>
        <w:ind w:firstLine="422" w:firstLineChars="200"/>
        <w:rPr>
          <w:rFonts w:hint="eastAsia" w:ascii="宋体" w:hAnsi="宋体" w:cs="宋体"/>
          <w:b/>
          <w:bCs/>
          <w:color w:val="auto"/>
          <w:highlight w:val="none"/>
        </w:rPr>
      </w:pPr>
      <w:bookmarkStart w:id="24" w:name="_Toc28359082"/>
      <w:bookmarkStart w:id="25" w:name="_Toc28359005"/>
      <w:bookmarkStart w:id="26" w:name="_Toc35393624"/>
      <w:bookmarkStart w:id="27" w:name="_Toc35393793"/>
      <w:r>
        <w:rPr>
          <w:rFonts w:hint="eastAsia" w:ascii="宋体" w:hAnsi="宋体" w:cs="宋体"/>
          <w:b/>
          <w:bCs/>
          <w:color w:val="auto"/>
          <w:highlight w:val="none"/>
        </w:rPr>
        <w:t>四、提交投标文件</w:t>
      </w:r>
      <w:bookmarkEnd w:id="24"/>
      <w:bookmarkEnd w:id="25"/>
      <w:r>
        <w:rPr>
          <w:rFonts w:hint="eastAsia" w:ascii="宋体" w:hAnsi="宋体" w:cs="宋体"/>
          <w:b/>
          <w:bCs/>
          <w:color w:val="auto"/>
          <w:highlight w:val="none"/>
        </w:rPr>
        <w:t>截止时间、开标时间和地点</w:t>
      </w:r>
      <w:bookmarkEnd w:id="26"/>
      <w:bookmarkEnd w:id="27"/>
    </w:p>
    <w:p w14:paraId="664AFE53">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提交投标文件截止时间：2026年</w:t>
      </w:r>
      <w:r>
        <w:rPr>
          <w:rFonts w:hint="eastAsia" w:ascii="宋体" w:hAnsi="宋体" w:cs="宋体"/>
          <w:color w:val="auto"/>
          <w:highlight w:val="none"/>
          <w:lang w:val="en-US" w:eastAsia="zh-CN"/>
        </w:rPr>
        <w:t>06</w:t>
      </w:r>
      <w:r>
        <w:rPr>
          <w:rFonts w:hint="eastAsia" w:ascii="宋体" w:hAnsi="宋体" w:cs="宋体"/>
          <w:color w:val="auto"/>
          <w:highlight w:val="none"/>
        </w:rPr>
        <w:t>月</w:t>
      </w:r>
      <w:r>
        <w:rPr>
          <w:rFonts w:hint="eastAsia" w:ascii="宋体" w:hAnsi="宋体" w:cs="宋体"/>
          <w:color w:val="auto"/>
          <w:highlight w:val="none"/>
          <w:lang w:val="en-US" w:eastAsia="zh-CN"/>
        </w:rPr>
        <w:t>04</w:t>
      </w:r>
      <w:r>
        <w:rPr>
          <w:rFonts w:hint="eastAsia" w:ascii="宋体" w:hAnsi="宋体" w:cs="宋体"/>
          <w:color w:val="auto"/>
          <w:highlight w:val="none"/>
        </w:rPr>
        <w:t>日 10:30（北京时间）（自招标文件开始发出之日起至投标人提交投标文件截止之日止，不得少于10日）</w:t>
      </w:r>
    </w:p>
    <w:p w14:paraId="5CEEF6F4">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投标地点：政采云平台客户端投标</w:t>
      </w:r>
    </w:p>
    <w:p w14:paraId="04F7D396">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开标时间：2026年</w:t>
      </w:r>
      <w:r>
        <w:rPr>
          <w:rFonts w:hint="eastAsia" w:ascii="宋体" w:hAnsi="宋体" w:cs="宋体"/>
          <w:color w:val="auto"/>
          <w:highlight w:val="none"/>
          <w:lang w:val="en-US" w:eastAsia="zh-CN"/>
        </w:rPr>
        <w:t>06</w:t>
      </w:r>
      <w:r>
        <w:rPr>
          <w:rFonts w:hint="eastAsia" w:ascii="宋体" w:hAnsi="宋体" w:cs="宋体"/>
          <w:color w:val="auto"/>
          <w:highlight w:val="none"/>
        </w:rPr>
        <w:t>月</w:t>
      </w:r>
      <w:r>
        <w:rPr>
          <w:rFonts w:hint="eastAsia" w:ascii="宋体" w:hAnsi="宋体" w:cs="宋体"/>
          <w:color w:val="auto"/>
          <w:highlight w:val="none"/>
          <w:lang w:val="en-US" w:eastAsia="zh-CN"/>
        </w:rPr>
        <w:t>04</w:t>
      </w:r>
      <w:r>
        <w:rPr>
          <w:rFonts w:hint="eastAsia" w:ascii="宋体" w:hAnsi="宋体" w:cs="宋体"/>
          <w:color w:val="auto"/>
          <w:highlight w:val="none"/>
        </w:rPr>
        <w:t>日  10:30（北京时间）</w:t>
      </w:r>
    </w:p>
    <w:p w14:paraId="6BA98302">
      <w:pPr>
        <w:tabs>
          <w:tab w:val="left" w:pos="900"/>
        </w:tabs>
        <w:ind w:firstLine="420" w:firstLineChars="200"/>
        <w:rPr>
          <w:rFonts w:hint="eastAsia" w:ascii="宋体" w:hAnsi="宋体" w:cs="宋体"/>
          <w:color w:val="auto"/>
          <w:highlight w:val="none"/>
        </w:rPr>
      </w:pPr>
      <w:r>
        <w:rPr>
          <w:rFonts w:hint="eastAsia" w:ascii="宋体" w:hAnsi="宋体" w:cs="宋体"/>
          <w:color w:val="auto"/>
          <w:highlight w:val="none"/>
        </w:rPr>
        <w:t>开标地点：政采云电子开标大厅</w:t>
      </w:r>
    </w:p>
    <w:p w14:paraId="301139AA">
      <w:pPr>
        <w:tabs>
          <w:tab w:val="left" w:pos="900"/>
        </w:tabs>
        <w:ind w:firstLine="422" w:firstLineChars="200"/>
        <w:rPr>
          <w:rFonts w:hint="eastAsia" w:ascii="宋体" w:hAnsi="宋体" w:cs="宋体"/>
          <w:b/>
          <w:bCs/>
          <w:color w:val="auto"/>
        </w:rPr>
      </w:pPr>
      <w:bookmarkStart w:id="28" w:name="_Toc28359007"/>
      <w:bookmarkStart w:id="29" w:name="_Toc28359084"/>
      <w:bookmarkStart w:id="30" w:name="_Toc35393625"/>
      <w:bookmarkStart w:id="31" w:name="_Toc35393794"/>
      <w:r>
        <w:rPr>
          <w:rFonts w:hint="eastAsia" w:ascii="宋体" w:hAnsi="宋体" w:cs="宋体"/>
          <w:b/>
          <w:bCs/>
          <w:color w:val="auto"/>
        </w:rPr>
        <w:t>五、公告期限</w:t>
      </w:r>
      <w:bookmarkEnd w:id="28"/>
      <w:bookmarkEnd w:id="29"/>
      <w:bookmarkEnd w:id="30"/>
      <w:bookmarkEnd w:id="31"/>
    </w:p>
    <w:p w14:paraId="275CEC0C">
      <w:pPr>
        <w:tabs>
          <w:tab w:val="left" w:pos="900"/>
        </w:tabs>
        <w:ind w:firstLine="420" w:firstLineChars="200"/>
        <w:rPr>
          <w:rFonts w:hint="eastAsia" w:ascii="宋体" w:hAnsi="宋体" w:cs="宋体"/>
          <w:color w:val="auto"/>
        </w:rPr>
      </w:pPr>
      <w:r>
        <w:rPr>
          <w:rFonts w:hint="eastAsia" w:ascii="宋体" w:hAnsi="宋体" w:cs="宋体"/>
          <w:color w:val="auto"/>
        </w:rPr>
        <w:t>自本公告发布之日起</w:t>
      </w:r>
      <w:r>
        <w:rPr>
          <w:rFonts w:hint="eastAsia" w:ascii="宋体" w:hAnsi="宋体" w:cs="宋体"/>
          <w:color w:val="auto"/>
          <w:u w:val="single"/>
        </w:rPr>
        <w:t xml:space="preserve"> 5个</w:t>
      </w:r>
      <w:r>
        <w:rPr>
          <w:rFonts w:hint="eastAsia" w:ascii="宋体" w:hAnsi="宋体" w:cs="宋体"/>
          <w:color w:val="auto"/>
        </w:rPr>
        <w:t>工作日</w:t>
      </w:r>
      <w:bookmarkStart w:id="32" w:name="_Toc35393795"/>
      <w:bookmarkStart w:id="33" w:name="_Toc35393626"/>
    </w:p>
    <w:p w14:paraId="2815E1FB">
      <w:pPr>
        <w:tabs>
          <w:tab w:val="left" w:pos="900"/>
        </w:tabs>
        <w:ind w:firstLine="422" w:firstLineChars="200"/>
        <w:rPr>
          <w:rFonts w:hint="eastAsia" w:ascii="宋体" w:hAnsi="宋体" w:cs="宋体"/>
          <w:b/>
          <w:bCs/>
          <w:color w:val="auto"/>
        </w:rPr>
      </w:pPr>
      <w:r>
        <w:rPr>
          <w:rFonts w:hint="eastAsia" w:ascii="宋体" w:hAnsi="宋体" w:cs="宋体"/>
          <w:b/>
          <w:bCs/>
          <w:color w:val="auto"/>
        </w:rPr>
        <w:t>六、其他补充事宜</w:t>
      </w:r>
      <w:bookmarkEnd w:id="32"/>
      <w:bookmarkEnd w:id="33"/>
    </w:p>
    <w:p w14:paraId="5E4BF22C">
      <w:pPr>
        <w:tabs>
          <w:tab w:val="left" w:pos="900"/>
        </w:tabs>
        <w:ind w:firstLine="420" w:firstLineChars="200"/>
        <w:rPr>
          <w:rFonts w:hint="eastAsia" w:ascii="宋体" w:hAnsi="宋体" w:cs="宋体"/>
          <w:color w:val="auto"/>
        </w:rPr>
      </w:pPr>
      <w:bookmarkStart w:id="34" w:name="_Toc35393627"/>
      <w:bookmarkStart w:id="35" w:name="_Toc35393796"/>
      <w:bookmarkStart w:id="36" w:name="_Toc28359085"/>
      <w:bookmarkStart w:id="37" w:name="_Toc28359008"/>
      <w:r>
        <w:rPr>
          <w:rFonts w:hint="eastAsia" w:ascii="宋体" w:hAnsi="宋体" w:cs="宋体"/>
          <w:color w:val="auto"/>
        </w:rPr>
        <w:t>1.本项目实行网上投标，采用投标文件电子标书；</w:t>
      </w:r>
    </w:p>
    <w:p w14:paraId="75E88143">
      <w:pPr>
        <w:tabs>
          <w:tab w:val="left" w:pos="900"/>
        </w:tabs>
        <w:ind w:firstLine="420" w:firstLineChars="200"/>
        <w:rPr>
          <w:rFonts w:hint="eastAsia" w:ascii="宋体" w:hAnsi="宋体" w:cs="宋体"/>
          <w:color w:val="auto"/>
        </w:rPr>
      </w:pPr>
      <w:r>
        <w:rPr>
          <w:rFonts w:hint="eastAsia" w:ascii="宋体" w:hAnsi="宋体" w:cs="宋体"/>
          <w:color w:val="auto"/>
        </w:rPr>
        <w:t>2.各供应商在开标前应确保成为新疆政府采购网正式注册入库供应商，并完成CA数字证书申领。因未注册入库、未办理CA数字证书等原因造成无法投标或投标失败等后果由供应商自行承担。有意向参与电子开评标的供应商，可访问新疆数字证书认证中心官方网站（https://www.xjca.com.cn/）或下载“新疆政务通”APP自行申领。如需咨询，请联系新疆CA服务热线0991-2819290；</w:t>
      </w:r>
      <w:r>
        <w:rPr>
          <w:rFonts w:hint="eastAsia" w:ascii="宋体" w:hAnsi="宋体" w:cs="宋体"/>
          <w:color w:val="auto"/>
        </w:rPr>
        <w:br w:type="textWrapping"/>
      </w:r>
      <w:r>
        <w:rPr>
          <w:rFonts w:hint="eastAsia" w:ascii="宋体" w:hAnsi="宋体" w:cs="宋体"/>
          <w:color w:val="auto"/>
        </w:rPr>
        <w:t xml:space="preserve">   3.供应商在完成政采云电子交易客户端下载、安装 后，可通过账号密码或CA登录客户端进行投标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r>
        <w:rPr>
          <w:rFonts w:hint="eastAsia" w:ascii="宋体" w:hAnsi="宋体" w:cs="宋体"/>
          <w:color w:val="auto"/>
        </w:rPr>
        <w:br w:type="textWrapping"/>
      </w:r>
      <w:r>
        <w:rPr>
          <w:rFonts w:hint="eastAsia" w:ascii="宋体" w:hAnsi="宋体" w:cs="宋体"/>
          <w:color w:val="auto"/>
        </w:rPr>
        <w:t xml:space="preserve">   4.供应商应当在投标截止时间前,将生成的“电子加密投标文件”上传递交至“政府采购云平台”,投标截止时间以后上传递交的投标文件将被“政府采购云平台”拒收；</w:t>
      </w:r>
      <w:r>
        <w:rPr>
          <w:rFonts w:hint="eastAsia" w:ascii="宋体" w:hAnsi="宋体" w:cs="宋体"/>
          <w:color w:val="auto"/>
        </w:rPr>
        <w:br w:type="textWrapping"/>
      </w:r>
      <w:r>
        <w:rPr>
          <w:rFonts w:hint="eastAsia" w:ascii="宋体" w:hAnsi="宋体" w:cs="宋体"/>
          <w:color w:val="auto"/>
        </w:rPr>
        <w:t xml:space="preserve">   5.供应商在开标前须提前配置好电脑浏览器（建议使用360浏览器或谷歌浏览器）,开标时登录政采云平台，在“项目采购-开标评标”功能中，使用制作加密投标文件电子标书的CA锁进行解密及报价确认。本项目投标文件的解密时间定为30分钟内,若供应商在规定时间内因自身原因导致无法正常解密,后果由供应商自行承担。</w:t>
      </w:r>
      <w:r>
        <w:rPr>
          <w:rFonts w:hint="eastAsia" w:ascii="宋体" w:hAnsi="宋体" w:cs="宋体"/>
          <w:color w:val="auto"/>
        </w:rPr>
        <w:br w:type="textWrapping"/>
      </w:r>
      <w:r>
        <w:rPr>
          <w:rFonts w:hint="eastAsia" w:ascii="宋体" w:hAnsi="宋体" w:cs="宋体"/>
          <w:color w:val="auto"/>
        </w:rPr>
        <w:t xml:space="preserve">    6、供应商登录政采云平台，在开标时间后30分钟内用“项目采购-开标评标”功能进行解密投标文件。若供应商在规定时间内未按时解密的，视为无效投标，解密与加密投标文件须使用同一个 CA。   </w:t>
      </w:r>
    </w:p>
    <w:p w14:paraId="128B77C6">
      <w:pPr>
        <w:tabs>
          <w:tab w:val="left" w:pos="900"/>
        </w:tabs>
        <w:ind w:firstLine="420" w:firstLineChars="200"/>
        <w:rPr>
          <w:rFonts w:hint="eastAsia" w:ascii="宋体" w:hAnsi="宋体" w:cs="宋体"/>
          <w:color w:val="auto"/>
        </w:rPr>
      </w:pPr>
      <w:r>
        <w:rPr>
          <w:rFonts w:hint="eastAsia" w:ascii="宋体" w:hAnsi="宋体" w:cs="宋体"/>
          <w:color w:val="auto"/>
        </w:rPr>
        <w:t>7.有关本次公开招标的事项若存在变动或修改，敬请及时关注新疆政府采购网发布的澄清变更公告，网址为“http://www.ccgp-xinjiang.gov.cn”。</w:t>
      </w:r>
    </w:p>
    <w:p w14:paraId="18D43468">
      <w:pPr>
        <w:tabs>
          <w:tab w:val="left" w:pos="900"/>
        </w:tabs>
        <w:ind w:firstLine="420" w:firstLineChars="200"/>
        <w:rPr>
          <w:rFonts w:hint="eastAsia" w:ascii="宋体" w:hAnsi="宋体" w:cs="宋体"/>
          <w:color w:val="auto"/>
        </w:rPr>
      </w:pPr>
      <w:r>
        <w:rPr>
          <w:rFonts w:hint="eastAsia" w:ascii="宋体" w:hAnsi="宋体" w:cs="宋体"/>
          <w:color w:val="auto"/>
        </w:rPr>
        <w:t>8.本项目需要视频演示：</w:t>
      </w:r>
    </w:p>
    <w:p w14:paraId="6326B548">
      <w:pPr>
        <w:tabs>
          <w:tab w:val="left" w:pos="900"/>
        </w:tabs>
        <w:ind w:firstLine="420" w:firstLineChars="200"/>
        <w:rPr>
          <w:rFonts w:hint="eastAsia" w:ascii="宋体" w:hAnsi="宋体" w:cs="宋体"/>
          <w:color w:val="auto"/>
        </w:rPr>
      </w:pPr>
      <w:r>
        <w:rPr>
          <w:rFonts w:hint="eastAsia" w:ascii="宋体" w:hAnsi="宋体" w:cs="宋体"/>
          <w:color w:val="auto"/>
        </w:rPr>
        <w:t>（1）演示内容：详见招标文件。</w:t>
      </w:r>
    </w:p>
    <w:p w14:paraId="163C2562">
      <w:pPr>
        <w:tabs>
          <w:tab w:val="left" w:pos="900"/>
        </w:tabs>
        <w:ind w:firstLine="420" w:firstLineChars="200"/>
        <w:rPr>
          <w:rFonts w:hint="eastAsia" w:ascii="宋体" w:hAnsi="宋体" w:cs="宋体"/>
          <w:color w:val="auto"/>
        </w:rPr>
      </w:pPr>
      <w:r>
        <w:rPr>
          <w:rFonts w:hint="eastAsia" w:ascii="宋体" w:hAnsi="宋体" w:cs="宋体"/>
          <w:color w:val="auto"/>
        </w:rPr>
        <w:t>（2）演示要求</w:t>
      </w:r>
    </w:p>
    <w:p w14:paraId="756EE0F5">
      <w:pPr>
        <w:tabs>
          <w:tab w:val="left" w:pos="900"/>
        </w:tabs>
        <w:ind w:firstLine="420" w:firstLineChars="200"/>
        <w:rPr>
          <w:rFonts w:hint="eastAsia" w:ascii="宋体" w:hAnsi="宋体" w:cs="宋体"/>
          <w:color w:val="auto"/>
        </w:rPr>
      </w:pPr>
      <w:r>
        <w:rPr>
          <w:rFonts w:hint="eastAsia" w:ascii="宋体" w:hAnsi="宋体" w:cs="宋体"/>
          <w:color w:val="auto"/>
        </w:rPr>
        <w:t xml:space="preserve">●形式：采用录屏视频或网页实际操作（屏幕共享）的方式进行(具体以文件要求为准）。  </w:t>
      </w:r>
    </w:p>
    <w:p w14:paraId="7C5B3426">
      <w:pPr>
        <w:tabs>
          <w:tab w:val="left" w:pos="900"/>
        </w:tabs>
        <w:ind w:firstLine="420" w:firstLineChars="200"/>
        <w:rPr>
          <w:rFonts w:hint="eastAsia" w:ascii="宋体" w:hAnsi="宋体" w:cs="宋体"/>
          <w:color w:val="auto"/>
        </w:rPr>
      </w:pPr>
      <w:r>
        <w:rPr>
          <w:rFonts w:hint="eastAsia" w:ascii="宋体" w:hAnsi="宋体" w:cs="宋体"/>
          <w:color w:val="auto"/>
        </w:rPr>
        <w:t xml:space="preserve">●硬件要求：必须使用配备摄像头和麦克风的设备  </w:t>
      </w:r>
    </w:p>
    <w:p w14:paraId="4B807B03">
      <w:pPr>
        <w:tabs>
          <w:tab w:val="left" w:pos="900"/>
        </w:tabs>
        <w:ind w:firstLine="420" w:firstLineChars="200"/>
        <w:rPr>
          <w:rFonts w:hint="eastAsia" w:ascii="宋体" w:hAnsi="宋体" w:cs="宋体"/>
          <w:color w:val="auto"/>
        </w:rPr>
      </w:pPr>
      <w:r>
        <w:rPr>
          <w:rFonts w:hint="eastAsia" w:ascii="宋体" w:hAnsi="宋体" w:cs="宋体"/>
          <w:color w:val="auto"/>
        </w:rPr>
        <w:t>●浏览器要求：建议使用谷歌Chrome浏览器或360浏览器（极速模式 ）</w:t>
      </w:r>
    </w:p>
    <w:p w14:paraId="36BA8684">
      <w:pPr>
        <w:tabs>
          <w:tab w:val="left" w:pos="900"/>
        </w:tabs>
        <w:ind w:firstLine="420" w:firstLineChars="200"/>
        <w:rPr>
          <w:rFonts w:hint="eastAsia" w:ascii="宋体" w:hAnsi="宋体" w:cs="宋体"/>
          <w:color w:val="auto"/>
        </w:rPr>
      </w:pPr>
      <w:r>
        <w:rPr>
          <w:rFonts w:hint="eastAsia" w:ascii="宋体" w:hAnsi="宋体" w:cs="宋体"/>
          <w:color w:val="auto"/>
        </w:rPr>
        <w:t>●网络要求：建议带宽≥50M</w:t>
      </w:r>
    </w:p>
    <w:p w14:paraId="06EF63BC">
      <w:pPr>
        <w:tabs>
          <w:tab w:val="left" w:pos="900"/>
        </w:tabs>
        <w:ind w:firstLine="420" w:firstLineChars="200"/>
        <w:rPr>
          <w:rFonts w:hint="eastAsia" w:ascii="宋体" w:hAnsi="宋体" w:cs="宋体"/>
          <w:color w:val="auto"/>
        </w:rPr>
      </w:pPr>
      <w:r>
        <w:rPr>
          <w:rFonts w:hint="eastAsia" w:ascii="宋体" w:hAnsi="宋体" w:cs="宋体"/>
          <w:color w:val="auto"/>
        </w:rPr>
        <w:t>（3）远程视频评标准备与操作步骤</w:t>
      </w:r>
    </w:p>
    <w:p w14:paraId="42CF323A">
      <w:pPr>
        <w:tabs>
          <w:tab w:val="left" w:pos="900"/>
        </w:tabs>
        <w:ind w:firstLine="420" w:firstLineChars="200"/>
        <w:rPr>
          <w:rFonts w:hint="eastAsia" w:ascii="宋体" w:hAnsi="宋体" w:cs="宋体"/>
          <w:color w:val="auto"/>
        </w:rPr>
      </w:pPr>
      <w:r>
        <w:rPr>
          <w:rFonts w:hint="eastAsia" w:ascii="宋体" w:hAnsi="宋体" w:cs="宋体"/>
          <w:color w:val="auto"/>
        </w:rPr>
        <w:t xml:space="preserve">[步骤一]：环境检测（进入开标大厅后）  </w:t>
      </w:r>
    </w:p>
    <w:p w14:paraId="706AA612">
      <w:pPr>
        <w:tabs>
          <w:tab w:val="left" w:pos="900"/>
        </w:tabs>
        <w:ind w:firstLine="420" w:firstLineChars="200"/>
        <w:rPr>
          <w:rFonts w:hint="eastAsia" w:ascii="宋体" w:hAnsi="宋体" w:cs="宋体"/>
          <w:color w:val="auto"/>
        </w:rPr>
      </w:pPr>
      <w:r>
        <w:rPr>
          <w:rFonts w:hint="eastAsia" w:ascii="宋体" w:hAnsi="宋体" w:cs="宋体"/>
          <w:color w:val="auto"/>
        </w:rPr>
        <w:t xml:space="preserve">●方式A（自动）：系统自动检测，结果在“智能检测”面板的“视频会议环境检测”处查看  </w:t>
      </w:r>
    </w:p>
    <w:p w14:paraId="092A083A">
      <w:pPr>
        <w:tabs>
          <w:tab w:val="left" w:pos="900"/>
        </w:tabs>
        <w:ind w:firstLine="420" w:firstLineChars="200"/>
        <w:rPr>
          <w:rFonts w:hint="eastAsia" w:ascii="宋体" w:hAnsi="宋体" w:cs="宋体"/>
          <w:color w:val="auto"/>
        </w:rPr>
      </w:pPr>
      <w:r>
        <w:rPr>
          <w:rFonts w:hint="eastAsia" w:ascii="宋体" w:hAnsi="宋体" w:cs="宋体"/>
          <w:color w:val="auto"/>
        </w:rPr>
        <w:t>●方式B（手动）：鼠标悬停在“环境检测”上 → 点击“视频会议环境自测”右侧的“查看详情”</w:t>
      </w:r>
    </w:p>
    <w:p w14:paraId="3402E4B5">
      <w:pPr>
        <w:tabs>
          <w:tab w:val="left" w:pos="900"/>
        </w:tabs>
        <w:ind w:firstLine="420" w:firstLineChars="200"/>
        <w:rPr>
          <w:rFonts w:hint="eastAsia" w:ascii="宋体" w:hAnsi="宋体" w:cs="宋体"/>
          <w:color w:val="auto"/>
        </w:rPr>
      </w:pPr>
    </w:p>
    <w:p w14:paraId="7AE26CB7">
      <w:pPr>
        <w:tabs>
          <w:tab w:val="left" w:pos="900"/>
        </w:tabs>
        <w:ind w:firstLine="420" w:firstLineChars="200"/>
        <w:rPr>
          <w:rFonts w:hint="eastAsia" w:ascii="宋体" w:hAnsi="宋体" w:cs="宋体"/>
          <w:color w:val="auto"/>
        </w:rPr>
      </w:pPr>
      <w:r>
        <w:rPr>
          <w:rFonts w:hint="eastAsia" w:ascii="宋体" w:hAnsi="宋体" w:cs="宋体"/>
          <w:color w:val="auto"/>
        </w:rPr>
        <w:t xml:space="preserve">[步骤二]：查看检测结果  </w:t>
      </w:r>
    </w:p>
    <w:p w14:paraId="7246076A">
      <w:pPr>
        <w:tabs>
          <w:tab w:val="left" w:pos="900"/>
        </w:tabs>
        <w:ind w:firstLine="420" w:firstLineChars="200"/>
        <w:rPr>
          <w:rFonts w:hint="eastAsia" w:ascii="宋体" w:hAnsi="宋体" w:cs="宋体"/>
          <w:color w:val="auto"/>
        </w:rPr>
      </w:pPr>
      <w:r>
        <w:rPr>
          <w:rFonts w:hint="eastAsia" w:ascii="宋体" w:hAnsi="宋体" w:cs="宋体"/>
          <w:color w:val="auto"/>
        </w:rPr>
        <w:t xml:space="preserve">✅ 检测通过 → 无需操作  </w:t>
      </w:r>
    </w:p>
    <w:p w14:paraId="5AD17C72">
      <w:pPr>
        <w:tabs>
          <w:tab w:val="left" w:pos="900"/>
        </w:tabs>
        <w:ind w:firstLine="420" w:firstLineChars="200"/>
        <w:rPr>
          <w:rFonts w:hint="eastAsia" w:ascii="宋体" w:hAnsi="宋体" w:cs="宋体"/>
          <w:color w:val="auto"/>
        </w:rPr>
      </w:pPr>
      <w:r>
        <w:rPr>
          <w:rFonts w:hint="eastAsia" w:ascii="宋体" w:hAnsi="宋体" w:cs="宋体"/>
          <w:color w:val="auto"/>
        </w:rPr>
        <w:t xml:space="preserve">❌ 检测不通过 → 根据下方红色字体提示排查原因  </w:t>
      </w:r>
    </w:p>
    <w:p w14:paraId="7152155D">
      <w:pPr>
        <w:tabs>
          <w:tab w:val="left" w:pos="900"/>
        </w:tabs>
        <w:ind w:firstLine="420" w:firstLineChars="200"/>
        <w:rPr>
          <w:rFonts w:hint="eastAsia" w:ascii="宋体" w:hAnsi="宋体" w:cs="宋体"/>
          <w:color w:val="auto"/>
        </w:rPr>
      </w:pPr>
      <w:r>
        <w:rPr>
          <w:rFonts w:hint="eastAsia" w:ascii="宋体" w:hAnsi="宋体" w:cs="宋体"/>
          <w:color w:val="auto"/>
        </w:rPr>
        <w:t xml:space="preserve"> ● 常见问题及处理：  </w:t>
      </w:r>
    </w:p>
    <w:p w14:paraId="226AFE17">
      <w:pPr>
        <w:tabs>
          <w:tab w:val="left" w:pos="900"/>
        </w:tabs>
        <w:ind w:firstLine="420" w:firstLineChars="200"/>
        <w:rPr>
          <w:rFonts w:hint="eastAsia" w:ascii="宋体" w:hAnsi="宋体" w:cs="宋体"/>
          <w:color w:val="auto"/>
        </w:rPr>
      </w:pPr>
      <w:r>
        <w:rPr>
          <w:rFonts w:hint="eastAsia" w:ascii="宋体" w:hAnsi="宋体" w:cs="宋体"/>
          <w:color w:val="auto"/>
        </w:rPr>
        <w:t xml:space="preserve">    1.未开启音视频权限 → 进入开标大厅页面，左上角弹窗点击**允许**访问麦克风、摄像头  </w:t>
      </w:r>
    </w:p>
    <w:p w14:paraId="3D0694F5">
      <w:pPr>
        <w:tabs>
          <w:tab w:val="left" w:pos="900"/>
        </w:tabs>
        <w:ind w:firstLine="420" w:firstLineChars="200"/>
        <w:rPr>
          <w:rFonts w:hint="eastAsia" w:ascii="宋体" w:hAnsi="宋体" w:cs="宋体"/>
          <w:color w:val="auto"/>
        </w:rPr>
      </w:pPr>
      <w:r>
        <w:rPr>
          <w:rFonts w:hint="eastAsia" w:ascii="宋体" w:hAnsi="宋体" w:cs="宋体"/>
          <w:color w:val="auto"/>
        </w:rPr>
        <w:t xml:space="preserve">    2.其他问题 → 按红色提示修复网络/设备/浏览器设置</w:t>
      </w:r>
    </w:p>
    <w:p w14:paraId="0D43DBC5">
      <w:pPr>
        <w:tabs>
          <w:tab w:val="left" w:pos="900"/>
        </w:tabs>
        <w:ind w:firstLine="420" w:firstLineChars="200"/>
        <w:rPr>
          <w:rFonts w:hint="eastAsia" w:ascii="宋体" w:hAnsi="宋体" w:cs="宋体"/>
          <w:color w:val="auto"/>
        </w:rPr>
      </w:pPr>
    </w:p>
    <w:p w14:paraId="04D8C6D8">
      <w:pPr>
        <w:tabs>
          <w:tab w:val="left" w:pos="900"/>
        </w:tabs>
        <w:ind w:firstLine="420" w:firstLineChars="200"/>
        <w:rPr>
          <w:rFonts w:hint="eastAsia" w:ascii="宋体" w:hAnsi="宋体" w:cs="宋体"/>
          <w:color w:val="auto"/>
        </w:rPr>
      </w:pPr>
      <w:r>
        <w:rPr>
          <w:rFonts w:hint="eastAsia" w:ascii="宋体" w:hAnsi="宋体" w:cs="宋体"/>
          <w:color w:val="auto"/>
        </w:rPr>
        <w:t xml:space="preserve">[步骤三]：加入视频讲标  </w:t>
      </w:r>
    </w:p>
    <w:p w14:paraId="64FED2AC">
      <w:pPr>
        <w:tabs>
          <w:tab w:val="left" w:pos="900"/>
        </w:tabs>
        <w:ind w:firstLine="420" w:firstLineChars="200"/>
        <w:rPr>
          <w:rFonts w:hint="eastAsia" w:ascii="宋体" w:hAnsi="宋体" w:cs="宋体"/>
          <w:color w:val="auto"/>
        </w:rPr>
      </w:pPr>
      <w:r>
        <w:rPr>
          <w:rFonts w:hint="eastAsia" w:ascii="宋体" w:hAnsi="宋体" w:cs="宋体"/>
          <w:color w:val="auto"/>
        </w:rPr>
        <w:t xml:space="preserve">1. 点击弹窗中的“加入视频讲标” </w:t>
      </w:r>
    </w:p>
    <w:p w14:paraId="6B5653B1">
      <w:pPr>
        <w:tabs>
          <w:tab w:val="left" w:pos="900"/>
        </w:tabs>
        <w:ind w:firstLine="420" w:firstLineChars="200"/>
        <w:rPr>
          <w:rFonts w:hint="eastAsia" w:ascii="宋体" w:hAnsi="宋体" w:cs="宋体"/>
          <w:color w:val="auto"/>
        </w:rPr>
      </w:pPr>
      <w:r>
        <w:rPr>
          <w:rFonts w:hint="eastAsia" w:ascii="宋体" w:hAnsi="宋体" w:cs="宋体"/>
          <w:color w:val="auto"/>
        </w:rPr>
        <w:t xml:space="preserve">2. 阅读并同意《在线评标室现场纪律》  </w:t>
      </w:r>
    </w:p>
    <w:p w14:paraId="21E9DAE9">
      <w:pPr>
        <w:tabs>
          <w:tab w:val="left" w:pos="900"/>
        </w:tabs>
        <w:ind w:firstLine="420" w:firstLineChars="200"/>
        <w:rPr>
          <w:rFonts w:hint="eastAsia" w:ascii="宋体" w:hAnsi="宋体" w:cs="宋体"/>
          <w:color w:val="auto"/>
        </w:rPr>
      </w:pPr>
      <w:r>
        <w:rPr>
          <w:rFonts w:hint="eastAsia" w:ascii="宋体" w:hAnsi="宋体" w:cs="宋体"/>
          <w:color w:val="auto"/>
        </w:rPr>
        <w:t>3. 进入评审室后，确保已允许使用摄像头和麦克风（否则无法看到/听到）</w:t>
      </w:r>
    </w:p>
    <w:p w14:paraId="26DE821C">
      <w:pPr>
        <w:tabs>
          <w:tab w:val="left" w:pos="900"/>
        </w:tabs>
        <w:ind w:firstLine="420" w:firstLineChars="200"/>
        <w:rPr>
          <w:rFonts w:hint="eastAsia" w:ascii="宋体" w:hAnsi="宋体" w:cs="宋体"/>
          <w:color w:val="auto"/>
        </w:rPr>
      </w:pPr>
    </w:p>
    <w:p w14:paraId="755EA728">
      <w:pPr>
        <w:tabs>
          <w:tab w:val="left" w:pos="900"/>
        </w:tabs>
        <w:ind w:firstLine="420" w:firstLineChars="200"/>
        <w:rPr>
          <w:rFonts w:hint="eastAsia" w:ascii="宋体" w:hAnsi="宋体" w:cs="宋体"/>
          <w:color w:val="auto"/>
        </w:rPr>
      </w:pPr>
      <w:r>
        <w:rPr>
          <w:rFonts w:hint="eastAsia" w:ascii="宋体" w:hAnsi="宋体" w:cs="宋体"/>
          <w:color w:val="auto"/>
        </w:rPr>
        <w:t xml:space="preserve">[步骤四]：开始演示 </w:t>
      </w:r>
    </w:p>
    <w:p w14:paraId="088D925E">
      <w:pPr>
        <w:tabs>
          <w:tab w:val="left" w:pos="900"/>
        </w:tabs>
        <w:ind w:firstLine="420" w:firstLineChars="200"/>
        <w:rPr>
          <w:rFonts w:hint="eastAsia" w:ascii="宋体" w:hAnsi="宋体" w:cs="宋体"/>
          <w:color w:val="auto"/>
        </w:rPr>
      </w:pPr>
      <w:r>
        <w:rPr>
          <w:rFonts w:hint="eastAsia" w:ascii="宋体" w:hAnsi="宋体" w:cs="宋体"/>
          <w:color w:val="auto"/>
        </w:rPr>
        <w:t>1. 点击 “屏幕共享” → 在弹窗中选择 “整个屏幕” 标签页 → 点击 “分享”</w:t>
      </w:r>
    </w:p>
    <w:p w14:paraId="7D772F55">
      <w:pPr>
        <w:tabs>
          <w:tab w:val="left" w:pos="900"/>
        </w:tabs>
        <w:ind w:firstLine="420" w:firstLineChars="200"/>
        <w:rPr>
          <w:rFonts w:hint="eastAsia" w:ascii="宋体" w:hAnsi="宋体" w:cs="宋体"/>
          <w:color w:val="auto"/>
        </w:rPr>
      </w:pPr>
      <w:r>
        <w:rPr>
          <w:rFonts w:hint="eastAsia" w:ascii="宋体" w:hAnsi="宋体" w:cs="宋体"/>
          <w:color w:val="auto"/>
        </w:rPr>
        <w:t>2. 此时评审专家和代理机构可看到您的桌面操作画面</w:t>
      </w:r>
    </w:p>
    <w:p w14:paraId="2060BE98">
      <w:pPr>
        <w:tabs>
          <w:tab w:val="left" w:pos="900"/>
        </w:tabs>
        <w:ind w:firstLine="420" w:firstLineChars="200"/>
        <w:rPr>
          <w:rFonts w:hint="eastAsia" w:ascii="宋体" w:hAnsi="宋体" w:cs="宋体"/>
          <w:color w:val="auto"/>
        </w:rPr>
      </w:pPr>
      <w:r>
        <w:rPr>
          <w:rFonts w:hint="eastAsia" w:ascii="宋体" w:hAnsi="宋体" w:cs="宋体"/>
          <w:color w:val="auto"/>
        </w:rPr>
        <w:t>提示：请提前测试设备与网络，确保演示过程顺畅。</w:t>
      </w:r>
    </w:p>
    <w:p w14:paraId="66C8848D">
      <w:pPr>
        <w:tabs>
          <w:tab w:val="left" w:pos="900"/>
        </w:tabs>
        <w:ind w:firstLine="420" w:firstLineChars="200"/>
        <w:rPr>
          <w:rFonts w:hint="eastAsia" w:ascii="宋体" w:hAnsi="宋体" w:cs="宋体"/>
          <w:color w:val="auto"/>
        </w:rPr>
      </w:pPr>
      <w:r>
        <w:rPr>
          <w:rFonts w:hint="eastAsia" w:ascii="宋体" w:hAnsi="宋体" w:cs="宋体"/>
          <w:color w:val="auto"/>
        </w:rPr>
        <w:t>七、对本次招标提出询问，请按以下方式联系。</w:t>
      </w:r>
      <w:bookmarkEnd w:id="34"/>
      <w:bookmarkEnd w:id="35"/>
      <w:bookmarkEnd w:id="36"/>
      <w:bookmarkEnd w:id="37"/>
    </w:p>
    <w:p w14:paraId="5C32A1A6">
      <w:pPr>
        <w:tabs>
          <w:tab w:val="left" w:pos="900"/>
        </w:tabs>
        <w:ind w:firstLine="420" w:firstLineChars="200"/>
        <w:rPr>
          <w:rFonts w:hint="eastAsia" w:ascii="宋体" w:hAnsi="宋体" w:cs="宋体"/>
          <w:color w:val="auto"/>
        </w:rPr>
      </w:pPr>
      <w:r>
        <w:rPr>
          <w:rFonts w:hint="eastAsia" w:ascii="宋体" w:hAnsi="宋体" w:cs="宋体"/>
          <w:color w:val="auto"/>
        </w:rPr>
        <w:t>1.采购人信息</w:t>
      </w:r>
    </w:p>
    <w:p w14:paraId="76B2F5C8">
      <w:pPr>
        <w:tabs>
          <w:tab w:val="left" w:pos="900"/>
        </w:tabs>
        <w:ind w:firstLine="420" w:firstLineChars="200"/>
        <w:rPr>
          <w:rFonts w:hint="eastAsia" w:ascii="宋体" w:hAnsi="宋体" w:cs="宋体"/>
          <w:color w:val="auto"/>
        </w:rPr>
      </w:pPr>
      <w:r>
        <w:rPr>
          <w:rFonts w:hint="eastAsia" w:ascii="宋体" w:hAnsi="宋体" w:cs="宋体"/>
          <w:color w:val="auto"/>
        </w:rPr>
        <w:t>名 称：若羌县教育和科学技术局</w:t>
      </w:r>
    </w:p>
    <w:p w14:paraId="757AB169">
      <w:pPr>
        <w:tabs>
          <w:tab w:val="left" w:pos="900"/>
        </w:tabs>
        <w:ind w:firstLine="420" w:firstLineChars="200"/>
        <w:rPr>
          <w:rFonts w:hint="eastAsia" w:ascii="宋体" w:hAnsi="宋体" w:cs="宋体"/>
          <w:color w:val="auto"/>
        </w:rPr>
      </w:pPr>
      <w:r>
        <w:rPr>
          <w:rFonts w:hint="eastAsia" w:ascii="宋体" w:hAnsi="宋体" w:cs="宋体"/>
          <w:color w:val="auto"/>
        </w:rPr>
        <w:t>地 址： 若羌县</w:t>
      </w:r>
    </w:p>
    <w:p w14:paraId="1229BEE6">
      <w:pPr>
        <w:tabs>
          <w:tab w:val="left" w:pos="900"/>
        </w:tabs>
        <w:ind w:firstLine="420" w:firstLineChars="200"/>
        <w:rPr>
          <w:rFonts w:hint="default" w:ascii="宋体" w:hAnsi="宋体" w:eastAsia="宋体" w:cs="宋体"/>
          <w:color w:val="auto"/>
          <w:highlight w:val="none"/>
          <w:lang w:val="en-US" w:eastAsia="zh-CN"/>
        </w:rPr>
      </w:pPr>
      <w:r>
        <w:rPr>
          <w:rFonts w:hint="eastAsia" w:ascii="宋体" w:hAnsi="宋体" w:cs="宋体"/>
          <w:color w:val="auto"/>
          <w:highlight w:val="none"/>
        </w:rPr>
        <w:t>项目联系人</w:t>
      </w:r>
      <w:r>
        <w:rPr>
          <w:rFonts w:hint="eastAsia" w:ascii="宋体" w:hAnsi="宋体" w:cs="宋体"/>
          <w:color w:val="auto"/>
          <w:highlight w:val="none"/>
          <w:lang w:eastAsia="zh-CN"/>
        </w:rPr>
        <w:t>：</w:t>
      </w:r>
      <w:r>
        <w:rPr>
          <w:rFonts w:hint="eastAsia" w:ascii="宋体" w:hAnsi="宋体" w:cs="宋体"/>
          <w:color w:val="auto"/>
          <w:highlight w:val="none"/>
          <w:lang w:val="en-US" w:eastAsia="zh-CN"/>
        </w:rPr>
        <w:t>张书萌</w:t>
      </w:r>
    </w:p>
    <w:p w14:paraId="5D3BA13D">
      <w:pPr>
        <w:tabs>
          <w:tab w:val="left" w:pos="900"/>
        </w:tabs>
        <w:ind w:firstLine="420" w:firstLineChars="200"/>
        <w:rPr>
          <w:rFonts w:hint="default" w:ascii="宋体" w:hAnsi="宋体" w:eastAsia="宋体" w:cs="宋体"/>
          <w:color w:val="auto"/>
          <w:highlight w:val="none"/>
          <w:lang w:val="en-US" w:eastAsia="zh-CN"/>
        </w:rPr>
      </w:pPr>
      <w:r>
        <w:rPr>
          <w:rFonts w:hint="eastAsia" w:ascii="宋体" w:hAnsi="宋体" w:cs="宋体"/>
          <w:color w:val="auto"/>
          <w:highlight w:val="none"/>
        </w:rPr>
        <w:t>联系方式：</w:t>
      </w:r>
      <w:bookmarkStart w:id="38" w:name="_Toc28359086"/>
      <w:bookmarkStart w:id="39" w:name="_Toc28359009"/>
      <w:r>
        <w:rPr>
          <w:rFonts w:hint="eastAsia" w:ascii="宋体" w:hAnsi="宋体" w:cs="宋体"/>
          <w:color w:val="auto"/>
          <w:highlight w:val="none"/>
          <w:lang w:val="en-US" w:eastAsia="zh-CN"/>
        </w:rPr>
        <w:t>18699620566</w:t>
      </w:r>
    </w:p>
    <w:p w14:paraId="5E01DA02">
      <w:pPr>
        <w:tabs>
          <w:tab w:val="left" w:pos="900"/>
        </w:tabs>
        <w:ind w:firstLine="420" w:firstLineChars="200"/>
        <w:rPr>
          <w:rFonts w:hint="eastAsia" w:ascii="宋体" w:hAnsi="宋体" w:cs="宋体"/>
          <w:color w:val="auto"/>
        </w:rPr>
      </w:pPr>
      <w:r>
        <w:rPr>
          <w:rFonts w:hint="eastAsia" w:ascii="宋体" w:hAnsi="宋体" w:cs="宋体"/>
          <w:color w:val="auto"/>
        </w:rPr>
        <w:t>2.采购代理机构信息</w:t>
      </w:r>
      <w:bookmarkEnd w:id="38"/>
      <w:bookmarkEnd w:id="39"/>
    </w:p>
    <w:p w14:paraId="25DFE41B">
      <w:pPr>
        <w:tabs>
          <w:tab w:val="left" w:pos="900"/>
        </w:tabs>
        <w:ind w:firstLine="420" w:firstLineChars="200"/>
        <w:rPr>
          <w:rFonts w:hint="eastAsia" w:ascii="宋体" w:hAnsi="宋体" w:cs="宋体"/>
          <w:color w:val="auto"/>
        </w:rPr>
      </w:pPr>
      <w:r>
        <w:rPr>
          <w:rFonts w:hint="eastAsia" w:ascii="宋体" w:hAnsi="宋体" w:cs="宋体"/>
          <w:color w:val="auto"/>
        </w:rPr>
        <w:t>名 称：巴州政务服务和公共资源交易中心</w:t>
      </w:r>
    </w:p>
    <w:p w14:paraId="3AAA1DE3">
      <w:pPr>
        <w:tabs>
          <w:tab w:val="left" w:pos="900"/>
        </w:tabs>
        <w:ind w:firstLine="420" w:firstLineChars="200"/>
        <w:rPr>
          <w:rFonts w:hint="eastAsia" w:ascii="宋体" w:hAnsi="宋体" w:cs="宋体"/>
          <w:color w:val="auto"/>
        </w:rPr>
      </w:pPr>
      <w:r>
        <w:rPr>
          <w:rFonts w:hint="eastAsia" w:ascii="宋体" w:hAnsi="宋体" w:cs="宋体"/>
          <w:color w:val="auto"/>
        </w:rPr>
        <w:t>地　址：库尔勒市索克巴格路州住建大厦14楼　　　　　　　　　　　　</w:t>
      </w:r>
      <w:bookmarkStart w:id="40" w:name="_Toc28359087"/>
      <w:bookmarkStart w:id="41" w:name="_Toc28359010"/>
      <w:r>
        <w:rPr>
          <w:rFonts w:hint="eastAsia" w:ascii="宋体" w:hAnsi="宋体" w:cs="宋体"/>
          <w:color w:val="auto"/>
        </w:rPr>
        <w:t>　　　　　　　　</w:t>
      </w:r>
    </w:p>
    <w:p w14:paraId="3E4399B3">
      <w:pPr>
        <w:tabs>
          <w:tab w:val="left" w:pos="900"/>
        </w:tabs>
        <w:ind w:firstLine="420" w:firstLineChars="200"/>
        <w:rPr>
          <w:rFonts w:hint="eastAsia" w:ascii="宋体" w:hAnsi="宋体" w:cs="宋体"/>
          <w:color w:val="auto"/>
        </w:rPr>
      </w:pPr>
      <w:r>
        <w:rPr>
          <w:rFonts w:hint="eastAsia" w:ascii="宋体" w:hAnsi="宋体" w:cs="宋体"/>
          <w:color w:val="auto"/>
        </w:rPr>
        <w:t>3.项目联系方式</w:t>
      </w:r>
      <w:bookmarkEnd w:id="40"/>
      <w:bookmarkEnd w:id="41"/>
    </w:p>
    <w:p w14:paraId="12F1671D">
      <w:pPr>
        <w:tabs>
          <w:tab w:val="left" w:pos="900"/>
        </w:tabs>
        <w:ind w:firstLine="420" w:firstLineChars="200"/>
        <w:rPr>
          <w:rFonts w:hint="eastAsia" w:ascii="宋体" w:hAnsi="宋体" w:cs="宋体"/>
          <w:color w:val="auto"/>
        </w:rPr>
      </w:pPr>
      <w:r>
        <w:rPr>
          <w:rFonts w:hint="eastAsia" w:ascii="宋体" w:hAnsi="宋体" w:cs="宋体"/>
          <w:color w:val="auto"/>
        </w:rPr>
        <w:t>项目负责人：</w:t>
      </w:r>
      <w:r>
        <w:rPr>
          <w:rFonts w:hint="eastAsia" w:ascii="宋体" w:hAnsi="宋体" w:cs="宋体"/>
          <w:color w:val="auto"/>
          <w:lang w:val="en-US" w:eastAsia="zh-CN"/>
        </w:rPr>
        <w:t>傅容</w:t>
      </w:r>
      <w:r>
        <w:rPr>
          <w:rFonts w:hint="eastAsia" w:ascii="宋体" w:hAnsi="宋体" w:cs="宋体"/>
          <w:color w:val="auto"/>
        </w:rPr>
        <w:t xml:space="preserve">        联系电话：0996-</w:t>
      </w:r>
      <w:r>
        <w:rPr>
          <w:rFonts w:hint="eastAsia" w:ascii="宋体" w:hAnsi="宋体" w:cs="宋体"/>
          <w:color w:val="auto"/>
          <w:lang w:val="en-US" w:eastAsia="zh-CN"/>
        </w:rPr>
        <w:t>2035295</w:t>
      </w:r>
      <w:r>
        <w:rPr>
          <w:rFonts w:hint="eastAsia" w:ascii="宋体" w:hAnsi="宋体" w:cs="宋体"/>
          <w:color w:val="auto"/>
        </w:rPr>
        <w:t>　</w:t>
      </w:r>
    </w:p>
    <w:p w14:paraId="7A911308">
      <w:pPr>
        <w:tabs>
          <w:tab w:val="left" w:pos="900"/>
        </w:tabs>
        <w:ind w:firstLine="420" w:firstLineChars="200"/>
        <w:rPr>
          <w:rFonts w:hint="eastAsia" w:ascii="宋体" w:hAnsi="宋体" w:cs="宋体"/>
          <w:color w:val="auto"/>
        </w:rPr>
      </w:pPr>
      <w:r>
        <w:rPr>
          <w:rFonts w:hint="eastAsia" w:ascii="宋体" w:hAnsi="宋体" w:cs="宋体"/>
          <w:color w:val="auto"/>
        </w:rPr>
        <w:t>　</w:t>
      </w:r>
    </w:p>
    <w:p w14:paraId="045684A5">
      <w:pPr>
        <w:pStyle w:val="7"/>
        <w:rPr>
          <w:rFonts w:hint="eastAsia" w:ascii="方正小标宋_GBK" w:hAnsi="方正小标宋_GBK" w:eastAsia="方正小标宋_GBK" w:cs="方正小标宋_GBK"/>
          <w:color w:val="auto"/>
          <w:sz w:val="32"/>
          <w:szCs w:val="32"/>
        </w:rPr>
      </w:pPr>
    </w:p>
    <w:p w14:paraId="397DCC39">
      <w:pPr>
        <w:pStyle w:val="7"/>
        <w:rPr>
          <w:rFonts w:hint="eastAsia" w:ascii="方正小标宋_GBK" w:hAnsi="方正小标宋_GBK" w:eastAsia="方正小标宋_GBK" w:cs="方正小标宋_GBK"/>
          <w:color w:val="auto"/>
          <w:sz w:val="32"/>
          <w:szCs w:val="32"/>
        </w:rPr>
      </w:pPr>
      <w:r>
        <w:rPr>
          <w:rFonts w:hint="eastAsia" w:ascii="方正小标宋_GBK" w:hAnsi="方正小标宋_GBK" w:eastAsia="方正小标宋_GBK" w:cs="方正小标宋_GBK"/>
          <w:color w:val="auto"/>
          <w:sz w:val="32"/>
          <w:szCs w:val="32"/>
        </w:rPr>
        <w:t>第二章 对通用条款的补充内容及其他关键信息</w:t>
      </w:r>
    </w:p>
    <w:p w14:paraId="33CA4E0C">
      <w:pPr>
        <w:pStyle w:val="7"/>
        <w:spacing w:before="145" w:beforeLines="50" w:after="145" w:afterLines="50"/>
        <w:rPr>
          <w:rFonts w:hint="eastAsia" w:ascii="方正小标宋_GBK" w:hAnsi="方正小标宋_GBK" w:eastAsia="方正小标宋_GBK" w:cs="方正小标宋_GBK"/>
          <w:bCs w:val="0"/>
          <w:color w:val="auto"/>
          <w:sz w:val="32"/>
          <w:szCs w:val="32"/>
        </w:rPr>
      </w:pPr>
      <w:bookmarkStart w:id="42" w:name="_Toc73518117"/>
      <w:bookmarkStart w:id="43" w:name="_Toc73521547"/>
      <w:bookmarkStart w:id="44" w:name="_Toc60560625"/>
      <w:bookmarkStart w:id="45" w:name="_Toc60631620"/>
      <w:bookmarkStart w:id="46" w:name="_Toc100052364"/>
      <w:bookmarkStart w:id="47" w:name="_Toc73517639"/>
      <w:bookmarkStart w:id="48" w:name="_Toc73521635"/>
      <w:bookmarkStart w:id="49" w:name="_Toc101074876"/>
      <w:r>
        <w:rPr>
          <w:rFonts w:hint="eastAsia" w:ascii="方正小标宋_GBK" w:hAnsi="方正小标宋_GBK" w:eastAsia="方正小标宋_GBK" w:cs="方正小标宋_GBK"/>
          <w:bCs w:val="0"/>
          <w:color w:val="auto"/>
          <w:sz w:val="32"/>
          <w:szCs w:val="32"/>
        </w:rPr>
        <w:t>一、对通用条款的补充内容</w:t>
      </w:r>
    </w:p>
    <w:bookmarkEnd w:id="42"/>
    <w:bookmarkEnd w:id="43"/>
    <w:bookmarkEnd w:id="44"/>
    <w:bookmarkEnd w:id="45"/>
    <w:bookmarkEnd w:id="46"/>
    <w:bookmarkEnd w:id="47"/>
    <w:bookmarkEnd w:id="48"/>
    <w:bookmarkEnd w:id="49"/>
    <w:tbl>
      <w:tblPr>
        <w:tblStyle w:val="42"/>
        <w:tblW w:w="961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9"/>
        <w:gridCol w:w="2249"/>
        <w:gridCol w:w="6390"/>
      </w:tblGrid>
      <w:tr w14:paraId="4DBA9E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9" w:type="dxa"/>
            <w:vAlign w:val="center"/>
          </w:tcPr>
          <w:p w14:paraId="2C3366EF">
            <w:pPr>
              <w:jc w:val="center"/>
              <w:rPr>
                <w:rFonts w:hint="eastAsia" w:ascii="宋体" w:hAnsi="宋体"/>
                <w:b/>
                <w:bCs/>
                <w:color w:val="auto"/>
                <w:highlight w:val="none"/>
              </w:rPr>
            </w:pPr>
            <w:r>
              <w:rPr>
                <w:rFonts w:hint="eastAsia" w:ascii="宋体" w:hAnsi="宋体"/>
                <w:b/>
                <w:bCs/>
                <w:color w:val="auto"/>
                <w:highlight w:val="none"/>
              </w:rPr>
              <w:t>通用条款序号</w:t>
            </w:r>
          </w:p>
        </w:tc>
        <w:tc>
          <w:tcPr>
            <w:tcW w:w="2249" w:type="dxa"/>
            <w:vAlign w:val="center"/>
          </w:tcPr>
          <w:p w14:paraId="020388BB">
            <w:pPr>
              <w:jc w:val="center"/>
              <w:rPr>
                <w:rFonts w:hint="eastAsia" w:ascii="宋体" w:hAnsi="宋体"/>
                <w:b/>
                <w:bCs/>
                <w:color w:val="auto"/>
                <w:highlight w:val="none"/>
              </w:rPr>
            </w:pPr>
            <w:r>
              <w:rPr>
                <w:rFonts w:hint="eastAsia" w:ascii="宋体" w:hAnsi="宋体"/>
                <w:b/>
                <w:bCs/>
                <w:color w:val="auto"/>
                <w:highlight w:val="none"/>
              </w:rPr>
              <w:t>涉及事项</w:t>
            </w:r>
          </w:p>
        </w:tc>
        <w:tc>
          <w:tcPr>
            <w:tcW w:w="6390" w:type="dxa"/>
            <w:vAlign w:val="center"/>
          </w:tcPr>
          <w:p w14:paraId="401CEABA">
            <w:pPr>
              <w:jc w:val="center"/>
              <w:rPr>
                <w:rFonts w:hint="eastAsia" w:ascii="宋体" w:hAnsi="宋体"/>
                <w:b/>
                <w:bCs/>
                <w:color w:val="auto"/>
                <w:highlight w:val="none"/>
              </w:rPr>
            </w:pPr>
            <w:r>
              <w:rPr>
                <w:rFonts w:hint="eastAsia" w:ascii="宋体" w:hAnsi="宋体"/>
                <w:b/>
                <w:bCs/>
                <w:color w:val="auto"/>
                <w:highlight w:val="none"/>
              </w:rPr>
              <w:t xml:space="preserve">具 </w:t>
            </w:r>
            <w:r>
              <w:rPr>
                <w:rFonts w:ascii="宋体" w:hAnsi="宋体"/>
                <w:b/>
                <w:bCs/>
                <w:color w:val="auto"/>
                <w:highlight w:val="none"/>
              </w:rPr>
              <w:t xml:space="preserve"> </w:t>
            </w:r>
            <w:r>
              <w:rPr>
                <w:rFonts w:hint="eastAsia" w:ascii="宋体" w:hAnsi="宋体"/>
                <w:b/>
                <w:bCs/>
                <w:color w:val="auto"/>
                <w:highlight w:val="none"/>
              </w:rPr>
              <w:t xml:space="preserve">体 </w:t>
            </w:r>
            <w:r>
              <w:rPr>
                <w:rFonts w:ascii="宋体" w:hAnsi="宋体"/>
                <w:b/>
                <w:bCs/>
                <w:color w:val="auto"/>
                <w:highlight w:val="none"/>
              </w:rPr>
              <w:t xml:space="preserve"> </w:t>
            </w:r>
            <w:r>
              <w:rPr>
                <w:rFonts w:hint="eastAsia" w:ascii="宋体" w:hAnsi="宋体"/>
                <w:b/>
                <w:bCs/>
                <w:color w:val="auto"/>
                <w:highlight w:val="none"/>
              </w:rPr>
              <w:t xml:space="preserve">补 </w:t>
            </w:r>
            <w:r>
              <w:rPr>
                <w:rFonts w:ascii="宋体" w:hAnsi="宋体"/>
                <w:b/>
                <w:bCs/>
                <w:color w:val="auto"/>
                <w:highlight w:val="none"/>
              </w:rPr>
              <w:t xml:space="preserve"> </w:t>
            </w:r>
            <w:r>
              <w:rPr>
                <w:rFonts w:hint="eastAsia" w:ascii="宋体" w:hAnsi="宋体"/>
                <w:b/>
                <w:bCs/>
                <w:color w:val="auto"/>
                <w:highlight w:val="none"/>
              </w:rPr>
              <w:t xml:space="preserve">充 </w:t>
            </w:r>
            <w:r>
              <w:rPr>
                <w:rFonts w:ascii="宋体" w:hAnsi="宋体"/>
                <w:b/>
                <w:bCs/>
                <w:color w:val="auto"/>
                <w:highlight w:val="none"/>
              </w:rPr>
              <w:t xml:space="preserve"> </w:t>
            </w:r>
            <w:r>
              <w:rPr>
                <w:rFonts w:hint="eastAsia" w:ascii="宋体" w:hAnsi="宋体"/>
                <w:b/>
                <w:bCs/>
                <w:color w:val="auto"/>
                <w:highlight w:val="none"/>
              </w:rPr>
              <w:t xml:space="preserve">内 </w:t>
            </w:r>
            <w:r>
              <w:rPr>
                <w:rFonts w:ascii="宋体" w:hAnsi="宋体"/>
                <w:b/>
                <w:bCs/>
                <w:color w:val="auto"/>
                <w:highlight w:val="none"/>
              </w:rPr>
              <w:t xml:space="preserve"> </w:t>
            </w:r>
            <w:r>
              <w:rPr>
                <w:rFonts w:hint="eastAsia" w:ascii="宋体" w:hAnsi="宋体"/>
                <w:b/>
                <w:bCs/>
                <w:color w:val="auto"/>
                <w:highlight w:val="none"/>
              </w:rPr>
              <w:t>容</w:t>
            </w:r>
          </w:p>
        </w:tc>
      </w:tr>
      <w:tr w14:paraId="4B2008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82" w:hRule="atLeast"/>
          <w:jc w:val="center"/>
        </w:trPr>
        <w:tc>
          <w:tcPr>
            <w:tcW w:w="979" w:type="dxa"/>
            <w:vAlign w:val="center"/>
          </w:tcPr>
          <w:p w14:paraId="61607DF6">
            <w:pPr>
              <w:jc w:val="center"/>
              <w:rPr>
                <w:rFonts w:hint="eastAsia" w:ascii="宋体" w:hAnsi="宋体"/>
                <w:color w:val="auto"/>
                <w:highlight w:val="none"/>
              </w:rPr>
            </w:pPr>
            <w:r>
              <w:rPr>
                <w:rFonts w:hint="eastAsia" w:ascii="宋体" w:hAnsi="宋体"/>
                <w:color w:val="auto"/>
                <w:highlight w:val="none"/>
                <w:lang w:val="en-US" w:eastAsia="zh-CN"/>
              </w:rPr>
              <w:t>1</w:t>
            </w:r>
          </w:p>
        </w:tc>
        <w:tc>
          <w:tcPr>
            <w:tcW w:w="2249" w:type="dxa"/>
            <w:vAlign w:val="center"/>
          </w:tcPr>
          <w:p w14:paraId="7C6EBB00">
            <w:pPr>
              <w:jc w:val="center"/>
              <w:rPr>
                <w:color w:val="auto"/>
                <w:highlight w:val="none"/>
              </w:rPr>
            </w:pPr>
            <w:r>
              <w:rPr>
                <w:rFonts w:hint="eastAsia"/>
                <w:color w:val="auto"/>
                <w:highlight w:val="none"/>
              </w:rPr>
              <w:t>采购人</w:t>
            </w:r>
          </w:p>
        </w:tc>
        <w:tc>
          <w:tcPr>
            <w:tcW w:w="6390" w:type="dxa"/>
            <w:vAlign w:val="center"/>
          </w:tcPr>
          <w:p w14:paraId="2EFDDE36">
            <w:pPr>
              <w:jc w:val="center"/>
              <w:rPr>
                <w:rFonts w:hint="eastAsia" w:ascii="宋体" w:hAnsi="宋体"/>
                <w:color w:val="auto"/>
                <w:highlight w:val="none"/>
              </w:rPr>
            </w:pPr>
            <w:r>
              <w:rPr>
                <w:rFonts w:hint="eastAsia" w:ascii="宋体" w:hAnsi="宋体" w:cs="宋体"/>
                <w:color w:val="auto"/>
                <w:highlight w:val="none"/>
              </w:rPr>
              <w:t>若羌县教育和科学技术局</w:t>
            </w:r>
          </w:p>
        </w:tc>
      </w:tr>
      <w:tr w14:paraId="1629C3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47" w:hRule="atLeast"/>
          <w:jc w:val="center"/>
        </w:trPr>
        <w:tc>
          <w:tcPr>
            <w:tcW w:w="979" w:type="dxa"/>
            <w:vAlign w:val="center"/>
          </w:tcPr>
          <w:p w14:paraId="14BCF622">
            <w:pPr>
              <w:jc w:val="center"/>
              <w:rPr>
                <w:rFonts w:hint="eastAsia" w:ascii="宋体" w:hAnsi="宋体"/>
                <w:color w:val="auto"/>
                <w:highlight w:val="none"/>
              </w:rPr>
            </w:pPr>
            <w:r>
              <w:rPr>
                <w:rFonts w:hint="eastAsia" w:ascii="宋体" w:hAnsi="宋体"/>
                <w:color w:val="auto"/>
                <w:highlight w:val="none"/>
              </w:rPr>
              <w:t>2</w:t>
            </w:r>
          </w:p>
        </w:tc>
        <w:tc>
          <w:tcPr>
            <w:tcW w:w="2249" w:type="dxa"/>
            <w:vAlign w:val="center"/>
          </w:tcPr>
          <w:p w14:paraId="42609162">
            <w:pPr>
              <w:jc w:val="center"/>
              <w:rPr>
                <w:color w:val="auto"/>
                <w:highlight w:val="none"/>
              </w:rPr>
            </w:pPr>
            <w:r>
              <w:rPr>
                <w:rFonts w:hint="eastAsia"/>
                <w:color w:val="auto"/>
                <w:highlight w:val="none"/>
              </w:rPr>
              <w:t>政府集中采购机构</w:t>
            </w:r>
          </w:p>
        </w:tc>
        <w:tc>
          <w:tcPr>
            <w:tcW w:w="6390" w:type="dxa"/>
            <w:vAlign w:val="center"/>
          </w:tcPr>
          <w:p w14:paraId="17654880">
            <w:pPr>
              <w:jc w:val="center"/>
              <w:rPr>
                <w:rStyle w:val="141"/>
                <w:rFonts w:hint="eastAsia" w:ascii="宋体" w:hAnsi="宋体" w:cs="宋体"/>
                <w:color w:val="auto"/>
                <w:highlight w:val="none"/>
              </w:rPr>
            </w:pPr>
            <w:r>
              <w:rPr>
                <w:rStyle w:val="141"/>
                <w:rFonts w:hint="eastAsia" w:ascii="宋体" w:hAnsi="宋体" w:cs="宋体"/>
                <w:color w:val="auto"/>
                <w:highlight w:val="none"/>
              </w:rPr>
              <w:t>巴音郭楞蒙古自治州政务服务和公共资源交易中心</w:t>
            </w:r>
          </w:p>
        </w:tc>
      </w:tr>
      <w:tr w14:paraId="57B10C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287" w:hRule="atLeast"/>
          <w:jc w:val="center"/>
        </w:trPr>
        <w:tc>
          <w:tcPr>
            <w:tcW w:w="979" w:type="dxa"/>
            <w:vAlign w:val="center"/>
          </w:tcPr>
          <w:p w14:paraId="0B497011">
            <w:pPr>
              <w:jc w:val="center"/>
              <w:rPr>
                <w:rFonts w:hint="eastAsia" w:ascii="宋体" w:hAnsi="宋体"/>
                <w:color w:val="auto"/>
                <w:highlight w:val="none"/>
              </w:rPr>
            </w:pPr>
            <w:r>
              <w:rPr>
                <w:rFonts w:ascii="宋体" w:hAnsi="宋体"/>
                <w:color w:val="auto"/>
                <w:highlight w:val="none"/>
              </w:rPr>
              <w:t>3</w:t>
            </w:r>
          </w:p>
        </w:tc>
        <w:tc>
          <w:tcPr>
            <w:tcW w:w="2249" w:type="dxa"/>
            <w:vAlign w:val="center"/>
          </w:tcPr>
          <w:p w14:paraId="11082BB3">
            <w:pPr>
              <w:jc w:val="center"/>
              <w:rPr>
                <w:rFonts w:hint="eastAsia" w:ascii="宋体" w:hAnsi="宋体"/>
                <w:color w:val="auto"/>
                <w:highlight w:val="none"/>
              </w:rPr>
            </w:pPr>
            <w:r>
              <w:rPr>
                <w:rFonts w:hint="eastAsia" w:ascii="宋体" w:hAnsi="宋体"/>
                <w:color w:val="auto"/>
                <w:highlight w:val="none"/>
              </w:rPr>
              <w:t>联合体投标</w:t>
            </w:r>
          </w:p>
        </w:tc>
        <w:tc>
          <w:tcPr>
            <w:tcW w:w="6390" w:type="dxa"/>
            <w:vAlign w:val="center"/>
          </w:tcPr>
          <w:p w14:paraId="351963AB">
            <w:pPr>
              <w:jc w:val="left"/>
              <w:rPr>
                <w:rFonts w:hint="eastAsia" w:ascii="宋体" w:hAnsi="宋体"/>
                <w:color w:val="auto"/>
                <w:highlight w:val="none"/>
              </w:rPr>
            </w:pPr>
            <w:r>
              <w:rPr>
                <w:rFonts w:hint="eastAsia" w:ascii="宋体" w:hAnsi="宋体"/>
                <w:color w:val="auto"/>
                <w:highlight w:val="none"/>
              </w:rPr>
              <w:sym w:font="Wingdings" w:char="00FE"/>
            </w:r>
            <w:r>
              <w:rPr>
                <w:rFonts w:hint="eastAsia" w:ascii="宋体" w:hAnsi="宋体"/>
                <w:color w:val="auto"/>
                <w:highlight w:val="none"/>
              </w:rPr>
              <w:t>不接受</w:t>
            </w:r>
          </w:p>
          <w:p w14:paraId="04D45122">
            <w:pPr>
              <w:jc w:val="left"/>
              <w:rPr>
                <w:rFonts w:hint="eastAsia" w:ascii="宋体" w:hAnsi="宋体"/>
                <w:color w:val="auto"/>
                <w:highlight w:val="none"/>
              </w:rPr>
            </w:pPr>
            <w:r>
              <w:rPr>
                <w:rFonts w:hint="eastAsia" w:ascii="宋体" w:hAnsi="宋体"/>
                <w:color w:val="auto"/>
                <w:highlight w:val="none"/>
              </w:rPr>
              <w:sym w:font="Wingdings" w:char="00A8"/>
            </w:r>
            <w:r>
              <w:rPr>
                <w:rFonts w:hint="eastAsia" w:ascii="宋体" w:hAnsi="宋体"/>
                <w:color w:val="auto"/>
                <w:highlight w:val="none"/>
              </w:rPr>
              <w:t>接受，以联合体形式投标的，投标人还必须提供《联合体共同投标协议》（格式见附件，加盖联合体各方公章），并在协议中明确牵头人和各参与方各自承担的工作和义务。</w:t>
            </w:r>
          </w:p>
        </w:tc>
      </w:tr>
      <w:tr w14:paraId="7299B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855" w:hRule="atLeast"/>
          <w:jc w:val="center"/>
        </w:trPr>
        <w:tc>
          <w:tcPr>
            <w:tcW w:w="979" w:type="dxa"/>
            <w:vAlign w:val="center"/>
          </w:tcPr>
          <w:p w14:paraId="70FF03BE">
            <w:pPr>
              <w:jc w:val="center"/>
              <w:rPr>
                <w:rFonts w:hint="eastAsia" w:ascii="宋体" w:hAnsi="宋体"/>
                <w:color w:val="auto"/>
                <w:highlight w:val="none"/>
              </w:rPr>
            </w:pPr>
            <w:r>
              <w:rPr>
                <w:rFonts w:hint="eastAsia" w:ascii="宋体" w:hAnsi="宋体"/>
                <w:color w:val="auto"/>
                <w:highlight w:val="none"/>
                <w:lang w:val="en-US" w:eastAsia="zh-CN"/>
              </w:rPr>
              <w:t>4</w:t>
            </w:r>
          </w:p>
        </w:tc>
        <w:tc>
          <w:tcPr>
            <w:tcW w:w="2249" w:type="dxa"/>
            <w:vAlign w:val="center"/>
          </w:tcPr>
          <w:p w14:paraId="422FB20D">
            <w:pPr>
              <w:jc w:val="center"/>
              <w:rPr>
                <w:rFonts w:hint="eastAsia" w:ascii="宋体" w:hAnsi="宋体"/>
                <w:color w:val="auto"/>
                <w:highlight w:val="none"/>
              </w:rPr>
            </w:pPr>
            <w:r>
              <w:rPr>
                <w:rFonts w:hint="eastAsia" w:ascii="宋体" w:hAnsi="宋体"/>
                <w:color w:val="auto"/>
                <w:highlight w:val="none"/>
              </w:rPr>
              <w:t>项目分包</w:t>
            </w:r>
          </w:p>
        </w:tc>
        <w:tc>
          <w:tcPr>
            <w:tcW w:w="6390" w:type="dxa"/>
            <w:vAlign w:val="center"/>
          </w:tcPr>
          <w:p w14:paraId="73066FF0">
            <w:pPr>
              <w:jc w:val="left"/>
              <w:rPr>
                <w:rFonts w:hint="eastAsia" w:ascii="宋体" w:hAnsi="宋体"/>
                <w:color w:val="auto"/>
                <w:highlight w:val="none"/>
              </w:rPr>
            </w:pPr>
            <w:r>
              <w:rPr>
                <w:rFonts w:hint="eastAsia" w:ascii="宋体" w:hAnsi="宋体"/>
                <w:color w:val="auto"/>
                <w:highlight w:val="none"/>
              </w:rPr>
              <w:sym w:font="Wingdings" w:char="00FE"/>
            </w:r>
            <w:r>
              <w:rPr>
                <w:rFonts w:hint="eastAsia" w:ascii="宋体" w:hAnsi="宋体"/>
                <w:color w:val="auto"/>
                <w:highlight w:val="none"/>
              </w:rPr>
              <w:t>不允许</w:t>
            </w:r>
          </w:p>
          <w:p w14:paraId="6284E7FC">
            <w:pPr>
              <w:jc w:val="left"/>
              <w:rPr>
                <w:rFonts w:hint="eastAsia" w:ascii="宋体" w:hAnsi="宋体"/>
                <w:color w:val="auto"/>
                <w:highlight w:val="none"/>
              </w:rPr>
            </w:pPr>
            <w:r>
              <w:rPr>
                <w:rFonts w:hint="eastAsia" w:ascii="宋体" w:hAnsi="宋体"/>
                <w:color w:val="auto"/>
                <w:highlight w:val="none"/>
              </w:rPr>
              <w:sym w:font="Wingdings" w:char="00A8"/>
            </w:r>
            <w:r>
              <w:rPr>
                <w:rFonts w:hint="eastAsia" w:ascii="宋体" w:hAnsi="宋体"/>
                <w:color w:val="auto"/>
                <w:highlight w:val="none"/>
              </w:rPr>
              <w:t>允许</w:t>
            </w:r>
          </w:p>
        </w:tc>
      </w:tr>
      <w:tr w14:paraId="3AF394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280" w:hRule="atLeast"/>
          <w:jc w:val="center"/>
        </w:trPr>
        <w:tc>
          <w:tcPr>
            <w:tcW w:w="979" w:type="dxa"/>
            <w:vAlign w:val="center"/>
          </w:tcPr>
          <w:p w14:paraId="51CAD8AC">
            <w:pPr>
              <w:jc w:val="center"/>
              <w:rPr>
                <w:rFonts w:hint="eastAsia" w:ascii="宋体" w:hAnsi="宋体"/>
                <w:color w:val="auto"/>
                <w:highlight w:val="none"/>
              </w:rPr>
            </w:pPr>
            <w:r>
              <w:rPr>
                <w:rFonts w:hint="eastAsia" w:ascii="宋体" w:hAnsi="宋体"/>
                <w:color w:val="auto"/>
                <w:highlight w:val="none"/>
                <w:lang w:val="en-US" w:eastAsia="zh-CN"/>
              </w:rPr>
              <w:t>5</w:t>
            </w:r>
          </w:p>
        </w:tc>
        <w:tc>
          <w:tcPr>
            <w:tcW w:w="2249" w:type="dxa"/>
            <w:vAlign w:val="center"/>
          </w:tcPr>
          <w:p w14:paraId="784BE097">
            <w:pPr>
              <w:jc w:val="center"/>
              <w:rPr>
                <w:rFonts w:hint="eastAsia" w:ascii="宋体" w:hAnsi="宋体"/>
                <w:color w:val="auto"/>
                <w:highlight w:val="none"/>
              </w:rPr>
            </w:pPr>
            <w:r>
              <w:rPr>
                <w:rFonts w:hint="eastAsia" w:ascii="宋体" w:hAnsi="宋体"/>
                <w:color w:val="auto"/>
                <w:highlight w:val="none"/>
              </w:rPr>
              <w:t>踏勘现场</w:t>
            </w:r>
          </w:p>
        </w:tc>
        <w:tc>
          <w:tcPr>
            <w:tcW w:w="6390" w:type="dxa"/>
            <w:vAlign w:val="center"/>
          </w:tcPr>
          <w:p w14:paraId="100DEA13">
            <w:pPr>
              <w:spacing w:line="440" w:lineRule="exact"/>
              <w:jc w:val="left"/>
              <w:rPr>
                <w:color w:val="auto"/>
                <w:highlight w:val="none"/>
              </w:rPr>
            </w:pPr>
            <w:r>
              <w:rPr>
                <w:rFonts w:hint="eastAsia"/>
                <w:color w:val="auto"/>
                <w:highlight w:val="none"/>
              </w:rPr>
              <w:sym w:font="Wingdings" w:char="00A8"/>
            </w:r>
            <w:r>
              <w:rPr>
                <w:rFonts w:hint="eastAsia"/>
                <w:color w:val="auto"/>
                <w:highlight w:val="none"/>
              </w:rPr>
              <w:t>不组织</w:t>
            </w:r>
          </w:p>
          <w:p w14:paraId="011B5FB0">
            <w:pPr>
              <w:tabs>
                <w:tab w:val="left" w:pos="900"/>
              </w:tabs>
              <w:rPr>
                <w:rFonts w:hint="eastAsia" w:ascii="宋体" w:hAnsi="宋体" w:cs="宋体"/>
                <w:color w:val="auto"/>
                <w:highlight w:val="none"/>
              </w:rPr>
            </w:pPr>
            <w:r>
              <w:rPr>
                <w:rFonts w:hint="eastAsia" w:ascii="宋体" w:hAnsi="宋体" w:cs="宋体"/>
                <w:color w:val="auto"/>
                <w:highlight w:val="none"/>
              </w:rPr>
              <w:sym w:font="Wingdings" w:char="00FE"/>
            </w:r>
            <w:r>
              <w:rPr>
                <w:rFonts w:hint="eastAsia" w:ascii="宋体" w:hAnsi="宋体" w:cs="宋体"/>
                <w:color w:val="auto"/>
                <w:highlight w:val="none"/>
              </w:rPr>
              <w:t>组织，踏勘时间：各投标单位需在(2026年</w:t>
            </w:r>
            <w:r>
              <w:rPr>
                <w:rFonts w:hint="eastAsia" w:ascii="宋体" w:hAnsi="宋体" w:cs="宋体"/>
                <w:color w:val="auto"/>
                <w:highlight w:val="none"/>
                <w:lang w:val="en-US" w:eastAsia="zh-CN"/>
              </w:rPr>
              <w:t>5</w:t>
            </w:r>
            <w:r>
              <w:rPr>
                <w:rFonts w:hint="eastAsia" w:ascii="宋体" w:hAnsi="宋体" w:cs="宋体"/>
                <w:color w:val="auto"/>
                <w:highlight w:val="none"/>
              </w:rPr>
              <w:t>月</w:t>
            </w:r>
            <w:r>
              <w:rPr>
                <w:rFonts w:hint="eastAsia" w:ascii="宋体" w:hAnsi="宋体" w:cs="宋体"/>
                <w:color w:val="auto"/>
                <w:highlight w:val="none"/>
                <w:lang w:val="en-US" w:eastAsia="zh-CN"/>
              </w:rPr>
              <w:t>18</w:t>
            </w:r>
            <w:r>
              <w:rPr>
                <w:rFonts w:hint="eastAsia" w:ascii="宋体" w:hAnsi="宋体" w:cs="宋体"/>
                <w:color w:val="auto"/>
                <w:highlight w:val="none"/>
              </w:rPr>
              <w:t>至</w:t>
            </w:r>
            <w:r>
              <w:rPr>
                <w:rFonts w:hint="eastAsia" w:ascii="宋体" w:hAnsi="宋体" w:cs="宋体"/>
                <w:color w:val="auto"/>
                <w:highlight w:val="none"/>
                <w:lang w:val="en-US" w:eastAsia="zh-CN"/>
              </w:rPr>
              <w:t>5</w:t>
            </w:r>
            <w:r>
              <w:rPr>
                <w:rFonts w:hint="eastAsia" w:ascii="宋体" w:hAnsi="宋体" w:cs="宋体"/>
                <w:color w:val="auto"/>
                <w:highlight w:val="none"/>
              </w:rPr>
              <w:t>月</w:t>
            </w:r>
            <w:r>
              <w:rPr>
                <w:rFonts w:hint="eastAsia" w:ascii="宋体" w:hAnsi="宋体" w:cs="宋体"/>
                <w:color w:val="auto"/>
                <w:highlight w:val="none"/>
                <w:lang w:val="en-US" w:eastAsia="zh-CN"/>
              </w:rPr>
              <w:t>26</w:t>
            </w:r>
            <w:r>
              <w:rPr>
                <w:rFonts w:hint="eastAsia" w:ascii="宋体" w:hAnsi="宋体" w:cs="宋体"/>
                <w:color w:val="auto"/>
                <w:highlight w:val="none"/>
              </w:rPr>
              <w:t>日早上10：00至13：30下午16:00至19:30前）至采购方领取现场踏勘表并进行现场踏勘。踏勘地点：若羌县教育和科学技术局；联系人：张书萌，联系电话：18699620566</w:t>
            </w:r>
          </w:p>
          <w:p w14:paraId="1880C038">
            <w:pPr>
              <w:jc w:val="left"/>
              <w:rPr>
                <w:rFonts w:hint="eastAsia" w:ascii="宋体" w:hAnsi="宋体"/>
                <w:color w:val="auto"/>
                <w:highlight w:val="none"/>
              </w:rPr>
            </w:pPr>
            <w:r>
              <w:rPr>
                <w:rFonts w:hint="eastAsia" w:ascii="宋体" w:hAnsi="宋体"/>
                <w:color w:val="auto"/>
                <w:highlight w:val="none"/>
              </w:rPr>
              <w:t>踏勘要求：</w:t>
            </w:r>
          </w:p>
          <w:p w14:paraId="0249180D">
            <w:pPr>
              <w:pStyle w:val="2"/>
              <w:rPr>
                <w:color w:val="auto"/>
                <w:highlight w:val="none"/>
              </w:rPr>
            </w:pPr>
            <w:r>
              <w:rPr>
                <w:rFonts w:hint="eastAsia" w:ascii="宋体" w:hAnsi="宋体" w:eastAsia="宋体"/>
                <w:color w:val="auto"/>
                <w:highlight w:val="none"/>
              </w:rPr>
              <w:t xml:space="preserve">   </w:t>
            </w:r>
            <w:r>
              <w:rPr>
                <w:rFonts w:hint="eastAsia" w:ascii="宋体" w:hAnsi="宋体" w:eastAsia="宋体" w:cs="宋体"/>
                <w:color w:val="auto"/>
                <w:sz w:val="21"/>
                <w:szCs w:val="21"/>
                <w:highlight w:val="none"/>
              </w:rPr>
              <w:t xml:space="preserve"> 踏勘人员须携带加盖投标单位公章的授权委托书原件及本人身份证（须人证相符），由采购人核验身份，并填写《项目采购前期现场踏勘记录表》回执一份（ 详见后附表）。</w:t>
            </w:r>
          </w:p>
        </w:tc>
      </w:tr>
      <w:tr w14:paraId="6F24D4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45" w:hRule="atLeast"/>
          <w:jc w:val="center"/>
        </w:trPr>
        <w:tc>
          <w:tcPr>
            <w:tcW w:w="979" w:type="dxa"/>
            <w:vAlign w:val="center"/>
          </w:tcPr>
          <w:p w14:paraId="5B0C5516">
            <w:pPr>
              <w:jc w:val="center"/>
              <w:rPr>
                <w:rFonts w:hint="eastAsia" w:ascii="宋体" w:hAnsi="宋体"/>
                <w:color w:val="auto"/>
                <w:highlight w:val="none"/>
              </w:rPr>
            </w:pPr>
            <w:r>
              <w:rPr>
                <w:rFonts w:hint="eastAsia" w:ascii="宋体" w:hAnsi="宋体"/>
                <w:color w:val="auto"/>
                <w:highlight w:val="none"/>
                <w:lang w:val="en-US" w:eastAsia="zh-CN"/>
              </w:rPr>
              <w:t>6</w:t>
            </w:r>
          </w:p>
        </w:tc>
        <w:tc>
          <w:tcPr>
            <w:tcW w:w="2249" w:type="dxa"/>
            <w:vAlign w:val="center"/>
          </w:tcPr>
          <w:p w14:paraId="35FFE332">
            <w:pPr>
              <w:jc w:val="center"/>
              <w:rPr>
                <w:rFonts w:hint="eastAsia" w:ascii="宋体" w:hAnsi="宋体"/>
                <w:color w:val="auto"/>
                <w:highlight w:val="none"/>
              </w:rPr>
            </w:pPr>
            <w:r>
              <w:rPr>
                <w:rFonts w:hint="eastAsia" w:ascii="宋体" w:hAnsi="宋体"/>
                <w:color w:val="auto"/>
                <w:highlight w:val="none"/>
              </w:rPr>
              <w:t>标前会议</w:t>
            </w:r>
          </w:p>
        </w:tc>
        <w:tc>
          <w:tcPr>
            <w:tcW w:w="6390" w:type="dxa"/>
            <w:vAlign w:val="center"/>
          </w:tcPr>
          <w:p w14:paraId="2F3A4A1D">
            <w:pPr>
              <w:jc w:val="left"/>
              <w:rPr>
                <w:rFonts w:hint="eastAsia" w:ascii="宋体" w:hAnsi="宋体"/>
                <w:color w:val="auto"/>
                <w:highlight w:val="none"/>
              </w:rPr>
            </w:pPr>
            <w:r>
              <w:rPr>
                <w:rFonts w:hint="eastAsia" w:ascii="宋体" w:hAnsi="宋体"/>
                <w:color w:val="auto"/>
                <w:highlight w:val="none"/>
              </w:rPr>
              <w:sym w:font="Wingdings" w:char="00FE"/>
            </w:r>
            <w:r>
              <w:rPr>
                <w:rFonts w:hint="eastAsia" w:ascii="宋体" w:hAnsi="宋体"/>
                <w:color w:val="auto"/>
                <w:highlight w:val="none"/>
              </w:rPr>
              <w:t>不组织</w:t>
            </w:r>
          </w:p>
          <w:p w14:paraId="3D33FFCC">
            <w:pPr>
              <w:rPr>
                <w:rFonts w:hint="eastAsia" w:ascii="宋体" w:hAnsi="宋体"/>
                <w:color w:val="auto"/>
                <w:highlight w:val="none"/>
              </w:rPr>
            </w:pPr>
            <w:r>
              <w:rPr>
                <w:rFonts w:hint="eastAsia" w:ascii="宋体" w:hAnsi="宋体"/>
                <w:color w:val="auto"/>
                <w:highlight w:val="none"/>
              </w:rPr>
              <w:sym w:font="Wingdings" w:char="00A8"/>
            </w:r>
            <w:r>
              <w:rPr>
                <w:rFonts w:hint="eastAsia" w:ascii="宋体" w:hAnsi="宋体"/>
                <w:color w:val="auto"/>
                <w:highlight w:val="none"/>
              </w:rPr>
              <w:t>组织</w:t>
            </w:r>
          </w:p>
        </w:tc>
      </w:tr>
      <w:tr w14:paraId="279898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90" w:hRule="atLeast"/>
          <w:jc w:val="center"/>
        </w:trPr>
        <w:tc>
          <w:tcPr>
            <w:tcW w:w="979" w:type="dxa"/>
            <w:vAlign w:val="center"/>
          </w:tcPr>
          <w:p w14:paraId="3FBE748A">
            <w:pPr>
              <w:jc w:val="center"/>
              <w:rPr>
                <w:rFonts w:hint="eastAsia" w:ascii="宋体" w:hAnsi="宋体"/>
                <w:color w:val="auto"/>
                <w:highlight w:val="none"/>
              </w:rPr>
            </w:pPr>
            <w:r>
              <w:rPr>
                <w:rFonts w:hint="eastAsia" w:ascii="宋体" w:hAnsi="宋体"/>
                <w:color w:val="auto"/>
                <w:highlight w:val="none"/>
                <w:lang w:val="en-US" w:eastAsia="zh-CN"/>
              </w:rPr>
              <w:t>7</w:t>
            </w:r>
          </w:p>
        </w:tc>
        <w:tc>
          <w:tcPr>
            <w:tcW w:w="2249" w:type="dxa"/>
            <w:vAlign w:val="center"/>
          </w:tcPr>
          <w:p w14:paraId="5524837A">
            <w:pPr>
              <w:jc w:val="center"/>
              <w:rPr>
                <w:rFonts w:hint="eastAsia" w:ascii="宋体" w:hAnsi="宋体"/>
                <w:color w:val="auto"/>
                <w:highlight w:val="none"/>
              </w:rPr>
            </w:pPr>
            <w:r>
              <w:rPr>
                <w:rFonts w:hint="eastAsia" w:ascii="宋体" w:hAnsi="宋体"/>
                <w:color w:val="auto"/>
                <w:highlight w:val="none"/>
              </w:rPr>
              <w:t>招标文件的澄清和修改</w:t>
            </w:r>
          </w:p>
        </w:tc>
        <w:tc>
          <w:tcPr>
            <w:tcW w:w="6390" w:type="dxa"/>
            <w:vAlign w:val="center"/>
          </w:tcPr>
          <w:p w14:paraId="3DADE559">
            <w:pPr>
              <w:jc w:val="left"/>
              <w:rPr>
                <w:rFonts w:hint="eastAsia" w:ascii="宋体" w:hAnsi="宋体"/>
                <w:color w:val="auto"/>
                <w:highlight w:val="none"/>
              </w:rPr>
            </w:pPr>
            <w:r>
              <w:rPr>
                <w:rFonts w:hint="eastAsia" w:ascii="宋体" w:hAnsi="宋体"/>
                <w:color w:val="auto"/>
                <w:highlight w:val="none"/>
              </w:rPr>
              <w:t>不晚于投标截止日十五日前（详见招标公告），投标人有义务在招标期间在政府集中采购机构网站浏览与本项目有关的澄清和修改信息</w:t>
            </w:r>
          </w:p>
        </w:tc>
      </w:tr>
      <w:tr w14:paraId="5A5C58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07" w:hRule="atLeast"/>
          <w:jc w:val="center"/>
        </w:trPr>
        <w:tc>
          <w:tcPr>
            <w:tcW w:w="979" w:type="dxa"/>
            <w:vAlign w:val="center"/>
          </w:tcPr>
          <w:p w14:paraId="10540B18">
            <w:pPr>
              <w:jc w:val="center"/>
              <w:rPr>
                <w:rFonts w:hint="eastAsia" w:ascii="宋体" w:hAnsi="宋体"/>
                <w:color w:val="auto"/>
                <w:highlight w:val="none"/>
              </w:rPr>
            </w:pPr>
            <w:r>
              <w:rPr>
                <w:rFonts w:hint="eastAsia" w:ascii="宋体" w:hAnsi="宋体"/>
                <w:color w:val="auto"/>
                <w:highlight w:val="none"/>
                <w:lang w:val="en-US" w:eastAsia="zh-CN"/>
              </w:rPr>
              <w:t>8</w:t>
            </w:r>
          </w:p>
        </w:tc>
        <w:tc>
          <w:tcPr>
            <w:tcW w:w="2249" w:type="dxa"/>
            <w:vAlign w:val="center"/>
          </w:tcPr>
          <w:p w14:paraId="1DE3BF6A">
            <w:pPr>
              <w:jc w:val="center"/>
              <w:rPr>
                <w:rFonts w:hint="eastAsia" w:ascii="宋体" w:hAnsi="宋体"/>
                <w:color w:val="auto"/>
                <w:highlight w:val="none"/>
              </w:rPr>
            </w:pPr>
            <w:r>
              <w:rPr>
                <w:rFonts w:hint="eastAsia" w:ascii="宋体" w:hAnsi="宋体"/>
                <w:color w:val="auto"/>
                <w:highlight w:val="none"/>
              </w:rPr>
              <w:t>投标有效期</w:t>
            </w:r>
          </w:p>
        </w:tc>
        <w:tc>
          <w:tcPr>
            <w:tcW w:w="6390" w:type="dxa"/>
            <w:vAlign w:val="center"/>
          </w:tcPr>
          <w:p w14:paraId="20B3BF90">
            <w:pPr>
              <w:jc w:val="center"/>
              <w:rPr>
                <w:rFonts w:hint="eastAsia" w:ascii="宋体" w:hAnsi="宋体"/>
                <w:color w:val="auto"/>
                <w:highlight w:val="none"/>
              </w:rPr>
            </w:pPr>
            <w:r>
              <w:rPr>
                <w:rFonts w:hint="eastAsia" w:ascii="宋体" w:hAnsi="宋体"/>
                <w:color w:val="auto"/>
                <w:highlight w:val="none"/>
              </w:rPr>
              <w:t>120个日历日</w:t>
            </w:r>
          </w:p>
        </w:tc>
      </w:tr>
      <w:tr w14:paraId="53EB0A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07" w:hRule="atLeast"/>
          <w:jc w:val="center"/>
        </w:trPr>
        <w:tc>
          <w:tcPr>
            <w:tcW w:w="979" w:type="dxa"/>
            <w:vAlign w:val="center"/>
          </w:tcPr>
          <w:p w14:paraId="352363BF">
            <w:pPr>
              <w:jc w:val="center"/>
              <w:rPr>
                <w:rFonts w:hint="eastAsia" w:ascii="宋体" w:hAnsi="宋体"/>
                <w:color w:val="auto"/>
                <w:highlight w:val="none"/>
              </w:rPr>
            </w:pPr>
            <w:r>
              <w:rPr>
                <w:rFonts w:hint="eastAsia" w:ascii="宋体" w:hAnsi="宋体"/>
                <w:color w:val="auto"/>
                <w:highlight w:val="none"/>
                <w:lang w:val="en-US" w:eastAsia="zh-CN"/>
              </w:rPr>
              <w:t>9</w:t>
            </w:r>
          </w:p>
        </w:tc>
        <w:tc>
          <w:tcPr>
            <w:tcW w:w="2249" w:type="dxa"/>
            <w:vAlign w:val="center"/>
          </w:tcPr>
          <w:p w14:paraId="7DD4106E">
            <w:pPr>
              <w:jc w:val="center"/>
              <w:rPr>
                <w:rFonts w:hint="eastAsia" w:ascii="宋体" w:hAnsi="宋体"/>
                <w:color w:val="auto"/>
                <w:highlight w:val="none"/>
              </w:rPr>
            </w:pPr>
            <w:r>
              <w:rPr>
                <w:rFonts w:hint="eastAsia" w:ascii="宋体" w:hAnsi="宋体"/>
                <w:color w:val="auto"/>
                <w:highlight w:val="none"/>
              </w:rPr>
              <w:t>投标人的替代方案</w:t>
            </w:r>
          </w:p>
        </w:tc>
        <w:tc>
          <w:tcPr>
            <w:tcW w:w="6390" w:type="dxa"/>
            <w:vAlign w:val="center"/>
          </w:tcPr>
          <w:p w14:paraId="275899B0">
            <w:pPr>
              <w:jc w:val="center"/>
              <w:rPr>
                <w:rFonts w:hint="eastAsia" w:ascii="宋体" w:hAnsi="宋体"/>
                <w:color w:val="auto"/>
                <w:highlight w:val="none"/>
              </w:rPr>
            </w:pPr>
            <w:r>
              <w:rPr>
                <w:rFonts w:hint="eastAsia" w:ascii="宋体" w:hAnsi="宋体"/>
                <w:color w:val="auto"/>
                <w:highlight w:val="none"/>
              </w:rPr>
              <w:t>不接受</w:t>
            </w:r>
          </w:p>
        </w:tc>
      </w:tr>
      <w:tr w14:paraId="037B1F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92" w:hRule="atLeast"/>
          <w:jc w:val="center"/>
        </w:trPr>
        <w:tc>
          <w:tcPr>
            <w:tcW w:w="979" w:type="dxa"/>
            <w:vAlign w:val="center"/>
          </w:tcPr>
          <w:p w14:paraId="533CCE62">
            <w:pPr>
              <w:jc w:val="center"/>
              <w:rPr>
                <w:rFonts w:hint="eastAsia" w:ascii="宋体" w:hAnsi="宋体"/>
                <w:color w:val="auto"/>
                <w:highlight w:val="none"/>
              </w:rPr>
            </w:pPr>
            <w:r>
              <w:rPr>
                <w:rFonts w:hint="eastAsia" w:ascii="宋体" w:hAnsi="宋体"/>
                <w:color w:val="auto"/>
                <w:highlight w:val="none"/>
                <w:lang w:val="en-US" w:eastAsia="zh-CN"/>
              </w:rPr>
              <w:t>10</w:t>
            </w:r>
          </w:p>
        </w:tc>
        <w:tc>
          <w:tcPr>
            <w:tcW w:w="2249" w:type="dxa"/>
            <w:vAlign w:val="center"/>
          </w:tcPr>
          <w:p w14:paraId="53C1EEA8">
            <w:pPr>
              <w:jc w:val="center"/>
              <w:rPr>
                <w:rFonts w:hint="eastAsia" w:ascii="宋体" w:hAnsi="宋体"/>
                <w:color w:val="auto"/>
                <w:highlight w:val="none"/>
              </w:rPr>
            </w:pPr>
            <w:r>
              <w:rPr>
                <w:rFonts w:hint="eastAsia" w:ascii="宋体" w:hAnsi="宋体"/>
                <w:color w:val="auto"/>
                <w:highlight w:val="none"/>
              </w:rPr>
              <w:t>投标文件递交形式</w:t>
            </w:r>
          </w:p>
        </w:tc>
        <w:tc>
          <w:tcPr>
            <w:tcW w:w="6390" w:type="dxa"/>
            <w:vAlign w:val="center"/>
          </w:tcPr>
          <w:p w14:paraId="7B22CCEE">
            <w:pPr>
              <w:jc w:val="center"/>
              <w:rPr>
                <w:rFonts w:hint="eastAsia" w:ascii="宋体" w:hAnsi="宋体"/>
                <w:color w:val="auto"/>
                <w:highlight w:val="none"/>
              </w:rPr>
            </w:pPr>
            <w:r>
              <w:rPr>
                <w:rFonts w:hint="eastAsia" w:ascii="宋体" w:hAnsi="宋体"/>
                <w:color w:val="auto"/>
                <w:highlight w:val="none"/>
              </w:rPr>
              <w:t>电子投标文件</w:t>
            </w:r>
          </w:p>
        </w:tc>
      </w:tr>
      <w:tr w14:paraId="331B2A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470" w:hRule="atLeast"/>
          <w:jc w:val="center"/>
        </w:trPr>
        <w:tc>
          <w:tcPr>
            <w:tcW w:w="979" w:type="dxa"/>
            <w:vAlign w:val="center"/>
          </w:tcPr>
          <w:p w14:paraId="19B82555">
            <w:pPr>
              <w:jc w:val="center"/>
              <w:rPr>
                <w:rFonts w:hint="eastAsia" w:ascii="宋体" w:hAnsi="宋体"/>
                <w:color w:val="auto"/>
                <w:highlight w:val="none"/>
              </w:rPr>
            </w:pPr>
            <w:r>
              <w:rPr>
                <w:rFonts w:hint="eastAsia" w:ascii="宋体" w:hAnsi="宋体"/>
                <w:color w:val="auto"/>
                <w:highlight w:val="none"/>
                <w:lang w:val="en-US" w:eastAsia="zh-CN"/>
              </w:rPr>
              <w:t>11</w:t>
            </w:r>
          </w:p>
        </w:tc>
        <w:tc>
          <w:tcPr>
            <w:tcW w:w="2249" w:type="dxa"/>
            <w:vAlign w:val="center"/>
          </w:tcPr>
          <w:p w14:paraId="177E6070">
            <w:pPr>
              <w:jc w:val="center"/>
              <w:rPr>
                <w:rFonts w:hint="eastAsia" w:ascii="宋体" w:hAnsi="宋体"/>
                <w:color w:val="auto"/>
                <w:highlight w:val="none"/>
              </w:rPr>
            </w:pPr>
            <w:bookmarkStart w:id="50" w:name="_Hlk71664860"/>
            <w:r>
              <w:rPr>
                <w:rFonts w:hint="eastAsia" w:ascii="宋体" w:hAnsi="宋体"/>
                <w:color w:val="auto"/>
                <w:highlight w:val="none"/>
              </w:rPr>
              <w:t>样品、演示、方案讲解</w:t>
            </w:r>
            <w:bookmarkEnd w:id="50"/>
          </w:p>
        </w:tc>
        <w:tc>
          <w:tcPr>
            <w:tcW w:w="6390" w:type="dxa"/>
            <w:vAlign w:val="center"/>
          </w:tcPr>
          <w:p w14:paraId="3A6CF6F4">
            <w:pPr>
              <w:jc w:val="center"/>
              <w:rPr>
                <w:rFonts w:hint="eastAsia" w:ascii="宋体" w:hAnsi="宋体"/>
                <w:color w:val="auto"/>
                <w:highlight w:val="none"/>
              </w:rPr>
            </w:pPr>
            <w:r>
              <w:rPr>
                <w:rFonts w:hint="eastAsia" w:ascii="宋体" w:hAnsi="宋体"/>
                <w:color w:val="auto"/>
                <w:highlight w:val="none"/>
              </w:rPr>
              <w:t>提</w:t>
            </w:r>
            <w:r>
              <w:rPr>
                <w:rFonts w:ascii="宋体" w:hAnsi="宋体"/>
                <w:color w:val="auto"/>
                <w:highlight w:val="none"/>
              </w:rPr>
              <w:t>供</w:t>
            </w:r>
            <w:r>
              <w:rPr>
                <w:rFonts w:hint="eastAsia" w:ascii="宋体" w:hAnsi="宋体"/>
                <w:color w:val="auto"/>
                <w:highlight w:val="none"/>
              </w:rPr>
              <w:t>演示</w:t>
            </w:r>
            <w:r>
              <w:rPr>
                <w:rFonts w:ascii="宋体" w:hAnsi="宋体"/>
                <w:color w:val="auto"/>
                <w:highlight w:val="none"/>
              </w:rPr>
              <w:t>视频</w:t>
            </w:r>
          </w:p>
        </w:tc>
      </w:tr>
      <w:tr w14:paraId="1BA2EA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22" w:hRule="atLeast"/>
          <w:jc w:val="center"/>
        </w:trPr>
        <w:tc>
          <w:tcPr>
            <w:tcW w:w="979" w:type="dxa"/>
            <w:vAlign w:val="center"/>
          </w:tcPr>
          <w:p w14:paraId="5DA26F5C">
            <w:pPr>
              <w:jc w:val="center"/>
              <w:rPr>
                <w:rFonts w:hint="eastAsia" w:ascii="宋体" w:hAnsi="宋体"/>
                <w:color w:val="auto"/>
                <w:highlight w:val="none"/>
              </w:rPr>
            </w:pPr>
            <w:r>
              <w:rPr>
                <w:rFonts w:hint="eastAsia" w:ascii="宋体" w:hAnsi="宋体"/>
                <w:color w:val="auto"/>
                <w:highlight w:val="none"/>
                <w:lang w:val="en-US" w:eastAsia="zh-CN"/>
              </w:rPr>
              <w:t>12</w:t>
            </w:r>
          </w:p>
        </w:tc>
        <w:tc>
          <w:tcPr>
            <w:tcW w:w="2249" w:type="dxa"/>
            <w:vAlign w:val="center"/>
          </w:tcPr>
          <w:p w14:paraId="7C547D9D">
            <w:pPr>
              <w:jc w:val="center"/>
              <w:rPr>
                <w:rFonts w:hint="eastAsia" w:ascii="宋体" w:hAnsi="宋体"/>
                <w:color w:val="auto"/>
                <w:highlight w:val="none"/>
              </w:rPr>
            </w:pPr>
            <w:r>
              <w:rPr>
                <w:rFonts w:hint="eastAsia" w:ascii="宋体" w:hAnsi="宋体"/>
                <w:color w:val="auto"/>
                <w:highlight w:val="none"/>
              </w:rPr>
              <w:t>评审方法</w:t>
            </w:r>
          </w:p>
        </w:tc>
        <w:tc>
          <w:tcPr>
            <w:tcW w:w="6390" w:type="dxa"/>
            <w:vAlign w:val="center"/>
          </w:tcPr>
          <w:p w14:paraId="046A7E11">
            <w:pPr>
              <w:jc w:val="center"/>
              <w:rPr>
                <w:rFonts w:hint="eastAsia" w:ascii="宋体" w:hAnsi="宋体"/>
                <w:color w:val="auto"/>
                <w:highlight w:val="none"/>
              </w:rPr>
            </w:pPr>
            <w:r>
              <w:rPr>
                <w:rFonts w:hint="eastAsia" w:ascii="宋体" w:hAnsi="宋体"/>
                <w:color w:val="auto"/>
                <w:highlight w:val="none"/>
              </w:rPr>
              <w:t>综合评分法</w:t>
            </w:r>
          </w:p>
        </w:tc>
      </w:tr>
      <w:tr w14:paraId="052A0B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59" w:hRule="atLeast"/>
          <w:jc w:val="center"/>
        </w:trPr>
        <w:tc>
          <w:tcPr>
            <w:tcW w:w="979" w:type="dxa"/>
            <w:vAlign w:val="center"/>
          </w:tcPr>
          <w:p w14:paraId="5BA35CD4">
            <w:pPr>
              <w:jc w:val="center"/>
              <w:rPr>
                <w:rFonts w:hint="eastAsia" w:ascii="宋体" w:hAnsi="宋体"/>
                <w:color w:val="auto"/>
                <w:highlight w:val="none"/>
              </w:rPr>
            </w:pPr>
            <w:r>
              <w:rPr>
                <w:rFonts w:hint="eastAsia" w:ascii="宋体" w:hAnsi="宋体"/>
                <w:color w:val="auto"/>
                <w:highlight w:val="none"/>
                <w:lang w:val="en-US" w:eastAsia="zh-CN"/>
              </w:rPr>
              <w:t>13</w:t>
            </w:r>
          </w:p>
        </w:tc>
        <w:tc>
          <w:tcPr>
            <w:tcW w:w="2249" w:type="dxa"/>
            <w:vAlign w:val="center"/>
          </w:tcPr>
          <w:p w14:paraId="6EB3C7C0">
            <w:pPr>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资格审查</w:t>
            </w:r>
          </w:p>
        </w:tc>
        <w:tc>
          <w:tcPr>
            <w:tcW w:w="6390" w:type="dxa"/>
            <w:vAlign w:val="center"/>
          </w:tcPr>
          <w:p w14:paraId="11A5E983">
            <w:pPr>
              <w:jc w:val="left"/>
              <w:rPr>
                <w:rFonts w:hint="default" w:ascii="宋体" w:hAnsi="宋体" w:eastAsia="宋体"/>
                <w:color w:val="auto"/>
                <w:sz w:val="18"/>
                <w:szCs w:val="18"/>
                <w:highlight w:val="none"/>
                <w:lang w:val="en-US" w:eastAsia="zh-CN"/>
              </w:rPr>
            </w:pPr>
            <w:r>
              <w:rPr>
                <w:rFonts w:hint="eastAsia" w:ascii="宋体" w:hAnsi="宋体"/>
                <w:color w:val="auto"/>
                <w:highlight w:val="none"/>
              </w:rPr>
              <w:sym w:font="Wingdings" w:char="00FE"/>
            </w:r>
            <w:r>
              <w:rPr>
                <w:rFonts w:hint="eastAsia" w:ascii="宋体" w:hAnsi="宋体"/>
                <w:color w:val="auto"/>
                <w:highlight w:val="none"/>
                <w:lang w:val="en-US" w:eastAsia="zh-CN"/>
              </w:rPr>
              <w:t>资格审查小组</w:t>
            </w:r>
          </w:p>
          <w:p w14:paraId="3FC5E6EB">
            <w:pPr>
              <w:jc w:val="left"/>
              <w:rPr>
                <w:rFonts w:hint="default" w:ascii="宋体" w:hAnsi="宋体" w:eastAsia="宋体"/>
                <w:color w:val="auto"/>
                <w:highlight w:val="none"/>
                <w:lang w:val="en-US" w:eastAsia="zh-CN"/>
              </w:rPr>
            </w:pPr>
            <w:r>
              <w:rPr>
                <w:rFonts w:hint="eastAsia" w:ascii="宋体" w:hAnsi="宋体"/>
                <w:color w:val="auto"/>
                <w:highlight w:val="none"/>
              </w:rPr>
              <w:sym w:font="Wingdings" w:char="00A8"/>
            </w:r>
            <w:r>
              <w:rPr>
                <w:rFonts w:hint="eastAsia" w:ascii="宋体" w:hAnsi="宋体"/>
                <w:color w:val="auto"/>
                <w:highlight w:val="none"/>
                <w:lang w:val="en-US" w:eastAsia="zh-CN"/>
              </w:rPr>
              <w:t>评审专家委员会</w:t>
            </w:r>
          </w:p>
        </w:tc>
      </w:tr>
      <w:tr w14:paraId="6063CF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6975" w:hRule="atLeast"/>
          <w:jc w:val="center"/>
        </w:trPr>
        <w:tc>
          <w:tcPr>
            <w:tcW w:w="979" w:type="dxa"/>
            <w:vAlign w:val="center"/>
          </w:tcPr>
          <w:p w14:paraId="5334780B">
            <w:pPr>
              <w:jc w:val="center"/>
              <w:rPr>
                <w:rFonts w:hint="eastAsia" w:ascii="宋体" w:hAnsi="宋体"/>
                <w:color w:val="auto"/>
                <w:highlight w:val="none"/>
              </w:rPr>
            </w:pPr>
            <w:r>
              <w:rPr>
                <w:rFonts w:hint="eastAsia" w:ascii="宋体" w:hAnsi="宋体" w:eastAsia="宋体"/>
                <w:color w:val="auto"/>
                <w:highlight w:val="none"/>
                <w:lang w:val="en-US" w:eastAsia="zh-CN"/>
              </w:rPr>
              <w:t>14</w:t>
            </w:r>
          </w:p>
        </w:tc>
        <w:tc>
          <w:tcPr>
            <w:tcW w:w="2249" w:type="dxa"/>
            <w:vAlign w:val="center"/>
          </w:tcPr>
          <w:p w14:paraId="455E4F18">
            <w:pPr>
              <w:jc w:val="center"/>
              <w:rPr>
                <w:rFonts w:hint="eastAsia" w:ascii="宋体" w:hAnsi="宋体"/>
                <w:color w:val="auto"/>
                <w:highlight w:val="none"/>
              </w:rPr>
            </w:pPr>
            <w:r>
              <w:rPr>
                <w:rFonts w:hint="eastAsia" w:ascii="宋体" w:hAnsi="宋体"/>
                <w:color w:val="auto"/>
                <w:highlight w:val="none"/>
              </w:rPr>
              <w:t>投标保证金</w:t>
            </w:r>
          </w:p>
        </w:tc>
        <w:tc>
          <w:tcPr>
            <w:tcW w:w="6390" w:type="dxa"/>
            <w:vAlign w:val="center"/>
          </w:tcPr>
          <w:p w14:paraId="06329987">
            <w:pPr>
              <w:spacing w:line="440" w:lineRule="exact"/>
              <w:jc w:val="left"/>
              <w:rPr>
                <w:rFonts w:hint="eastAsia" w:ascii="宋体" w:hAnsi="宋体" w:cs="宋体"/>
                <w:color w:val="auto"/>
                <w:highlight w:val="none"/>
              </w:rPr>
            </w:pPr>
            <w:r>
              <w:rPr>
                <w:rFonts w:hint="eastAsia" w:ascii="宋体" w:hAnsi="宋体" w:cs="宋体"/>
                <w:color w:val="auto"/>
                <w:highlight w:val="none"/>
              </w:rPr>
              <w:sym w:font="Wingdings" w:char="00A8"/>
            </w:r>
            <w:r>
              <w:rPr>
                <w:rFonts w:hint="eastAsia" w:ascii="宋体" w:hAnsi="宋体" w:cs="宋体"/>
                <w:color w:val="auto"/>
                <w:highlight w:val="none"/>
              </w:rPr>
              <w:t>不需要缴纳</w:t>
            </w:r>
          </w:p>
          <w:p w14:paraId="573AFEE2">
            <w:pPr>
              <w:jc w:val="left"/>
              <w:rPr>
                <w:rFonts w:hint="eastAsia" w:ascii="宋体" w:hAnsi="宋体"/>
                <w:color w:val="auto"/>
                <w:highlight w:val="none"/>
              </w:rPr>
            </w:pPr>
            <w:r>
              <w:rPr>
                <w:rFonts w:hint="eastAsia" w:ascii="宋体" w:hAnsi="宋体"/>
                <w:color w:val="auto"/>
                <w:highlight w:val="none"/>
              </w:rPr>
              <w:sym w:font="Wingdings" w:char="00FE"/>
            </w:r>
            <w:r>
              <w:rPr>
                <w:rFonts w:hint="eastAsia" w:ascii="宋体" w:hAnsi="宋体"/>
                <w:color w:val="auto"/>
                <w:highlight w:val="none"/>
              </w:rPr>
              <w:t>需要缴纳，投标保证金金额：</w:t>
            </w:r>
          </w:p>
          <w:p w14:paraId="0C4F5077">
            <w:pPr>
              <w:jc w:val="left"/>
              <w:rPr>
                <w:rFonts w:hint="eastAsia" w:ascii="宋体" w:hAnsi="宋体"/>
                <w:b w:val="0"/>
                <w:bCs w:val="0"/>
                <w:color w:val="auto"/>
                <w:highlight w:val="none"/>
              </w:rPr>
            </w:pPr>
            <w:r>
              <w:rPr>
                <w:rFonts w:hint="eastAsia" w:ascii="宋体" w:hAnsi="宋体"/>
                <w:b w:val="0"/>
                <w:bCs w:val="0"/>
                <w:color w:val="auto"/>
                <w:highlight w:val="none"/>
              </w:rPr>
              <w:t xml:space="preserve">大写：肆万元整；小写：40000元 </w:t>
            </w:r>
          </w:p>
          <w:p w14:paraId="3309B06F">
            <w:pPr>
              <w:ind w:firstLine="420" w:firstLineChars="200"/>
              <w:jc w:val="left"/>
              <w:rPr>
                <w:rFonts w:hint="eastAsia" w:ascii="宋体" w:hAnsi="宋体"/>
                <w:b w:val="0"/>
                <w:bCs w:val="0"/>
                <w:color w:val="auto"/>
                <w:highlight w:val="none"/>
              </w:rPr>
            </w:pPr>
            <w:r>
              <w:rPr>
                <w:rFonts w:hint="eastAsia" w:ascii="宋体" w:hAnsi="宋体"/>
                <w:b w:val="0"/>
                <w:bCs w:val="0"/>
                <w:color w:val="auto"/>
                <w:highlight w:val="none"/>
              </w:rPr>
              <w:t>投标保证金缴纳形式：供应商自主选择以电汇、网银、支票、汇票、本票或者金融机构、担保机构出具的保函等非现金形式提交投标保证金。以保函形式（银行保函、担保保函）提交的，保函有效期开具不少于4个月。 以电子保函形式提交的，请登录政府采购云平台-金融服务中心-保险保函服务，进行在线保函申请、受理、费用支付。</w:t>
            </w:r>
          </w:p>
          <w:p w14:paraId="7EFFFCB9">
            <w:pPr>
              <w:ind w:firstLine="420" w:firstLineChars="200"/>
              <w:jc w:val="left"/>
              <w:rPr>
                <w:rFonts w:hint="eastAsia" w:ascii="宋体" w:hAnsi="宋体"/>
                <w:b w:val="0"/>
                <w:bCs w:val="0"/>
                <w:color w:val="auto"/>
                <w:highlight w:val="none"/>
              </w:rPr>
            </w:pPr>
            <w:r>
              <w:rPr>
                <w:rFonts w:hint="eastAsia" w:ascii="宋体" w:hAnsi="宋体"/>
                <w:b w:val="0"/>
                <w:bCs w:val="0"/>
                <w:color w:val="auto"/>
                <w:highlight w:val="none"/>
              </w:rPr>
              <w:t>供应商须在汇款凭证上的用途栏注明所投标的项目名称或项目编号，标准格式为：</w:t>
            </w:r>
            <w:r>
              <w:rPr>
                <w:rFonts w:hint="eastAsia" w:ascii="宋体" w:hAnsi="宋体"/>
                <w:b w:val="0"/>
                <w:bCs w:val="0"/>
                <w:color w:val="auto"/>
                <w:highlight w:val="none"/>
                <w:lang w:eastAsia="zh-CN"/>
              </w:rPr>
              <w:t>BZZZZX（GK）2026-011号</w:t>
            </w:r>
            <w:r>
              <w:rPr>
                <w:rFonts w:hint="eastAsia" w:ascii="宋体" w:hAnsi="宋体"/>
                <w:b w:val="0"/>
                <w:bCs w:val="0"/>
                <w:color w:val="auto"/>
                <w:highlight w:val="none"/>
              </w:rPr>
              <w:t>投标保证金。</w:t>
            </w:r>
          </w:p>
          <w:p w14:paraId="61E465DB">
            <w:pPr>
              <w:jc w:val="left"/>
              <w:rPr>
                <w:rFonts w:hint="eastAsia" w:ascii="宋体" w:hAnsi="宋体"/>
                <w:color w:val="auto"/>
                <w:highlight w:val="none"/>
              </w:rPr>
            </w:pPr>
            <w:r>
              <w:rPr>
                <w:rFonts w:hint="eastAsia" w:ascii="宋体" w:hAnsi="宋体"/>
                <w:b w:val="0"/>
                <w:bCs w:val="0"/>
                <w:color w:val="auto"/>
                <w:highlight w:val="none"/>
              </w:rPr>
              <w:t>账户名称：巴音郭楞蒙古自治州政务服务和公共资源交易中</w:t>
            </w:r>
            <w:r>
              <w:rPr>
                <w:rFonts w:hint="eastAsia" w:ascii="宋体" w:hAnsi="宋体"/>
                <w:color w:val="auto"/>
                <w:highlight w:val="none"/>
              </w:rPr>
              <w:t>心</w:t>
            </w:r>
          </w:p>
          <w:p w14:paraId="70580053">
            <w:pPr>
              <w:jc w:val="left"/>
              <w:rPr>
                <w:rFonts w:hint="eastAsia" w:ascii="宋体" w:hAnsi="宋体"/>
                <w:color w:val="auto"/>
                <w:highlight w:val="none"/>
              </w:rPr>
            </w:pPr>
            <w:r>
              <w:rPr>
                <w:rFonts w:hint="eastAsia" w:ascii="宋体" w:hAnsi="宋体"/>
                <w:color w:val="auto"/>
                <w:highlight w:val="none"/>
              </w:rPr>
              <w:t>开户银行：中国工商银行股份有限公司库尔勒香梨大道支行</w:t>
            </w:r>
          </w:p>
          <w:p w14:paraId="5D3321EA">
            <w:pPr>
              <w:jc w:val="left"/>
              <w:rPr>
                <w:rFonts w:hint="eastAsia" w:ascii="宋体" w:hAnsi="宋体"/>
                <w:color w:val="auto"/>
                <w:highlight w:val="none"/>
              </w:rPr>
            </w:pPr>
            <w:r>
              <w:rPr>
                <w:rFonts w:hint="eastAsia" w:ascii="宋体" w:hAnsi="宋体"/>
                <w:color w:val="auto"/>
                <w:highlight w:val="none"/>
              </w:rPr>
              <w:t>银行账号：3010029129200100817-000000004</w:t>
            </w:r>
          </w:p>
          <w:p w14:paraId="5089645B">
            <w:pPr>
              <w:jc w:val="left"/>
              <w:rPr>
                <w:rFonts w:hint="eastAsia" w:ascii="宋体" w:hAnsi="宋体"/>
                <w:b/>
                <w:bCs/>
                <w:color w:val="auto"/>
                <w:highlight w:val="none"/>
              </w:rPr>
            </w:pPr>
            <w:r>
              <w:rPr>
                <w:rFonts w:hint="eastAsia" w:ascii="宋体" w:hAnsi="宋体"/>
                <w:color w:val="auto"/>
                <w:highlight w:val="none"/>
              </w:rPr>
              <w:t>供应商应于2026年</w:t>
            </w:r>
            <w:r>
              <w:rPr>
                <w:rFonts w:hint="eastAsia" w:ascii="宋体" w:hAnsi="宋体"/>
                <w:color w:val="auto"/>
                <w:highlight w:val="none"/>
                <w:lang w:val="en-US" w:eastAsia="zh-CN"/>
              </w:rPr>
              <w:t>06</w:t>
            </w:r>
            <w:r>
              <w:rPr>
                <w:rFonts w:hint="eastAsia" w:ascii="宋体" w:hAnsi="宋体" w:cs="宋体"/>
                <w:color w:val="auto"/>
                <w:highlight w:val="none"/>
              </w:rPr>
              <w:t>月</w:t>
            </w:r>
            <w:r>
              <w:rPr>
                <w:rFonts w:hint="eastAsia" w:ascii="宋体" w:hAnsi="宋体" w:cs="宋体"/>
                <w:color w:val="auto"/>
                <w:highlight w:val="none"/>
                <w:lang w:val="en-US" w:eastAsia="zh-CN"/>
              </w:rPr>
              <w:t>04</w:t>
            </w:r>
            <w:r>
              <w:rPr>
                <w:rFonts w:hint="eastAsia" w:ascii="宋体" w:hAnsi="宋体" w:cs="宋体"/>
                <w:color w:val="auto"/>
                <w:highlight w:val="none"/>
              </w:rPr>
              <w:t xml:space="preserve">日 </w:t>
            </w:r>
            <w:r>
              <w:rPr>
                <w:rFonts w:hint="eastAsia" w:ascii="宋体" w:hAnsi="宋体"/>
                <w:color w:val="auto"/>
                <w:highlight w:val="none"/>
              </w:rPr>
              <w:t>上午10：30 时前（北京时间）将投标保证金缴纳至集采机构指定账户，非现金形式的电汇、网银支付等方式必须从供应商的基本账户汇出(个体工商户除外)。</w:t>
            </w:r>
          </w:p>
          <w:p w14:paraId="7D12651F">
            <w:pPr>
              <w:jc w:val="left"/>
              <w:rPr>
                <w:rFonts w:hint="eastAsia" w:ascii="宋体" w:hAnsi="宋体" w:eastAsia="宋体" w:cs="Times New Roman"/>
                <w:b/>
                <w:bCs/>
                <w:color w:val="auto"/>
                <w:highlight w:val="none"/>
                <w:lang w:val="en-US" w:eastAsia="zh-CN"/>
              </w:rPr>
            </w:pPr>
            <w:r>
              <w:rPr>
                <w:rFonts w:hint="eastAsia" w:ascii="宋体" w:hAnsi="宋体" w:eastAsia="宋体" w:cs="Times New Roman"/>
                <w:b/>
                <w:bCs/>
                <w:color w:val="auto"/>
                <w:highlight w:val="none"/>
                <w:lang w:val="en-US" w:eastAsia="zh-CN"/>
              </w:rPr>
              <w:t>备注：</w:t>
            </w:r>
          </w:p>
          <w:p w14:paraId="36EEE18D">
            <w:pPr>
              <w:ind w:firstLine="420" w:firstLineChars="200"/>
              <w:jc w:val="left"/>
              <w:rPr>
                <w:rFonts w:hint="eastAsia" w:ascii="宋体" w:hAnsi="宋体"/>
                <w:color w:val="auto"/>
              </w:rPr>
            </w:pPr>
            <w:r>
              <w:rPr>
                <w:rFonts w:hint="eastAsia" w:ascii="宋体" w:hAnsi="宋体"/>
                <w:color w:val="auto"/>
              </w:rPr>
              <w:t>1.投标保证金/电子保函未按规定时间缴纳或提交金额（担保金额）不足的，将被视为无效投标,其投标文件将不予接受（供应商应充分考虑资金在途时间）；</w:t>
            </w:r>
          </w:p>
          <w:p w14:paraId="021ABF0B">
            <w:pPr>
              <w:ind w:firstLine="420" w:firstLineChars="200"/>
              <w:jc w:val="left"/>
              <w:rPr>
                <w:rFonts w:hint="eastAsia" w:ascii="宋体" w:hAnsi="宋体"/>
                <w:b w:val="0"/>
                <w:bCs w:val="0"/>
                <w:color w:val="auto"/>
              </w:rPr>
            </w:pPr>
            <w:r>
              <w:rPr>
                <w:rFonts w:hint="eastAsia" w:ascii="宋体" w:hAnsi="宋体"/>
                <w:color w:val="auto"/>
              </w:rPr>
              <w:t>2.未中标供应商的投标保证金自中标通知书发出之日起5个工作日内原</w:t>
            </w:r>
            <w:r>
              <w:rPr>
                <w:rFonts w:hint="eastAsia" w:ascii="宋体" w:hAnsi="宋体"/>
                <w:b w:val="0"/>
                <w:bCs w:val="0"/>
                <w:color w:val="auto"/>
              </w:rPr>
              <w:t>路退还；</w:t>
            </w:r>
          </w:p>
          <w:p w14:paraId="64312126">
            <w:pPr>
              <w:ind w:firstLine="420" w:firstLineChars="200"/>
              <w:jc w:val="left"/>
              <w:rPr>
                <w:color w:val="auto"/>
                <w:highlight w:val="none"/>
              </w:rPr>
            </w:pPr>
            <w:r>
              <w:rPr>
                <w:rFonts w:hint="eastAsia" w:ascii="宋体" w:hAnsi="宋体"/>
                <w:b w:val="0"/>
                <w:bCs w:val="0"/>
                <w:color w:val="auto"/>
                <w:lang w:val="en-US" w:eastAsia="zh-CN"/>
              </w:rPr>
              <w:t>3.</w:t>
            </w:r>
            <w:r>
              <w:rPr>
                <w:rFonts w:hint="eastAsia" w:ascii="宋体" w:hAnsi="宋体"/>
                <w:b w:val="0"/>
                <w:bCs w:val="0"/>
                <w:color w:val="auto"/>
              </w:rPr>
              <w:t>中标供应商</w:t>
            </w:r>
            <w:r>
              <w:rPr>
                <w:rFonts w:hint="eastAsia" w:ascii="宋体" w:hAnsi="宋体"/>
                <w:b w:val="0"/>
                <w:bCs w:val="0"/>
                <w:color w:val="auto"/>
                <w:lang w:val="en-US" w:eastAsia="zh-CN"/>
              </w:rPr>
              <w:t>需在30日内</w:t>
            </w:r>
            <w:r>
              <w:rPr>
                <w:rFonts w:hint="eastAsia" w:ascii="宋体" w:hAnsi="宋体"/>
                <w:b w:val="0"/>
                <w:bCs w:val="0"/>
                <w:color w:val="auto"/>
              </w:rPr>
              <w:t>签订合同后，</w:t>
            </w:r>
            <w:r>
              <w:rPr>
                <w:rFonts w:hint="eastAsia" w:ascii="宋体" w:hAnsi="宋体"/>
                <w:b w:val="0"/>
                <w:bCs w:val="0"/>
                <w:color w:val="auto"/>
                <w:lang w:val="en-US" w:eastAsia="zh-CN"/>
              </w:rPr>
              <w:t>递交合同原件一份至</w:t>
            </w:r>
            <w:r>
              <w:rPr>
                <w:rFonts w:hint="eastAsia" w:ascii="宋体" w:hAnsi="宋体"/>
                <w:b w:val="0"/>
                <w:bCs w:val="0"/>
                <w:color w:val="auto"/>
              </w:rPr>
              <w:t>我中心</w:t>
            </w:r>
            <w:r>
              <w:rPr>
                <w:rFonts w:hint="eastAsia" w:ascii="宋体" w:hAnsi="宋体"/>
                <w:b w:val="0"/>
                <w:bCs w:val="0"/>
                <w:color w:val="auto"/>
                <w:lang w:eastAsia="zh-CN"/>
              </w:rPr>
              <w:t>，</w:t>
            </w:r>
            <w:r>
              <w:rPr>
                <w:rFonts w:hint="eastAsia" w:ascii="宋体" w:hAnsi="宋体"/>
                <w:b w:val="0"/>
                <w:bCs w:val="0"/>
                <w:color w:val="auto"/>
                <w:lang w:val="en-US" w:eastAsia="zh-CN"/>
              </w:rPr>
              <w:t>我中心</w:t>
            </w:r>
            <w:r>
              <w:rPr>
                <w:rFonts w:hint="eastAsia" w:ascii="宋体" w:hAnsi="宋体"/>
                <w:b w:val="0"/>
                <w:bCs w:val="0"/>
                <w:color w:val="auto"/>
              </w:rPr>
              <w:t>自收到材料之日起5个工作日内原路退还投标保证</w:t>
            </w:r>
            <w:r>
              <w:rPr>
                <w:rFonts w:hint="eastAsia" w:ascii="宋体" w:hAnsi="宋体"/>
                <w:color w:val="auto"/>
              </w:rPr>
              <w:t>金。</w:t>
            </w:r>
          </w:p>
        </w:tc>
      </w:tr>
      <w:tr w14:paraId="56E7A4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759" w:hRule="atLeast"/>
          <w:jc w:val="center"/>
        </w:trPr>
        <w:tc>
          <w:tcPr>
            <w:tcW w:w="979" w:type="dxa"/>
            <w:vAlign w:val="center"/>
          </w:tcPr>
          <w:p w14:paraId="27303A88">
            <w:pPr>
              <w:jc w:val="center"/>
              <w:rPr>
                <w:rFonts w:hint="eastAsia" w:ascii="宋体" w:hAnsi="宋体"/>
                <w:color w:val="auto"/>
                <w:highlight w:val="none"/>
              </w:rPr>
            </w:pPr>
            <w:r>
              <w:rPr>
                <w:rFonts w:hint="eastAsia" w:ascii="宋体" w:hAnsi="宋体"/>
                <w:color w:val="auto"/>
                <w:highlight w:val="none"/>
                <w:lang w:val="en-US" w:eastAsia="zh-CN"/>
              </w:rPr>
              <w:t>15</w:t>
            </w:r>
          </w:p>
        </w:tc>
        <w:tc>
          <w:tcPr>
            <w:tcW w:w="2249" w:type="dxa"/>
            <w:vAlign w:val="center"/>
          </w:tcPr>
          <w:p w14:paraId="15455E7E">
            <w:pPr>
              <w:jc w:val="center"/>
              <w:rPr>
                <w:rFonts w:hint="eastAsia" w:ascii="宋体" w:hAnsi="宋体"/>
                <w:color w:val="auto"/>
                <w:highlight w:val="none"/>
              </w:rPr>
            </w:pPr>
            <w:r>
              <w:rPr>
                <w:rFonts w:hint="eastAsia" w:ascii="宋体" w:hAnsi="宋体"/>
                <w:color w:val="auto"/>
                <w:highlight w:val="none"/>
              </w:rPr>
              <w:t>履约保证金</w:t>
            </w:r>
          </w:p>
        </w:tc>
        <w:tc>
          <w:tcPr>
            <w:tcW w:w="6390" w:type="dxa"/>
            <w:vAlign w:val="center"/>
          </w:tcPr>
          <w:p w14:paraId="49BAADA2">
            <w:pPr>
              <w:jc w:val="left"/>
              <w:rPr>
                <w:rFonts w:hint="eastAsia" w:ascii="宋体" w:hAnsi="宋体"/>
                <w:color w:val="auto"/>
                <w:highlight w:val="none"/>
              </w:rPr>
            </w:pPr>
            <w:r>
              <w:rPr>
                <w:rFonts w:hint="eastAsia" w:ascii="宋体" w:hAnsi="宋体"/>
                <w:color w:val="auto"/>
                <w:highlight w:val="none"/>
              </w:rPr>
              <w:sym w:font="Wingdings" w:char="00FE"/>
            </w:r>
            <w:r>
              <w:rPr>
                <w:rFonts w:hint="eastAsia" w:ascii="宋体" w:hAnsi="宋体"/>
                <w:color w:val="auto"/>
                <w:highlight w:val="none"/>
              </w:rPr>
              <w:t>不需要缴纳</w:t>
            </w:r>
          </w:p>
          <w:p w14:paraId="36614A50">
            <w:pPr>
              <w:jc w:val="left"/>
              <w:rPr>
                <w:rFonts w:hint="eastAsia" w:ascii="宋体" w:hAnsi="宋体"/>
                <w:color w:val="auto"/>
                <w:highlight w:val="none"/>
              </w:rPr>
            </w:pPr>
            <w:r>
              <w:rPr>
                <w:rFonts w:hint="eastAsia" w:ascii="宋体" w:hAnsi="宋体"/>
                <w:color w:val="auto"/>
                <w:highlight w:val="none"/>
              </w:rPr>
              <w:sym w:font="Wingdings" w:char="00A8"/>
            </w:r>
            <w:r>
              <w:rPr>
                <w:rFonts w:hint="eastAsia" w:ascii="宋体" w:hAnsi="宋体"/>
                <w:color w:val="auto"/>
                <w:highlight w:val="none"/>
              </w:rPr>
              <w:t>需要缴纳</w:t>
            </w:r>
          </w:p>
        </w:tc>
      </w:tr>
      <w:tr w14:paraId="7C95FC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895" w:hRule="atLeast"/>
          <w:jc w:val="center"/>
        </w:trPr>
        <w:tc>
          <w:tcPr>
            <w:tcW w:w="979" w:type="dxa"/>
            <w:vAlign w:val="center"/>
          </w:tcPr>
          <w:p w14:paraId="39DFE6D2">
            <w:pPr>
              <w:jc w:val="center"/>
              <w:rPr>
                <w:rFonts w:hint="default" w:ascii="宋体" w:hAnsi="宋体" w:eastAsia="宋体"/>
                <w:color w:val="auto"/>
                <w:highlight w:val="none"/>
                <w:lang w:val="en-US" w:eastAsia="zh-CN"/>
              </w:rPr>
            </w:pPr>
            <w:r>
              <w:rPr>
                <w:rFonts w:hint="eastAsia" w:ascii="宋体" w:hAnsi="宋体"/>
                <w:color w:val="auto"/>
                <w:highlight w:val="none"/>
                <w:lang w:val="en-US" w:eastAsia="zh-CN"/>
              </w:rPr>
              <w:t>16</w:t>
            </w:r>
          </w:p>
        </w:tc>
        <w:tc>
          <w:tcPr>
            <w:tcW w:w="2249" w:type="dxa"/>
            <w:vAlign w:val="center"/>
          </w:tcPr>
          <w:p w14:paraId="2763B6E7">
            <w:pPr>
              <w:jc w:val="center"/>
              <w:rPr>
                <w:rFonts w:hint="eastAsia" w:ascii="宋体" w:hAnsi="宋体"/>
                <w:color w:val="auto"/>
                <w:highlight w:val="none"/>
              </w:rPr>
            </w:pPr>
            <w:r>
              <w:rPr>
                <w:rFonts w:hint="eastAsia" w:ascii="宋体" w:hAnsi="宋体"/>
                <w:color w:val="auto"/>
                <w:highlight w:val="none"/>
              </w:rPr>
              <w:t>付款方式</w:t>
            </w:r>
          </w:p>
        </w:tc>
        <w:tc>
          <w:tcPr>
            <w:tcW w:w="6390" w:type="dxa"/>
            <w:vAlign w:val="center"/>
          </w:tcPr>
          <w:p w14:paraId="4A478D76">
            <w:pPr>
              <w:ind w:firstLine="420" w:firstLineChars="200"/>
              <w:rPr>
                <w:rFonts w:hint="eastAsia" w:ascii="宋体" w:hAnsi="宋体"/>
                <w:color w:val="auto"/>
                <w:highlight w:val="none"/>
              </w:rPr>
            </w:pPr>
            <w:r>
              <w:rPr>
                <w:rFonts w:hint="eastAsia" w:ascii="宋体" w:hAnsi="宋体"/>
                <w:color w:val="auto"/>
                <w:highlight w:val="none"/>
              </w:rPr>
              <w:t>分期付款：</w:t>
            </w:r>
          </w:p>
          <w:p w14:paraId="1FEB8AD7">
            <w:pPr>
              <w:ind w:firstLine="420" w:firstLineChars="200"/>
              <w:jc w:val="left"/>
              <w:rPr>
                <w:rFonts w:hint="eastAsia" w:ascii="宋体" w:hAnsi="宋体"/>
                <w:color w:val="auto"/>
                <w:highlight w:val="none"/>
              </w:rPr>
            </w:pPr>
            <w:r>
              <w:rPr>
                <w:rFonts w:hint="eastAsia" w:ascii="宋体" w:hAnsi="宋体"/>
                <w:color w:val="auto"/>
                <w:highlight w:val="none"/>
              </w:rPr>
              <w:t>1. 合同正式签订后，支付合同金额的30%；</w:t>
            </w:r>
          </w:p>
          <w:p w14:paraId="6A282C66">
            <w:pPr>
              <w:ind w:firstLine="420" w:firstLineChars="200"/>
              <w:jc w:val="left"/>
              <w:rPr>
                <w:rFonts w:hint="eastAsia" w:ascii="宋体" w:hAnsi="宋体"/>
                <w:color w:val="auto"/>
                <w:highlight w:val="none"/>
              </w:rPr>
            </w:pPr>
            <w:r>
              <w:rPr>
                <w:rFonts w:ascii="宋体" w:hAnsi="宋体"/>
                <w:color w:val="auto"/>
                <w:highlight w:val="none"/>
              </w:rPr>
              <w:t>2.</w:t>
            </w:r>
            <w:r>
              <w:rPr>
                <w:rFonts w:hint="eastAsia" w:ascii="宋体" w:hAnsi="宋体"/>
                <w:color w:val="auto"/>
                <w:highlight w:val="none"/>
              </w:rPr>
              <w:t>主要货物运输至项目现场并清点合格交付</w:t>
            </w:r>
            <w:r>
              <w:rPr>
                <w:rFonts w:ascii="宋体" w:hAnsi="宋体"/>
                <w:color w:val="auto"/>
                <w:highlight w:val="none"/>
              </w:rPr>
              <w:t>甲方</w:t>
            </w:r>
            <w:r>
              <w:rPr>
                <w:rFonts w:hint="eastAsia" w:ascii="宋体" w:hAnsi="宋体"/>
                <w:color w:val="auto"/>
                <w:highlight w:val="none"/>
              </w:rPr>
              <w:t>后，支付合同金额的40%；</w:t>
            </w:r>
          </w:p>
          <w:p w14:paraId="5A646F9B">
            <w:pPr>
              <w:ind w:firstLine="420" w:firstLineChars="200"/>
              <w:jc w:val="left"/>
              <w:rPr>
                <w:rFonts w:hint="eastAsia" w:hAnsi="宋体"/>
                <w:color w:val="auto"/>
                <w:highlight w:val="none"/>
              </w:rPr>
            </w:pPr>
            <w:r>
              <w:rPr>
                <w:rFonts w:ascii="宋体" w:hAnsi="宋体"/>
                <w:color w:val="auto"/>
                <w:highlight w:val="none"/>
              </w:rPr>
              <w:t>3.</w:t>
            </w:r>
            <w:r>
              <w:rPr>
                <w:rFonts w:hint="eastAsia" w:ascii="宋体" w:hAnsi="宋体"/>
                <w:color w:val="auto"/>
                <w:highlight w:val="none"/>
              </w:rPr>
              <w:t>项目整体验收合格并交付使用后</w:t>
            </w:r>
            <w:r>
              <w:rPr>
                <w:rFonts w:ascii="宋体" w:hAnsi="宋体"/>
                <w:color w:val="auto"/>
                <w:highlight w:val="none"/>
              </w:rPr>
              <w:t>，</w:t>
            </w:r>
            <w:r>
              <w:rPr>
                <w:rFonts w:hint="eastAsia" w:ascii="宋体" w:hAnsi="宋体"/>
                <w:color w:val="auto"/>
                <w:highlight w:val="none"/>
              </w:rPr>
              <w:t>支付余款（合同金额的30%）。</w:t>
            </w:r>
          </w:p>
        </w:tc>
      </w:tr>
    </w:tbl>
    <w:p w14:paraId="524FB457">
      <w:pPr>
        <w:jc w:val="left"/>
        <w:rPr>
          <w:color w:val="auto"/>
        </w:rPr>
      </w:pPr>
    </w:p>
    <w:p w14:paraId="7770DB05">
      <w:pPr>
        <w:jc w:val="left"/>
        <w:rPr>
          <w:b/>
          <w:color w:val="auto"/>
        </w:rPr>
      </w:pPr>
      <w:r>
        <w:rPr>
          <w:rFonts w:hint="eastAsia"/>
          <w:color w:val="auto"/>
        </w:rPr>
        <w:t>备注：本表是通用条款相关条款的补充和明确，如与通用条款内容相冲突的，以本表为准。</w:t>
      </w:r>
    </w:p>
    <w:p w14:paraId="2064C488">
      <w:pPr>
        <w:rPr>
          <w:b/>
          <w:color w:val="auto"/>
        </w:rPr>
      </w:pPr>
    </w:p>
    <w:p w14:paraId="2DCE7437">
      <w:pPr>
        <w:pStyle w:val="7"/>
        <w:rPr>
          <w:rFonts w:hint="eastAsia" w:ascii="方正小标宋_GBK" w:hAnsi="方正小标宋_GBK" w:eastAsia="方正小标宋_GBK" w:cs="方正小标宋_GBK"/>
          <w:bCs w:val="0"/>
          <w:color w:val="auto"/>
          <w:sz w:val="32"/>
          <w:szCs w:val="32"/>
        </w:rPr>
      </w:pPr>
      <w:r>
        <w:rPr>
          <w:rFonts w:hint="eastAsia" w:ascii="方正小标宋_GBK" w:hAnsi="方正小标宋_GBK" w:eastAsia="方正小标宋_GBK" w:cs="方正小标宋_GBK"/>
          <w:bCs w:val="0"/>
          <w:color w:val="auto"/>
          <w:sz w:val="32"/>
          <w:szCs w:val="32"/>
        </w:rPr>
        <w:t>二、其他关键信息</w:t>
      </w:r>
    </w:p>
    <w:p w14:paraId="68789E1A">
      <w:pPr>
        <w:ind w:firstLine="422" w:firstLineChars="200"/>
        <w:rPr>
          <w:b/>
          <w:bCs/>
          <w:color w:val="auto"/>
        </w:rPr>
      </w:pPr>
      <w:r>
        <w:rPr>
          <w:rFonts w:hint="eastAsia"/>
          <w:b/>
          <w:bCs/>
          <w:color w:val="auto"/>
        </w:rPr>
        <w:t>（一）与“对通用条款的补充内容”章节相关的事项</w:t>
      </w:r>
    </w:p>
    <w:p w14:paraId="20BCF3E4">
      <w:pPr>
        <w:ind w:firstLine="422" w:firstLineChars="200"/>
        <w:rPr>
          <w:b/>
          <w:bCs/>
          <w:color w:val="auto"/>
        </w:rPr>
      </w:pPr>
    </w:p>
    <w:tbl>
      <w:tblPr>
        <w:tblStyle w:val="42"/>
        <w:tblpPr w:leftFromText="180" w:rightFromText="180" w:vertAnchor="text" w:horzAnchor="page" w:tblpX="1270" w:tblpY="313"/>
        <w:tblOverlap w:val="never"/>
        <w:tblW w:w="48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5"/>
        <w:gridCol w:w="5946"/>
      </w:tblGrid>
      <w:tr w14:paraId="38C31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671" w:type="pct"/>
          </w:tcPr>
          <w:p w14:paraId="35023AC6">
            <w:pPr>
              <w:rPr>
                <w:color w:val="auto"/>
                <w:highlight w:val="none"/>
              </w:rPr>
            </w:pPr>
            <w:bookmarkStart w:id="51" w:name="_Hlk72579465"/>
          </w:p>
          <w:p w14:paraId="3C4DB02C">
            <w:pPr>
              <w:ind w:firstLine="630" w:firstLineChars="300"/>
              <w:rPr>
                <w:color w:val="auto"/>
                <w:highlight w:val="none"/>
              </w:rPr>
            </w:pPr>
            <w:r>
              <w:rPr>
                <w:rFonts w:hint="eastAsia"/>
                <w:color w:val="auto"/>
                <w:highlight w:val="none"/>
              </w:rPr>
              <w:t>评审专家组建及抽取</w:t>
            </w:r>
          </w:p>
        </w:tc>
        <w:tc>
          <w:tcPr>
            <w:tcW w:w="3328" w:type="pct"/>
          </w:tcPr>
          <w:p w14:paraId="321EF530">
            <w:pPr>
              <w:pStyle w:val="16"/>
              <w:ind w:firstLine="420" w:firstLineChars="200"/>
              <w:jc w:val="both"/>
              <w:rPr>
                <w:color w:val="auto"/>
                <w:szCs w:val="24"/>
                <w:highlight w:val="none"/>
              </w:rPr>
            </w:pPr>
            <w:r>
              <w:rPr>
                <w:rFonts w:hint="eastAsia" w:ascii="宋体" w:hAnsi="宋体" w:cs="宋体"/>
                <w:color w:val="auto"/>
                <w:highlight w:val="none"/>
              </w:rPr>
              <w:t xml:space="preserve">专家抽取共5人，其中采购人代表1人，政采云评标专家库中随机抽取4人 </w:t>
            </w:r>
          </w:p>
        </w:tc>
      </w:tr>
      <w:tr w14:paraId="222E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71" w:type="pct"/>
          </w:tcPr>
          <w:p w14:paraId="66013226">
            <w:pPr>
              <w:jc w:val="center"/>
              <w:rPr>
                <w:color w:val="auto"/>
              </w:rPr>
            </w:pPr>
            <w:r>
              <w:rPr>
                <w:rFonts w:hint="eastAsia"/>
                <w:color w:val="auto"/>
              </w:rPr>
              <w:t>评标方法</w:t>
            </w:r>
          </w:p>
        </w:tc>
        <w:tc>
          <w:tcPr>
            <w:tcW w:w="3328" w:type="pct"/>
          </w:tcPr>
          <w:p w14:paraId="40704778">
            <w:pPr>
              <w:pStyle w:val="16"/>
              <w:jc w:val="center"/>
              <w:rPr>
                <w:color w:val="auto"/>
                <w:szCs w:val="24"/>
              </w:rPr>
            </w:pPr>
            <w:r>
              <w:rPr>
                <w:rFonts w:hint="eastAsia"/>
                <w:color w:val="auto"/>
                <w:szCs w:val="24"/>
              </w:rPr>
              <w:t>综合评分法</w:t>
            </w:r>
          </w:p>
        </w:tc>
      </w:tr>
      <w:tr w14:paraId="4F449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671" w:type="pct"/>
          </w:tcPr>
          <w:p w14:paraId="516CEDE0">
            <w:pPr>
              <w:jc w:val="center"/>
              <w:rPr>
                <w:color w:val="auto"/>
              </w:rPr>
            </w:pPr>
          </w:p>
          <w:p w14:paraId="0005492D">
            <w:pPr>
              <w:jc w:val="center"/>
              <w:rPr>
                <w:color w:val="auto"/>
              </w:rPr>
            </w:pPr>
            <w:r>
              <w:rPr>
                <w:rFonts w:hint="eastAsia"/>
                <w:color w:val="auto"/>
              </w:rPr>
              <w:t>定标方法</w:t>
            </w:r>
          </w:p>
        </w:tc>
        <w:tc>
          <w:tcPr>
            <w:tcW w:w="3328" w:type="pct"/>
          </w:tcPr>
          <w:p w14:paraId="6D28F440">
            <w:pPr>
              <w:ind w:firstLine="420" w:firstLineChars="200"/>
              <w:rPr>
                <w:color w:val="auto"/>
              </w:rPr>
            </w:pPr>
            <w:r>
              <w:rPr>
                <w:rFonts w:hint="eastAsia"/>
                <w:color w:val="auto"/>
              </w:rPr>
              <w:t>在最大限度地满足招标文件实质性要求的前提下，按照招标文件中规定的各项因素进行综合评审，评标总得分排名前列的投标人，作为推荐的候选中标供应商。</w:t>
            </w:r>
          </w:p>
        </w:tc>
      </w:tr>
      <w:tr w14:paraId="1F43C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671" w:type="pct"/>
          </w:tcPr>
          <w:p w14:paraId="422466C2">
            <w:pPr>
              <w:jc w:val="center"/>
              <w:rPr>
                <w:color w:val="auto"/>
              </w:rPr>
            </w:pPr>
            <w:r>
              <w:rPr>
                <w:rFonts w:hint="eastAsia"/>
                <w:color w:val="auto"/>
              </w:rPr>
              <w:t>候选中标供应商家数</w:t>
            </w:r>
          </w:p>
        </w:tc>
        <w:tc>
          <w:tcPr>
            <w:tcW w:w="3328" w:type="pct"/>
          </w:tcPr>
          <w:p w14:paraId="09D7D5AF">
            <w:pPr>
              <w:jc w:val="center"/>
              <w:rPr>
                <w:color w:val="auto"/>
              </w:rPr>
            </w:pPr>
            <w:r>
              <w:rPr>
                <w:rFonts w:hint="eastAsia"/>
                <w:color w:val="auto"/>
              </w:rPr>
              <w:t>3</w:t>
            </w:r>
          </w:p>
        </w:tc>
      </w:tr>
      <w:tr w14:paraId="11A72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71" w:type="pct"/>
          </w:tcPr>
          <w:p w14:paraId="3A1ED734">
            <w:pPr>
              <w:jc w:val="center"/>
              <w:rPr>
                <w:color w:val="auto"/>
              </w:rPr>
            </w:pPr>
            <w:r>
              <w:rPr>
                <w:rFonts w:hint="eastAsia"/>
                <w:color w:val="auto"/>
              </w:rPr>
              <w:t>中标供应商家数</w:t>
            </w:r>
          </w:p>
        </w:tc>
        <w:tc>
          <w:tcPr>
            <w:tcW w:w="3328" w:type="pct"/>
          </w:tcPr>
          <w:p w14:paraId="51A96367">
            <w:pPr>
              <w:jc w:val="center"/>
              <w:rPr>
                <w:color w:val="auto"/>
              </w:rPr>
            </w:pPr>
            <w:r>
              <w:rPr>
                <w:rFonts w:hint="eastAsia"/>
                <w:color w:val="auto"/>
              </w:rPr>
              <w:t>1</w:t>
            </w:r>
          </w:p>
        </w:tc>
      </w:tr>
    </w:tbl>
    <w:p w14:paraId="588567CE">
      <w:pPr>
        <w:jc w:val="center"/>
        <w:rPr>
          <w:b/>
          <w:color w:val="auto"/>
        </w:rPr>
      </w:pPr>
      <w:r>
        <w:rPr>
          <w:rFonts w:hint="eastAsia"/>
          <w:b/>
          <w:color w:val="auto"/>
        </w:rPr>
        <w:t>评标定标信息</w:t>
      </w:r>
    </w:p>
    <w:p w14:paraId="7F28890B">
      <w:pPr>
        <w:ind w:firstLine="420" w:firstLineChars="200"/>
        <w:rPr>
          <w:color w:val="auto"/>
        </w:rPr>
      </w:pPr>
    </w:p>
    <w:p w14:paraId="451E3AED">
      <w:pPr>
        <w:spacing w:line="276" w:lineRule="auto"/>
        <w:rPr>
          <w:rFonts w:hint="eastAsia" w:ascii="宋体" w:hAnsi="宋体"/>
          <w:b/>
          <w:color w:val="auto"/>
        </w:rPr>
      </w:pPr>
      <w:r>
        <w:rPr>
          <w:rFonts w:hint="eastAsia" w:ascii="宋体" w:hAnsi="宋体"/>
          <w:b/>
          <w:color w:val="auto"/>
        </w:rPr>
        <w:t>投标报价要求：</w:t>
      </w:r>
    </w:p>
    <w:p w14:paraId="389A56D5">
      <w:pPr>
        <w:ind w:firstLine="420" w:firstLineChars="200"/>
        <w:rPr>
          <w:color w:val="auto"/>
        </w:rPr>
      </w:pPr>
      <w:r>
        <w:rPr>
          <w:rFonts w:hint="eastAsia"/>
          <w:color w:val="auto"/>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5B2A3680">
      <w:pPr>
        <w:ind w:firstLine="420" w:firstLineChars="200"/>
        <w:rPr>
          <w:color w:val="auto"/>
        </w:rPr>
      </w:pPr>
      <w:r>
        <w:rPr>
          <w:rFonts w:hint="eastAsia"/>
          <w:color w:val="auto"/>
        </w:rPr>
        <w:t>（2）投标人应充分了解项目基本情况及任何其它足以影响投标报价的情况，任何因忽视或误解项目情况而导致的索赔或服务期限延长申请将不获批准。</w:t>
      </w:r>
    </w:p>
    <w:p w14:paraId="6B22D7EE">
      <w:pPr>
        <w:ind w:firstLine="420" w:firstLineChars="200"/>
        <w:rPr>
          <w:color w:val="auto"/>
        </w:rPr>
      </w:pPr>
      <w:r>
        <w:rPr>
          <w:rFonts w:hint="eastAsia"/>
          <w:color w:val="auto"/>
        </w:rPr>
        <w:t>（3）投标报价超出财政预算，或者项目报价表中单个采购预算条目报价超过对应的财政预算的，投标将被否决。</w:t>
      </w:r>
    </w:p>
    <w:p w14:paraId="4B3E7CD4">
      <w:pPr>
        <w:ind w:firstLine="420" w:firstLineChars="200"/>
        <w:rPr>
          <w:color w:val="auto"/>
        </w:rPr>
      </w:pPr>
      <w:r>
        <w:rPr>
          <w:rFonts w:hint="eastAsia"/>
          <w:color w:val="auto"/>
        </w:rPr>
        <w:t>（4）合理评判供应商报价；</w:t>
      </w:r>
    </w:p>
    <w:p w14:paraId="33612A3F">
      <w:pPr>
        <w:ind w:firstLine="420" w:firstLineChars="200"/>
        <w:rPr>
          <w:color w:val="auto"/>
        </w:rPr>
      </w:pPr>
      <w:r>
        <w:rPr>
          <w:rFonts w:hint="eastAsia"/>
          <w:color w:val="auto"/>
        </w:rPr>
        <w:t>根据《政府采购货物和服务招标投标管理办法》（财政部令第 87 号）第六十条规定，投标人的报价明显低于其他通过符合性审查投标人的报价，有可能影响产品质量或者不能诚信履约的，评委会有权要求投标供应商在规定时间内提供书面说明以及必要的证明材料，并根据投标人的说明作相应处理。</w:t>
      </w:r>
    </w:p>
    <w:p w14:paraId="117BB3CE">
      <w:pPr>
        <w:ind w:firstLine="420" w:firstLineChars="200"/>
        <w:rPr>
          <w:color w:val="auto"/>
        </w:rPr>
      </w:pPr>
      <w:r>
        <w:rPr>
          <w:rFonts w:hint="eastAsia"/>
          <w:color w:val="auto"/>
        </w:rPr>
        <w:t>若评标委员会成员对是否须由投标人作出报价合理性说明，以及书面说明是否采纳等判断不一致的，按照“少数服从多数”的原则确定评标委员会的意见。</w:t>
      </w:r>
      <w:bookmarkStart w:id="52" w:name="_Hlk81898283"/>
    </w:p>
    <w:p w14:paraId="54760098">
      <w:pPr>
        <w:ind w:firstLine="420" w:firstLineChars="200"/>
        <w:rPr>
          <w:color w:val="auto"/>
        </w:rPr>
      </w:pPr>
      <w:r>
        <w:rPr>
          <w:rFonts w:hint="eastAsia"/>
          <w:color w:val="auto"/>
        </w:rPr>
        <w:t>（5）除政府采购合同继续履行将损害国家利益和社会公共利益外，双方当事人不得擅自变更、中止或者终止合同。</w:t>
      </w:r>
    </w:p>
    <w:bookmarkEnd w:id="51"/>
    <w:bookmarkEnd w:id="52"/>
    <w:p w14:paraId="7B89FDA1">
      <w:pPr>
        <w:ind w:firstLine="422" w:firstLineChars="200"/>
        <w:rPr>
          <w:rFonts w:hint="default" w:ascii="Times New Roman" w:hAnsi="Times New Roman" w:eastAsia="宋体" w:cs="Times New Roman"/>
          <w:b/>
          <w:bCs/>
          <w:color w:val="auto"/>
          <w:lang w:val="en-US" w:eastAsia="zh-CN"/>
        </w:rPr>
      </w:pPr>
      <w:r>
        <w:rPr>
          <w:rFonts w:hint="eastAsia" w:cs="Times New Roman"/>
          <w:b/>
          <w:bCs/>
          <w:color w:val="auto"/>
          <w:lang w:val="en-US" w:eastAsia="zh-CN"/>
        </w:rPr>
        <w:t>针对</w:t>
      </w:r>
      <w:r>
        <w:rPr>
          <w:rFonts w:hint="eastAsia" w:ascii="Times New Roman" w:hAnsi="Times New Roman" w:eastAsia="宋体" w:cs="Times New Roman"/>
          <w:b/>
          <w:bCs/>
          <w:color w:val="auto"/>
          <w:lang w:val="en-US" w:eastAsia="zh-CN"/>
        </w:rPr>
        <w:t>政府采购异常低价审查</w:t>
      </w:r>
      <w:r>
        <w:rPr>
          <w:rFonts w:hint="eastAsia" w:cs="Times New Roman"/>
          <w:b/>
          <w:bCs/>
          <w:color w:val="auto"/>
          <w:lang w:val="en-US" w:eastAsia="zh-CN"/>
        </w:rPr>
        <w:t>要求：</w:t>
      </w:r>
    </w:p>
    <w:p w14:paraId="0EBE8CD0">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政府采购评审中出现下列情形之一的，评审委员会应当启动异常低价投标（响应）审查程序：</w:t>
      </w:r>
    </w:p>
    <w:p w14:paraId="246A4DA5">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1.投标（响应）报价低于全部通过符合性审查供应商投标（响应）报价平均值50%的，即投标（响应）报价&lt;全部通过符合性审查供应商投标（响应）报价平均值×50%；</w:t>
      </w:r>
    </w:p>
    <w:p w14:paraId="329F35FB">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2.投标（响应）报价低于通过符合性审查的次低报价供应商投标（响应）报价50%的，即投标（响应）报价&lt;通过符合性审查的次低报价供应商投标（响应）报价×50%；</w:t>
      </w:r>
    </w:p>
    <w:p w14:paraId="147403D1">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3.投标（响应）报价低于采购项目最高限价45%的，即投标（响应）报价&lt;采购项目最高限价×45%；</w:t>
      </w:r>
    </w:p>
    <w:p w14:paraId="67BAE4D5">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4.评审委员会基于专业判断，认为供应商报价过低，有可能影响产品质量或者不能诚信履约的其他情形。</w:t>
      </w:r>
    </w:p>
    <w:p w14:paraId="5CD657EE">
      <w:pPr>
        <w:ind w:firstLine="42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采购人可以结合具体项目实际情况，提高上述第1项至第3项中启动异常低价投标（响应）审查的数值标准，但是最高不得超过65%。</w:t>
      </w:r>
    </w:p>
    <w:p w14:paraId="69CB0D4B">
      <w:pPr>
        <w:ind w:firstLine="420" w:firstLineChars="200"/>
        <w:rPr>
          <w:b/>
          <w:color w:val="auto"/>
        </w:rPr>
      </w:pPr>
      <w:r>
        <w:rPr>
          <w:rFonts w:hint="eastAsia" w:ascii="Times New Roman" w:hAnsi="Times New Roman" w:eastAsia="宋体" w:cs="Times New Roman"/>
          <w:color w:val="auto"/>
          <w:lang w:val="en-US" w:eastAsia="zh-CN"/>
        </w:rPr>
        <w:t>相关法律法规对供应商报价有规定的，从其规定。</w:t>
      </w:r>
    </w:p>
    <w:p w14:paraId="47FB7386">
      <w:pPr>
        <w:ind w:firstLine="211" w:firstLineChars="100"/>
        <w:rPr>
          <w:b/>
          <w:bCs/>
          <w:color w:val="auto"/>
        </w:rPr>
      </w:pPr>
      <w:r>
        <w:rPr>
          <w:rFonts w:hint="eastAsia"/>
          <w:b/>
          <w:color w:val="auto"/>
        </w:rPr>
        <w:t>（二）其他事项</w:t>
      </w:r>
    </w:p>
    <w:p w14:paraId="2CDEAF5D">
      <w:pPr>
        <w:ind w:firstLine="422" w:firstLineChars="200"/>
        <w:rPr>
          <w:b/>
          <w:bCs/>
          <w:color w:val="auto"/>
        </w:rPr>
      </w:pPr>
      <w:r>
        <w:rPr>
          <w:b/>
          <w:bCs/>
          <w:color w:val="auto"/>
        </w:rPr>
        <w:t>1</w:t>
      </w:r>
      <w:r>
        <w:rPr>
          <w:rFonts w:hint="eastAsia"/>
          <w:b/>
          <w:bCs/>
          <w:color w:val="auto"/>
        </w:rPr>
        <w:t>、关于享受优惠政策的主体及价格扣除比例</w:t>
      </w:r>
    </w:p>
    <w:p w14:paraId="703AF35C">
      <w:pPr>
        <w:shd w:val="clear"/>
        <w:ind w:firstLine="420" w:firstLineChars="200"/>
        <w:rPr>
          <w:color w:val="auto"/>
          <w:highlight w:val="none"/>
        </w:rPr>
      </w:pPr>
      <w:r>
        <w:rPr>
          <w:rFonts w:hint="eastAsia"/>
          <w:color w:val="auto"/>
        </w:rPr>
        <w:t>（1）专门面向中小企业采购项目（不享受价格扣除）；非专门面向中小企业采购项目，服务类、工程类项目投标人提供的</w:t>
      </w:r>
      <w:r>
        <w:rPr>
          <w:rFonts w:hint="eastAsia"/>
          <w:color w:val="auto"/>
          <w:highlight w:val="none"/>
        </w:rPr>
        <w:t>服务全部均由优惠主体承接，货物类项目投标人提供的货物全部均由优惠主题承接，则对其投标总价给予</w:t>
      </w:r>
      <w:r>
        <w:rPr>
          <w:rFonts w:hint="eastAsia"/>
          <w:b/>
          <w:bCs/>
          <w:color w:val="auto"/>
          <w:highlight w:val="none"/>
          <w:u w:val="single"/>
        </w:rPr>
        <w:t xml:space="preserve"> 10</w:t>
      </w:r>
      <w:r>
        <w:rPr>
          <w:b/>
          <w:bCs/>
          <w:color w:val="auto"/>
          <w:highlight w:val="none"/>
          <w:u w:val="single"/>
        </w:rPr>
        <w:t>%</w:t>
      </w:r>
      <w:r>
        <w:rPr>
          <w:rFonts w:hint="eastAsia" w:ascii="宋体" w:hAnsi="宋体"/>
          <w:color w:val="auto"/>
          <w:highlight w:val="none"/>
        </w:rPr>
        <w:t xml:space="preserve">（请在/ </w:t>
      </w:r>
      <w:r>
        <w:rPr>
          <w:rFonts w:ascii="宋体" w:hAnsi="宋体"/>
          <w:color w:val="auto"/>
          <w:highlight w:val="none"/>
        </w:rPr>
        <w:t>%-</w:t>
      </w:r>
      <w:r>
        <w:rPr>
          <w:rFonts w:hint="eastAsia" w:ascii="宋体" w:hAnsi="宋体"/>
          <w:color w:val="auto"/>
          <w:highlight w:val="none"/>
        </w:rPr>
        <w:t xml:space="preserve">/ </w:t>
      </w:r>
      <w:r>
        <w:rPr>
          <w:rFonts w:ascii="宋体" w:hAnsi="宋体"/>
          <w:color w:val="auto"/>
          <w:highlight w:val="none"/>
        </w:rPr>
        <w:t>%</w:t>
      </w:r>
      <w:r>
        <w:rPr>
          <w:rFonts w:hint="eastAsia" w:ascii="宋体" w:hAnsi="宋体"/>
          <w:color w:val="auto"/>
          <w:highlight w:val="none"/>
        </w:rPr>
        <w:t>范围内选择）的价格扣除</w:t>
      </w:r>
      <w:r>
        <w:rPr>
          <w:rFonts w:hint="eastAsia"/>
          <w:color w:val="auto"/>
          <w:highlight w:val="none"/>
        </w:rPr>
        <w:t>，用扣除后的价格参与评审。满足多项优惠政策的企业，不重复享受多项价格扣除政策。</w:t>
      </w:r>
      <w:r>
        <w:rPr>
          <w:rFonts w:hint="eastAsia" w:ascii="宋体" w:hAnsi="宋体"/>
          <w:color w:val="auto"/>
          <w:highlight w:val="none"/>
        </w:rPr>
        <w:t>联合协议/分包协议中约定，小型、微型企业的协议合同金额占到联合体协议合同总金额</w:t>
      </w:r>
      <w:r>
        <w:rPr>
          <w:rFonts w:hint="eastAsia" w:ascii="宋体" w:hAnsi="宋体"/>
          <w:color w:val="auto"/>
          <w:highlight w:val="none"/>
          <w:u w:val="single"/>
        </w:rPr>
        <w:t xml:space="preserve"> </w:t>
      </w:r>
      <w:r>
        <w:rPr>
          <w:rFonts w:hint="eastAsia" w:ascii="宋体" w:hAnsi="宋体"/>
          <w:b/>
          <w:bCs/>
          <w:color w:val="auto"/>
          <w:highlight w:val="none"/>
          <w:u w:val="single"/>
        </w:rPr>
        <w:t xml:space="preserve">/ % </w:t>
      </w:r>
      <w:r>
        <w:rPr>
          <w:rFonts w:hint="eastAsia" w:ascii="宋体" w:hAnsi="宋体"/>
          <w:color w:val="auto"/>
          <w:highlight w:val="none"/>
        </w:rPr>
        <w:t>以上的，可给予</w:t>
      </w:r>
      <w:r>
        <w:rPr>
          <w:rFonts w:hint="eastAsia" w:ascii="宋体" w:hAnsi="宋体"/>
          <w:b/>
          <w:color w:val="auto"/>
          <w:highlight w:val="none"/>
        </w:rPr>
        <w:t>联合体</w:t>
      </w:r>
      <w:r>
        <w:rPr>
          <w:rFonts w:hint="eastAsia" w:ascii="宋体" w:hAnsi="宋体"/>
          <w:b/>
          <w:color w:val="auto"/>
          <w:highlight w:val="none"/>
          <w:u w:val="single"/>
        </w:rPr>
        <w:t xml:space="preserve">  / </w:t>
      </w:r>
      <w:r>
        <w:rPr>
          <w:rFonts w:hint="eastAsia" w:ascii="宋体" w:hAnsi="宋体"/>
          <w:b/>
          <w:color w:val="auto"/>
          <w:highlight w:val="none"/>
        </w:rPr>
        <w:t>%</w:t>
      </w:r>
      <w:r>
        <w:rPr>
          <w:rFonts w:ascii="宋体" w:hAnsi="宋体"/>
          <w:b/>
          <w:color w:val="auto"/>
          <w:highlight w:val="none"/>
        </w:rPr>
        <w:t xml:space="preserve"> </w:t>
      </w:r>
      <w:r>
        <w:rPr>
          <w:rFonts w:hint="eastAsia" w:ascii="宋体" w:hAnsi="宋体"/>
          <w:bCs/>
          <w:color w:val="auto"/>
          <w:highlight w:val="none"/>
        </w:rPr>
        <w:t xml:space="preserve">（请在/ </w:t>
      </w:r>
      <w:r>
        <w:rPr>
          <w:rFonts w:ascii="宋体" w:hAnsi="宋体"/>
          <w:bCs/>
          <w:color w:val="auto"/>
          <w:highlight w:val="none"/>
        </w:rPr>
        <w:t>%-</w:t>
      </w:r>
      <w:r>
        <w:rPr>
          <w:rFonts w:hint="eastAsia" w:ascii="宋体" w:hAnsi="宋体"/>
          <w:bCs/>
          <w:color w:val="auto"/>
          <w:highlight w:val="none"/>
        </w:rPr>
        <w:t xml:space="preserve">/ </w:t>
      </w:r>
      <w:r>
        <w:rPr>
          <w:rFonts w:ascii="宋体" w:hAnsi="宋体"/>
          <w:bCs/>
          <w:color w:val="auto"/>
          <w:highlight w:val="none"/>
        </w:rPr>
        <w:t>%</w:t>
      </w:r>
      <w:r>
        <w:rPr>
          <w:rFonts w:hint="eastAsia" w:ascii="宋体" w:hAnsi="宋体"/>
          <w:bCs/>
          <w:color w:val="auto"/>
          <w:highlight w:val="none"/>
        </w:rPr>
        <w:t>范围内选择）</w:t>
      </w:r>
      <w:r>
        <w:rPr>
          <w:rFonts w:hint="eastAsia" w:ascii="宋体" w:hAnsi="宋体"/>
          <w:color w:val="auto"/>
          <w:highlight w:val="none"/>
        </w:rPr>
        <w:t>的价格扣除。</w:t>
      </w:r>
    </w:p>
    <w:p w14:paraId="3131B8AF">
      <w:pPr>
        <w:shd w:val="clear"/>
        <w:ind w:firstLine="420" w:firstLineChars="200"/>
        <w:rPr>
          <w:color w:val="auto"/>
          <w:highlight w:val="none"/>
        </w:rPr>
      </w:pPr>
      <w:r>
        <w:rPr>
          <w:rFonts w:hint="eastAsia"/>
          <w:color w:val="auto"/>
          <w:highlight w:val="none"/>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t>
      </w:r>
      <w:r>
        <w:rPr>
          <w:color w:val="auto"/>
          <w:highlight w:val="none"/>
        </w:rPr>
        <w:t>b)</w:t>
      </w:r>
      <w:r>
        <w:rPr>
          <w:rFonts w:hint="eastAsia"/>
          <w:color w:val="auto"/>
          <w:highlight w:val="none"/>
        </w:rPr>
        <w:t>优惠主体承接是指提供服务的人员为中小企业依照《中华人民共和国劳动合同法》订立劳动合同的从业人员。</w:t>
      </w:r>
    </w:p>
    <w:p w14:paraId="12B804B3">
      <w:pPr>
        <w:shd w:val="clear"/>
        <w:ind w:firstLine="420" w:firstLineChars="200"/>
        <w:rPr>
          <w:color w:val="auto"/>
          <w:highlight w:val="none"/>
        </w:rPr>
      </w:pPr>
      <w:r>
        <w:rPr>
          <w:rFonts w:hint="eastAsia"/>
          <w:color w:val="auto"/>
          <w:highlight w:val="none"/>
        </w:rPr>
        <w:t>（2）根据</w:t>
      </w:r>
      <w:r>
        <w:rPr>
          <w:rFonts w:hint="eastAsia"/>
          <w:color w:val="auto"/>
          <w:szCs w:val="22"/>
          <w:highlight w:val="none"/>
        </w:rPr>
        <w:t>《工业和信息化部、国家统计局、国家发展和改革委员会、财政部关于印发中小企业划型标准规定的通知》（工信部联企业〔2011〕300 号）</w:t>
      </w:r>
      <w:r>
        <w:rPr>
          <w:rFonts w:hint="eastAsia"/>
          <w:color w:val="auto"/>
          <w:highlight w:val="none"/>
        </w:rPr>
        <w:t>，</w:t>
      </w:r>
      <w:bookmarkStart w:id="53" w:name="_Hlk71970739"/>
      <w:r>
        <w:rPr>
          <w:rFonts w:hint="eastAsia"/>
          <w:color w:val="auto"/>
          <w:highlight w:val="none"/>
        </w:rPr>
        <w:t>本项目</w:t>
      </w:r>
      <w:bookmarkStart w:id="54" w:name="_Hlk71924718"/>
      <w:r>
        <w:rPr>
          <w:rFonts w:hint="eastAsia"/>
          <w:color w:val="auto"/>
          <w:highlight w:val="none"/>
        </w:rPr>
        <w:t>采购标的（服务需求）对应的中小企业划分标准所属行业</w:t>
      </w:r>
      <w:bookmarkEnd w:id="54"/>
      <w:r>
        <w:rPr>
          <w:rFonts w:hint="eastAsia"/>
          <w:color w:val="auto"/>
          <w:highlight w:val="none"/>
        </w:rPr>
        <w:t>为</w:t>
      </w:r>
      <w:r>
        <w:rPr>
          <w:rFonts w:hint="eastAsia"/>
          <w:color w:val="auto"/>
          <w:highlight w:val="none"/>
          <w:lang w:val="en-US" w:eastAsia="zh-CN"/>
        </w:rPr>
        <w:t>工业</w:t>
      </w:r>
      <w:r>
        <w:rPr>
          <w:rFonts w:hint="eastAsia"/>
          <w:color w:val="auto"/>
          <w:highlight w:val="none"/>
        </w:rPr>
        <w:t>。</w:t>
      </w:r>
      <w:bookmarkEnd w:id="53"/>
    </w:p>
    <w:p w14:paraId="7A678C83">
      <w:pPr>
        <w:ind w:firstLine="420" w:firstLineChars="200"/>
        <w:rPr>
          <w:color w:val="auto"/>
        </w:rPr>
      </w:pPr>
      <w:r>
        <w:rPr>
          <w:rFonts w:hint="eastAsia"/>
          <w:color w:val="auto"/>
        </w:rPr>
        <w:t>（3）小型企业、微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四章“</w:t>
      </w:r>
      <w:r>
        <w:rPr>
          <w:rFonts w:hint="eastAsia" w:ascii="宋体" w:hAnsi="宋体"/>
          <w:color w:val="auto"/>
        </w:rPr>
        <w:t>投标文件组成要求及格式</w:t>
      </w:r>
      <w:r>
        <w:rPr>
          <w:rFonts w:hint="eastAsia"/>
          <w:color w:val="auto"/>
        </w:rPr>
        <w:t>”中“三、投标人情况及资格证明文件”章节提供的格式）。</w:t>
      </w:r>
    </w:p>
    <w:p w14:paraId="40923081">
      <w:pPr>
        <w:ind w:firstLine="420" w:firstLineChars="200"/>
        <w:rPr>
          <w:rFonts w:eastAsia="楷体_GB2312"/>
          <w:color w:val="auto"/>
        </w:rPr>
      </w:pPr>
      <w:r>
        <w:rPr>
          <w:rFonts w:hint="eastAsia"/>
          <w:color w:val="auto"/>
        </w:rPr>
        <w:t>（4）享受价格扣除获得政府采购合同的，小微企业不得将合同分包给大中型企业。</w:t>
      </w:r>
    </w:p>
    <w:p w14:paraId="078F22B4">
      <w:pPr>
        <w:ind w:firstLine="422" w:firstLineChars="200"/>
        <w:rPr>
          <w:b/>
          <w:color w:val="auto"/>
        </w:rPr>
      </w:pPr>
      <w:r>
        <w:rPr>
          <w:rFonts w:hint="eastAsia"/>
          <w:b/>
          <w:color w:val="auto"/>
        </w:rPr>
        <w:t>2.关于政府采购订单融资政策</w:t>
      </w:r>
    </w:p>
    <w:p w14:paraId="302F516F">
      <w:pPr>
        <w:ind w:firstLine="420" w:firstLineChars="200"/>
        <w:rPr>
          <w:color w:val="auto"/>
        </w:rPr>
      </w:pPr>
      <w:r>
        <w:rPr>
          <w:rFonts w:hint="eastAsia"/>
          <w:color w:val="auto"/>
        </w:rPr>
        <w:t>为进一步拓宽企业融资渠道，降低企业融资成本，根据《新疆维吾尔自治区政府采购合同融资工作方案》(新财购[2022]17号)，现推出政府采购订单融资服务，中标（成交）供应商可以凭借中标（成交）通知书或政府采购合同，通过自治区财政厅搭建的“政采云”平台，向参与政府采购合同融资业务的金融机构申请线上融资。金融机构在政策范围内，以供应商信用审查和政府采购信誉为基础，无财产抵押、按便捷贷款程序和优惠利率，为供应商提供一站式融资服务，订单融资具体流程可登录新疆政采云服务平台政采贷。</w:t>
      </w:r>
    </w:p>
    <w:p w14:paraId="557F13CC">
      <w:pPr>
        <w:ind w:firstLine="422" w:firstLineChars="200"/>
        <w:rPr>
          <w:b/>
          <w:color w:val="auto"/>
        </w:rPr>
      </w:pPr>
      <w:r>
        <w:rPr>
          <w:rFonts w:hint="eastAsia"/>
          <w:b/>
          <w:color w:val="auto"/>
        </w:rPr>
        <w:t>3.代理服务费</w:t>
      </w:r>
    </w:p>
    <w:p w14:paraId="6619FF3A">
      <w:pPr>
        <w:ind w:firstLine="420" w:firstLineChars="200"/>
        <w:rPr>
          <w:bCs/>
          <w:color w:val="auto"/>
        </w:rPr>
      </w:pPr>
      <w:r>
        <w:rPr>
          <w:rFonts w:hint="eastAsia"/>
          <w:bCs/>
          <w:color w:val="auto"/>
        </w:rPr>
        <w:t>本项目不向中标供应商收取代理服务费</w:t>
      </w:r>
    </w:p>
    <w:p w14:paraId="0F48DAB3">
      <w:pPr>
        <w:ind w:firstLine="422" w:firstLineChars="200"/>
        <w:rPr>
          <w:b/>
          <w:bCs/>
          <w:color w:val="auto"/>
        </w:rPr>
      </w:pPr>
      <w:r>
        <w:rPr>
          <w:rFonts w:hint="eastAsia"/>
          <w:b/>
          <w:bCs/>
          <w:color w:val="auto"/>
        </w:rPr>
        <w:t>4.节能环保产品说明</w:t>
      </w:r>
    </w:p>
    <w:p w14:paraId="6D77C9CA">
      <w:pPr>
        <w:ind w:firstLine="420" w:firstLineChars="200"/>
        <w:rPr>
          <w:color w:val="auto"/>
        </w:rPr>
      </w:pPr>
      <w:r>
        <w:rPr>
          <w:rFonts w:hint="eastAsia"/>
          <w:color w:val="auto"/>
        </w:rPr>
        <w:t>拟采购的产品属于《关于调整优化节能产品环境标志产品政府采购执行机制的通知》（财库〔2019〕9号）、《关于印发环境标志产品政府采购品目清单的通知》（财库〔2019〕18号）和《关于印发节能产品政府采购品目清单的通知》（财库〔2019〕19号）品目清单范围内的，应依据国家确定的认证机构出具的、处于有效期之内的节能产品、环境标志产品认证证书，对获得证书的产品实施政府优先采购或强制采购。对于已列入品目清单的产品类别，采购人可在采购需求中提出更高的节约资源和保护环境要求，对符合条件的获证产品给予适当评审加分。对于未列入品目清单的产品类别，鼓励采购人综合考虑节能、节水、环保、循环、低碳、再生、有机等因素，参考相关国家标准、行业标准或团体标准，在采购需求中提出相关绿色采购要求，促进绿色产品推广应用。</w:t>
      </w:r>
    </w:p>
    <w:p w14:paraId="200DF0ED">
      <w:pPr>
        <w:pStyle w:val="7"/>
        <w:ind w:firstLine="2891" w:firstLineChars="900"/>
        <w:jc w:val="both"/>
        <w:rPr>
          <w:rFonts w:hint="eastAsia" w:ascii="方正小标宋_GBK" w:hAnsi="方正小标宋_GBK" w:eastAsia="方正小标宋_GBK" w:cs="方正小标宋_GBK"/>
          <w:bCs w:val="0"/>
          <w:color w:val="auto"/>
          <w:sz w:val="32"/>
          <w:szCs w:val="32"/>
        </w:rPr>
      </w:pPr>
    </w:p>
    <w:p w14:paraId="7A69C840">
      <w:pPr>
        <w:pStyle w:val="7"/>
        <w:ind w:firstLine="2891" w:firstLineChars="900"/>
        <w:jc w:val="both"/>
        <w:rPr>
          <w:rFonts w:hint="eastAsia" w:ascii="方正小标宋_GBK" w:hAnsi="方正小标宋_GBK" w:eastAsia="方正小标宋_GBK" w:cs="方正小标宋_GBK"/>
          <w:bCs w:val="0"/>
          <w:color w:val="auto"/>
          <w:sz w:val="32"/>
          <w:szCs w:val="32"/>
        </w:rPr>
      </w:pPr>
      <w:r>
        <w:rPr>
          <w:rFonts w:hint="eastAsia" w:ascii="方正小标宋_GBK" w:hAnsi="方正小标宋_GBK" w:eastAsia="方正小标宋_GBK" w:cs="方正小标宋_GBK"/>
          <w:bCs w:val="0"/>
          <w:color w:val="auto"/>
          <w:sz w:val="32"/>
          <w:szCs w:val="32"/>
        </w:rPr>
        <w:t>第三章 用户需求书</w:t>
      </w:r>
    </w:p>
    <w:p w14:paraId="2414204B">
      <w:pPr>
        <w:ind w:firstLine="420" w:firstLineChars="200"/>
        <w:jc w:val="left"/>
        <w:outlineLvl w:val="0"/>
        <w:rPr>
          <w:rFonts w:hint="eastAsia"/>
          <w:color w:val="auto"/>
        </w:rPr>
      </w:pPr>
      <w:r>
        <w:rPr>
          <w:rFonts w:hint="eastAsia" w:ascii="宋体" w:hAnsi="宋体"/>
          <w:color w:val="auto"/>
        </w:rPr>
        <w:t>1.本章带★号条款为不可偏离条款，供应商必须完全响应满足，否则将导致投标无效。供应商是否满足本章带★号条款要求，以附件《实质性条款响应表》响应为准。</w:t>
      </w:r>
    </w:p>
    <w:p w14:paraId="467633C6">
      <w:pPr>
        <w:ind w:firstLine="420" w:firstLineChars="200"/>
        <w:jc w:val="left"/>
        <w:outlineLvl w:val="0"/>
        <w:rPr>
          <w:rFonts w:hint="eastAsia" w:ascii="宋体" w:hAnsi="宋体"/>
          <w:color w:val="auto"/>
        </w:rPr>
      </w:pPr>
      <w:r>
        <w:rPr>
          <w:rFonts w:hint="eastAsia" w:ascii="宋体" w:hAnsi="宋体"/>
          <w:color w:val="auto"/>
        </w:rPr>
        <w:t>2.如供应商中标后被发现不能满足本章带★号条款要求的，采购方有权拒绝签订合同，一切后果由供应商承担。</w:t>
      </w:r>
    </w:p>
    <w:p w14:paraId="49541D70">
      <w:pPr>
        <w:ind w:firstLine="420" w:firstLineChars="200"/>
        <w:jc w:val="left"/>
        <w:outlineLvl w:val="0"/>
        <w:rPr>
          <w:rFonts w:hint="default" w:eastAsia="楷体_GB2312"/>
          <w:color w:val="auto"/>
          <w:lang w:val="en-US" w:eastAsia="zh-CN"/>
        </w:rPr>
      </w:pPr>
      <w:r>
        <w:rPr>
          <w:rFonts w:hint="eastAsia" w:ascii="宋体" w:hAnsi="宋体"/>
          <w:color w:val="auto"/>
          <w:lang w:val="en-US" w:eastAsia="zh-CN"/>
        </w:rPr>
        <w:t>注：本章带★号条款共有4处，为不可偏离条款，供应商是否满足本章带★号条款要求，以附件《实质性条款响应表》响应为准。</w:t>
      </w:r>
    </w:p>
    <w:p w14:paraId="7D2CDD30">
      <w:pPr>
        <w:numPr>
          <w:ilvl w:val="0"/>
          <w:numId w:val="0"/>
        </w:numPr>
        <w:ind w:firstLine="420" w:firstLineChars="200"/>
        <w:jc w:val="left"/>
        <w:outlineLvl w:val="0"/>
        <w:rPr>
          <w:rFonts w:hint="eastAsia" w:ascii="宋体" w:hAnsi="宋体"/>
          <w:color w:val="auto"/>
        </w:rPr>
      </w:pPr>
      <w:r>
        <w:rPr>
          <w:rFonts w:hint="eastAsia" w:ascii="宋体" w:hAnsi="宋体"/>
          <w:color w:val="auto"/>
          <w:lang w:val="en-US" w:eastAsia="zh-CN"/>
        </w:rPr>
        <w:t>3.</w:t>
      </w:r>
      <w:r>
        <w:rPr>
          <w:rFonts w:hint="eastAsia" w:ascii="宋体" w:hAnsi="宋体"/>
          <w:color w:val="auto"/>
        </w:rPr>
        <w:t>带“▲”指标项标注的商务技术条款为要求提供证明资料的条款，以附件《重要技术参数响应情况表》为准，其余为未要求提供证明资料的条款，无需提供相关证明资料。</w:t>
      </w:r>
    </w:p>
    <w:p w14:paraId="53CE223A">
      <w:pPr>
        <w:pStyle w:val="2"/>
        <w:numPr>
          <w:ilvl w:val="0"/>
          <w:numId w:val="0"/>
        </w:numPr>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注：本章带▲号条款共有19处，带“▲”指标项标注的商务技术条款为要求提供证明资料的条款，以附件《重要技术参数响应情况表》为准。</w:t>
      </w:r>
    </w:p>
    <w:p w14:paraId="564DF766">
      <w:pPr>
        <w:pStyle w:val="5"/>
        <w:ind w:firstLine="0" w:firstLineChars="0"/>
        <w:jc w:val="center"/>
        <w:rPr>
          <w:rFonts w:ascii="黑体" w:eastAsia="黑体"/>
          <w:bCs w:val="0"/>
          <w:color w:val="auto"/>
          <w:sz w:val="24"/>
        </w:rPr>
      </w:pPr>
      <w:r>
        <w:rPr>
          <w:rFonts w:hint="eastAsia" w:ascii="黑体" w:eastAsia="黑体"/>
          <w:bCs w:val="0"/>
          <w:color w:val="auto"/>
          <w:sz w:val="24"/>
        </w:rPr>
        <w:t>一、项目基本信息</w:t>
      </w:r>
    </w:p>
    <w:p w14:paraId="05B1D83D">
      <w:pPr>
        <w:rPr>
          <w:rFonts w:hint="eastAsia" w:ascii="宋体" w:hAnsi="宋体"/>
          <w:b/>
          <w:color w:val="auto"/>
        </w:rPr>
      </w:pPr>
    </w:p>
    <w:tbl>
      <w:tblPr>
        <w:tblStyle w:val="42"/>
        <w:tblW w:w="97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111"/>
        <w:gridCol w:w="2442"/>
        <w:gridCol w:w="2637"/>
        <w:gridCol w:w="1548"/>
        <w:gridCol w:w="1560"/>
      </w:tblGrid>
      <w:tr w14:paraId="763B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439" w:type="dxa"/>
            <w:vAlign w:val="center"/>
          </w:tcPr>
          <w:p w14:paraId="51130ABC">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序号</w:t>
            </w:r>
          </w:p>
        </w:tc>
        <w:tc>
          <w:tcPr>
            <w:tcW w:w="1111" w:type="dxa"/>
            <w:vAlign w:val="center"/>
          </w:tcPr>
          <w:p w14:paraId="18046E79">
            <w:pPr>
              <w:spacing w:line="276" w:lineRule="auto"/>
              <w:jc w:val="center"/>
              <w:rPr>
                <w:rFonts w:hint="eastAsia" w:ascii="宋体" w:hAnsi="宋体" w:eastAsia="宋体" w:cs="宋体"/>
                <w:bCs/>
                <w:color w:val="auto"/>
                <w:sz w:val="21"/>
                <w:szCs w:val="21"/>
              </w:rPr>
            </w:pPr>
            <w:r>
              <w:rPr>
                <w:rFonts w:hint="eastAsia" w:ascii="宋体" w:hAnsi="宋体" w:eastAsia="宋体" w:cs="宋体"/>
                <w:color w:val="auto"/>
                <w:sz w:val="21"/>
                <w:szCs w:val="21"/>
              </w:rPr>
              <w:t>采购计划编号</w:t>
            </w:r>
          </w:p>
        </w:tc>
        <w:tc>
          <w:tcPr>
            <w:tcW w:w="2442" w:type="dxa"/>
            <w:vAlign w:val="center"/>
          </w:tcPr>
          <w:p w14:paraId="334BC675">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项目名称</w:t>
            </w:r>
          </w:p>
        </w:tc>
        <w:tc>
          <w:tcPr>
            <w:tcW w:w="2637" w:type="dxa"/>
            <w:vAlign w:val="center"/>
          </w:tcPr>
          <w:p w14:paraId="70284DA3">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服务期限或完成时间</w:t>
            </w:r>
          </w:p>
        </w:tc>
        <w:tc>
          <w:tcPr>
            <w:tcW w:w="1548" w:type="dxa"/>
            <w:vAlign w:val="center"/>
          </w:tcPr>
          <w:p w14:paraId="4669924F">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所属行业</w:t>
            </w:r>
          </w:p>
        </w:tc>
        <w:tc>
          <w:tcPr>
            <w:tcW w:w="1560" w:type="dxa"/>
            <w:vAlign w:val="center"/>
          </w:tcPr>
          <w:p w14:paraId="544EC2DD">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财政预算限额（元）</w:t>
            </w:r>
          </w:p>
        </w:tc>
      </w:tr>
      <w:tr w14:paraId="0B2F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439" w:type="dxa"/>
            <w:vAlign w:val="center"/>
          </w:tcPr>
          <w:p w14:paraId="2DAB8BCB">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1111" w:type="dxa"/>
            <w:vAlign w:val="center"/>
          </w:tcPr>
          <w:p w14:paraId="45FA3EED">
            <w:pPr>
              <w:pStyle w:val="2"/>
              <w:rPr>
                <w:rFonts w:hint="eastAsia" w:ascii="宋体" w:hAnsi="宋体" w:eastAsia="宋体" w:cs="宋体"/>
                <w:color w:val="auto"/>
                <w:sz w:val="21"/>
                <w:szCs w:val="21"/>
              </w:rPr>
            </w:pPr>
            <w:r>
              <w:rPr>
                <w:rFonts w:hint="eastAsia" w:ascii="宋体" w:hAnsi="宋体" w:eastAsia="宋体" w:cs="宋体"/>
                <w:bCs/>
                <w:color w:val="auto"/>
                <w:kern w:val="2"/>
                <w:sz w:val="21"/>
                <w:szCs w:val="21"/>
                <w:lang w:val="en-US" w:eastAsia="zh-CN" w:bidi="ar-SA"/>
              </w:rPr>
              <w:t>[2026]278号</w:t>
            </w:r>
          </w:p>
        </w:tc>
        <w:tc>
          <w:tcPr>
            <w:tcW w:w="2442" w:type="dxa"/>
            <w:vAlign w:val="center"/>
          </w:tcPr>
          <w:p w14:paraId="060E1923">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若羌县职业高中智慧校园建设项目</w:t>
            </w:r>
          </w:p>
          <w:p w14:paraId="32E50628">
            <w:pPr>
              <w:spacing w:line="276" w:lineRule="auto"/>
              <w:jc w:val="center"/>
              <w:rPr>
                <w:rFonts w:hint="eastAsia" w:ascii="宋体" w:hAnsi="宋体" w:eastAsia="宋体" w:cs="宋体"/>
                <w:bCs/>
                <w:color w:val="auto"/>
                <w:sz w:val="21"/>
                <w:szCs w:val="21"/>
              </w:rPr>
            </w:pPr>
          </w:p>
        </w:tc>
        <w:tc>
          <w:tcPr>
            <w:tcW w:w="2637" w:type="dxa"/>
            <w:vAlign w:val="center"/>
          </w:tcPr>
          <w:p w14:paraId="729D104C">
            <w:pPr>
              <w:pStyle w:val="140"/>
              <w:ind w:firstLine="0" w:firstLineChars="0"/>
              <w:rPr>
                <w:rFonts w:hint="eastAsia" w:ascii="宋体" w:hAnsi="宋体" w:eastAsia="宋体" w:cs="宋体"/>
                <w:color w:val="auto"/>
                <w:sz w:val="21"/>
                <w:szCs w:val="21"/>
              </w:rPr>
            </w:pPr>
            <w:r>
              <w:rPr>
                <w:rFonts w:hint="eastAsia" w:ascii="宋体" w:hAnsi="宋体" w:eastAsia="宋体" w:cs="宋体"/>
                <w:color w:val="auto"/>
                <w:sz w:val="21"/>
                <w:szCs w:val="21"/>
              </w:rPr>
              <w:t>合同签订之</w:t>
            </w:r>
            <w:r>
              <w:rPr>
                <w:rFonts w:hint="eastAsia" w:ascii="宋体" w:hAnsi="宋体" w:eastAsia="宋体" w:cs="宋体"/>
                <w:color w:val="auto"/>
                <w:sz w:val="21"/>
                <w:szCs w:val="21"/>
                <w:highlight w:val="none"/>
              </w:rPr>
              <w:t>日起50日历日完工。</w:t>
            </w:r>
          </w:p>
        </w:tc>
        <w:tc>
          <w:tcPr>
            <w:tcW w:w="1548" w:type="dxa"/>
            <w:vAlign w:val="center"/>
          </w:tcPr>
          <w:p w14:paraId="1AB9DBB3">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工业</w:t>
            </w:r>
          </w:p>
        </w:tc>
        <w:tc>
          <w:tcPr>
            <w:tcW w:w="1560" w:type="dxa"/>
            <w:vAlign w:val="center"/>
          </w:tcPr>
          <w:p w14:paraId="29C95ED3">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200万元</w:t>
            </w:r>
          </w:p>
        </w:tc>
      </w:tr>
      <w:tr w14:paraId="1E8F4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177" w:type="dxa"/>
            <w:gridSpan w:val="5"/>
          </w:tcPr>
          <w:p w14:paraId="46970DAF">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合计</w:t>
            </w:r>
          </w:p>
        </w:tc>
        <w:tc>
          <w:tcPr>
            <w:tcW w:w="1560" w:type="dxa"/>
          </w:tcPr>
          <w:p w14:paraId="7AB5EE1B">
            <w:pPr>
              <w:spacing w:line="276"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200万元</w:t>
            </w:r>
          </w:p>
        </w:tc>
      </w:tr>
    </w:tbl>
    <w:p w14:paraId="28DCBA2E">
      <w:pPr>
        <w:rPr>
          <w:rFonts w:hint="eastAsia" w:ascii="宋体" w:hAnsi="宋体"/>
          <w:b/>
          <w:color w:val="auto"/>
        </w:rPr>
      </w:pPr>
    </w:p>
    <w:p w14:paraId="7E335A19">
      <w:pPr>
        <w:pStyle w:val="5"/>
        <w:numPr>
          <w:ilvl w:val="0"/>
          <w:numId w:val="6"/>
        </w:numPr>
        <w:ind w:firstLine="360"/>
        <w:jc w:val="center"/>
        <w:rPr>
          <w:rFonts w:ascii="黑体" w:eastAsia="黑体"/>
          <w:bCs w:val="0"/>
          <w:color w:val="auto"/>
          <w:sz w:val="24"/>
        </w:rPr>
      </w:pPr>
      <w:r>
        <w:rPr>
          <w:rFonts w:hint="eastAsia" w:ascii="黑体" w:eastAsia="黑体"/>
          <w:bCs w:val="0"/>
          <w:color w:val="auto"/>
          <w:sz w:val="24"/>
        </w:rPr>
        <w:t>项目概况</w:t>
      </w:r>
    </w:p>
    <w:p w14:paraId="0FAD15C4">
      <w:pPr>
        <w:pStyle w:val="129"/>
        <w:spacing w:line="360" w:lineRule="auto"/>
        <w:ind w:firstLineChars="200"/>
        <w:jc w:val="both"/>
        <w:rPr>
          <w:rFonts w:hint="eastAsia" w:ascii="宋体" w:hAnsi="宋体" w:eastAsia="宋体" w:cs="宋体"/>
          <w:color w:val="auto"/>
          <w:sz w:val="22"/>
          <w:szCs w:val="22"/>
        </w:rPr>
      </w:pPr>
      <w:bookmarkStart w:id="55" w:name="_Hlk72073432"/>
      <w:r>
        <w:rPr>
          <w:rFonts w:hint="eastAsia" w:ascii="宋体" w:hAnsi="宋体" w:cs="宋体"/>
          <w:color w:val="auto"/>
          <w:sz w:val="22"/>
          <w:szCs w:val="22"/>
        </w:rPr>
        <w:t>若羌县职业高中智慧校园建设项目，为提升现代职业教育质量</w:t>
      </w:r>
      <w:r>
        <w:rPr>
          <w:rFonts w:ascii="宋体" w:hAnsi="宋体" w:cs="宋体"/>
          <w:color w:val="auto"/>
          <w:sz w:val="22"/>
          <w:szCs w:val="22"/>
        </w:rPr>
        <w:t>结合学校实际</w:t>
      </w:r>
      <w:r>
        <w:rPr>
          <w:rFonts w:hint="eastAsia" w:ascii="宋体" w:hAnsi="宋体" w:cs="宋体"/>
          <w:color w:val="auto"/>
          <w:sz w:val="22"/>
          <w:szCs w:val="22"/>
        </w:rPr>
        <w:t>业务</w:t>
      </w:r>
      <w:r>
        <w:rPr>
          <w:rFonts w:ascii="宋体" w:hAnsi="宋体" w:cs="宋体"/>
          <w:color w:val="auto"/>
          <w:sz w:val="22"/>
          <w:szCs w:val="22"/>
        </w:rPr>
        <w:t>需求，</w:t>
      </w:r>
      <w:r>
        <w:rPr>
          <w:rFonts w:hint="eastAsia" w:ascii="宋体" w:hAnsi="宋体" w:cs="宋体"/>
          <w:color w:val="auto"/>
          <w:sz w:val="22"/>
          <w:szCs w:val="22"/>
        </w:rPr>
        <w:t>现采购全光校园网络建设、校园数字IP广播建设</w:t>
      </w:r>
      <w:r>
        <w:rPr>
          <w:rFonts w:ascii="宋体" w:hAnsi="宋体" w:cs="宋体"/>
          <w:color w:val="auto"/>
          <w:sz w:val="22"/>
          <w:szCs w:val="22"/>
        </w:rPr>
        <w:t>、</w:t>
      </w:r>
      <w:r>
        <w:rPr>
          <w:rFonts w:hint="eastAsia" w:ascii="宋体" w:hAnsi="宋体" w:cs="宋体"/>
          <w:color w:val="auto"/>
          <w:sz w:val="22"/>
          <w:szCs w:val="22"/>
        </w:rPr>
        <w:t>班班通设备采购建设，校园直播、虚拟电视台采购建设以及录播实训室等相关软硬件设施设备采购、安装、调试，</w:t>
      </w:r>
      <w:r>
        <w:rPr>
          <w:rFonts w:ascii="宋体" w:hAnsi="宋体" w:cs="宋体"/>
          <w:color w:val="auto"/>
          <w:sz w:val="22"/>
          <w:szCs w:val="22"/>
        </w:rPr>
        <w:t>并</w:t>
      </w:r>
      <w:r>
        <w:rPr>
          <w:rFonts w:hint="eastAsia" w:ascii="宋体" w:hAnsi="宋体" w:cs="宋体"/>
          <w:color w:val="auto"/>
          <w:sz w:val="22"/>
          <w:szCs w:val="22"/>
        </w:rPr>
        <w:t>根据现场实际需求进行线路改造、墙体改造（包括现场混泥土开槽恢复，线材穿</w:t>
      </w:r>
      <w:r>
        <w:rPr>
          <w:rFonts w:hint="eastAsia" w:ascii="宋体" w:hAnsi="宋体" w:eastAsia="宋体" w:cs="宋体"/>
          <w:color w:val="auto"/>
          <w:sz w:val="22"/>
          <w:szCs w:val="22"/>
        </w:rPr>
        <w:t>管等防护措施），校园虚拟电视台及录播实训室的配套课桌椅等，进行整体系统集成与安装服务。详见采购需求清单。</w:t>
      </w:r>
    </w:p>
    <w:p w14:paraId="10215C1F">
      <w:pPr>
        <w:pStyle w:val="129"/>
        <w:spacing w:line="360" w:lineRule="auto"/>
        <w:ind w:firstLineChars="200"/>
        <w:jc w:val="both"/>
        <w:rPr>
          <w:rFonts w:hint="eastAsia" w:ascii="宋体" w:hAnsi="宋体" w:eastAsia="宋体" w:cs="宋体"/>
          <w:color w:val="auto"/>
          <w:sz w:val="22"/>
          <w:szCs w:val="22"/>
        </w:rPr>
      </w:pPr>
      <w:r>
        <w:rPr>
          <w:rFonts w:hint="eastAsia" w:ascii="宋体" w:hAnsi="宋体" w:eastAsia="宋体" w:cs="宋体"/>
          <w:color w:val="auto"/>
          <w:sz w:val="22"/>
          <w:szCs w:val="22"/>
        </w:rPr>
        <w:t>详见后附采购需求清单。采购标的共计200万元整。</w:t>
      </w:r>
    </w:p>
    <w:p w14:paraId="4A00B1A2">
      <w:pPr>
        <w:pStyle w:val="129"/>
        <w:spacing w:line="360" w:lineRule="auto"/>
        <w:ind w:left="0" w:leftChars="0" w:firstLine="0" w:firstLineChars="0"/>
        <w:jc w:val="center"/>
        <w:rPr>
          <w:rFonts w:hint="eastAsia" w:ascii="宋体" w:hAnsi="宋体" w:cs="宋体"/>
          <w:color w:val="auto"/>
          <w:sz w:val="22"/>
          <w:szCs w:val="22"/>
        </w:rPr>
      </w:pPr>
    </w:p>
    <w:p w14:paraId="31886E86">
      <w:pPr>
        <w:pStyle w:val="129"/>
        <w:spacing w:line="360" w:lineRule="auto"/>
        <w:ind w:left="0" w:leftChars="0" w:firstLine="0" w:firstLineChars="0"/>
        <w:jc w:val="center"/>
        <w:rPr>
          <w:rFonts w:hint="eastAsia" w:ascii="宋体" w:hAnsi="宋体" w:cs="宋体"/>
          <w:color w:val="auto"/>
          <w:sz w:val="22"/>
          <w:szCs w:val="22"/>
        </w:rPr>
      </w:pPr>
    </w:p>
    <w:p w14:paraId="78F7074C">
      <w:pPr>
        <w:pStyle w:val="129"/>
        <w:spacing w:line="360" w:lineRule="auto"/>
        <w:ind w:left="0" w:leftChars="0" w:firstLine="0" w:firstLineChars="0"/>
        <w:jc w:val="center"/>
        <w:rPr>
          <w:rFonts w:hint="eastAsia" w:ascii="宋体" w:hAnsi="宋体" w:cs="宋体"/>
          <w:color w:val="auto"/>
          <w:sz w:val="22"/>
          <w:szCs w:val="22"/>
        </w:rPr>
      </w:pPr>
    </w:p>
    <w:p w14:paraId="5EE0CA99">
      <w:pPr>
        <w:pStyle w:val="129"/>
        <w:spacing w:line="360" w:lineRule="auto"/>
        <w:ind w:left="0" w:leftChars="0" w:firstLine="0" w:firstLineChars="0"/>
        <w:jc w:val="center"/>
        <w:rPr>
          <w:rFonts w:hint="eastAsia" w:ascii="宋体" w:hAnsi="宋体" w:cs="宋体"/>
          <w:color w:val="auto"/>
          <w:sz w:val="22"/>
          <w:szCs w:val="22"/>
          <w:lang w:val="en-US" w:eastAsia="zh-CN"/>
        </w:rPr>
      </w:pPr>
      <w:r>
        <w:rPr>
          <w:rFonts w:hint="eastAsia" w:ascii="宋体" w:hAnsi="宋体" w:cs="宋体"/>
          <w:color w:val="auto"/>
          <w:sz w:val="32"/>
          <w:szCs w:val="32"/>
        </w:rPr>
        <w:t>若羌县职业高中智慧校园建设项目</w:t>
      </w:r>
      <w:r>
        <w:rPr>
          <w:rFonts w:hint="eastAsia" w:ascii="宋体" w:hAnsi="宋体" w:cs="宋体"/>
          <w:color w:val="auto"/>
          <w:sz w:val="32"/>
          <w:szCs w:val="32"/>
          <w:lang w:eastAsia="zh-CN"/>
        </w:rPr>
        <w:t>：</w:t>
      </w:r>
      <w:r>
        <w:rPr>
          <w:rFonts w:hint="eastAsia" w:ascii="宋体" w:hAnsi="宋体" w:cs="宋体"/>
          <w:color w:val="auto"/>
          <w:sz w:val="32"/>
          <w:szCs w:val="32"/>
          <w:lang w:val="en-US" w:eastAsia="zh-CN"/>
        </w:rPr>
        <w:t>数量清单</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098"/>
        <w:gridCol w:w="2921"/>
        <w:gridCol w:w="920"/>
        <w:gridCol w:w="943"/>
        <w:gridCol w:w="1103"/>
      </w:tblGrid>
      <w:tr w14:paraId="7D06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91" w:type="dxa"/>
            <w:vAlign w:val="center"/>
          </w:tcPr>
          <w:p w14:paraId="31140B3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序号</w:t>
            </w:r>
          </w:p>
        </w:tc>
        <w:tc>
          <w:tcPr>
            <w:tcW w:w="2098" w:type="dxa"/>
            <w:vAlign w:val="center"/>
          </w:tcPr>
          <w:p w14:paraId="31E8D1D9">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产品名称</w:t>
            </w:r>
          </w:p>
        </w:tc>
        <w:tc>
          <w:tcPr>
            <w:tcW w:w="2921" w:type="dxa"/>
            <w:vAlign w:val="center"/>
          </w:tcPr>
          <w:p w14:paraId="7445162D">
            <w:pPr>
              <w:pStyle w:val="129"/>
              <w:spacing w:line="360" w:lineRule="auto"/>
              <w:ind w:left="0" w:leftChars="0" w:firstLine="0" w:firstLineChars="0"/>
              <w:jc w:val="center"/>
              <w:rPr>
                <w:rFonts w:hint="eastAsia"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技术参数</w:t>
            </w:r>
          </w:p>
        </w:tc>
        <w:tc>
          <w:tcPr>
            <w:tcW w:w="920" w:type="dxa"/>
            <w:vAlign w:val="center"/>
          </w:tcPr>
          <w:p w14:paraId="6FF9AE8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数量</w:t>
            </w:r>
          </w:p>
        </w:tc>
        <w:tc>
          <w:tcPr>
            <w:tcW w:w="943" w:type="dxa"/>
            <w:vAlign w:val="center"/>
          </w:tcPr>
          <w:p w14:paraId="31392DC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单位</w:t>
            </w:r>
          </w:p>
        </w:tc>
        <w:tc>
          <w:tcPr>
            <w:tcW w:w="1103" w:type="dxa"/>
            <w:vAlign w:val="center"/>
          </w:tcPr>
          <w:p w14:paraId="1BA57AC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备注</w:t>
            </w:r>
          </w:p>
        </w:tc>
      </w:tr>
      <w:tr w14:paraId="189F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3CFBE4A">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1</w:t>
            </w:r>
          </w:p>
        </w:tc>
        <w:tc>
          <w:tcPr>
            <w:tcW w:w="2098" w:type="dxa"/>
            <w:shd w:val="clear" w:color="auto" w:fill="auto"/>
            <w:vAlign w:val="center"/>
          </w:tcPr>
          <w:p w14:paraId="6156B615">
            <w:pPr>
              <w:widowControl/>
              <w:snapToGrid w:val="0"/>
              <w:ind w:left="0" w:leftChars="0" w:right="0" w:rightChars="0" w:firstLine="0" w:firstLineChars="0"/>
              <w:jc w:val="center"/>
              <w:rPr>
                <w:rFonts w:hint="eastAsia" w:ascii="宋体" w:hAnsi="仿宋" w:eastAsia="宋体" w:cs="宋体"/>
                <w:color w:val="auto"/>
                <w:kern w:val="0"/>
                <w:sz w:val="21"/>
                <w:szCs w:val="21"/>
                <w:lang w:val="en-US" w:eastAsia="zh-CN" w:bidi="ar-SA"/>
              </w:rPr>
            </w:pPr>
            <w:r>
              <w:rPr>
                <w:rFonts w:hint="eastAsia" w:ascii="宋体" w:hAnsi="仿宋" w:eastAsia="宋体"/>
                <w:color w:val="auto"/>
                <w:sz w:val="21"/>
              </w:rPr>
              <w:t>网络控制器</w:t>
            </w:r>
          </w:p>
        </w:tc>
        <w:tc>
          <w:tcPr>
            <w:tcW w:w="2921" w:type="dxa"/>
            <w:vAlign w:val="center"/>
          </w:tcPr>
          <w:p w14:paraId="149D4C93">
            <w:pPr>
              <w:spacing w:line="360" w:lineRule="auto"/>
              <w:jc w:val="center"/>
              <w:rPr>
                <w:rFonts w:hint="eastAsia" w:ascii="宋体" w:hAnsi="宋体" w:cs="宋体"/>
                <w:color w:val="auto"/>
                <w:sz w:val="22"/>
                <w:szCs w:val="22"/>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0A4E3FD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BA3F4C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521CD487">
            <w:pPr>
              <w:pStyle w:val="129"/>
              <w:spacing w:line="360" w:lineRule="auto"/>
              <w:jc w:val="center"/>
              <w:rPr>
                <w:rFonts w:hint="eastAsia" w:ascii="宋体" w:hAnsi="宋体" w:cs="宋体"/>
                <w:color w:val="auto"/>
                <w:sz w:val="22"/>
                <w:szCs w:val="22"/>
                <w:vertAlign w:val="baseline"/>
                <w:lang w:val="en-US" w:eastAsia="zh-CN"/>
              </w:rPr>
            </w:pPr>
          </w:p>
        </w:tc>
      </w:tr>
      <w:tr w14:paraId="38C6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EAFE0F2">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2</w:t>
            </w:r>
          </w:p>
        </w:tc>
        <w:tc>
          <w:tcPr>
            <w:tcW w:w="2098" w:type="dxa"/>
            <w:shd w:val="clear" w:color="auto" w:fill="auto"/>
            <w:vAlign w:val="center"/>
          </w:tcPr>
          <w:p w14:paraId="715C9046">
            <w:pPr>
              <w:widowControl/>
              <w:snapToGrid w:val="0"/>
              <w:ind w:left="0" w:leftChars="0" w:right="0" w:rightChars="0" w:firstLine="0" w:firstLineChars="0"/>
              <w:jc w:val="center"/>
              <w:rPr>
                <w:rFonts w:hint="eastAsia" w:ascii="宋体" w:hAnsi="仿宋" w:eastAsia="宋体" w:cs="宋体"/>
                <w:color w:val="auto"/>
                <w:kern w:val="0"/>
                <w:sz w:val="21"/>
                <w:szCs w:val="21"/>
                <w:lang w:val="en-US" w:eastAsia="zh-CN" w:bidi="ar-SA"/>
              </w:rPr>
            </w:pPr>
            <w:r>
              <w:rPr>
                <w:rFonts w:hint="eastAsia" w:ascii="宋体" w:hAnsi="仿宋" w:eastAsia="宋体"/>
                <w:color w:val="auto"/>
                <w:sz w:val="21"/>
              </w:rPr>
              <w:t>SDN网络管理中心</w:t>
            </w:r>
          </w:p>
        </w:tc>
        <w:tc>
          <w:tcPr>
            <w:tcW w:w="2921" w:type="dxa"/>
            <w:vAlign w:val="center"/>
          </w:tcPr>
          <w:p w14:paraId="08674B33">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9752DB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17A8C674">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62D8A76D">
            <w:pPr>
              <w:pStyle w:val="129"/>
              <w:spacing w:line="360" w:lineRule="auto"/>
              <w:jc w:val="center"/>
              <w:rPr>
                <w:rFonts w:hint="eastAsia" w:ascii="宋体" w:hAnsi="宋体" w:cs="宋体"/>
                <w:color w:val="auto"/>
                <w:sz w:val="22"/>
                <w:szCs w:val="22"/>
                <w:vertAlign w:val="baseline"/>
                <w:lang w:val="en-US" w:eastAsia="zh-CN"/>
              </w:rPr>
            </w:pPr>
          </w:p>
        </w:tc>
      </w:tr>
      <w:tr w14:paraId="6F51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2CBFA73">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3</w:t>
            </w:r>
          </w:p>
        </w:tc>
        <w:tc>
          <w:tcPr>
            <w:tcW w:w="2098" w:type="dxa"/>
            <w:shd w:val="clear" w:color="auto" w:fill="auto"/>
            <w:vAlign w:val="center"/>
          </w:tcPr>
          <w:p w14:paraId="7A1EC948">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统一认证平台</w:t>
            </w:r>
          </w:p>
        </w:tc>
        <w:tc>
          <w:tcPr>
            <w:tcW w:w="2921" w:type="dxa"/>
            <w:vAlign w:val="center"/>
          </w:tcPr>
          <w:p w14:paraId="75515BC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4F0312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330397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21485D82">
            <w:pPr>
              <w:pStyle w:val="129"/>
              <w:spacing w:line="360" w:lineRule="auto"/>
              <w:jc w:val="center"/>
              <w:rPr>
                <w:rFonts w:hint="eastAsia" w:ascii="宋体" w:hAnsi="宋体" w:cs="宋体"/>
                <w:color w:val="auto"/>
                <w:sz w:val="22"/>
                <w:szCs w:val="22"/>
                <w:vertAlign w:val="baseline"/>
                <w:lang w:val="en-US" w:eastAsia="zh-CN"/>
              </w:rPr>
            </w:pPr>
          </w:p>
        </w:tc>
      </w:tr>
      <w:tr w14:paraId="2E0E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607CC65">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4</w:t>
            </w:r>
          </w:p>
        </w:tc>
        <w:tc>
          <w:tcPr>
            <w:tcW w:w="2098" w:type="dxa"/>
            <w:shd w:val="clear" w:color="auto" w:fill="auto"/>
            <w:vAlign w:val="center"/>
          </w:tcPr>
          <w:p w14:paraId="7FE0C15E">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终端分析管理组件</w:t>
            </w:r>
          </w:p>
        </w:tc>
        <w:tc>
          <w:tcPr>
            <w:tcW w:w="2921" w:type="dxa"/>
            <w:vAlign w:val="center"/>
          </w:tcPr>
          <w:p w14:paraId="1C81247B">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1307B89">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2A59E8A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647E27F5">
            <w:pPr>
              <w:pStyle w:val="129"/>
              <w:spacing w:line="360" w:lineRule="auto"/>
              <w:jc w:val="center"/>
              <w:rPr>
                <w:rFonts w:hint="eastAsia" w:ascii="宋体" w:hAnsi="宋体" w:cs="宋体"/>
                <w:color w:val="auto"/>
                <w:sz w:val="22"/>
                <w:szCs w:val="22"/>
                <w:vertAlign w:val="baseline"/>
                <w:lang w:val="en-US" w:eastAsia="zh-CN"/>
              </w:rPr>
            </w:pPr>
          </w:p>
        </w:tc>
      </w:tr>
      <w:tr w14:paraId="2A0B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69C4ED7">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5</w:t>
            </w:r>
          </w:p>
        </w:tc>
        <w:tc>
          <w:tcPr>
            <w:tcW w:w="2098" w:type="dxa"/>
            <w:shd w:val="clear" w:color="auto" w:fill="auto"/>
            <w:vAlign w:val="center"/>
          </w:tcPr>
          <w:p w14:paraId="0222766D">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核心交换机</w:t>
            </w:r>
          </w:p>
        </w:tc>
        <w:tc>
          <w:tcPr>
            <w:tcW w:w="2921" w:type="dxa"/>
            <w:vAlign w:val="center"/>
          </w:tcPr>
          <w:p w14:paraId="7E59454E">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1963B7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2DDF8D0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44A37283">
            <w:pPr>
              <w:pStyle w:val="129"/>
              <w:spacing w:line="360" w:lineRule="auto"/>
              <w:jc w:val="center"/>
              <w:rPr>
                <w:rFonts w:hint="eastAsia" w:ascii="宋体" w:hAnsi="宋体" w:cs="宋体"/>
                <w:color w:val="auto"/>
                <w:sz w:val="22"/>
                <w:szCs w:val="22"/>
                <w:vertAlign w:val="baseline"/>
                <w:lang w:val="en-US" w:eastAsia="zh-CN"/>
              </w:rPr>
            </w:pPr>
          </w:p>
        </w:tc>
      </w:tr>
      <w:tr w14:paraId="4F664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03B50BF">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6</w:t>
            </w:r>
          </w:p>
        </w:tc>
        <w:tc>
          <w:tcPr>
            <w:tcW w:w="2098" w:type="dxa"/>
            <w:shd w:val="clear" w:color="auto" w:fill="auto"/>
            <w:vAlign w:val="center"/>
          </w:tcPr>
          <w:p w14:paraId="4C9AB353">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防火墙</w:t>
            </w:r>
          </w:p>
        </w:tc>
        <w:tc>
          <w:tcPr>
            <w:tcW w:w="2921" w:type="dxa"/>
            <w:vAlign w:val="center"/>
          </w:tcPr>
          <w:p w14:paraId="24D9F7DD">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381378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310EE06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410478A1">
            <w:pPr>
              <w:pStyle w:val="129"/>
              <w:spacing w:line="360" w:lineRule="auto"/>
              <w:jc w:val="center"/>
              <w:rPr>
                <w:rFonts w:hint="eastAsia" w:ascii="宋体" w:hAnsi="宋体" w:cs="宋体"/>
                <w:color w:val="auto"/>
                <w:sz w:val="22"/>
                <w:szCs w:val="22"/>
                <w:vertAlign w:val="baseline"/>
                <w:lang w:val="en-US" w:eastAsia="zh-CN"/>
              </w:rPr>
            </w:pPr>
          </w:p>
        </w:tc>
      </w:tr>
      <w:tr w14:paraId="5238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0ADFFF6">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7</w:t>
            </w:r>
          </w:p>
        </w:tc>
        <w:tc>
          <w:tcPr>
            <w:tcW w:w="2098" w:type="dxa"/>
            <w:shd w:val="clear" w:color="auto" w:fill="auto"/>
            <w:vAlign w:val="center"/>
          </w:tcPr>
          <w:p w14:paraId="2879AB31">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POE汇聚交换机</w:t>
            </w:r>
          </w:p>
        </w:tc>
        <w:tc>
          <w:tcPr>
            <w:tcW w:w="2921" w:type="dxa"/>
            <w:vAlign w:val="center"/>
          </w:tcPr>
          <w:p w14:paraId="7B158BA3">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62FAE8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4</w:t>
            </w:r>
          </w:p>
        </w:tc>
        <w:tc>
          <w:tcPr>
            <w:tcW w:w="943" w:type="dxa"/>
            <w:vAlign w:val="center"/>
          </w:tcPr>
          <w:p w14:paraId="639F755F">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36240462">
            <w:pPr>
              <w:pStyle w:val="129"/>
              <w:spacing w:line="360" w:lineRule="auto"/>
              <w:jc w:val="center"/>
              <w:rPr>
                <w:rFonts w:hint="eastAsia" w:ascii="宋体" w:hAnsi="宋体" w:cs="宋体"/>
                <w:color w:val="auto"/>
                <w:sz w:val="22"/>
                <w:szCs w:val="22"/>
                <w:vertAlign w:val="baseline"/>
                <w:lang w:val="en-US" w:eastAsia="zh-CN"/>
              </w:rPr>
            </w:pPr>
          </w:p>
        </w:tc>
      </w:tr>
      <w:tr w14:paraId="69F9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DE1B0E3">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8</w:t>
            </w:r>
          </w:p>
        </w:tc>
        <w:tc>
          <w:tcPr>
            <w:tcW w:w="2098" w:type="dxa"/>
            <w:shd w:val="clear" w:color="auto" w:fill="auto"/>
            <w:vAlign w:val="center"/>
          </w:tcPr>
          <w:p w14:paraId="50933772">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AP+4网口</w:t>
            </w:r>
          </w:p>
        </w:tc>
        <w:tc>
          <w:tcPr>
            <w:tcW w:w="2921" w:type="dxa"/>
            <w:vAlign w:val="center"/>
          </w:tcPr>
          <w:p w14:paraId="34AA1D3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B3C09F4">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50</w:t>
            </w:r>
          </w:p>
        </w:tc>
        <w:tc>
          <w:tcPr>
            <w:tcW w:w="943" w:type="dxa"/>
            <w:vAlign w:val="center"/>
          </w:tcPr>
          <w:p w14:paraId="2BC3197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0A5B9AD0">
            <w:pPr>
              <w:pStyle w:val="129"/>
              <w:spacing w:line="360" w:lineRule="auto"/>
              <w:jc w:val="center"/>
              <w:rPr>
                <w:rFonts w:hint="eastAsia" w:ascii="宋体" w:hAnsi="宋体" w:cs="宋体"/>
                <w:color w:val="auto"/>
                <w:sz w:val="22"/>
                <w:szCs w:val="22"/>
                <w:vertAlign w:val="baseline"/>
                <w:lang w:val="en-US" w:eastAsia="zh-CN"/>
              </w:rPr>
            </w:pPr>
          </w:p>
        </w:tc>
      </w:tr>
      <w:tr w14:paraId="13D9C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00EDDB9">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9</w:t>
            </w:r>
          </w:p>
        </w:tc>
        <w:tc>
          <w:tcPr>
            <w:tcW w:w="2098" w:type="dxa"/>
            <w:shd w:val="clear" w:color="auto" w:fill="auto"/>
            <w:vAlign w:val="center"/>
          </w:tcPr>
          <w:p w14:paraId="28D183D1">
            <w:pPr>
              <w:widowControl/>
              <w:snapToGrid w:val="0"/>
              <w:ind w:left="0" w:leftChars="0" w:right="0" w:rightChars="0" w:firstLine="0" w:firstLineChars="0"/>
              <w:jc w:val="center"/>
              <w:rPr>
                <w:rFonts w:hint="eastAsia" w:ascii="宋体" w:hAnsi="仿宋" w:eastAsia="宋体" w:cs="Times New Roman"/>
                <w:color w:val="auto"/>
                <w:kern w:val="2"/>
                <w:sz w:val="21"/>
                <w:szCs w:val="21"/>
                <w:highlight w:val="none"/>
                <w:lang w:val="en-US" w:eastAsia="zh-CN" w:bidi="ar-SA"/>
              </w:rPr>
            </w:pPr>
            <w:r>
              <w:rPr>
                <w:rFonts w:hint="eastAsia" w:ascii="宋体" w:hAnsi="仿宋" w:eastAsia="宋体"/>
                <w:color w:val="auto"/>
                <w:sz w:val="21"/>
                <w:highlight w:val="none"/>
              </w:rPr>
              <w:t>楼层机柜</w:t>
            </w:r>
          </w:p>
        </w:tc>
        <w:tc>
          <w:tcPr>
            <w:tcW w:w="2921" w:type="dxa"/>
            <w:vAlign w:val="center"/>
          </w:tcPr>
          <w:p w14:paraId="4705912E">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9E80FA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4</w:t>
            </w:r>
          </w:p>
        </w:tc>
        <w:tc>
          <w:tcPr>
            <w:tcW w:w="943" w:type="dxa"/>
            <w:vAlign w:val="center"/>
          </w:tcPr>
          <w:p w14:paraId="3CEA7EE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个</w:t>
            </w:r>
          </w:p>
        </w:tc>
        <w:tc>
          <w:tcPr>
            <w:tcW w:w="1103" w:type="dxa"/>
            <w:vAlign w:val="center"/>
          </w:tcPr>
          <w:p w14:paraId="09F3D8AE">
            <w:pPr>
              <w:pStyle w:val="129"/>
              <w:spacing w:line="360" w:lineRule="auto"/>
              <w:jc w:val="center"/>
              <w:rPr>
                <w:rFonts w:hint="eastAsia" w:ascii="宋体" w:hAnsi="宋体" w:cs="宋体"/>
                <w:color w:val="auto"/>
                <w:sz w:val="22"/>
                <w:szCs w:val="22"/>
                <w:vertAlign w:val="baseline"/>
                <w:lang w:val="en-US" w:eastAsia="zh-CN"/>
              </w:rPr>
            </w:pPr>
          </w:p>
        </w:tc>
      </w:tr>
      <w:tr w14:paraId="68528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491AA1B">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10</w:t>
            </w:r>
          </w:p>
        </w:tc>
        <w:tc>
          <w:tcPr>
            <w:tcW w:w="2098" w:type="dxa"/>
            <w:shd w:val="clear" w:color="auto" w:fill="auto"/>
            <w:vAlign w:val="center"/>
          </w:tcPr>
          <w:p w14:paraId="67837C47">
            <w:pPr>
              <w:widowControl/>
              <w:snapToGrid w:val="0"/>
              <w:ind w:left="0" w:leftChars="0" w:right="0" w:rightChars="0" w:firstLine="0" w:firstLineChars="0"/>
              <w:jc w:val="center"/>
              <w:rPr>
                <w:rFonts w:hint="eastAsia" w:ascii="宋体" w:hAnsi="仿宋" w:eastAsia="宋体" w:cs="Times New Roman"/>
                <w:color w:val="auto"/>
                <w:kern w:val="2"/>
                <w:sz w:val="21"/>
                <w:szCs w:val="21"/>
                <w:highlight w:val="none"/>
                <w:lang w:val="en-US" w:eastAsia="zh-CN" w:bidi="ar-SA"/>
              </w:rPr>
            </w:pPr>
            <w:r>
              <w:rPr>
                <w:rFonts w:hint="eastAsia" w:ascii="宋体" w:hAnsi="仿宋" w:eastAsia="宋体"/>
                <w:color w:val="auto"/>
                <w:sz w:val="21"/>
                <w:highlight w:val="none"/>
              </w:rPr>
              <w:t>机房机柜</w:t>
            </w:r>
          </w:p>
        </w:tc>
        <w:tc>
          <w:tcPr>
            <w:tcW w:w="2921" w:type="dxa"/>
            <w:vAlign w:val="center"/>
          </w:tcPr>
          <w:p w14:paraId="01EF1E5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00E3D8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38E768A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个</w:t>
            </w:r>
          </w:p>
        </w:tc>
        <w:tc>
          <w:tcPr>
            <w:tcW w:w="1103" w:type="dxa"/>
            <w:vAlign w:val="center"/>
          </w:tcPr>
          <w:p w14:paraId="4D42B68A">
            <w:pPr>
              <w:pStyle w:val="129"/>
              <w:spacing w:line="360" w:lineRule="auto"/>
              <w:jc w:val="center"/>
              <w:rPr>
                <w:rFonts w:hint="eastAsia" w:ascii="宋体" w:hAnsi="宋体" w:cs="宋体"/>
                <w:color w:val="auto"/>
                <w:sz w:val="22"/>
                <w:szCs w:val="22"/>
                <w:vertAlign w:val="baseline"/>
                <w:lang w:val="en-US" w:eastAsia="zh-CN"/>
              </w:rPr>
            </w:pPr>
          </w:p>
        </w:tc>
      </w:tr>
      <w:tr w14:paraId="5530E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F53BA08">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11</w:t>
            </w:r>
          </w:p>
        </w:tc>
        <w:tc>
          <w:tcPr>
            <w:tcW w:w="2098" w:type="dxa"/>
            <w:shd w:val="clear" w:color="auto" w:fill="auto"/>
            <w:vAlign w:val="center"/>
          </w:tcPr>
          <w:p w14:paraId="5ABF64E3">
            <w:pPr>
              <w:widowControl/>
              <w:snapToGrid w:val="0"/>
              <w:ind w:left="0" w:leftChars="0" w:right="0" w:rightChars="0" w:firstLine="0" w:firstLineChars="0"/>
              <w:jc w:val="center"/>
              <w:rPr>
                <w:rFonts w:hint="eastAsia" w:ascii="宋体" w:hAnsi="仿宋" w:eastAsia="宋体" w:cs="Times New Roman"/>
                <w:color w:val="auto"/>
                <w:kern w:val="2"/>
                <w:sz w:val="21"/>
                <w:szCs w:val="21"/>
                <w:highlight w:val="none"/>
                <w:lang w:val="en-US" w:eastAsia="zh-CN" w:bidi="ar-SA"/>
              </w:rPr>
            </w:pPr>
            <w:r>
              <w:rPr>
                <w:rFonts w:hint="eastAsia" w:ascii="宋体" w:hAnsi="仿宋" w:eastAsia="宋体"/>
                <w:color w:val="auto"/>
                <w:sz w:val="21"/>
                <w:highlight w:val="none"/>
              </w:rPr>
              <w:t>网线</w:t>
            </w:r>
          </w:p>
        </w:tc>
        <w:tc>
          <w:tcPr>
            <w:tcW w:w="2921" w:type="dxa"/>
            <w:vAlign w:val="center"/>
          </w:tcPr>
          <w:p w14:paraId="3B41CF7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CAEA53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98A509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5E63257F">
            <w:pPr>
              <w:pStyle w:val="129"/>
              <w:spacing w:line="360" w:lineRule="auto"/>
              <w:jc w:val="center"/>
              <w:rPr>
                <w:rFonts w:hint="eastAsia" w:ascii="宋体" w:hAnsi="宋体" w:cs="宋体"/>
                <w:color w:val="auto"/>
                <w:sz w:val="22"/>
                <w:szCs w:val="22"/>
                <w:vertAlign w:val="baseline"/>
                <w:lang w:val="en-US" w:eastAsia="zh-CN"/>
              </w:rPr>
            </w:pPr>
          </w:p>
        </w:tc>
      </w:tr>
      <w:tr w14:paraId="314B8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0B95F2B">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12</w:t>
            </w:r>
          </w:p>
        </w:tc>
        <w:tc>
          <w:tcPr>
            <w:tcW w:w="2098" w:type="dxa"/>
            <w:shd w:val="clear" w:color="auto" w:fill="auto"/>
            <w:vAlign w:val="center"/>
          </w:tcPr>
          <w:p w14:paraId="076F2D82">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光模块（万兆）</w:t>
            </w:r>
          </w:p>
        </w:tc>
        <w:tc>
          <w:tcPr>
            <w:tcW w:w="2921" w:type="dxa"/>
            <w:vAlign w:val="center"/>
          </w:tcPr>
          <w:p w14:paraId="4F86ECB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0348EF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8</w:t>
            </w:r>
          </w:p>
        </w:tc>
        <w:tc>
          <w:tcPr>
            <w:tcW w:w="943" w:type="dxa"/>
            <w:vAlign w:val="center"/>
          </w:tcPr>
          <w:p w14:paraId="0804692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个</w:t>
            </w:r>
          </w:p>
        </w:tc>
        <w:tc>
          <w:tcPr>
            <w:tcW w:w="1103" w:type="dxa"/>
            <w:vAlign w:val="center"/>
          </w:tcPr>
          <w:p w14:paraId="7F371997">
            <w:pPr>
              <w:pStyle w:val="129"/>
              <w:spacing w:line="360" w:lineRule="auto"/>
              <w:jc w:val="center"/>
              <w:rPr>
                <w:rFonts w:hint="eastAsia" w:ascii="宋体" w:hAnsi="宋体" w:cs="宋体"/>
                <w:color w:val="auto"/>
                <w:sz w:val="22"/>
                <w:szCs w:val="22"/>
                <w:vertAlign w:val="baseline"/>
                <w:lang w:val="en-US" w:eastAsia="zh-CN"/>
              </w:rPr>
            </w:pPr>
          </w:p>
        </w:tc>
      </w:tr>
      <w:tr w14:paraId="75B31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66111D7">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rPr>
              <w:t>13</w:t>
            </w:r>
          </w:p>
        </w:tc>
        <w:tc>
          <w:tcPr>
            <w:tcW w:w="2098" w:type="dxa"/>
            <w:shd w:val="clear" w:color="auto" w:fill="auto"/>
            <w:vAlign w:val="center"/>
          </w:tcPr>
          <w:p w14:paraId="6167F5AC">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实施+辅材</w:t>
            </w:r>
          </w:p>
        </w:tc>
        <w:tc>
          <w:tcPr>
            <w:tcW w:w="2921" w:type="dxa"/>
            <w:vAlign w:val="center"/>
          </w:tcPr>
          <w:p w14:paraId="3A777AA6">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1DFA009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C7E30A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39256519">
            <w:pPr>
              <w:pStyle w:val="129"/>
              <w:spacing w:line="360" w:lineRule="auto"/>
              <w:jc w:val="center"/>
              <w:rPr>
                <w:rFonts w:hint="eastAsia" w:ascii="宋体" w:hAnsi="宋体" w:cs="宋体"/>
                <w:color w:val="auto"/>
                <w:sz w:val="22"/>
                <w:szCs w:val="22"/>
                <w:vertAlign w:val="baseline"/>
                <w:lang w:val="en-US" w:eastAsia="zh-CN"/>
              </w:rPr>
            </w:pPr>
          </w:p>
        </w:tc>
      </w:tr>
      <w:tr w14:paraId="6EDC9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16123BE">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14</w:t>
            </w:r>
          </w:p>
        </w:tc>
        <w:tc>
          <w:tcPr>
            <w:tcW w:w="2098" w:type="dxa"/>
            <w:shd w:val="clear" w:color="auto" w:fill="auto"/>
            <w:vAlign w:val="center"/>
          </w:tcPr>
          <w:p w14:paraId="164F251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auto"/>
                <w:kern w:val="0"/>
                <w:sz w:val="21"/>
                <w:szCs w:val="20"/>
                <w:lang w:val="en-US" w:eastAsia="zh-CN" w:bidi="ar-SA"/>
              </w:rPr>
            </w:pPr>
            <w:r>
              <w:rPr>
                <w:rFonts w:hint="eastAsia" w:ascii="宋体" w:hAnsi="仿宋" w:eastAsia="宋体"/>
                <w:color w:val="auto"/>
                <w:sz w:val="21"/>
              </w:rPr>
              <w:t>IP网络广播控制中心</w:t>
            </w:r>
          </w:p>
        </w:tc>
        <w:tc>
          <w:tcPr>
            <w:tcW w:w="2921" w:type="dxa"/>
            <w:vAlign w:val="center"/>
          </w:tcPr>
          <w:p w14:paraId="71994BC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B116BB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1DB3A5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73FC60D0">
            <w:pPr>
              <w:pStyle w:val="129"/>
              <w:spacing w:line="360" w:lineRule="auto"/>
              <w:jc w:val="center"/>
              <w:rPr>
                <w:rFonts w:hint="eastAsia" w:ascii="宋体" w:hAnsi="宋体" w:cs="宋体"/>
                <w:color w:val="auto"/>
                <w:sz w:val="22"/>
                <w:szCs w:val="22"/>
                <w:vertAlign w:val="baseline"/>
                <w:lang w:val="en-US" w:eastAsia="zh-CN"/>
              </w:rPr>
            </w:pPr>
          </w:p>
        </w:tc>
      </w:tr>
      <w:tr w14:paraId="7585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A9AB2B5">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15</w:t>
            </w:r>
          </w:p>
        </w:tc>
        <w:tc>
          <w:tcPr>
            <w:tcW w:w="2098" w:type="dxa"/>
            <w:shd w:val="clear" w:color="auto" w:fill="auto"/>
            <w:vAlign w:val="center"/>
          </w:tcPr>
          <w:p w14:paraId="3A085090">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auto"/>
                <w:kern w:val="0"/>
                <w:sz w:val="21"/>
                <w:szCs w:val="20"/>
                <w:lang w:val="en-US" w:eastAsia="zh-CN" w:bidi="ar-SA"/>
              </w:rPr>
            </w:pPr>
            <w:r>
              <w:rPr>
                <w:rFonts w:hint="eastAsia" w:ascii="宋体" w:hAnsi="仿宋" w:eastAsia="宋体" w:cs="仿宋"/>
                <w:i w:val="0"/>
                <w:iCs w:val="0"/>
                <w:color w:val="auto"/>
                <w:kern w:val="0"/>
                <w:sz w:val="21"/>
                <w:szCs w:val="21"/>
                <w:u w:val="none"/>
                <w:lang w:val="en-US" w:eastAsia="zh-CN" w:bidi="ar"/>
              </w:rPr>
              <w:t>互联网云广播平台管理软件</w:t>
            </w:r>
          </w:p>
        </w:tc>
        <w:tc>
          <w:tcPr>
            <w:tcW w:w="2921" w:type="dxa"/>
            <w:vAlign w:val="center"/>
          </w:tcPr>
          <w:p w14:paraId="56D1AAF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F75CA64">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D67E22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346E4794">
            <w:pPr>
              <w:pStyle w:val="129"/>
              <w:spacing w:line="360" w:lineRule="auto"/>
              <w:jc w:val="center"/>
              <w:rPr>
                <w:rFonts w:hint="eastAsia" w:ascii="宋体" w:hAnsi="宋体" w:cs="宋体"/>
                <w:color w:val="auto"/>
                <w:sz w:val="22"/>
                <w:szCs w:val="22"/>
                <w:vertAlign w:val="baseline"/>
                <w:lang w:val="en-US" w:eastAsia="zh-CN"/>
              </w:rPr>
            </w:pPr>
          </w:p>
        </w:tc>
      </w:tr>
      <w:tr w14:paraId="731D3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F952011">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16</w:t>
            </w:r>
          </w:p>
        </w:tc>
        <w:tc>
          <w:tcPr>
            <w:tcW w:w="2098" w:type="dxa"/>
            <w:shd w:val="clear" w:color="auto" w:fill="auto"/>
            <w:vAlign w:val="center"/>
          </w:tcPr>
          <w:p w14:paraId="20867B8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消防联动模块</w:t>
            </w:r>
          </w:p>
        </w:tc>
        <w:tc>
          <w:tcPr>
            <w:tcW w:w="2921" w:type="dxa"/>
            <w:vAlign w:val="center"/>
          </w:tcPr>
          <w:p w14:paraId="7F66AFE4">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46CFE2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8CA3CF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个</w:t>
            </w:r>
          </w:p>
        </w:tc>
        <w:tc>
          <w:tcPr>
            <w:tcW w:w="1103" w:type="dxa"/>
            <w:vAlign w:val="center"/>
          </w:tcPr>
          <w:p w14:paraId="427E065A">
            <w:pPr>
              <w:pStyle w:val="129"/>
              <w:spacing w:line="360" w:lineRule="auto"/>
              <w:jc w:val="center"/>
              <w:rPr>
                <w:rFonts w:hint="eastAsia" w:ascii="宋体" w:hAnsi="宋体" w:cs="宋体"/>
                <w:color w:val="auto"/>
                <w:sz w:val="22"/>
                <w:szCs w:val="22"/>
                <w:vertAlign w:val="baseline"/>
                <w:lang w:val="en-US" w:eastAsia="zh-CN"/>
              </w:rPr>
            </w:pPr>
          </w:p>
        </w:tc>
      </w:tr>
      <w:tr w14:paraId="38805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59C3276C">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17</w:t>
            </w:r>
          </w:p>
        </w:tc>
        <w:tc>
          <w:tcPr>
            <w:tcW w:w="2098" w:type="dxa"/>
            <w:shd w:val="clear" w:color="auto" w:fill="auto"/>
            <w:vAlign w:val="center"/>
          </w:tcPr>
          <w:p w14:paraId="4F748DC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DVD播放器</w:t>
            </w:r>
          </w:p>
        </w:tc>
        <w:tc>
          <w:tcPr>
            <w:tcW w:w="2921" w:type="dxa"/>
            <w:vAlign w:val="center"/>
          </w:tcPr>
          <w:p w14:paraId="72993A21">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C2CCE4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004083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1CBC6C63">
            <w:pPr>
              <w:pStyle w:val="129"/>
              <w:spacing w:line="360" w:lineRule="auto"/>
              <w:jc w:val="center"/>
              <w:rPr>
                <w:rFonts w:hint="eastAsia" w:ascii="宋体" w:hAnsi="宋体" w:cs="宋体"/>
                <w:color w:val="auto"/>
                <w:sz w:val="22"/>
                <w:szCs w:val="22"/>
                <w:vertAlign w:val="baseline"/>
                <w:lang w:val="en-US" w:eastAsia="zh-CN"/>
              </w:rPr>
            </w:pPr>
          </w:p>
        </w:tc>
      </w:tr>
      <w:tr w14:paraId="38FD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1533A72">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18</w:t>
            </w:r>
          </w:p>
        </w:tc>
        <w:tc>
          <w:tcPr>
            <w:tcW w:w="2098" w:type="dxa"/>
            <w:shd w:val="clear" w:color="auto" w:fill="auto"/>
            <w:vAlign w:val="center"/>
          </w:tcPr>
          <w:p w14:paraId="09ADEFC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数字调谐器</w:t>
            </w:r>
          </w:p>
        </w:tc>
        <w:tc>
          <w:tcPr>
            <w:tcW w:w="2921" w:type="dxa"/>
            <w:vAlign w:val="center"/>
          </w:tcPr>
          <w:p w14:paraId="3834FCA7">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1DBDD68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141DEE9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09C85DE4">
            <w:pPr>
              <w:pStyle w:val="129"/>
              <w:spacing w:line="360" w:lineRule="auto"/>
              <w:jc w:val="center"/>
              <w:rPr>
                <w:rFonts w:hint="eastAsia" w:ascii="宋体" w:hAnsi="宋体" w:cs="宋体"/>
                <w:color w:val="auto"/>
                <w:sz w:val="22"/>
                <w:szCs w:val="22"/>
                <w:vertAlign w:val="baseline"/>
                <w:lang w:val="en-US" w:eastAsia="zh-CN"/>
              </w:rPr>
            </w:pPr>
          </w:p>
        </w:tc>
      </w:tr>
      <w:tr w14:paraId="303F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04C5480">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19</w:t>
            </w:r>
          </w:p>
        </w:tc>
        <w:tc>
          <w:tcPr>
            <w:tcW w:w="2098" w:type="dxa"/>
            <w:shd w:val="clear" w:color="auto" w:fill="auto"/>
            <w:vAlign w:val="center"/>
          </w:tcPr>
          <w:p w14:paraId="765FC1C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机架式互联网云广播音频采集器</w:t>
            </w:r>
          </w:p>
        </w:tc>
        <w:tc>
          <w:tcPr>
            <w:tcW w:w="2921" w:type="dxa"/>
            <w:vAlign w:val="center"/>
          </w:tcPr>
          <w:p w14:paraId="7FE20C9E">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132EF8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A671ED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0AB7B4E7">
            <w:pPr>
              <w:pStyle w:val="129"/>
              <w:spacing w:line="360" w:lineRule="auto"/>
              <w:jc w:val="center"/>
              <w:rPr>
                <w:rFonts w:hint="eastAsia" w:ascii="宋体" w:hAnsi="宋体" w:cs="宋体"/>
                <w:color w:val="auto"/>
                <w:sz w:val="22"/>
                <w:szCs w:val="22"/>
                <w:vertAlign w:val="baseline"/>
                <w:lang w:val="en-US" w:eastAsia="zh-CN"/>
              </w:rPr>
            </w:pPr>
          </w:p>
        </w:tc>
      </w:tr>
      <w:tr w14:paraId="101B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5CA4D4F">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20</w:t>
            </w:r>
          </w:p>
        </w:tc>
        <w:tc>
          <w:tcPr>
            <w:tcW w:w="2098" w:type="dxa"/>
            <w:shd w:val="clear" w:color="auto" w:fill="auto"/>
            <w:vAlign w:val="center"/>
          </w:tcPr>
          <w:p w14:paraId="29C6758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互联网云广播远程寻呼话筒</w:t>
            </w:r>
          </w:p>
        </w:tc>
        <w:tc>
          <w:tcPr>
            <w:tcW w:w="2921" w:type="dxa"/>
            <w:vAlign w:val="center"/>
          </w:tcPr>
          <w:p w14:paraId="34AE2138">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A317FA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3800219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3E0F488B">
            <w:pPr>
              <w:pStyle w:val="129"/>
              <w:spacing w:line="360" w:lineRule="auto"/>
              <w:jc w:val="center"/>
              <w:rPr>
                <w:rFonts w:hint="eastAsia" w:ascii="宋体" w:hAnsi="宋体" w:cs="宋体"/>
                <w:color w:val="auto"/>
                <w:sz w:val="22"/>
                <w:szCs w:val="22"/>
                <w:vertAlign w:val="baseline"/>
                <w:lang w:val="en-US" w:eastAsia="zh-CN"/>
              </w:rPr>
            </w:pPr>
          </w:p>
        </w:tc>
      </w:tr>
      <w:tr w14:paraId="4955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3A518BC">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21</w:t>
            </w:r>
          </w:p>
        </w:tc>
        <w:tc>
          <w:tcPr>
            <w:tcW w:w="2098" w:type="dxa"/>
            <w:shd w:val="clear" w:color="auto" w:fill="auto"/>
            <w:vAlign w:val="center"/>
          </w:tcPr>
          <w:p w14:paraId="150F197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电源时序器</w:t>
            </w:r>
          </w:p>
        </w:tc>
        <w:tc>
          <w:tcPr>
            <w:tcW w:w="2921" w:type="dxa"/>
            <w:vAlign w:val="center"/>
          </w:tcPr>
          <w:p w14:paraId="5139BCBE">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2F1AC9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734BD1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6BA790D6">
            <w:pPr>
              <w:pStyle w:val="129"/>
              <w:spacing w:line="360" w:lineRule="auto"/>
              <w:jc w:val="center"/>
              <w:rPr>
                <w:rFonts w:hint="eastAsia" w:ascii="宋体" w:hAnsi="宋体" w:cs="宋体"/>
                <w:color w:val="auto"/>
                <w:sz w:val="22"/>
                <w:szCs w:val="22"/>
                <w:vertAlign w:val="baseline"/>
                <w:lang w:val="en-US" w:eastAsia="zh-CN"/>
              </w:rPr>
            </w:pPr>
          </w:p>
        </w:tc>
      </w:tr>
      <w:tr w14:paraId="143B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446E558">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22</w:t>
            </w:r>
          </w:p>
        </w:tc>
        <w:tc>
          <w:tcPr>
            <w:tcW w:w="2098" w:type="dxa"/>
            <w:shd w:val="clear" w:color="auto" w:fill="auto"/>
            <w:vAlign w:val="center"/>
          </w:tcPr>
          <w:p w14:paraId="79F07EC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互联网云广播网络有源音箱</w:t>
            </w:r>
          </w:p>
        </w:tc>
        <w:tc>
          <w:tcPr>
            <w:tcW w:w="2921" w:type="dxa"/>
            <w:vAlign w:val="center"/>
          </w:tcPr>
          <w:p w14:paraId="5CCF08A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1E3CEE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34</w:t>
            </w:r>
          </w:p>
        </w:tc>
        <w:tc>
          <w:tcPr>
            <w:tcW w:w="943" w:type="dxa"/>
            <w:vAlign w:val="center"/>
          </w:tcPr>
          <w:p w14:paraId="308BD76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对</w:t>
            </w:r>
          </w:p>
        </w:tc>
        <w:tc>
          <w:tcPr>
            <w:tcW w:w="1103" w:type="dxa"/>
            <w:vAlign w:val="center"/>
          </w:tcPr>
          <w:p w14:paraId="4F65A960">
            <w:pPr>
              <w:pStyle w:val="129"/>
              <w:spacing w:line="360" w:lineRule="auto"/>
              <w:jc w:val="center"/>
              <w:rPr>
                <w:rFonts w:hint="eastAsia" w:ascii="宋体" w:hAnsi="宋体" w:cs="宋体"/>
                <w:color w:val="auto"/>
                <w:sz w:val="22"/>
                <w:szCs w:val="22"/>
                <w:vertAlign w:val="baseline"/>
                <w:lang w:val="en-US" w:eastAsia="zh-CN"/>
              </w:rPr>
            </w:pPr>
          </w:p>
        </w:tc>
      </w:tr>
      <w:tr w14:paraId="71A8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D016684">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23</w:t>
            </w:r>
          </w:p>
        </w:tc>
        <w:tc>
          <w:tcPr>
            <w:tcW w:w="2098" w:type="dxa"/>
            <w:shd w:val="clear" w:color="auto" w:fill="auto"/>
            <w:vAlign w:val="center"/>
          </w:tcPr>
          <w:p w14:paraId="495F9DD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室内壁挂音箱</w:t>
            </w:r>
          </w:p>
        </w:tc>
        <w:tc>
          <w:tcPr>
            <w:tcW w:w="2921" w:type="dxa"/>
            <w:vAlign w:val="center"/>
          </w:tcPr>
          <w:p w14:paraId="670F15D7">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550643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24</w:t>
            </w:r>
          </w:p>
        </w:tc>
        <w:tc>
          <w:tcPr>
            <w:tcW w:w="943" w:type="dxa"/>
            <w:vAlign w:val="center"/>
          </w:tcPr>
          <w:p w14:paraId="6BC063C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只</w:t>
            </w:r>
          </w:p>
        </w:tc>
        <w:tc>
          <w:tcPr>
            <w:tcW w:w="1103" w:type="dxa"/>
            <w:vAlign w:val="center"/>
          </w:tcPr>
          <w:p w14:paraId="6DA554C8">
            <w:pPr>
              <w:pStyle w:val="129"/>
              <w:spacing w:line="360" w:lineRule="auto"/>
              <w:jc w:val="center"/>
              <w:rPr>
                <w:rFonts w:hint="eastAsia" w:ascii="宋体" w:hAnsi="宋体" w:cs="宋体"/>
                <w:color w:val="auto"/>
                <w:sz w:val="22"/>
                <w:szCs w:val="22"/>
                <w:vertAlign w:val="baseline"/>
                <w:lang w:val="en-US" w:eastAsia="zh-CN"/>
              </w:rPr>
            </w:pPr>
          </w:p>
        </w:tc>
      </w:tr>
      <w:tr w14:paraId="5304E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5F8638A">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24</w:t>
            </w:r>
          </w:p>
        </w:tc>
        <w:tc>
          <w:tcPr>
            <w:tcW w:w="2098" w:type="dxa"/>
            <w:shd w:val="clear" w:color="auto" w:fill="auto"/>
            <w:vAlign w:val="center"/>
          </w:tcPr>
          <w:p w14:paraId="467A819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互联网云广播网络功率放大器</w:t>
            </w:r>
          </w:p>
        </w:tc>
        <w:tc>
          <w:tcPr>
            <w:tcW w:w="2921" w:type="dxa"/>
            <w:vAlign w:val="center"/>
          </w:tcPr>
          <w:p w14:paraId="21656C15">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8A6013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D396C4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4C3C07F8">
            <w:pPr>
              <w:pStyle w:val="129"/>
              <w:spacing w:line="360" w:lineRule="auto"/>
              <w:jc w:val="center"/>
              <w:rPr>
                <w:rFonts w:hint="eastAsia" w:ascii="宋体" w:hAnsi="宋体" w:cs="宋体"/>
                <w:color w:val="auto"/>
                <w:sz w:val="22"/>
                <w:szCs w:val="22"/>
                <w:vertAlign w:val="baseline"/>
                <w:lang w:val="en-US" w:eastAsia="zh-CN"/>
              </w:rPr>
            </w:pPr>
          </w:p>
        </w:tc>
      </w:tr>
      <w:tr w14:paraId="2FD3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C6E1181">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25</w:t>
            </w:r>
          </w:p>
        </w:tc>
        <w:tc>
          <w:tcPr>
            <w:tcW w:w="2098" w:type="dxa"/>
            <w:shd w:val="clear" w:color="auto" w:fill="auto"/>
            <w:vAlign w:val="center"/>
          </w:tcPr>
          <w:p w14:paraId="1E088D5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大型室外远程防水音柱</w:t>
            </w:r>
          </w:p>
        </w:tc>
        <w:tc>
          <w:tcPr>
            <w:tcW w:w="2921" w:type="dxa"/>
            <w:vAlign w:val="center"/>
          </w:tcPr>
          <w:p w14:paraId="29B83C8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024EBC0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6</w:t>
            </w:r>
          </w:p>
        </w:tc>
        <w:tc>
          <w:tcPr>
            <w:tcW w:w="943" w:type="dxa"/>
            <w:vAlign w:val="center"/>
          </w:tcPr>
          <w:p w14:paraId="269B6B89">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只</w:t>
            </w:r>
          </w:p>
        </w:tc>
        <w:tc>
          <w:tcPr>
            <w:tcW w:w="1103" w:type="dxa"/>
            <w:vAlign w:val="center"/>
          </w:tcPr>
          <w:p w14:paraId="1C76061A">
            <w:pPr>
              <w:pStyle w:val="129"/>
              <w:spacing w:line="360" w:lineRule="auto"/>
              <w:jc w:val="center"/>
              <w:rPr>
                <w:rFonts w:hint="eastAsia" w:ascii="宋体" w:hAnsi="宋体" w:cs="宋体"/>
                <w:color w:val="auto"/>
                <w:sz w:val="22"/>
                <w:szCs w:val="22"/>
                <w:vertAlign w:val="baseline"/>
                <w:lang w:val="en-US" w:eastAsia="zh-CN"/>
              </w:rPr>
            </w:pPr>
          </w:p>
        </w:tc>
      </w:tr>
      <w:tr w14:paraId="1D68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20D3570">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26</w:t>
            </w:r>
          </w:p>
        </w:tc>
        <w:tc>
          <w:tcPr>
            <w:tcW w:w="2098" w:type="dxa"/>
            <w:shd w:val="clear" w:color="auto" w:fill="auto"/>
            <w:vAlign w:val="center"/>
          </w:tcPr>
          <w:p w14:paraId="1C73B4B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纯后级广播功放</w:t>
            </w:r>
          </w:p>
        </w:tc>
        <w:tc>
          <w:tcPr>
            <w:tcW w:w="2921" w:type="dxa"/>
            <w:vAlign w:val="center"/>
          </w:tcPr>
          <w:p w14:paraId="6F39C8D0">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FB5EC0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4C81CF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5B9903A7">
            <w:pPr>
              <w:pStyle w:val="129"/>
              <w:spacing w:line="360" w:lineRule="auto"/>
              <w:jc w:val="center"/>
              <w:rPr>
                <w:rFonts w:hint="eastAsia" w:ascii="宋体" w:hAnsi="宋体" w:cs="宋体"/>
                <w:color w:val="auto"/>
                <w:sz w:val="22"/>
                <w:szCs w:val="22"/>
                <w:vertAlign w:val="baseline"/>
                <w:lang w:val="en-US" w:eastAsia="zh-CN"/>
              </w:rPr>
            </w:pPr>
          </w:p>
        </w:tc>
      </w:tr>
      <w:tr w14:paraId="30A2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6AC609F">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27</w:t>
            </w:r>
          </w:p>
        </w:tc>
        <w:tc>
          <w:tcPr>
            <w:tcW w:w="2098" w:type="dxa"/>
            <w:shd w:val="clear" w:color="auto" w:fill="auto"/>
            <w:vAlign w:val="center"/>
          </w:tcPr>
          <w:p w14:paraId="11058D8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互联网云广播网络解码器</w:t>
            </w:r>
          </w:p>
        </w:tc>
        <w:tc>
          <w:tcPr>
            <w:tcW w:w="2921" w:type="dxa"/>
            <w:vAlign w:val="center"/>
          </w:tcPr>
          <w:p w14:paraId="2440446C">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E85D52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3612F8B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091444A5">
            <w:pPr>
              <w:pStyle w:val="129"/>
              <w:spacing w:line="360" w:lineRule="auto"/>
              <w:jc w:val="center"/>
              <w:rPr>
                <w:rFonts w:hint="eastAsia" w:ascii="宋体" w:hAnsi="宋体" w:cs="宋体"/>
                <w:color w:val="auto"/>
                <w:sz w:val="22"/>
                <w:szCs w:val="22"/>
                <w:vertAlign w:val="baseline"/>
                <w:lang w:val="en-US" w:eastAsia="zh-CN"/>
              </w:rPr>
            </w:pPr>
          </w:p>
        </w:tc>
      </w:tr>
      <w:tr w14:paraId="0C55A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5F78DFB">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28</w:t>
            </w:r>
          </w:p>
        </w:tc>
        <w:tc>
          <w:tcPr>
            <w:tcW w:w="2098" w:type="dxa"/>
            <w:shd w:val="clear" w:color="auto" w:fill="auto"/>
            <w:vAlign w:val="center"/>
          </w:tcPr>
          <w:p w14:paraId="348CE607">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前置放大器</w:t>
            </w:r>
          </w:p>
        </w:tc>
        <w:tc>
          <w:tcPr>
            <w:tcW w:w="2921" w:type="dxa"/>
            <w:vAlign w:val="center"/>
          </w:tcPr>
          <w:p w14:paraId="737D802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2D17E6F">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3449502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70DD91C5">
            <w:pPr>
              <w:pStyle w:val="129"/>
              <w:spacing w:line="360" w:lineRule="auto"/>
              <w:jc w:val="center"/>
              <w:rPr>
                <w:rFonts w:hint="eastAsia" w:ascii="宋体" w:hAnsi="宋体" w:cs="宋体"/>
                <w:color w:val="auto"/>
                <w:sz w:val="22"/>
                <w:szCs w:val="22"/>
                <w:vertAlign w:val="baseline"/>
                <w:lang w:val="en-US" w:eastAsia="zh-CN"/>
              </w:rPr>
            </w:pPr>
          </w:p>
        </w:tc>
      </w:tr>
      <w:tr w14:paraId="7145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B2E05A3">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29</w:t>
            </w:r>
          </w:p>
        </w:tc>
        <w:tc>
          <w:tcPr>
            <w:tcW w:w="2098" w:type="dxa"/>
            <w:shd w:val="clear" w:color="auto" w:fill="auto"/>
            <w:vAlign w:val="center"/>
          </w:tcPr>
          <w:p w14:paraId="458B84B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广播避雷器</w:t>
            </w:r>
          </w:p>
        </w:tc>
        <w:tc>
          <w:tcPr>
            <w:tcW w:w="2921" w:type="dxa"/>
            <w:vAlign w:val="center"/>
          </w:tcPr>
          <w:p w14:paraId="6B2D69C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0EF6FB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1B0224E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412500DC">
            <w:pPr>
              <w:pStyle w:val="129"/>
              <w:spacing w:line="360" w:lineRule="auto"/>
              <w:jc w:val="center"/>
              <w:rPr>
                <w:rFonts w:hint="eastAsia" w:ascii="宋体" w:hAnsi="宋体" w:cs="宋体"/>
                <w:color w:val="auto"/>
                <w:sz w:val="22"/>
                <w:szCs w:val="22"/>
                <w:vertAlign w:val="baseline"/>
                <w:lang w:val="en-US" w:eastAsia="zh-CN"/>
              </w:rPr>
            </w:pPr>
          </w:p>
        </w:tc>
      </w:tr>
      <w:tr w14:paraId="2053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3D3F18B">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30</w:t>
            </w:r>
          </w:p>
        </w:tc>
        <w:tc>
          <w:tcPr>
            <w:tcW w:w="2098" w:type="dxa"/>
            <w:shd w:val="clear" w:color="auto" w:fill="auto"/>
            <w:vAlign w:val="center"/>
          </w:tcPr>
          <w:p w14:paraId="3D12F27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大功率电源时序器</w:t>
            </w:r>
          </w:p>
        </w:tc>
        <w:tc>
          <w:tcPr>
            <w:tcW w:w="2921" w:type="dxa"/>
            <w:vAlign w:val="center"/>
          </w:tcPr>
          <w:p w14:paraId="3CF36C21">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E393A9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14143BF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649B2F8D">
            <w:pPr>
              <w:pStyle w:val="129"/>
              <w:spacing w:line="360" w:lineRule="auto"/>
              <w:jc w:val="center"/>
              <w:rPr>
                <w:rFonts w:hint="eastAsia" w:ascii="宋体" w:hAnsi="宋体" w:cs="宋体"/>
                <w:color w:val="auto"/>
                <w:sz w:val="22"/>
                <w:szCs w:val="22"/>
                <w:vertAlign w:val="baseline"/>
                <w:lang w:val="en-US" w:eastAsia="zh-CN"/>
              </w:rPr>
            </w:pPr>
          </w:p>
        </w:tc>
      </w:tr>
      <w:tr w14:paraId="651B6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54DAFA27">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31</w:t>
            </w:r>
          </w:p>
        </w:tc>
        <w:tc>
          <w:tcPr>
            <w:tcW w:w="2098" w:type="dxa"/>
            <w:shd w:val="clear" w:color="auto" w:fill="auto"/>
            <w:vAlign w:val="center"/>
          </w:tcPr>
          <w:p w14:paraId="2FA97CB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大型室外远程防水音柱</w:t>
            </w:r>
          </w:p>
        </w:tc>
        <w:tc>
          <w:tcPr>
            <w:tcW w:w="2921" w:type="dxa"/>
            <w:vAlign w:val="center"/>
          </w:tcPr>
          <w:p w14:paraId="6DE71AE1">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2C8CB3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4</w:t>
            </w:r>
          </w:p>
        </w:tc>
        <w:tc>
          <w:tcPr>
            <w:tcW w:w="943" w:type="dxa"/>
            <w:vAlign w:val="center"/>
          </w:tcPr>
          <w:p w14:paraId="0473651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只</w:t>
            </w:r>
          </w:p>
        </w:tc>
        <w:tc>
          <w:tcPr>
            <w:tcW w:w="1103" w:type="dxa"/>
            <w:vAlign w:val="center"/>
          </w:tcPr>
          <w:p w14:paraId="620C3774">
            <w:pPr>
              <w:pStyle w:val="129"/>
              <w:spacing w:line="360" w:lineRule="auto"/>
              <w:jc w:val="center"/>
              <w:rPr>
                <w:rFonts w:hint="eastAsia" w:ascii="宋体" w:hAnsi="宋体" w:cs="宋体"/>
                <w:color w:val="auto"/>
                <w:sz w:val="22"/>
                <w:szCs w:val="22"/>
                <w:vertAlign w:val="baseline"/>
                <w:lang w:val="en-US" w:eastAsia="zh-CN"/>
              </w:rPr>
            </w:pPr>
          </w:p>
        </w:tc>
      </w:tr>
      <w:tr w14:paraId="36D1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C6A0C03">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32</w:t>
            </w:r>
          </w:p>
        </w:tc>
        <w:tc>
          <w:tcPr>
            <w:tcW w:w="2098" w:type="dxa"/>
            <w:shd w:val="clear" w:color="auto" w:fill="auto"/>
            <w:vAlign w:val="center"/>
          </w:tcPr>
          <w:p w14:paraId="6B45734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纯后级广播功放</w:t>
            </w:r>
          </w:p>
        </w:tc>
        <w:tc>
          <w:tcPr>
            <w:tcW w:w="2921" w:type="dxa"/>
            <w:vAlign w:val="center"/>
          </w:tcPr>
          <w:p w14:paraId="751D5FC7">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EC0FC24">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712C4C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2F7F4BD2">
            <w:pPr>
              <w:pStyle w:val="129"/>
              <w:spacing w:line="360" w:lineRule="auto"/>
              <w:jc w:val="center"/>
              <w:rPr>
                <w:rFonts w:hint="eastAsia" w:ascii="宋体" w:hAnsi="宋体" w:cs="宋体"/>
                <w:color w:val="auto"/>
                <w:sz w:val="22"/>
                <w:szCs w:val="22"/>
                <w:vertAlign w:val="baseline"/>
                <w:lang w:val="en-US" w:eastAsia="zh-CN"/>
              </w:rPr>
            </w:pPr>
          </w:p>
        </w:tc>
      </w:tr>
      <w:tr w14:paraId="277DB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6654BF9">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33</w:t>
            </w:r>
          </w:p>
        </w:tc>
        <w:tc>
          <w:tcPr>
            <w:tcW w:w="2098" w:type="dxa"/>
            <w:shd w:val="clear" w:color="auto" w:fill="auto"/>
            <w:vAlign w:val="center"/>
          </w:tcPr>
          <w:p w14:paraId="0B3A648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互联网云广播网络解码器</w:t>
            </w:r>
          </w:p>
        </w:tc>
        <w:tc>
          <w:tcPr>
            <w:tcW w:w="2921" w:type="dxa"/>
            <w:vAlign w:val="center"/>
          </w:tcPr>
          <w:p w14:paraId="7D0BB6B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5F71E0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A09F82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1C74EE6E">
            <w:pPr>
              <w:pStyle w:val="129"/>
              <w:spacing w:line="360" w:lineRule="auto"/>
              <w:jc w:val="center"/>
              <w:rPr>
                <w:rFonts w:hint="eastAsia" w:ascii="宋体" w:hAnsi="宋体" w:cs="宋体"/>
                <w:color w:val="auto"/>
                <w:sz w:val="22"/>
                <w:szCs w:val="22"/>
                <w:vertAlign w:val="baseline"/>
                <w:lang w:val="en-US" w:eastAsia="zh-CN"/>
              </w:rPr>
            </w:pPr>
          </w:p>
        </w:tc>
      </w:tr>
      <w:tr w14:paraId="12822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5C041CC">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34</w:t>
            </w:r>
          </w:p>
        </w:tc>
        <w:tc>
          <w:tcPr>
            <w:tcW w:w="2098" w:type="dxa"/>
            <w:shd w:val="clear" w:color="auto" w:fill="auto"/>
            <w:vAlign w:val="center"/>
          </w:tcPr>
          <w:p w14:paraId="3598947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真分集可调频无线咪 双手持(一拖二)</w:t>
            </w:r>
          </w:p>
        </w:tc>
        <w:tc>
          <w:tcPr>
            <w:tcW w:w="2921" w:type="dxa"/>
            <w:vAlign w:val="center"/>
          </w:tcPr>
          <w:p w14:paraId="2934A7BA">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7C50C99">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45847C19">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0F21E138">
            <w:pPr>
              <w:pStyle w:val="129"/>
              <w:spacing w:line="360" w:lineRule="auto"/>
              <w:jc w:val="center"/>
              <w:rPr>
                <w:rFonts w:hint="eastAsia" w:ascii="宋体" w:hAnsi="宋体" w:cs="宋体"/>
                <w:color w:val="auto"/>
                <w:sz w:val="22"/>
                <w:szCs w:val="22"/>
                <w:vertAlign w:val="baseline"/>
                <w:lang w:val="en-US" w:eastAsia="zh-CN"/>
              </w:rPr>
            </w:pPr>
          </w:p>
        </w:tc>
      </w:tr>
      <w:tr w14:paraId="71D2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1E01F23">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35</w:t>
            </w:r>
          </w:p>
        </w:tc>
        <w:tc>
          <w:tcPr>
            <w:tcW w:w="2098" w:type="dxa"/>
            <w:shd w:val="clear" w:color="auto" w:fill="auto"/>
            <w:vAlign w:val="center"/>
          </w:tcPr>
          <w:p w14:paraId="0A3FA80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指向性天线放大套器</w:t>
            </w:r>
          </w:p>
        </w:tc>
        <w:tc>
          <w:tcPr>
            <w:tcW w:w="2921" w:type="dxa"/>
            <w:vAlign w:val="center"/>
          </w:tcPr>
          <w:p w14:paraId="32F0C99D">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F7ED314">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3EFCF4F">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7D8F39EC">
            <w:pPr>
              <w:pStyle w:val="129"/>
              <w:spacing w:line="360" w:lineRule="auto"/>
              <w:jc w:val="center"/>
              <w:rPr>
                <w:rFonts w:hint="eastAsia" w:ascii="宋体" w:hAnsi="宋体" w:cs="宋体"/>
                <w:color w:val="auto"/>
                <w:sz w:val="22"/>
                <w:szCs w:val="22"/>
                <w:vertAlign w:val="baseline"/>
                <w:lang w:val="en-US" w:eastAsia="zh-CN"/>
              </w:rPr>
            </w:pPr>
          </w:p>
        </w:tc>
      </w:tr>
      <w:tr w14:paraId="3F844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DC71B90">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36</w:t>
            </w:r>
          </w:p>
        </w:tc>
        <w:tc>
          <w:tcPr>
            <w:tcW w:w="2098" w:type="dxa"/>
            <w:shd w:val="clear" w:color="auto" w:fill="auto"/>
            <w:vAlign w:val="center"/>
          </w:tcPr>
          <w:p w14:paraId="6A56561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互联网云广播网络无线遥控终端</w:t>
            </w:r>
          </w:p>
        </w:tc>
        <w:tc>
          <w:tcPr>
            <w:tcW w:w="2921" w:type="dxa"/>
            <w:vAlign w:val="center"/>
          </w:tcPr>
          <w:p w14:paraId="566B22BF">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370B3B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4FD69D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60F60B2D">
            <w:pPr>
              <w:pStyle w:val="129"/>
              <w:spacing w:line="360" w:lineRule="auto"/>
              <w:jc w:val="center"/>
              <w:rPr>
                <w:rFonts w:hint="eastAsia" w:ascii="宋体" w:hAnsi="宋体" w:cs="宋体"/>
                <w:color w:val="auto"/>
                <w:sz w:val="22"/>
                <w:szCs w:val="22"/>
                <w:vertAlign w:val="baseline"/>
                <w:lang w:val="en-US" w:eastAsia="zh-CN"/>
              </w:rPr>
            </w:pPr>
          </w:p>
        </w:tc>
      </w:tr>
      <w:tr w14:paraId="0F51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03B5EAA">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37</w:t>
            </w:r>
          </w:p>
        </w:tc>
        <w:tc>
          <w:tcPr>
            <w:tcW w:w="2098" w:type="dxa"/>
            <w:shd w:val="clear" w:color="auto" w:fill="auto"/>
            <w:vAlign w:val="center"/>
          </w:tcPr>
          <w:p w14:paraId="566E954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广播避雷器</w:t>
            </w:r>
          </w:p>
        </w:tc>
        <w:tc>
          <w:tcPr>
            <w:tcW w:w="2921" w:type="dxa"/>
            <w:vAlign w:val="center"/>
          </w:tcPr>
          <w:p w14:paraId="06CE8CBD">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1CF47E7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818465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2AA4BE53">
            <w:pPr>
              <w:pStyle w:val="129"/>
              <w:spacing w:line="360" w:lineRule="auto"/>
              <w:jc w:val="center"/>
              <w:rPr>
                <w:rFonts w:hint="eastAsia" w:ascii="宋体" w:hAnsi="宋体" w:cs="宋体"/>
                <w:color w:val="auto"/>
                <w:sz w:val="22"/>
                <w:szCs w:val="22"/>
                <w:vertAlign w:val="baseline"/>
                <w:lang w:val="en-US" w:eastAsia="zh-CN"/>
              </w:rPr>
            </w:pPr>
          </w:p>
        </w:tc>
      </w:tr>
      <w:tr w14:paraId="59E23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34AD378">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38</w:t>
            </w:r>
          </w:p>
        </w:tc>
        <w:tc>
          <w:tcPr>
            <w:tcW w:w="2098" w:type="dxa"/>
            <w:shd w:val="clear" w:color="auto" w:fill="auto"/>
            <w:vAlign w:val="center"/>
          </w:tcPr>
          <w:p w14:paraId="74816D7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大功率电源时序器</w:t>
            </w:r>
          </w:p>
        </w:tc>
        <w:tc>
          <w:tcPr>
            <w:tcW w:w="2921" w:type="dxa"/>
            <w:vAlign w:val="center"/>
          </w:tcPr>
          <w:p w14:paraId="69370D8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6A8211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3EA3899">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2BEDDFC9">
            <w:pPr>
              <w:pStyle w:val="129"/>
              <w:spacing w:line="360" w:lineRule="auto"/>
              <w:jc w:val="center"/>
              <w:rPr>
                <w:rFonts w:hint="eastAsia" w:ascii="宋体" w:hAnsi="宋体" w:cs="宋体"/>
                <w:color w:val="auto"/>
                <w:sz w:val="22"/>
                <w:szCs w:val="22"/>
                <w:vertAlign w:val="baseline"/>
                <w:lang w:val="en-US" w:eastAsia="zh-CN"/>
              </w:rPr>
            </w:pPr>
          </w:p>
        </w:tc>
      </w:tr>
      <w:tr w14:paraId="6563C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EDAB4EB">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39</w:t>
            </w:r>
          </w:p>
        </w:tc>
        <w:tc>
          <w:tcPr>
            <w:tcW w:w="2098" w:type="dxa"/>
            <w:shd w:val="clear" w:color="auto" w:fill="auto"/>
            <w:vAlign w:val="center"/>
          </w:tcPr>
          <w:p w14:paraId="298CDAD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线材辅材</w:t>
            </w:r>
          </w:p>
        </w:tc>
        <w:tc>
          <w:tcPr>
            <w:tcW w:w="2921" w:type="dxa"/>
            <w:vAlign w:val="center"/>
          </w:tcPr>
          <w:p w14:paraId="6D74A10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6FFCBF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20A1D00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批</w:t>
            </w:r>
          </w:p>
        </w:tc>
        <w:tc>
          <w:tcPr>
            <w:tcW w:w="1103" w:type="dxa"/>
            <w:vAlign w:val="center"/>
          </w:tcPr>
          <w:p w14:paraId="2C218EC2">
            <w:pPr>
              <w:pStyle w:val="129"/>
              <w:spacing w:line="360" w:lineRule="auto"/>
              <w:jc w:val="center"/>
              <w:rPr>
                <w:rFonts w:hint="eastAsia" w:ascii="宋体" w:hAnsi="宋体" w:cs="宋体"/>
                <w:color w:val="auto"/>
                <w:sz w:val="22"/>
                <w:szCs w:val="22"/>
                <w:vertAlign w:val="baseline"/>
                <w:lang w:val="en-US" w:eastAsia="zh-CN"/>
              </w:rPr>
            </w:pPr>
          </w:p>
        </w:tc>
      </w:tr>
      <w:tr w14:paraId="0509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909219C">
            <w:pPr>
              <w:snapToGrid w:val="0"/>
              <w:ind w:left="0" w:leftChars="0" w:right="0" w:righ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lang w:val="en-US" w:eastAsia="zh-CN"/>
              </w:rPr>
              <w:t>40</w:t>
            </w:r>
          </w:p>
        </w:tc>
        <w:tc>
          <w:tcPr>
            <w:tcW w:w="2098" w:type="dxa"/>
            <w:shd w:val="clear" w:color="auto" w:fill="auto"/>
            <w:vAlign w:val="center"/>
          </w:tcPr>
          <w:p w14:paraId="266C444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项目实施</w:t>
            </w:r>
          </w:p>
        </w:tc>
        <w:tc>
          <w:tcPr>
            <w:tcW w:w="2921" w:type="dxa"/>
            <w:vAlign w:val="center"/>
          </w:tcPr>
          <w:p w14:paraId="4C7E273B">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1626D7D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46702B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411B87C5">
            <w:pPr>
              <w:pStyle w:val="129"/>
              <w:spacing w:line="360" w:lineRule="auto"/>
              <w:jc w:val="center"/>
              <w:rPr>
                <w:rFonts w:hint="eastAsia" w:ascii="宋体" w:hAnsi="宋体" w:cs="宋体"/>
                <w:color w:val="auto"/>
                <w:sz w:val="22"/>
                <w:szCs w:val="22"/>
                <w:vertAlign w:val="baseline"/>
                <w:lang w:val="en-US" w:eastAsia="zh-CN"/>
              </w:rPr>
            </w:pPr>
          </w:p>
        </w:tc>
      </w:tr>
      <w:tr w14:paraId="10FA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3B1E242">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1"/>
                <w:lang w:val="en-US" w:eastAsia="zh-CN"/>
              </w:rPr>
              <w:t>41</w:t>
            </w:r>
          </w:p>
        </w:tc>
        <w:tc>
          <w:tcPr>
            <w:tcW w:w="2098" w:type="dxa"/>
            <w:shd w:val="clear" w:color="auto" w:fill="auto"/>
            <w:vAlign w:val="center"/>
          </w:tcPr>
          <w:p w14:paraId="376CD99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智慧互联黑板</w:t>
            </w:r>
          </w:p>
        </w:tc>
        <w:tc>
          <w:tcPr>
            <w:tcW w:w="2921" w:type="dxa"/>
            <w:vAlign w:val="center"/>
          </w:tcPr>
          <w:p w14:paraId="47D33EE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8A1B54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21</w:t>
            </w:r>
          </w:p>
        </w:tc>
        <w:tc>
          <w:tcPr>
            <w:tcW w:w="943" w:type="dxa"/>
            <w:vAlign w:val="center"/>
          </w:tcPr>
          <w:p w14:paraId="0EB3B2B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73C731C6">
            <w:pPr>
              <w:pStyle w:val="129"/>
              <w:spacing w:line="360" w:lineRule="auto"/>
              <w:ind w:left="0" w:leftChars="0" w:firstLine="0" w:firstLineChars="0"/>
              <w:jc w:val="both"/>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核心产品</w:t>
            </w:r>
          </w:p>
        </w:tc>
      </w:tr>
      <w:tr w14:paraId="03E7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56BAD09D">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42</w:t>
            </w:r>
          </w:p>
        </w:tc>
        <w:tc>
          <w:tcPr>
            <w:tcW w:w="2098" w:type="dxa"/>
            <w:shd w:val="clear" w:color="auto" w:fill="auto"/>
            <w:vAlign w:val="center"/>
          </w:tcPr>
          <w:p w14:paraId="615EA67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虚拟互动演录播工作站</w:t>
            </w:r>
          </w:p>
        </w:tc>
        <w:tc>
          <w:tcPr>
            <w:tcW w:w="2921" w:type="dxa"/>
            <w:vAlign w:val="center"/>
          </w:tcPr>
          <w:p w14:paraId="08F21D5C">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0772C8E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3C4FBE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31031796">
            <w:pPr>
              <w:pStyle w:val="129"/>
              <w:spacing w:line="360" w:lineRule="auto"/>
              <w:jc w:val="center"/>
              <w:rPr>
                <w:rFonts w:hint="eastAsia" w:ascii="宋体" w:hAnsi="宋体" w:cs="宋体"/>
                <w:color w:val="auto"/>
                <w:sz w:val="22"/>
                <w:szCs w:val="22"/>
                <w:vertAlign w:val="baseline"/>
                <w:lang w:val="en-US" w:eastAsia="zh-CN"/>
              </w:rPr>
            </w:pPr>
          </w:p>
        </w:tc>
      </w:tr>
      <w:tr w14:paraId="0B75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13AD7D8">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42</w:t>
            </w:r>
          </w:p>
        </w:tc>
        <w:tc>
          <w:tcPr>
            <w:tcW w:w="2098" w:type="dxa"/>
            <w:shd w:val="clear" w:color="auto" w:fill="auto"/>
            <w:vAlign w:val="center"/>
          </w:tcPr>
          <w:p w14:paraId="3DBF93A4">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真三维虚拟演播系统</w:t>
            </w:r>
          </w:p>
        </w:tc>
        <w:tc>
          <w:tcPr>
            <w:tcW w:w="2921" w:type="dxa"/>
            <w:vAlign w:val="center"/>
          </w:tcPr>
          <w:p w14:paraId="256A9B67">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2A9FDD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36546489">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0A091B73">
            <w:pPr>
              <w:pStyle w:val="129"/>
              <w:spacing w:line="360" w:lineRule="auto"/>
              <w:jc w:val="center"/>
              <w:rPr>
                <w:rFonts w:hint="eastAsia" w:ascii="宋体" w:hAnsi="宋体" w:cs="宋体"/>
                <w:color w:val="auto"/>
                <w:sz w:val="22"/>
                <w:szCs w:val="22"/>
                <w:vertAlign w:val="baseline"/>
                <w:lang w:val="en-US" w:eastAsia="zh-CN"/>
              </w:rPr>
            </w:pPr>
          </w:p>
        </w:tc>
      </w:tr>
      <w:tr w14:paraId="09A7E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8E12018">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44</w:t>
            </w:r>
          </w:p>
        </w:tc>
        <w:tc>
          <w:tcPr>
            <w:tcW w:w="2098" w:type="dxa"/>
            <w:shd w:val="clear" w:color="auto" w:fill="auto"/>
            <w:vAlign w:val="center"/>
          </w:tcPr>
          <w:p w14:paraId="5EA42B35">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流媒体系统</w:t>
            </w:r>
          </w:p>
        </w:tc>
        <w:tc>
          <w:tcPr>
            <w:tcW w:w="2921" w:type="dxa"/>
            <w:vAlign w:val="center"/>
          </w:tcPr>
          <w:p w14:paraId="2193DAC6">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4356A2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42776AA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22C626AC">
            <w:pPr>
              <w:pStyle w:val="129"/>
              <w:spacing w:line="360" w:lineRule="auto"/>
              <w:jc w:val="center"/>
              <w:rPr>
                <w:rFonts w:hint="eastAsia" w:ascii="宋体" w:hAnsi="宋体" w:cs="宋体"/>
                <w:color w:val="auto"/>
                <w:sz w:val="22"/>
                <w:szCs w:val="22"/>
                <w:vertAlign w:val="baseline"/>
                <w:lang w:val="en-US" w:eastAsia="zh-CN"/>
              </w:rPr>
            </w:pPr>
          </w:p>
        </w:tc>
      </w:tr>
      <w:tr w14:paraId="1216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1038A99">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45</w:t>
            </w:r>
          </w:p>
        </w:tc>
        <w:tc>
          <w:tcPr>
            <w:tcW w:w="2098" w:type="dxa"/>
            <w:shd w:val="clear" w:color="auto" w:fill="auto"/>
            <w:vAlign w:val="center"/>
          </w:tcPr>
          <w:p w14:paraId="30B46FD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非线性编辑系统</w:t>
            </w:r>
          </w:p>
        </w:tc>
        <w:tc>
          <w:tcPr>
            <w:tcW w:w="2921" w:type="dxa"/>
            <w:vAlign w:val="center"/>
          </w:tcPr>
          <w:p w14:paraId="05BB7F64">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D091D5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D9E837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4E6743A4">
            <w:pPr>
              <w:pStyle w:val="129"/>
              <w:spacing w:line="360" w:lineRule="auto"/>
              <w:jc w:val="center"/>
              <w:rPr>
                <w:rFonts w:hint="eastAsia" w:ascii="宋体" w:hAnsi="宋体" w:cs="宋体"/>
                <w:color w:val="auto"/>
                <w:sz w:val="22"/>
                <w:szCs w:val="22"/>
                <w:vertAlign w:val="baseline"/>
                <w:lang w:val="en-US" w:eastAsia="zh-CN"/>
              </w:rPr>
            </w:pPr>
          </w:p>
        </w:tc>
      </w:tr>
      <w:tr w14:paraId="5286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2079263">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46</w:t>
            </w:r>
          </w:p>
        </w:tc>
        <w:tc>
          <w:tcPr>
            <w:tcW w:w="2098" w:type="dxa"/>
            <w:shd w:val="clear" w:color="auto" w:fill="auto"/>
            <w:vAlign w:val="center"/>
          </w:tcPr>
          <w:p w14:paraId="478A28A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专业高清摄像机</w:t>
            </w:r>
          </w:p>
        </w:tc>
        <w:tc>
          <w:tcPr>
            <w:tcW w:w="2921" w:type="dxa"/>
            <w:vAlign w:val="center"/>
          </w:tcPr>
          <w:p w14:paraId="60489777">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91C98D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5100E2A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0FCABCBF">
            <w:pPr>
              <w:pStyle w:val="129"/>
              <w:spacing w:line="360" w:lineRule="auto"/>
              <w:jc w:val="center"/>
              <w:rPr>
                <w:rFonts w:hint="eastAsia" w:ascii="宋体" w:hAnsi="宋体" w:cs="宋体"/>
                <w:color w:val="auto"/>
                <w:sz w:val="22"/>
                <w:szCs w:val="22"/>
                <w:vertAlign w:val="baseline"/>
                <w:lang w:val="en-US" w:eastAsia="zh-CN"/>
              </w:rPr>
            </w:pPr>
          </w:p>
        </w:tc>
      </w:tr>
      <w:tr w14:paraId="0C61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0DF8FCE">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47</w:t>
            </w:r>
          </w:p>
        </w:tc>
        <w:tc>
          <w:tcPr>
            <w:tcW w:w="2098" w:type="dxa"/>
            <w:shd w:val="clear" w:color="auto" w:fill="auto"/>
            <w:vAlign w:val="center"/>
          </w:tcPr>
          <w:p w14:paraId="4F50579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高速存储卡</w:t>
            </w:r>
          </w:p>
        </w:tc>
        <w:tc>
          <w:tcPr>
            <w:tcW w:w="2921" w:type="dxa"/>
            <w:vAlign w:val="center"/>
          </w:tcPr>
          <w:p w14:paraId="31486DC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3C9EE7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4604CE6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块</w:t>
            </w:r>
          </w:p>
        </w:tc>
        <w:tc>
          <w:tcPr>
            <w:tcW w:w="1103" w:type="dxa"/>
            <w:vAlign w:val="center"/>
          </w:tcPr>
          <w:p w14:paraId="7D911396">
            <w:pPr>
              <w:pStyle w:val="129"/>
              <w:spacing w:line="360" w:lineRule="auto"/>
              <w:jc w:val="center"/>
              <w:rPr>
                <w:rFonts w:hint="eastAsia" w:ascii="宋体" w:hAnsi="宋体" w:cs="宋体"/>
                <w:color w:val="auto"/>
                <w:sz w:val="22"/>
                <w:szCs w:val="22"/>
                <w:vertAlign w:val="baseline"/>
                <w:lang w:val="en-US" w:eastAsia="zh-CN"/>
              </w:rPr>
            </w:pPr>
          </w:p>
        </w:tc>
      </w:tr>
      <w:tr w14:paraId="1ED9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E9667BD">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48</w:t>
            </w:r>
          </w:p>
        </w:tc>
        <w:tc>
          <w:tcPr>
            <w:tcW w:w="2098" w:type="dxa"/>
            <w:shd w:val="clear" w:color="auto" w:fill="auto"/>
            <w:vAlign w:val="center"/>
          </w:tcPr>
          <w:p w14:paraId="4AEFC7D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三角架</w:t>
            </w:r>
          </w:p>
        </w:tc>
        <w:tc>
          <w:tcPr>
            <w:tcW w:w="2921" w:type="dxa"/>
            <w:vAlign w:val="center"/>
          </w:tcPr>
          <w:p w14:paraId="6720B091">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1638851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0C0BA2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7E70BA00">
            <w:pPr>
              <w:pStyle w:val="129"/>
              <w:spacing w:line="360" w:lineRule="auto"/>
              <w:jc w:val="center"/>
              <w:rPr>
                <w:rFonts w:hint="eastAsia" w:ascii="宋体" w:hAnsi="宋体" w:cs="宋体"/>
                <w:color w:val="auto"/>
                <w:sz w:val="22"/>
                <w:szCs w:val="22"/>
                <w:vertAlign w:val="baseline"/>
                <w:lang w:val="en-US" w:eastAsia="zh-CN"/>
              </w:rPr>
            </w:pPr>
          </w:p>
        </w:tc>
      </w:tr>
      <w:tr w14:paraId="4E59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77C8665">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49</w:t>
            </w:r>
          </w:p>
        </w:tc>
        <w:tc>
          <w:tcPr>
            <w:tcW w:w="2098" w:type="dxa"/>
            <w:shd w:val="clear" w:color="auto" w:fill="auto"/>
            <w:vAlign w:val="center"/>
          </w:tcPr>
          <w:p w14:paraId="73FDF7C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4K显示器</w:t>
            </w:r>
          </w:p>
        </w:tc>
        <w:tc>
          <w:tcPr>
            <w:tcW w:w="2921" w:type="dxa"/>
            <w:vAlign w:val="center"/>
          </w:tcPr>
          <w:p w14:paraId="2789F2F3">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18EA71F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5</w:t>
            </w:r>
          </w:p>
        </w:tc>
        <w:tc>
          <w:tcPr>
            <w:tcW w:w="943" w:type="dxa"/>
            <w:vAlign w:val="center"/>
          </w:tcPr>
          <w:p w14:paraId="3200041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09969A8C">
            <w:pPr>
              <w:pStyle w:val="129"/>
              <w:spacing w:line="360" w:lineRule="auto"/>
              <w:jc w:val="center"/>
              <w:rPr>
                <w:rFonts w:hint="eastAsia" w:ascii="宋体" w:hAnsi="宋体" w:cs="宋体"/>
                <w:color w:val="auto"/>
                <w:sz w:val="22"/>
                <w:szCs w:val="22"/>
                <w:vertAlign w:val="baseline"/>
                <w:lang w:val="en-US" w:eastAsia="zh-CN"/>
              </w:rPr>
            </w:pPr>
          </w:p>
        </w:tc>
      </w:tr>
      <w:tr w14:paraId="7CA2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413DB7D">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50</w:t>
            </w:r>
          </w:p>
        </w:tc>
        <w:tc>
          <w:tcPr>
            <w:tcW w:w="2098" w:type="dxa"/>
            <w:shd w:val="clear" w:color="auto" w:fill="auto"/>
            <w:vAlign w:val="center"/>
          </w:tcPr>
          <w:p w14:paraId="14F8F53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无线麦克风</w:t>
            </w:r>
          </w:p>
        </w:tc>
        <w:tc>
          <w:tcPr>
            <w:tcW w:w="2921" w:type="dxa"/>
            <w:vAlign w:val="center"/>
          </w:tcPr>
          <w:p w14:paraId="2ECFE047">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090E473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1AC7FD7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012ACA1F">
            <w:pPr>
              <w:pStyle w:val="129"/>
              <w:spacing w:line="360" w:lineRule="auto"/>
              <w:jc w:val="center"/>
              <w:rPr>
                <w:rFonts w:hint="eastAsia" w:ascii="宋体" w:hAnsi="宋体" w:cs="宋体"/>
                <w:color w:val="auto"/>
                <w:sz w:val="22"/>
                <w:szCs w:val="22"/>
                <w:vertAlign w:val="baseline"/>
                <w:lang w:val="en-US" w:eastAsia="zh-CN"/>
              </w:rPr>
            </w:pPr>
          </w:p>
        </w:tc>
      </w:tr>
      <w:tr w14:paraId="3F209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1170CE0">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51</w:t>
            </w:r>
          </w:p>
        </w:tc>
        <w:tc>
          <w:tcPr>
            <w:tcW w:w="2098" w:type="dxa"/>
            <w:shd w:val="clear" w:color="auto" w:fill="auto"/>
            <w:vAlign w:val="center"/>
          </w:tcPr>
          <w:p w14:paraId="643100C7">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调音台</w:t>
            </w:r>
          </w:p>
        </w:tc>
        <w:tc>
          <w:tcPr>
            <w:tcW w:w="2921" w:type="dxa"/>
            <w:vAlign w:val="center"/>
          </w:tcPr>
          <w:p w14:paraId="04512028">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05B610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82EF6A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6B568021">
            <w:pPr>
              <w:pStyle w:val="129"/>
              <w:spacing w:line="360" w:lineRule="auto"/>
              <w:jc w:val="center"/>
              <w:rPr>
                <w:rFonts w:hint="eastAsia" w:ascii="宋体" w:hAnsi="宋体" w:cs="宋体"/>
                <w:color w:val="auto"/>
                <w:sz w:val="22"/>
                <w:szCs w:val="22"/>
                <w:vertAlign w:val="baseline"/>
                <w:lang w:val="en-US" w:eastAsia="zh-CN"/>
              </w:rPr>
            </w:pPr>
          </w:p>
        </w:tc>
      </w:tr>
      <w:tr w14:paraId="50C6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CD32191">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52</w:t>
            </w:r>
          </w:p>
        </w:tc>
        <w:tc>
          <w:tcPr>
            <w:tcW w:w="2098" w:type="dxa"/>
            <w:shd w:val="clear" w:color="auto" w:fill="auto"/>
            <w:vAlign w:val="center"/>
          </w:tcPr>
          <w:p w14:paraId="7E8995D4">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监听耳机</w:t>
            </w:r>
          </w:p>
        </w:tc>
        <w:tc>
          <w:tcPr>
            <w:tcW w:w="2921" w:type="dxa"/>
            <w:vAlign w:val="center"/>
          </w:tcPr>
          <w:p w14:paraId="03666FA1">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72DFFC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AA254F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副</w:t>
            </w:r>
          </w:p>
        </w:tc>
        <w:tc>
          <w:tcPr>
            <w:tcW w:w="1103" w:type="dxa"/>
            <w:vAlign w:val="center"/>
          </w:tcPr>
          <w:p w14:paraId="13234539">
            <w:pPr>
              <w:pStyle w:val="129"/>
              <w:spacing w:line="360" w:lineRule="auto"/>
              <w:jc w:val="center"/>
              <w:rPr>
                <w:rFonts w:hint="eastAsia" w:ascii="宋体" w:hAnsi="宋体" w:cs="宋体"/>
                <w:color w:val="auto"/>
                <w:sz w:val="22"/>
                <w:szCs w:val="22"/>
                <w:vertAlign w:val="baseline"/>
                <w:lang w:val="en-US" w:eastAsia="zh-CN"/>
              </w:rPr>
            </w:pPr>
          </w:p>
        </w:tc>
      </w:tr>
      <w:tr w14:paraId="5EC1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C263D42">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53</w:t>
            </w:r>
          </w:p>
        </w:tc>
        <w:tc>
          <w:tcPr>
            <w:tcW w:w="2098" w:type="dxa"/>
            <w:shd w:val="clear" w:color="auto" w:fill="auto"/>
            <w:vAlign w:val="center"/>
          </w:tcPr>
          <w:p w14:paraId="207B9E6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音箱</w:t>
            </w:r>
          </w:p>
        </w:tc>
        <w:tc>
          <w:tcPr>
            <w:tcW w:w="2921" w:type="dxa"/>
            <w:vAlign w:val="center"/>
          </w:tcPr>
          <w:p w14:paraId="153713B6">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DD4361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6B7F699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只</w:t>
            </w:r>
          </w:p>
        </w:tc>
        <w:tc>
          <w:tcPr>
            <w:tcW w:w="1103" w:type="dxa"/>
            <w:vAlign w:val="center"/>
          </w:tcPr>
          <w:p w14:paraId="540FE8CE">
            <w:pPr>
              <w:pStyle w:val="129"/>
              <w:spacing w:line="360" w:lineRule="auto"/>
              <w:jc w:val="center"/>
              <w:rPr>
                <w:rFonts w:hint="eastAsia" w:ascii="宋体" w:hAnsi="宋体" w:cs="宋体"/>
                <w:color w:val="auto"/>
                <w:sz w:val="22"/>
                <w:szCs w:val="22"/>
                <w:vertAlign w:val="baseline"/>
                <w:lang w:val="en-US" w:eastAsia="zh-CN"/>
              </w:rPr>
            </w:pPr>
          </w:p>
        </w:tc>
      </w:tr>
      <w:tr w14:paraId="23F20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6F60F12">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54</w:t>
            </w:r>
          </w:p>
        </w:tc>
        <w:tc>
          <w:tcPr>
            <w:tcW w:w="2098" w:type="dxa"/>
            <w:shd w:val="clear" w:color="auto" w:fill="auto"/>
            <w:vAlign w:val="center"/>
          </w:tcPr>
          <w:p w14:paraId="6A2159B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提词器</w:t>
            </w:r>
          </w:p>
        </w:tc>
        <w:tc>
          <w:tcPr>
            <w:tcW w:w="2921" w:type="dxa"/>
            <w:vAlign w:val="center"/>
          </w:tcPr>
          <w:p w14:paraId="54BCD3A3">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CC4E10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2EF3F2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0DC70088">
            <w:pPr>
              <w:pStyle w:val="129"/>
              <w:spacing w:line="360" w:lineRule="auto"/>
              <w:jc w:val="center"/>
              <w:rPr>
                <w:rFonts w:hint="eastAsia" w:ascii="宋体" w:hAnsi="宋体" w:cs="宋体"/>
                <w:color w:val="auto"/>
                <w:sz w:val="22"/>
                <w:szCs w:val="22"/>
                <w:vertAlign w:val="baseline"/>
                <w:lang w:val="en-US" w:eastAsia="zh-CN"/>
              </w:rPr>
            </w:pPr>
          </w:p>
        </w:tc>
      </w:tr>
      <w:tr w14:paraId="73E6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B48EA89">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55</w:t>
            </w:r>
          </w:p>
        </w:tc>
        <w:tc>
          <w:tcPr>
            <w:tcW w:w="2098" w:type="dxa"/>
            <w:shd w:val="clear" w:color="auto" w:fill="auto"/>
            <w:vAlign w:val="center"/>
          </w:tcPr>
          <w:p w14:paraId="12D6152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预览电视机</w:t>
            </w:r>
          </w:p>
        </w:tc>
        <w:tc>
          <w:tcPr>
            <w:tcW w:w="2921" w:type="dxa"/>
            <w:vAlign w:val="center"/>
          </w:tcPr>
          <w:p w14:paraId="1EA4746A">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7AB60F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3F48D6A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63251A02">
            <w:pPr>
              <w:pStyle w:val="129"/>
              <w:spacing w:line="360" w:lineRule="auto"/>
              <w:jc w:val="center"/>
              <w:rPr>
                <w:rFonts w:hint="eastAsia" w:ascii="宋体" w:hAnsi="宋体" w:cs="宋体"/>
                <w:color w:val="auto"/>
                <w:sz w:val="22"/>
                <w:szCs w:val="22"/>
                <w:vertAlign w:val="baseline"/>
                <w:lang w:val="en-US" w:eastAsia="zh-CN"/>
              </w:rPr>
            </w:pPr>
          </w:p>
        </w:tc>
      </w:tr>
      <w:tr w14:paraId="522D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17BDF76">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56</w:t>
            </w:r>
          </w:p>
        </w:tc>
        <w:tc>
          <w:tcPr>
            <w:tcW w:w="2098" w:type="dxa"/>
            <w:shd w:val="clear" w:color="auto" w:fill="auto"/>
            <w:vAlign w:val="center"/>
          </w:tcPr>
          <w:p w14:paraId="7793EF8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U型蓝箱</w:t>
            </w:r>
          </w:p>
        </w:tc>
        <w:tc>
          <w:tcPr>
            <w:tcW w:w="2921" w:type="dxa"/>
            <w:vAlign w:val="center"/>
          </w:tcPr>
          <w:p w14:paraId="45A5DCB1">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A99A31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4A9786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78CCBB8D">
            <w:pPr>
              <w:pStyle w:val="129"/>
              <w:spacing w:line="360" w:lineRule="auto"/>
              <w:jc w:val="center"/>
              <w:rPr>
                <w:rFonts w:hint="eastAsia" w:ascii="宋体" w:hAnsi="宋体" w:cs="宋体"/>
                <w:color w:val="auto"/>
                <w:sz w:val="22"/>
                <w:szCs w:val="22"/>
                <w:vertAlign w:val="baseline"/>
                <w:lang w:val="en-US" w:eastAsia="zh-CN"/>
              </w:rPr>
            </w:pPr>
          </w:p>
        </w:tc>
      </w:tr>
      <w:tr w14:paraId="5CA1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54F6A39A">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57</w:t>
            </w:r>
          </w:p>
        </w:tc>
        <w:tc>
          <w:tcPr>
            <w:tcW w:w="2098" w:type="dxa"/>
            <w:shd w:val="clear" w:color="auto" w:fill="auto"/>
            <w:vAlign w:val="center"/>
          </w:tcPr>
          <w:p w14:paraId="2371382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线材</w:t>
            </w:r>
          </w:p>
        </w:tc>
        <w:tc>
          <w:tcPr>
            <w:tcW w:w="2921" w:type="dxa"/>
            <w:vAlign w:val="center"/>
          </w:tcPr>
          <w:p w14:paraId="055CE5BA">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82A1BD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9ABA48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5DD1DACA">
            <w:pPr>
              <w:pStyle w:val="129"/>
              <w:spacing w:line="360" w:lineRule="auto"/>
              <w:jc w:val="center"/>
              <w:rPr>
                <w:rFonts w:hint="eastAsia" w:ascii="宋体" w:hAnsi="宋体" w:cs="宋体"/>
                <w:color w:val="auto"/>
                <w:sz w:val="22"/>
                <w:szCs w:val="22"/>
                <w:vertAlign w:val="baseline"/>
                <w:lang w:val="en-US" w:eastAsia="zh-CN"/>
              </w:rPr>
            </w:pPr>
          </w:p>
        </w:tc>
      </w:tr>
      <w:tr w14:paraId="6945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25E7BEA">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58</w:t>
            </w:r>
          </w:p>
        </w:tc>
        <w:tc>
          <w:tcPr>
            <w:tcW w:w="2098" w:type="dxa"/>
            <w:shd w:val="clear" w:color="auto" w:fill="auto"/>
            <w:vAlign w:val="center"/>
          </w:tcPr>
          <w:p w14:paraId="4B9A640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LED灯</w:t>
            </w:r>
          </w:p>
        </w:tc>
        <w:tc>
          <w:tcPr>
            <w:tcW w:w="2921" w:type="dxa"/>
            <w:vAlign w:val="center"/>
          </w:tcPr>
          <w:p w14:paraId="628A3C36">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024E71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21</w:t>
            </w:r>
          </w:p>
        </w:tc>
        <w:tc>
          <w:tcPr>
            <w:tcW w:w="943" w:type="dxa"/>
            <w:vAlign w:val="center"/>
          </w:tcPr>
          <w:p w14:paraId="1E7FC1A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盏</w:t>
            </w:r>
          </w:p>
        </w:tc>
        <w:tc>
          <w:tcPr>
            <w:tcW w:w="1103" w:type="dxa"/>
            <w:vAlign w:val="center"/>
          </w:tcPr>
          <w:p w14:paraId="26A5CE6C">
            <w:pPr>
              <w:pStyle w:val="129"/>
              <w:spacing w:line="360" w:lineRule="auto"/>
              <w:jc w:val="center"/>
              <w:rPr>
                <w:rFonts w:hint="eastAsia" w:ascii="宋体" w:hAnsi="宋体" w:cs="宋体"/>
                <w:color w:val="auto"/>
                <w:sz w:val="22"/>
                <w:szCs w:val="22"/>
                <w:vertAlign w:val="baseline"/>
                <w:lang w:val="en-US" w:eastAsia="zh-CN"/>
              </w:rPr>
            </w:pPr>
          </w:p>
        </w:tc>
      </w:tr>
      <w:tr w14:paraId="123D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FDBFC20">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59</w:t>
            </w:r>
          </w:p>
        </w:tc>
        <w:tc>
          <w:tcPr>
            <w:tcW w:w="2098" w:type="dxa"/>
            <w:shd w:val="clear" w:color="auto" w:fill="auto"/>
            <w:vAlign w:val="center"/>
          </w:tcPr>
          <w:p w14:paraId="796930F5">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LED聚光灯</w:t>
            </w:r>
          </w:p>
        </w:tc>
        <w:tc>
          <w:tcPr>
            <w:tcW w:w="2921" w:type="dxa"/>
            <w:vAlign w:val="center"/>
          </w:tcPr>
          <w:p w14:paraId="65D98D84">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CDAF43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4</w:t>
            </w:r>
          </w:p>
        </w:tc>
        <w:tc>
          <w:tcPr>
            <w:tcW w:w="943" w:type="dxa"/>
            <w:vAlign w:val="center"/>
          </w:tcPr>
          <w:p w14:paraId="3ED15A3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盏</w:t>
            </w:r>
          </w:p>
        </w:tc>
        <w:tc>
          <w:tcPr>
            <w:tcW w:w="1103" w:type="dxa"/>
            <w:vAlign w:val="center"/>
          </w:tcPr>
          <w:p w14:paraId="2E77CE64">
            <w:pPr>
              <w:pStyle w:val="129"/>
              <w:spacing w:line="360" w:lineRule="auto"/>
              <w:jc w:val="center"/>
              <w:rPr>
                <w:rFonts w:hint="eastAsia" w:ascii="宋体" w:hAnsi="宋体" w:cs="宋体"/>
                <w:color w:val="auto"/>
                <w:sz w:val="22"/>
                <w:szCs w:val="22"/>
                <w:vertAlign w:val="baseline"/>
                <w:lang w:val="en-US" w:eastAsia="zh-CN"/>
              </w:rPr>
            </w:pPr>
          </w:p>
        </w:tc>
      </w:tr>
      <w:tr w14:paraId="7A71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5CFB8D9F">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60</w:t>
            </w:r>
          </w:p>
        </w:tc>
        <w:tc>
          <w:tcPr>
            <w:tcW w:w="2098" w:type="dxa"/>
            <w:shd w:val="clear" w:color="auto" w:fill="auto"/>
            <w:vAlign w:val="center"/>
          </w:tcPr>
          <w:p w14:paraId="0FD57EF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数字调光台</w:t>
            </w:r>
          </w:p>
        </w:tc>
        <w:tc>
          <w:tcPr>
            <w:tcW w:w="2921" w:type="dxa"/>
            <w:vAlign w:val="center"/>
          </w:tcPr>
          <w:p w14:paraId="0A42694A">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7995FCF">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367F9D6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只</w:t>
            </w:r>
          </w:p>
        </w:tc>
        <w:tc>
          <w:tcPr>
            <w:tcW w:w="1103" w:type="dxa"/>
            <w:vAlign w:val="center"/>
          </w:tcPr>
          <w:p w14:paraId="2BCE6382">
            <w:pPr>
              <w:pStyle w:val="129"/>
              <w:spacing w:line="360" w:lineRule="auto"/>
              <w:jc w:val="center"/>
              <w:rPr>
                <w:rFonts w:hint="eastAsia" w:ascii="宋体" w:hAnsi="宋体" w:cs="宋体"/>
                <w:color w:val="auto"/>
                <w:sz w:val="22"/>
                <w:szCs w:val="22"/>
                <w:vertAlign w:val="baseline"/>
                <w:lang w:val="en-US" w:eastAsia="zh-CN"/>
              </w:rPr>
            </w:pPr>
          </w:p>
        </w:tc>
      </w:tr>
      <w:tr w14:paraId="1D69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8E2EE23">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61</w:t>
            </w:r>
          </w:p>
        </w:tc>
        <w:tc>
          <w:tcPr>
            <w:tcW w:w="2098" w:type="dxa"/>
            <w:shd w:val="clear" w:color="auto" w:fill="auto"/>
            <w:vAlign w:val="center"/>
          </w:tcPr>
          <w:p w14:paraId="71A702D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阻燃电缆</w:t>
            </w:r>
          </w:p>
        </w:tc>
        <w:tc>
          <w:tcPr>
            <w:tcW w:w="2921" w:type="dxa"/>
            <w:vAlign w:val="center"/>
          </w:tcPr>
          <w:p w14:paraId="29FD47A8">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4C2558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200</w:t>
            </w:r>
          </w:p>
        </w:tc>
        <w:tc>
          <w:tcPr>
            <w:tcW w:w="943" w:type="dxa"/>
            <w:vAlign w:val="center"/>
          </w:tcPr>
          <w:p w14:paraId="3CC838C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米</w:t>
            </w:r>
          </w:p>
        </w:tc>
        <w:tc>
          <w:tcPr>
            <w:tcW w:w="1103" w:type="dxa"/>
            <w:vAlign w:val="center"/>
          </w:tcPr>
          <w:p w14:paraId="51E5ECFD">
            <w:pPr>
              <w:pStyle w:val="129"/>
              <w:spacing w:line="360" w:lineRule="auto"/>
              <w:jc w:val="center"/>
              <w:rPr>
                <w:rFonts w:hint="eastAsia" w:ascii="宋体" w:hAnsi="宋体" w:cs="宋体"/>
                <w:color w:val="auto"/>
                <w:sz w:val="22"/>
                <w:szCs w:val="22"/>
                <w:vertAlign w:val="baseline"/>
                <w:lang w:val="en-US" w:eastAsia="zh-CN"/>
              </w:rPr>
            </w:pPr>
          </w:p>
        </w:tc>
      </w:tr>
      <w:tr w14:paraId="638FE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03B99C4">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62</w:t>
            </w:r>
          </w:p>
        </w:tc>
        <w:tc>
          <w:tcPr>
            <w:tcW w:w="2098" w:type="dxa"/>
            <w:shd w:val="clear" w:color="auto" w:fill="auto"/>
            <w:vAlign w:val="center"/>
          </w:tcPr>
          <w:p w14:paraId="525125D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灯具号码牌</w:t>
            </w:r>
          </w:p>
        </w:tc>
        <w:tc>
          <w:tcPr>
            <w:tcW w:w="2921" w:type="dxa"/>
            <w:vAlign w:val="center"/>
          </w:tcPr>
          <w:p w14:paraId="0AE6BC75">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02458C4">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25</w:t>
            </w:r>
          </w:p>
        </w:tc>
        <w:tc>
          <w:tcPr>
            <w:tcW w:w="943" w:type="dxa"/>
            <w:vAlign w:val="center"/>
          </w:tcPr>
          <w:p w14:paraId="0361B43F">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块</w:t>
            </w:r>
          </w:p>
        </w:tc>
        <w:tc>
          <w:tcPr>
            <w:tcW w:w="1103" w:type="dxa"/>
            <w:vAlign w:val="center"/>
          </w:tcPr>
          <w:p w14:paraId="0F48E4AF">
            <w:pPr>
              <w:pStyle w:val="129"/>
              <w:spacing w:line="360" w:lineRule="auto"/>
              <w:jc w:val="center"/>
              <w:rPr>
                <w:rFonts w:hint="eastAsia" w:ascii="宋体" w:hAnsi="宋体" w:cs="宋体"/>
                <w:color w:val="auto"/>
                <w:sz w:val="22"/>
                <w:szCs w:val="22"/>
                <w:vertAlign w:val="baseline"/>
                <w:lang w:val="en-US" w:eastAsia="zh-CN"/>
              </w:rPr>
            </w:pPr>
          </w:p>
        </w:tc>
      </w:tr>
      <w:tr w14:paraId="6776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7FB571B">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63</w:t>
            </w:r>
          </w:p>
        </w:tc>
        <w:tc>
          <w:tcPr>
            <w:tcW w:w="2098" w:type="dxa"/>
            <w:shd w:val="clear" w:color="auto" w:fill="auto"/>
            <w:vAlign w:val="center"/>
          </w:tcPr>
          <w:p w14:paraId="2AD9838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保险链</w:t>
            </w:r>
          </w:p>
        </w:tc>
        <w:tc>
          <w:tcPr>
            <w:tcW w:w="2921" w:type="dxa"/>
            <w:vAlign w:val="center"/>
          </w:tcPr>
          <w:p w14:paraId="7684A5CB">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F59D07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25</w:t>
            </w:r>
          </w:p>
        </w:tc>
        <w:tc>
          <w:tcPr>
            <w:tcW w:w="943" w:type="dxa"/>
            <w:vAlign w:val="center"/>
          </w:tcPr>
          <w:p w14:paraId="4346F6AF">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根</w:t>
            </w:r>
          </w:p>
        </w:tc>
        <w:tc>
          <w:tcPr>
            <w:tcW w:w="1103" w:type="dxa"/>
            <w:vAlign w:val="center"/>
          </w:tcPr>
          <w:p w14:paraId="54FCBCF8">
            <w:pPr>
              <w:pStyle w:val="129"/>
              <w:spacing w:line="360" w:lineRule="auto"/>
              <w:jc w:val="center"/>
              <w:rPr>
                <w:rFonts w:hint="eastAsia" w:ascii="宋体" w:hAnsi="宋体" w:cs="宋体"/>
                <w:color w:val="auto"/>
                <w:sz w:val="22"/>
                <w:szCs w:val="22"/>
                <w:vertAlign w:val="baseline"/>
                <w:lang w:val="en-US" w:eastAsia="zh-CN"/>
              </w:rPr>
            </w:pPr>
          </w:p>
        </w:tc>
      </w:tr>
      <w:tr w14:paraId="6824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30FC3D2">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64</w:t>
            </w:r>
          </w:p>
        </w:tc>
        <w:tc>
          <w:tcPr>
            <w:tcW w:w="2098" w:type="dxa"/>
            <w:shd w:val="clear" w:color="auto" w:fill="auto"/>
            <w:vAlign w:val="center"/>
          </w:tcPr>
          <w:p w14:paraId="755402A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信号线</w:t>
            </w:r>
          </w:p>
        </w:tc>
        <w:tc>
          <w:tcPr>
            <w:tcW w:w="2921" w:type="dxa"/>
            <w:vAlign w:val="center"/>
          </w:tcPr>
          <w:p w14:paraId="4EEAE966">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C42AE2F">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200</w:t>
            </w:r>
          </w:p>
        </w:tc>
        <w:tc>
          <w:tcPr>
            <w:tcW w:w="943" w:type="dxa"/>
            <w:vAlign w:val="center"/>
          </w:tcPr>
          <w:p w14:paraId="4B45034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米</w:t>
            </w:r>
          </w:p>
        </w:tc>
        <w:tc>
          <w:tcPr>
            <w:tcW w:w="1103" w:type="dxa"/>
            <w:vAlign w:val="center"/>
          </w:tcPr>
          <w:p w14:paraId="756AF7CA">
            <w:pPr>
              <w:pStyle w:val="129"/>
              <w:spacing w:line="360" w:lineRule="auto"/>
              <w:jc w:val="center"/>
              <w:rPr>
                <w:rFonts w:hint="eastAsia" w:ascii="宋体" w:hAnsi="宋体" w:cs="宋体"/>
                <w:color w:val="auto"/>
                <w:sz w:val="22"/>
                <w:szCs w:val="22"/>
                <w:vertAlign w:val="baseline"/>
                <w:lang w:val="en-US" w:eastAsia="zh-CN"/>
              </w:rPr>
            </w:pPr>
          </w:p>
        </w:tc>
      </w:tr>
      <w:tr w14:paraId="21EE2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6307A1E">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65</w:t>
            </w:r>
          </w:p>
        </w:tc>
        <w:tc>
          <w:tcPr>
            <w:tcW w:w="2098" w:type="dxa"/>
            <w:shd w:val="clear" w:color="auto" w:fill="auto"/>
            <w:vAlign w:val="center"/>
          </w:tcPr>
          <w:p w14:paraId="39D5ED6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信号放大器</w:t>
            </w:r>
          </w:p>
        </w:tc>
        <w:tc>
          <w:tcPr>
            <w:tcW w:w="2921" w:type="dxa"/>
            <w:vAlign w:val="center"/>
          </w:tcPr>
          <w:p w14:paraId="6ABE6D8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F4E9F0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33DFB2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7FD29550">
            <w:pPr>
              <w:pStyle w:val="129"/>
              <w:spacing w:line="360" w:lineRule="auto"/>
              <w:jc w:val="center"/>
              <w:rPr>
                <w:rFonts w:hint="eastAsia" w:ascii="宋体" w:hAnsi="宋体" w:cs="宋体"/>
                <w:color w:val="auto"/>
                <w:sz w:val="22"/>
                <w:szCs w:val="22"/>
                <w:vertAlign w:val="baseline"/>
                <w:lang w:val="en-US" w:eastAsia="zh-CN"/>
              </w:rPr>
            </w:pPr>
          </w:p>
        </w:tc>
      </w:tr>
      <w:tr w14:paraId="1D4A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630D662">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66</w:t>
            </w:r>
          </w:p>
        </w:tc>
        <w:tc>
          <w:tcPr>
            <w:tcW w:w="2098" w:type="dxa"/>
            <w:shd w:val="clear" w:color="auto" w:fill="auto"/>
            <w:vAlign w:val="center"/>
          </w:tcPr>
          <w:p w14:paraId="7A8B246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恒力铰链</w:t>
            </w:r>
          </w:p>
        </w:tc>
        <w:tc>
          <w:tcPr>
            <w:tcW w:w="2921" w:type="dxa"/>
            <w:vAlign w:val="center"/>
          </w:tcPr>
          <w:p w14:paraId="10F5D8FC">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FD1C9F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5</w:t>
            </w:r>
          </w:p>
        </w:tc>
        <w:tc>
          <w:tcPr>
            <w:tcW w:w="943" w:type="dxa"/>
            <w:vAlign w:val="center"/>
          </w:tcPr>
          <w:p w14:paraId="538FF73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6295BB85">
            <w:pPr>
              <w:pStyle w:val="129"/>
              <w:spacing w:line="360" w:lineRule="auto"/>
              <w:jc w:val="center"/>
              <w:rPr>
                <w:rFonts w:hint="eastAsia" w:ascii="宋体" w:hAnsi="宋体" w:cs="宋体"/>
                <w:color w:val="auto"/>
                <w:sz w:val="22"/>
                <w:szCs w:val="22"/>
                <w:vertAlign w:val="baseline"/>
                <w:lang w:val="en-US" w:eastAsia="zh-CN"/>
              </w:rPr>
            </w:pPr>
          </w:p>
        </w:tc>
      </w:tr>
      <w:tr w14:paraId="2F11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6DCBF78">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67</w:t>
            </w:r>
          </w:p>
        </w:tc>
        <w:tc>
          <w:tcPr>
            <w:tcW w:w="2098" w:type="dxa"/>
            <w:shd w:val="clear" w:color="auto" w:fill="auto"/>
            <w:vAlign w:val="center"/>
          </w:tcPr>
          <w:p w14:paraId="40F243D2">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灯光系统辅材</w:t>
            </w:r>
          </w:p>
        </w:tc>
        <w:tc>
          <w:tcPr>
            <w:tcW w:w="2921" w:type="dxa"/>
            <w:vAlign w:val="center"/>
          </w:tcPr>
          <w:p w14:paraId="6BA3D030">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C134F3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10C9FC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3E982F72">
            <w:pPr>
              <w:pStyle w:val="129"/>
              <w:spacing w:line="360" w:lineRule="auto"/>
              <w:jc w:val="center"/>
              <w:rPr>
                <w:rFonts w:hint="eastAsia" w:ascii="宋体" w:hAnsi="宋体" w:cs="宋体"/>
                <w:color w:val="auto"/>
                <w:sz w:val="22"/>
                <w:szCs w:val="22"/>
                <w:vertAlign w:val="baseline"/>
                <w:lang w:val="en-US" w:eastAsia="zh-CN"/>
              </w:rPr>
            </w:pPr>
          </w:p>
        </w:tc>
      </w:tr>
      <w:tr w14:paraId="353A6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E7AE333">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68</w:t>
            </w:r>
          </w:p>
        </w:tc>
        <w:tc>
          <w:tcPr>
            <w:tcW w:w="2098" w:type="dxa"/>
            <w:shd w:val="clear" w:color="auto" w:fill="auto"/>
            <w:vAlign w:val="center"/>
          </w:tcPr>
          <w:p w14:paraId="0507E63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灯光系统安装调试</w:t>
            </w:r>
          </w:p>
        </w:tc>
        <w:tc>
          <w:tcPr>
            <w:tcW w:w="2921" w:type="dxa"/>
            <w:vAlign w:val="center"/>
          </w:tcPr>
          <w:p w14:paraId="4A0C224E">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092E244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EBFDFF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220B266B">
            <w:pPr>
              <w:pStyle w:val="129"/>
              <w:spacing w:line="360" w:lineRule="auto"/>
              <w:jc w:val="center"/>
              <w:rPr>
                <w:rFonts w:hint="eastAsia" w:ascii="宋体" w:hAnsi="宋体" w:cs="宋体"/>
                <w:color w:val="auto"/>
                <w:sz w:val="22"/>
                <w:szCs w:val="22"/>
                <w:vertAlign w:val="baseline"/>
                <w:lang w:val="en-US" w:eastAsia="zh-CN"/>
              </w:rPr>
            </w:pPr>
          </w:p>
        </w:tc>
      </w:tr>
      <w:tr w14:paraId="69FB6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7833692">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69</w:t>
            </w:r>
          </w:p>
        </w:tc>
        <w:tc>
          <w:tcPr>
            <w:tcW w:w="2098" w:type="dxa"/>
            <w:shd w:val="clear" w:color="auto" w:fill="auto"/>
            <w:vAlign w:val="center"/>
          </w:tcPr>
          <w:p w14:paraId="5FCF528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隔墙</w:t>
            </w:r>
          </w:p>
        </w:tc>
        <w:tc>
          <w:tcPr>
            <w:tcW w:w="2921" w:type="dxa"/>
            <w:vAlign w:val="center"/>
          </w:tcPr>
          <w:p w14:paraId="662AB51F">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4A499F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85</w:t>
            </w:r>
          </w:p>
        </w:tc>
        <w:tc>
          <w:tcPr>
            <w:tcW w:w="943" w:type="dxa"/>
            <w:vAlign w:val="center"/>
          </w:tcPr>
          <w:p w14:paraId="025D775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平米</w:t>
            </w:r>
          </w:p>
        </w:tc>
        <w:tc>
          <w:tcPr>
            <w:tcW w:w="1103" w:type="dxa"/>
            <w:vAlign w:val="center"/>
          </w:tcPr>
          <w:p w14:paraId="36276619">
            <w:pPr>
              <w:pStyle w:val="129"/>
              <w:spacing w:line="360" w:lineRule="auto"/>
              <w:jc w:val="center"/>
              <w:rPr>
                <w:rFonts w:hint="eastAsia" w:ascii="宋体" w:hAnsi="宋体" w:cs="宋体"/>
                <w:color w:val="auto"/>
                <w:sz w:val="22"/>
                <w:szCs w:val="22"/>
                <w:vertAlign w:val="baseline"/>
                <w:lang w:val="en-US" w:eastAsia="zh-CN"/>
              </w:rPr>
            </w:pPr>
          </w:p>
        </w:tc>
      </w:tr>
      <w:tr w14:paraId="4DA6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BFEF41C">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70</w:t>
            </w:r>
          </w:p>
        </w:tc>
        <w:tc>
          <w:tcPr>
            <w:tcW w:w="2098" w:type="dxa"/>
            <w:shd w:val="clear" w:color="auto" w:fill="auto"/>
            <w:vAlign w:val="center"/>
          </w:tcPr>
          <w:p w14:paraId="5FA4960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演播室吸音板</w:t>
            </w:r>
          </w:p>
        </w:tc>
        <w:tc>
          <w:tcPr>
            <w:tcW w:w="2921" w:type="dxa"/>
            <w:vAlign w:val="center"/>
          </w:tcPr>
          <w:p w14:paraId="684610F1">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38B2BC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50</w:t>
            </w:r>
          </w:p>
        </w:tc>
        <w:tc>
          <w:tcPr>
            <w:tcW w:w="943" w:type="dxa"/>
            <w:vAlign w:val="center"/>
          </w:tcPr>
          <w:p w14:paraId="524BC19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平米</w:t>
            </w:r>
          </w:p>
        </w:tc>
        <w:tc>
          <w:tcPr>
            <w:tcW w:w="1103" w:type="dxa"/>
            <w:vAlign w:val="center"/>
          </w:tcPr>
          <w:p w14:paraId="34925A1E">
            <w:pPr>
              <w:pStyle w:val="129"/>
              <w:spacing w:line="360" w:lineRule="auto"/>
              <w:jc w:val="center"/>
              <w:rPr>
                <w:rFonts w:hint="eastAsia" w:ascii="宋体" w:hAnsi="宋体" w:cs="宋体"/>
                <w:color w:val="auto"/>
                <w:sz w:val="22"/>
                <w:szCs w:val="22"/>
                <w:vertAlign w:val="baseline"/>
                <w:lang w:val="en-US" w:eastAsia="zh-CN"/>
              </w:rPr>
            </w:pPr>
          </w:p>
        </w:tc>
      </w:tr>
      <w:tr w14:paraId="59F1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78F673B">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71</w:t>
            </w:r>
          </w:p>
        </w:tc>
        <w:tc>
          <w:tcPr>
            <w:tcW w:w="2098" w:type="dxa"/>
            <w:shd w:val="clear" w:color="auto" w:fill="auto"/>
            <w:vAlign w:val="center"/>
          </w:tcPr>
          <w:p w14:paraId="15011DE7">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墙顶面</w:t>
            </w:r>
          </w:p>
        </w:tc>
        <w:tc>
          <w:tcPr>
            <w:tcW w:w="2921" w:type="dxa"/>
            <w:vAlign w:val="center"/>
          </w:tcPr>
          <w:p w14:paraId="3A20A79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229865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102</w:t>
            </w:r>
          </w:p>
        </w:tc>
        <w:tc>
          <w:tcPr>
            <w:tcW w:w="943" w:type="dxa"/>
            <w:vAlign w:val="center"/>
          </w:tcPr>
          <w:p w14:paraId="6DBE6D4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平米</w:t>
            </w:r>
          </w:p>
        </w:tc>
        <w:tc>
          <w:tcPr>
            <w:tcW w:w="1103" w:type="dxa"/>
            <w:vAlign w:val="center"/>
          </w:tcPr>
          <w:p w14:paraId="76D881DF">
            <w:pPr>
              <w:pStyle w:val="129"/>
              <w:spacing w:line="360" w:lineRule="auto"/>
              <w:jc w:val="center"/>
              <w:rPr>
                <w:rFonts w:hint="eastAsia" w:ascii="宋体" w:hAnsi="宋体" w:cs="宋体"/>
                <w:color w:val="auto"/>
                <w:sz w:val="22"/>
                <w:szCs w:val="22"/>
                <w:vertAlign w:val="baseline"/>
                <w:lang w:val="en-US" w:eastAsia="zh-CN"/>
              </w:rPr>
            </w:pPr>
          </w:p>
        </w:tc>
      </w:tr>
      <w:tr w14:paraId="74CC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1EE6534">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72</w:t>
            </w:r>
          </w:p>
        </w:tc>
        <w:tc>
          <w:tcPr>
            <w:tcW w:w="2098" w:type="dxa"/>
            <w:shd w:val="clear" w:color="auto" w:fill="auto"/>
            <w:vAlign w:val="center"/>
          </w:tcPr>
          <w:p w14:paraId="134540D4">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地面</w:t>
            </w:r>
          </w:p>
        </w:tc>
        <w:tc>
          <w:tcPr>
            <w:tcW w:w="2921" w:type="dxa"/>
            <w:vAlign w:val="center"/>
          </w:tcPr>
          <w:p w14:paraId="274A9341">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A51038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102</w:t>
            </w:r>
          </w:p>
        </w:tc>
        <w:tc>
          <w:tcPr>
            <w:tcW w:w="943" w:type="dxa"/>
            <w:vAlign w:val="center"/>
          </w:tcPr>
          <w:p w14:paraId="1D03C56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平米</w:t>
            </w:r>
          </w:p>
        </w:tc>
        <w:tc>
          <w:tcPr>
            <w:tcW w:w="1103" w:type="dxa"/>
            <w:vAlign w:val="center"/>
          </w:tcPr>
          <w:p w14:paraId="2BECF830">
            <w:pPr>
              <w:pStyle w:val="129"/>
              <w:spacing w:line="360" w:lineRule="auto"/>
              <w:jc w:val="center"/>
              <w:rPr>
                <w:rFonts w:hint="eastAsia" w:ascii="宋体" w:hAnsi="宋体" w:cs="宋体"/>
                <w:color w:val="auto"/>
                <w:sz w:val="22"/>
                <w:szCs w:val="22"/>
                <w:vertAlign w:val="baseline"/>
                <w:lang w:val="en-US" w:eastAsia="zh-CN"/>
              </w:rPr>
            </w:pPr>
          </w:p>
        </w:tc>
      </w:tr>
      <w:tr w14:paraId="7FA70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5C863D5">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73</w:t>
            </w:r>
          </w:p>
        </w:tc>
        <w:tc>
          <w:tcPr>
            <w:tcW w:w="2098" w:type="dxa"/>
            <w:shd w:val="clear" w:color="auto" w:fill="auto"/>
            <w:vAlign w:val="center"/>
          </w:tcPr>
          <w:p w14:paraId="1BEF52D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墙体造型</w:t>
            </w:r>
          </w:p>
        </w:tc>
        <w:tc>
          <w:tcPr>
            <w:tcW w:w="2921" w:type="dxa"/>
            <w:vAlign w:val="center"/>
          </w:tcPr>
          <w:p w14:paraId="4B1F3B37">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746A6B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2D8FDB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5D8E7F15">
            <w:pPr>
              <w:pStyle w:val="129"/>
              <w:spacing w:line="360" w:lineRule="auto"/>
              <w:jc w:val="center"/>
              <w:rPr>
                <w:rFonts w:hint="eastAsia" w:ascii="宋体" w:hAnsi="宋体" w:cs="宋体"/>
                <w:color w:val="auto"/>
                <w:sz w:val="22"/>
                <w:szCs w:val="22"/>
                <w:vertAlign w:val="baseline"/>
                <w:lang w:val="en-US" w:eastAsia="zh-CN"/>
              </w:rPr>
            </w:pPr>
          </w:p>
        </w:tc>
      </w:tr>
      <w:tr w14:paraId="5CE8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5A86439C">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74</w:t>
            </w:r>
          </w:p>
        </w:tc>
        <w:tc>
          <w:tcPr>
            <w:tcW w:w="2098" w:type="dxa"/>
            <w:shd w:val="clear" w:color="auto" w:fill="auto"/>
            <w:vAlign w:val="center"/>
          </w:tcPr>
          <w:p w14:paraId="5386C7B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成品门</w:t>
            </w:r>
          </w:p>
        </w:tc>
        <w:tc>
          <w:tcPr>
            <w:tcW w:w="2921" w:type="dxa"/>
            <w:vAlign w:val="center"/>
          </w:tcPr>
          <w:p w14:paraId="214D698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8FBA76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5718007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74595456">
            <w:pPr>
              <w:pStyle w:val="129"/>
              <w:spacing w:line="360" w:lineRule="auto"/>
              <w:jc w:val="center"/>
              <w:rPr>
                <w:rFonts w:hint="eastAsia" w:ascii="宋体" w:hAnsi="宋体" w:cs="宋体"/>
                <w:color w:val="auto"/>
                <w:sz w:val="22"/>
                <w:szCs w:val="22"/>
                <w:vertAlign w:val="baseline"/>
                <w:lang w:val="en-US" w:eastAsia="zh-CN"/>
              </w:rPr>
            </w:pPr>
          </w:p>
        </w:tc>
      </w:tr>
      <w:tr w14:paraId="2AC84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161A5ED">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75</w:t>
            </w:r>
          </w:p>
        </w:tc>
        <w:tc>
          <w:tcPr>
            <w:tcW w:w="2098" w:type="dxa"/>
            <w:shd w:val="clear" w:color="auto" w:fill="auto"/>
            <w:vAlign w:val="center"/>
          </w:tcPr>
          <w:p w14:paraId="648A5A3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线路改造</w:t>
            </w:r>
          </w:p>
        </w:tc>
        <w:tc>
          <w:tcPr>
            <w:tcW w:w="2921" w:type="dxa"/>
            <w:vAlign w:val="center"/>
          </w:tcPr>
          <w:p w14:paraId="7FE89FC5">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ABEA95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898DCB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2DA0CB02">
            <w:pPr>
              <w:pStyle w:val="129"/>
              <w:spacing w:line="360" w:lineRule="auto"/>
              <w:jc w:val="center"/>
              <w:rPr>
                <w:rFonts w:hint="eastAsia" w:ascii="宋体" w:hAnsi="宋体" w:cs="宋体"/>
                <w:color w:val="auto"/>
                <w:sz w:val="22"/>
                <w:szCs w:val="22"/>
                <w:vertAlign w:val="baseline"/>
                <w:lang w:val="en-US" w:eastAsia="zh-CN"/>
              </w:rPr>
            </w:pPr>
          </w:p>
        </w:tc>
      </w:tr>
      <w:tr w14:paraId="7715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D5851B4">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76</w:t>
            </w:r>
          </w:p>
        </w:tc>
        <w:tc>
          <w:tcPr>
            <w:tcW w:w="2098" w:type="dxa"/>
            <w:shd w:val="clear" w:color="auto" w:fill="auto"/>
            <w:vAlign w:val="center"/>
          </w:tcPr>
          <w:p w14:paraId="5CE7F49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演播室桌子及凳子</w:t>
            </w:r>
          </w:p>
        </w:tc>
        <w:tc>
          <w:tcPr>
            <w:tcW w:w="2921" w:type="dxa"/>
            <w:vAlign w:val="center"/>
          </w:tcPr>
          <w:p w14:paraId="59619872">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1345CD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60CF3E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6EA91623">
            <w:pPr>
              <w:pStyle w:val="129"/>
              <w:spacing w:line="360" w:lineRule="auto"/>
              <w:jc w:val="center"/>
              <w:rPr>
                <w:rFonts w:hint="eastAsia" w:ascii="宋体" w:hAnsi="宋体" w:cs="宋体"/>
                <w:color w:val="auto"/>
                <w:sz w:val="22"/>
                <w:szCs w:val="22"/>
                <w:vertAlign w:val="baseline"/>
                <w:lang w:val="en-US" w:eastAsia="zh-CN"/>
              </w:rPr>
            </w:pPr>
          </w:p>
        </w:tc>
      </w:tr>
      <w:tr w14:paraId="214F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AF9916D">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77</w:t>
            </w:r>
          </w:p>
        </w:tc>
        <w:tc>
          <w:tcPr>
            <w:tcW w:w="2098" w:type="dxa"/>
            <w:shd w:val="clear" w:color="auto" w:fill="auto"/>
            <w:vAlign w:val="center"/>
          </w:tcPr>
          <w:p w14:paraId="0F3DC3F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系统集成</w:t>
            </w:r>
          </w:p>
        </w:tc>
        <w:tc>
          <w:tcPr>
            <w:tcW w:w="2921" w:type="dxa"/>
            <w:vAlign w:val="center"/>
          </w:tcPr>
          <w:p w14:paraId="7F9061BA">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10F4AC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6AC8AC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6079AE2C">
            <w:pPr>
              <w:pStyle w:val="129"/>
              <w:spacing w:line="360" w:lineRule="auto"/>
              <w:jc w:val="center"/>
              <w:rPr>
                <w:rFonts w:hint="eastAsia" w:ascii="宋体" w:hAnsi="宋体" w:cs="宋体"/>
                <w:color w:val="auto"/>
                <w:sz w:val="22"/>
                <w:szCs w:val="22"/>
                <w:vertAlign w:val="baseline"/>
                <w:lang w:val="en-US" w:eastAsia="zh-CN"/>
              </w:rPr>
            </w:pPr>
          </w:p>
        </w:tc>
      </w:tr>
      <w:tr w14:paraId="4BA4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93684BA">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78</w:t>
            </w:r>
          </w:p>
        </w:tc>
        <w:tc>
          <w:tcPr>
            <w:tcW w:w="2098" w:type="dxa"/>
            <w:shd w:val="clear" w:color="auto" w:fill="auto"/>
            <w:vAlign w:val="center"/>
          </w:tcPr>
          <w:p w14:paraId="57626D94">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项目现场安装调试</w:t>
            </w:r>
          </w:p>
        </w:tc>
        <w:tc>
          <w:tcPr>
            <w:tcW w:w="2921" w:type="dxa"/>
            <w:vAlign w:val="center"/>
          </w:tcPr>
          <w:p w14:paraId="17455E86">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E82AAB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1E73CE1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项</w:t>
            </w:r>
          </w:p>
        </w:tc>
        <w:tc>
          <w:tcPr>
            <w:tcW w:w="1103" w:type="dxa"/>
            <w:vAlign w:val="center"/>
          </w:tcPr>
          <w:p w14:paraId="76148BD6">
            <w:pPr>
              <w:pStyle w:val="129"/>
              <w:spacing w:line="360" w:lineRule="auto"/>
              <w:jc w:val="center"/>
              <w:rPr>
                <w:rFonts w:hint="eastAsia" w:ascii="宋体" w:hAnsi="宋体" w:cs="宋体"/>
                <w:color w:val="auto"/>
                <w:sz w:val="22"/>
                <w:szCs w:val="22"/>
                <w:vertAlign w:val="baseline"/>
                <w:lang w:val="en-US" w:eastAsia="zh-CN"/>
              </w:rPr>
            </w:pPr>
          </w:p>
        </w:tc>
      </w:tr>
      <w:tr w14:paraId="3ED6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08F7E71">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79</w:t>
            </w:r>
          </w:p>
        </w:tc>
        <w:tc>
          <w:tcPr>
            <w:tcW w:w="2098" w:type="dxa"/>
            <w:shd w:val="clear" w:color="auto" w:fill="auto"/>
            <w:vAlign w:val="center"/>
          </w:tcPr>
          <w:p w14:paraId="6F2CE3E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资源管理平台</w:t>
            </w:r>
          </w:p>
        </w:tc>
        <w:tc>
          <w:tcPr>
            <w:tcW w:w="2921" w:type="dxa"/>
            <w:vAlign w:val="center"/>
          </w:tcPr>
          <w:p w14:paraId="3637E77E">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1734523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4E5B976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3A680DB6">
            <w:pPr>
              <w:pStyle w:val="129"/>
              <w:spacing w:line="360" w:lineRule="auto"/>
              <w:jc w:val="center"/>
              <w:rPr>
                <w:rFonts w:hint="eastAsia" w:ascii="宋体" w:hAnsi="宋体" w:cs="宋体"/>
                <w:color w:val="auto"/>
                <w:sz w:val="22"/>
                <w:szCs w:val="22"/>
                <w:vertAlign w:val="baseline"/>
                <w:lang w:val="en-US" w:eastAsia="zh-CN"/>
              </w:rPr>
            </w:pPr>
          </w:p>
        </w:tc>
      </w:tr>
      <w:tr w14:paraId="1D80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31FC885">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80</w:t>
            </w:r>
          </w:p>
        </w:tc>
        <w:tc>
          <w:tcPr>
            <w:tcW w:w="2098" w:type="dxa"/>
            <w:shd w:val="clear" w:color="auto" w:fill="auto"/>
            <w:vAlign w:val="center"/>
          </w:tcPr>
          <w:p w14:paraId="6BBA3E1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服务器</w:t>
            </w:r>
          </w:p>
        </w:tc>
        <w:tc>
          <w:tcPr>
            <w:tcW w:w="2921" w:type="dxa"/>
            <w:vAlign w:val="center"/>
          </w:tcPr>
          <w:p w14:paraId="44CDB864">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8C6319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B4273B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4B89FE44">
            <w:pPr>
              <w:pStyle w:val="129"/>
              <w:spacing w:line="360" w:lineRule="auto"/>
              <w:jc w:val="center"/>
              <w:rPr>
                <w:rFonts w:hint="eastAsia" w:ascii="宋体" w:hAnsi="宋体" w:cs="宋体"/>
                <w:color w:val="auto"/>
                <w:sz w:val="22"/>
                <w:szCs w:val="22"/>
                <w:vertAlign w:val="baseline"/>
                <w:lang w:val="en-US" w:eastAsia="zh-CN"/>
              </w:rPr>
            </w:pPr>
          </w:p>
        </w:tc>
      </w:tr>
      <w:tr w14:paraId="24CB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28EB2C9">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81</w:t>
            </w:r>
          </w:p>
        </w:tc>
        <w:tc>
          <w:tcPr>
            <w:tcW w:w="2098" w:type="dxa"/>
            <w:shd w:val="clear" w:color="auto" w:fill="auto"/>
            <w:vAlign w:val="center"/>
          </w:tcPr>
          <w:p w14:paraId="2FCA5A60">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4K录播一体机</w:t>
            </w:r>
          </w:p>
        </w:tc>
        <w:tc>
          <w:tcPr>
            <w:tcW w:w="2921" w:type="dxa"/>
            <w:vAlign w:val="center"/>
          </w:tcPr>
          <w:p w14:paraId="0686DB0F">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9FC33C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76D252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4CFF5F75">
            <w:pPr>
              <w:pStyle w:val="129"/>
              <w:spacing w:line="360" w:lineRule="auto"/>
              <w:ind w:left="0" w:leftChars="0" w:firstLine="0" w:firstLineChars="0"/>
              <w:jc w:val="both"/>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核心产品</w:t>
            </w:r>
          </w:p>
        </w:tc>
      </w:tr>
      <w:tr w14:paraId="591C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F1E8EC0">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82</w:t>
            </w:r>
          </w:p>
        </w:tc>
        <w:tc>
          <w:tcPr>
            <w:tcW w:w="2098" w:type="dxa"/>
            <w:shd w:val="clear" w:color="auto" w:fill="auto"/>
            <w:vAlign w:val="center"/>
          </w:tcPr>
          <w:p w14:paraId="42B4A7E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嵌入式录播系统</w:t>
            </w:r>
          </w:p>
        </w:tc>
        <w:tc>
          <w:tcPr>
            <w:tcW w:w="2921" w:type="dxa"/>
            <w:vAlign w:val="center"/>
          </w:tcPr>
          <w:p w14:paraId="6F6D4036">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1F5E33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2A265CA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1D0F3E6B">
            <w:pPr>
              <w:pStyle w:val="129"/>
              <w:spacing w:line="360" w:lineRule="auto"/>
              <w:jc w:val="center"/>
              <w:rPr>
                <w:rFonts w:hint="eastAsia" w:ascii="宋体" w:hAnsi="宋体" w:cs="宋体"/>
                <w:color w:val="auto"/>
                <w:sz w:val="22"/>
                <w:szCs w:val="22"/>
                <w:vertAlign w:val="baseline"/>
                <w:lang w:val="en-US" w:eastAsia="zh-CN"/>
              </w:rPr>
            </w:pPr>
          </w:p>
        </w:tc>
      </w:tr>
      <w:tr w14:paraId="545C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3518ABB">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83</w:t>
            </w:r>
          </w:p>
        </w:tc>
        <w:tc>
          <w:tcPr>
            <w:tcW w:w="2098" w:type="dxa"/>
            <w:shd w:val="clear" w:color="auto" w:fill="auto"/>
            <w:vAlign w:val="center"/>
          </w:tcPr>
          <w:p w14:paraId="5E098D1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高清云台摄像机(特写)</w:t>
            </w:r>
          </w:p>
        </w:tc>
        <w:tc>
          <w:tcPr>
            <w:tcW w:w="2921" w:type="dxa"/>
            <w:vAlign w:val="center"/>
          </w:tcPr>
          <w:p w14:paraId="7B097D53">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8251C33">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4</w:t>
            </w:r>
          </w:p>
        </w:tc>
        <w:tc>
          <w:tcPr>
            <w:tcW w:w="943" w:type="dxa"/>
            <w:vAlign w:val="center"/>
          </w:tcPr>
          <w:p w14:paraId="4803CF9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158B7254">
            <w:pPr>
              <w:pStyle w:val="129"/>
              <w:spacing w:line="360" w:lineRule="auto"/>
              <w:jc w:val="center"/>
              <w:rPr>
                <w:rFonts w:hint="eastAsia" w:ascii="宋体" w:hAnsi="宋体" w:cs="宋体"/>
                <w:color w:val="auto"/>
                <w:sz w:val="22"/>
                <w:szCs w:val="22"/>
                <w:vertAlign w:val="baseline"/>
                <w:lang w:val="en-US" w:eastAsia="zh-CN"/>
              </w:rPr>
            </w:pPr>
          </w:p>
        </w:tc>
      </w:tr>
      <w:tr w14:paraId="0B93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26A751A">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84</w:t>
            </w:r>
          </w:p>
        </w:tc>
        <w:tc>
          <w:tcPr>
            <w:tcW w:w="2098" w:type="dxa"/>
            <w:shd w:val="clear" w:color="auto" w:fill="auto"/>
            <w:vAlign w:val="center"/>
          </w:tcPr>
          <w:p w14:paraId="566FD424">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高清云台摄像机（全景）</w:t>
            </w:r>
          </w:p>
        </w:tc>
        <w:tc>
          <w:tcPr>
            <w:tcW w:w="2921" w:type="dxa"/>
            <w:vAlign w:val="center"/>
          </w:tcPr>
          <w:p w14:paraId="1A76B096">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1F639DE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0483943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10172D51">
            <w:pPr>
              <w:pStyle w:val="129"/>
              <w:spacing w:line="360" w:lineRule="auto"/>
              <w:jc w:val="center"/>
              <w:rPr>
                <w:rFonts w:hint="eastAsia" w:ascii="宋体" w:hAnsi="宋体" w:cs="宋体"/>
                <w:color w:val="auto"/>
                <w:sz w:val="22"/>
                <w:szCs w:val="22"/>
                <w:vertAlign w:val="baseline"/>
                <w:lang w:val="en-US" w:eastAsia="zh-CN"/>
              </w:rPr>
            </w:pPr>
          </w:p>
        </w:tc>
      </w:tr>
      <w:tr w14:paraId="62C1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536915BF">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85</w:t>
            </w:r>
          </w:p>
        </w:tc>
        <w:tc>
          <w:tcPr>
            <w:tcW w:w="2098" w:type="dxa"/>
            <w:shd w:val="clear" w:color="auto" w:fill="auto"/>
            <w:vAlign w:val="center"/>
          </w:tcPr>
          <w:p w14:paraId="52745C3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指向性话筒</w:t>
            </w:r>
          </w:p>
        </w:tc>
        <w:tc>
          <w:tcPr>
            <w:tcW w:w="2921" w:type="dxa"/>
            <w:vAlign w:val="center"/>
          </w:tcPr>
          <w:p w14:paraId="1D1037A6">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D43BFB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6</w:t>
            </w:r>
          </w:p>
        </w:tc>
        <w:tc>
          <w:tcPr>
            <w:tcW w:w="943" w:type="dxa"/>
            <w:vAlign w:val="center"/>
          </w:tcPr>
          <w:p w14:paraId="02888F3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只</w:t>
            </w:r>
          </w:p>
        </w:tc>
        <w:tc>
          <w:tcPr>
            <w:tcW w:w="1103" w:type="dxa"/>
            <w:vAlign w:val="center"/>
          </w:tcPr>
          <w:p w14:paraId="26C6D7A1">
            <w:pPr>
              <w:pStyle w:val="129"/>
              <w:spacing w:line="360" w:lineRule="auto"/>
              <w:jc w:val="center"/>
              <w:rPr>
                <w:rFonts w:hint="eastAsia" w:ascii="宋体" w:hAnsi="宋体" w:cs="宋体"/>
                <w:color w:val="auto"/>
                <w:sz w:val="22"/>
                <w:szCs w:val="22"/>
                <w:vertAlign w:val="baseline"/>
                <w:lang w:val="en-US" w:eastAsia="zh-CN"/>
              </w:rPr>
            </w:pPr>
          </w:p>
        </w:tc>
      </w:tr>
      <w:tr w14:paraId="5BAF4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68D8C38">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86</w:t>
            </w:r>
          </w:p>
        </w:tc>
        <w:tc>
          <w:tcPr>
            <w:tcW w:w="2098" w:type="dxa"/>
            <w:shd w:val="clear" w:color="auto" w:fill="auto"/>
            <w:vAlign w:val="center"/>
          </w:tcPr>
          <w:p w14:paraId="4BC34BE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数字音频矩阵</w:t>
            </w:r>
          </w:p>
        </w:tc>
        <w:tc>
          <w:tcPr>
            <w:tcW w:w="2921" w:type="dxa"/>
            <w:vAlign w:val="center"/>
          </w:tcPr>
          <w:p w14:paraId="3B7B6B54">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6E0E1B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42C7B8A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6BEBA03A">
            <w:pPr>
              <w:pStyle w:val="129"/>
              <w:spacing w:line="360" w:lineRule="auto"/>
              <w:jc w:val="center"/>
              <w:rPr>
                <w:rFonts w:hint="eastAsia" w:ascii="宋体" w:hAnsi="宋体" w:cs="宋体"/>
                <w:color w:val="auto"/>
                <w:sz w:val="22"/>
                <w:szCs w:val="22"/>
                <w:vertAlign w:val="baseline"/>
                <w:lang w:val="en-US" w:eastAsia="zh-CN"/>
              </w:rPr>
            </w:pPr>
          </w:p>
        </w:tc>
      </w:tr>
      <w:tr w14:paraId="678B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7E8E587">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87</w:t>
            </w:r>
          </w:p>
        </w:tc>
        <w:tc>
          <w:tcPr>
            <w:tcW w:w="2098" w:type="dxa"/>
            <w:shd w:val="clear" w:color="auto" w:fill="auto"/>
            <w:vAlign w:val="center"/>
          </w:tcPr>
          <w:p w14:paraId="24DC4FF5">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智能分析主机</w:t>
            </w:r>
          </w:p>
        </w:tc>
        <w:tc>
          <w:tcPr>
            <w:tcW w:w="2921" w:type="dxa"/>
            <w:vAlign w:val="center"/>
          </w:tcPr>
          <w:p w14:paraId="09DE376E">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48D8029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101519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00E4BDC8">
            <w:pPr>
              <w:pStyle w:val="129"/>
              <w:spacing w:line="360" w:lineRule="auto"/>
              <w:jc w:val="center"/>
              <w:rPr>
                <w:rFonts w:hint="eastAsia" w:ascii="宋体" w:hAnsi="宋体" w:cs="宋体"/>
                <w:color w:val="auto"/>
                <w:sz w:val="22"/>
                <w:szCs w:val="22"/>
                <w:vertAlign w:val="baseline"/>
                <w:lang w:val="en-US" w:eastAsia="zh-CN"/>
              </w:rPr>
            </w:pPr>
          </w:p>
        </w:tc>
      </w:tr>
      <w:tr w14:paraId="3343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D709F02">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88</w:t>
            </w:r>
          </w:p>
        </w:tc>
        <w:tc>
          <w:tcPr>
            <w:tcW w:w="2098" w:type="dxa"/>
            <w:shd w:val="clear" w:color="auto" w:fill="auto"/>
            <w:vAlign w:val="center"/>
          </w:tcPr>
          <w:p w14:paraId="0B340D2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图像跟踪系统</w:t>
            </w:r>
          </w:p>
        </w:tc>
        <w:tc>
          <w:tcPr>
            <w:tcW w:w="2921" w:type="dxa"/>
            <w:vAlign w:val="center"/>
          </w:tcPr>
          <w:p w14:paraId="38F6316C">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BDB954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E0C575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59FCF2D4">
            <w:pPr>
              <w:pStyle w:val="129"/>
              <w:spacing w:line="360" w:lineRule="auto"/>
              <w:jc w:val="center"/>
              <w:rPr>
                <w:rFonts w:hint="eastAsia" w:ascii="宋体" w:hAnsi="宋体" w:cs="宋体"/>
                <w:color w:val="auto"/>
                <w:sz w:val="22"/>
                <w:szCs w:val="22"/>
                <w:vertAlign w:val="baseline"/>
                <w:lang w:val="en-US" w:eastAsia="zh-CN"/>
              </w:rPr>
            </w:pPr>
          </w:p>
        </w:tc>
      </w:tr>
      <w:tr w14:paraId="1537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3346B91">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89</w:t>
            </w:r>
          </w:p>
        </w:tc>
        <w:tc>
          <w:tcPr>
            <w:tcW w:w="2098" w:type="dxa"/>
            <w:shd w:val="clear" w:color="auto" w:fill="auto"/>
            <w:vAlign w:val="center"/>
          </w:tcPr>
          <w:p w14:paraId="6B09DA6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跟踪半球</w:t>
            </w:r>
          </w:p>
        </w:tc>
        <w:tc>
          <w:tcPr>
            <w:tcW w:w="2921" w:type="dxa"/>
            <w:vAlign w:val="center"/>
          </w:tcPr>
          <w:p w14:paraId="6E2500DB">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0232074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314226C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12589332">
            <w:pPr>
              <w:pStyle w:val="129"/>
              <w:spacing w:line="360" w:lineRule="auto"/>
              <w:jc w:val="center"/>
              <w:rPr>
                <w:rFonts w:hint="eastAsia" w:ascii="宋体" w:hAnsi="宋体" w:cs="宋体"/>
                <w:color w:val="auto"/>
                <w:sz w:val="22"/>
                <w:szCs w:val="22"/>
                <w:vertAlign w:val="baseline"/>
                <w:lang w:val="en-US" w:eastAsia="zh-CN"/>
              </w:rPr>
            </w:pPr>
          </w:p>
        </w:tc>
      </w:tr>
      <w:tr w14:paraId="23CD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F4B8781">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90</w:t>
            </w:r>
          </w:p>
        </w:tc>
        <w:tc>
          <w:tcPr>
            <w:tcW w:w="2098" w:type="dxa"/>
            <w:shd w:val="clear" w:color="auto" w:fill="auto"/>
            <w:vAlign w:val="center"/>
          </w:tcPr>
          <w:p w14:paraId="1A3946A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桌面式触控面板</w:t>
            </w:r>
          </w:p>
        </w:tc>
        <w:tc>
          <w:tcPr>
            <w:tcW w:w="2921" w:type="dxa"/>
            <w:vAlign w:val="center"/>
          </w:tcPr>
          <w:p w14:paraId="70B12347">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5E00E6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2ED8154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629BF873">
            <w:pPr>
              <w:pStyle w:val="129"/>
              <w:spacing w:line="360" w:lineRule="auto"/>
              <w:jc w:val="center"/>
              <w:rPr>
                <w:rFonts w:hint="eastAsia" w:ascii="宋体" w:hAnsi="宋体" w:cs="宋体"/>
                <w:color w:val="auto"/>
                <w:sz w:val="22"/>
                <w:szCs w:val="22"/>
                <w:vertAlign w:val="baseline"/>
                <w:lang w:val="en-US" w:eastAsia="zh-CN"/>
              </w:rPr>
            </w:pPr>
          </w:p>
        </w:tc>
      </w:tr>
      <w:tr w14:paraId="3D44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EB88A2E">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91</w:t>
            </w:r>
          </w:p>
        </w:tc>
        <w:tc>
          <w:tcPr>
            <w:tcW w:w="2098" w:type="dxa"/>
            <w:shd w:val="clear" w:color="auto" w:fill="auto"/>
            <w:vAlign w:val="center"/>
          </w:tcPr>
          <w:p w14:paraId="680FF22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时序电源控制器</w:t>
            </w:r>
          </w:p>
        </w:tc>
        <w:tc>
          <w:tcPr>
            <w:tcW w:w="2921" w:type="dxa"/>
            <w:vAlign w:val="center"/>
          </w:tcPr>
          <w:p w14:paraId="220EFDBE">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787BE8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90FFF3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679AD39D">
            <w:pPr>
              <w:pStyle w:val="129"/>
              <w:spacing w:line="360" w:lineRule="auto"/>
              <w:jc w:val="center"/>
              <w:rPr>
                <w:rFonts w:hint="eastAsia" w:ascii="宋体" w:hAnsi="宋体" w:cs="宋体"/>
                <w:color w:val="auto"/>
                <w:sz w:val="22"/>
                <w:szCs w:val="22"/>
                <w:vertAlign w:val="baseline"/>
                <w:lang w:val="en-US" w:eastAsia="zh-CN"/>
              </w:rPr>
            </w:pPr>
          </w:p>
        </w:tc>
      </w:tr>
      <w:tr w14:paraId="7D8C8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190BF77">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92</w:t>
            </w:r>
          </w:p>
        </w:tc>
        <w:tc>
          <w:tcPr>
            <w:tcW w:w="2098" w:type="dxa"/>
            <w:shd w:val="clear" w:color="auto" w:fill="auto"/>
            <w:vAlign w:val="center"/>
          </w:tcPr>
          <w:p w14:paraId="4C67225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LED时钟</w:t>
            </w:r>
          </w:p>
        </w:tc>
        <w:tc>
          <w:tcPr>
            <w:tcW w:w="2921" w:type="dxa"/>
            <w:vAlign w:val="center"/>
          </w:tcPr>
          <w:p w14:paraId="0986B04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65EBB1F">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35F07009">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1D114FA1">
            <w:pPr>
              <w:pStyle w:val="129"/>
              <w:spacing w:line="360" w:lineRule="auto"/>
              <w:jc w:val="center"/>
              <w:rPr>
                <w:rFonts w:hint="eastAsia" w:ascii="宋体" w:hAnsi="宋体" w:cs="宋体"/>
                <w:color w:val="auto"/>
                <w:sz w:val="22"/>
                <w:szCs w:val="22"/>
                <w:vertAlign w:val="baseline"/>
                <w:lang w:val="en-US" w:eastAsia="zh-CN"/>
              </w:rPr>
            </w:pPr>
          </w:p>
        </w:tc>
      </w:tr>
      <w:tr w14:paraId="10ACC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110CBD41">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93</w:t>
            </w:r>
          </w:p>
        </w:tc>
        <w:tc>
          <w:tcPr>
            <w:tcW w:w="2098" w:type="dxa"/>
            <w:shd w:val="clear" w:color="auto" w:fill="auto"/>
            <w:vAlign w:val="center"/>
          </w:tcPr>
          <w:p w14:paraId="26B0FA0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无线话筒（带领夹）</w:t>
            </w:r>
          </w:p>
        </w:tc>
        <w:tc>
          <w:tcPr>
            <w:tcW w:w="2921" w:type="dxa"/>
            <w:vAlign w:val="center"/>
          </w:tcPr>
          <w:p w14:paraId="0EC1C86F">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BF1FC1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692CEB5">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31E6B492">
            <w:pPr>
              <w:pStyle w:val="129"/>
              <w:spacing w:line="360" w:lineRule="auto"/>
              <w:jc w:val="center"/>
              <w:rPr>
                <w:rFonts w:hint="eastAsia" w:ascii="宋体" w:hAnsi="宋体" w:cs="宋体"/>
                <w:color w:val="auto"/>
                <w:sz w:val="22"/>
                <w:szCs w:val="22"/>
                <w:vertAlign w:val="baseline"/>
                <w:lang w:val="en-US" w:eastAsia="zh-CN"/>
              </w:rPr>
            </w:pPr>
          </w:p>
        </w:tc>
      </w:tr>
      <w:tr w14:paraId="27B1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8D3FBC3">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94</w:t>
            </w:r>
          </w:p>
        </w:tc>
        <w:tc>
          <w:tcPr>
            <w:tcW w:w="2098" w:type="dxa"/>
            <w:shd w:val="clear" w:color="auto" w:fill="auto"/>
            <w:vAlign w:val="center"/>
          </w:tcPr>
          <w:p w14:paraId="568C50E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功放</w:t>
            </w:r>
          </w:p>
        </w:tc>
        <w:tc>
          <w:tcPr>
            <w:tcW w:w="2921" w:type="dxa"/>
            <w:vAlign w:val="center"/>
          </w:tcPr>
          <w:p w14:paraId="4C33B06F">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B6C8DD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0D3C2C21">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2D81347A">
            <w:pPr>
              <w:pStyle w:val="129"/>
              <w:spacing w:line="360" w:lineRule="auto"/>
              <w:jc w:val="center"/>
              <w:rPr>
                <w:rFonts w:hint="eastAsia" w:ascii="宋体" w:hAnsi="宋体" w:cs="宋体"/>
                <w:color w:val="auto"/>
                <w:sz w:val="22"/>
                <w:szCs w:val="22"/>
                <w:vertAlign w:val="baseline"/>
                <w:lang w:val="en-US" w:eastAsia="zh-CN"/>
              </w:rPr>
            </w:pPr>
          </w:p>
        </w:tc>
      </w:tr>
      <w:tr w14:paraId="09C9C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E3A12A9">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95</w:t>
            </w:r>
          </w:p>
        </w:tc>
        <w:tc>
          <w:tcPr>
            <w:tcW w:w="2098" w:type="dxa"/>
            <w:shd w:val="clear" w:color="auto" w:fill="auto"/>
            <w:vAlign w:val="center"/>
          </w:tcPr>
          <w:p w14:paraId="694C1225">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音箱</w:t>
            </w:r>
          </w:p>
        </w:tc>
        <w:tc>
          <w:tcPr>
            <w:tcW w:w="2921" w:type="dxa"/>
            <w:vAlign w:val="center"/>
          </w:tcPr>
          <w:p w14:paraId="472CC9F8">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4D68EF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21AE39B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对</w:t>
            </w:r>
          </w:p>
        </w:tc>
        <w:tc>
          <w:tcPr>
            <w:tcW w:w="1103" w:type="dxa"/>
            <w:vAlign w:val="center"/>
          </w:tcPr>
          <w:p w14:paraId="1AD26FB9">
            <w:pPr>
              <w:pStyle w:val="129"/>
              <w:spacing w:line="360" w:lineRule="auto"/>
              <w:jc w:val="center"/>
              <w:rPr>
                <w:rFonts w:hint="eastAsia" w:ascii="宋体" w:hAnsi="宋体" w:cs="宋体"/>
                <w:color w:val="auto"/>
                <w:sz w:val="22"/>
                <w:szCs w:val="22"/>
                <w:vertAlign w:val="baseline"/>
                <w:lang w:val="en-US" w:eastAsia="zh-CN"/>
              </w:rPr>
            </w:pPr>
          </w:p>
        </w:tc>
      </w:tr>
      <w:tr w14:paraId="7153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6E0F86D">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96</w:t>
            </w:r>
          </w:p>
        </w:tc>
        <w:tc>
          <w:tcPr>
            <w:tcW w:w="2098" w:type="dxa"/>
            <w:shd w:val="clear" w:color="auto" w:fill="auto"/>
            <w:vAlign w:val="center"/>
          </w:tcPr>
          <w:p w14:paraId="6C66B58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千兆交换机</w:t>
            </w:r>
          </w:p>
        </w:tc>
        <w:tc>
          <w:tcPr>
            <w:tcW w:w="2921" w:type="dxa"/>
            <w:vAlign w:val="center"/>
          </w:tcPr>
          <w:p w14:paraId="162D5B08">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09BE757">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662D414">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03172837">
            <w:pPr>
              <w:pStyle w:val="129"/>
              <w:spacing w:line="360" w:lineRule="auto"/>
              <w:jc w:val="center"/>
              <w:rPr>
                <w:rFonts w:hint="eastAsia" w:ascii="宋体" w:hAnsi="宋体" w:cs="宋体"/>
                <w:color w:val="auto"/>
                <w:sz w:val="22"/>
                <w:szCs w:val="22"/>
                <w:vertAlign w:val="baseline"/>
                <w:lang w:val="en-US" w:eastAsia="zh-CN"/>
              </w:rPr>
            </w:pPr>
          </w:p>
        </w:tc>
      </w:tr>
      <w:tr w14:paraId="3183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5929FF56">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97</w:t>
            </w:r>
          </w:p>
        </w:tc>
        <w:tc>
          <w:tcPr>
            <w:tcW w:w="2098" w:type="dxa"/>
            <w:shd w:val="clear" w:color="auto" w:fill="auto"/>
            <w:vAlign w:val="center"/>
          </w:tcPr>
          <w:p w14:paraId="0778076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机柜</w:t>
            </w:r>
          </w:p>
        </w:tc>
        <w:tc>
          <w:tcPr>
            <w:tcW w:w="2921" w:type="dxa"/>
            <w:vAlign w:val="center"/>
          </w:tcPr>
          <w:p w14:paraId="34D133EF">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00621EF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28ACDD20">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16A352AD">
            <w:pPr>
              <w:pStyle w:val="129"/>
              <w:spacing w:line="360" w:lineRule="auto"/>
              <w:jc w:val="center"/>
              <w:rPr>
                <w:rFonts w:hint="eastAsia" w:ascii="宋体" w:hAnsi="宋体" w:cs="宋体"/>
                <w:color w:val="auto"/>
                <w:sz w:val="22"/>
                <w:szCs w:val="22"/>
                <w:vertAlign w:val="baseline"/>
                <w:lang w:val="en-US" w:eastAsia="zh-CN"/>
              </w:rPr>
            </w:pPr>
          </w:p>
        </w:tc>
      </w:tr>
      <w:tr w14:paraId="22CD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1EC7C03">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98</w:t>
            </w:r>
          </w:p>
        </w:tc>
        <w:tc>
          <w:tcPr>
            <w:tcW w:w="2098" w:type="dxa"/>
            <w:shd w:val="clear" w:color="auto" w:fill="auto"/>
            <w:vAlign w:val="center"/>
          </w:tcPr>
          <w:p w14:paraId="47CFD1E4">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立式空调</w:t>
            </w:r>
          </w:p>
        </w:tc>
        <w:tc>
          <w:tcPr>
            <w:tcW w:w="2921" w:type="dxa"/>
            <w:vAlign w:val="center"/>
          </w:tcPr>
          <w:p w14:paraId="27C25BBF">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84AA11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997D76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28DA587B">
            <w:pPr>
              <w:pStyle w:val="129"/>
              <w:spacing w:line="360" w:lineRule="auto"/>
              <w:jc w:val="center"/>
              <w:rPr>
                <w:rFonts w:hint="eastAsia" w:ascii="宋体" w:hAnsi="宋体" w:cs="宋体"/>
                <w:color w:val="auto"/>
                <w:sz w:val="22"/>
                <w:szCs w:val="22"/>
                <w:vertAlign w:val="baseline"/>
                <w:lang w:val="en-US" w:eastAsia="zh-CN"/>
              </w:rPr>
            </w:pPr>
          </w:p>
        </w:tc>
      </w:tr>
      <w:tr w14:paraId="73295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9269C53">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99</w:t>
            </w:r>
          </w:p>
        </w:tc>
        <w:tc>
          <w:tcPr>
            <w:tcW w:w="2098" w:type="dxa"/>
            <w:shd w:val="clear" w:color="auto" w:fill="auto"/>
            <w:vAlign w:val="center"/>
          </w:tcPr>
          <w:p w14:paraId="3E8C158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壁挂空调</w:t>
            </w:r>
          </w:p>
        </w:tc>
        <w:tc>
          <w:tcPr>
            <w:tcW w:w="2921" w:type="dxa"/>
            <w:vAlign w:val="center"/>
          </w:tcPr>
          <w:p w14:paraId="33C1DE3E">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60C9BCA4">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726D1C1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13E6D687">
            <w:pPr>
              <w:pStyle w:val="129"/>
              <w:spacing w:line="360" w:lineRule="auto"/>
              <w:jc w:val="center"/>
              <w:rPr>
                <w:rFonts w:hint="eastAsia" w:ascii="宋体" w:hAnsi="宋体" w:cs="宋体"/>
                <w:color w:val="auto"/>
                <w:sz w:val="22"/>
                <w:szCs w:val="22"/>
                <w:vertAlign w:val="baseline"/>
                <w:lang w:val="en-US" w:eastAsia="zh-CN"/>
              </w:rPr>
            </w:pPr>
          </w:p>
        </w:tc>
      </w:tr>
      <w:tr w14:paraId="777A7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2DDA4C15">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100</w:t>
            </w:r>
          </w:p>
        </w:tc>
        <w:tc>
          <w:tcPr>
            <w:tcW w:w="2098" w:type="dxa"/>
            <w:shd w:val="clear" w:color="auto" w:fill="auto"/>
            <w:vAlign w:val="center"/>
          </w:tcPr>
          <w:p w14:paraId="52BC2E3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导播键盘</w:t>
            </w:r>
          </w:p>
        </w:tc>
        <w:tc>
          <w:tcPr>
            <w:tcW w:w="2921" w:type="dxa"/>
            <w:vAlign w:val="center"/>
          </w:tcPr>
          <w:p w14:paraId="41C34E0F">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F2101F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475D6762">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个</w:t>
            </w:r>
          </w:p>
        </w:tc>
        <w:tc>
          <w:tcPr>
            <w:tcW w:w="1103" w:type="dxa"/>
            <w:vAlign w:val="center"/>
          </w:tcPr>
          <w:p w14:paraId="7201E791">
            <w:pPr>
              <w:pStyle w:val="129"/>
              <w:spacing w:line="360" w:lineRule="auto"/>
              <w:jc w:val="center"/>
              <w:rPr>
                <w:rFonts w:hint="eastAsia" w:ascii="宋体" w:hAnsi="宋体" w:cs="宋体"/>
                <w:color w:val="auto"/>
                <w:sz w:val="22"/>
                <w:szCs w:val="22"/>
                <w:vertAlign w:val="baseline"/>
                <w:lang w:val="en-US" w:eastAsia="zh-CN"/>
              </w:rPr>
            </w:pPr>
          </w:p>
        </w:tc>
      </w:tr>
      <w:tr w14:paraId="00FE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71A9028A">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101</w:t>
            </w:r>
          </w:p>
        </w:tc>
        <w:tc>
          <w:tcPr>
            <w:tcW w:w="2098" w:type="dxa"/>
            <w:shd w:val="clear" w:color="auto" w:fill="auto"/>
            <w:vAlign w:val="center"/>
          </w:tcPr>
          <w:p w14:paraId="3276F9A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中控室监听音箱</w:t>
            </w:r>
          </w:p>
        </w:tc>
        <w:tc>
          <w:tcPr>
            <w:tcW w:w="2921" w:type="dxa"/>
            <w:vAlign w:val="center"/>
          </w:tcPr>
          <w:p w14:paraId="7154E9BF">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0B80624F">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63E61CE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对</w:t>
            </w:r>
          </w:p>
        </w:tc>
        <w:tc>
          <w:tcPr>
            <w:tcW w:w="1103" w:type="dxa"/>
            <w:vAlign w:val="center"/>
          </w:tcPr>
          <w:p w14:paraId="6D9C360F">
            <w:pPr>
              <w:pStyle w:val="129"/>
              <w:spacing w:line="360" w:lineRule="auto"/>
              <w:jc w:val="center"/>
              <w:rPr>
                <w:rFonts w:hint="eastAsia" w:ascii="宋体" w:hAnsi="宋体" w:cs="宋体"/>
                <w:color w:val="auto"/>
                <w:sz w:val="22"/>
                <w:szCs w:val="22"/>
                <w:vertAlign w:val="baseline"/>
                <w:lang w:val="en-US" w:eastAsia="zh-CN"/>
              </w:rPr>
            </w:pPr>
          </w:p>
        </w:tc>
      </w:tr>
      <w:tr w14:paraId="1026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BB07350">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102</w:t>
            </w:r>
          </w:p>
        </w:tc>
        <w:tc>
          <w:tcPr>
            <w:tcW w:w="2098" w:type="dxa"/>
            <w:shd w:val="clear" w:color="auto" w:fill="auto"/>
            <w:vAlign w:val="center"/>
          </w:tcPr>
          <w:p w14:paraId="76919F80">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中控室操作台</w:t>
            </w:r>
          </w:p>
        </w:tc>
        <w:tc>
          <w:tcPr>
            <w:tcW w:w="2921" w:type="dxa"/>
            <w:vAlign w:val="center"/>
          </w:tcPr>
          <w:p w14:paraId="55449158">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D63FE6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D18010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张</w:t>
            </w:r>
          </w:p>
        </w:tc>
        <w:tc>
          <w:tcPr>
            <w:tcW w:w="1103" w:type="dxa"/>
            <w:vAlign w:val="center"/>
          </w:tcPr>
          <w:p w14:paraId="0904161C">
            <w:pPr>
              <w:pStyle w:val="129"/>
              <w:spacing w:line="360" w:lineRule="auto"/>
              <w:jc w:val="center"/>
              <w:rPr>
                <w:rFonts w:hint="eastAsia" w:ascii="宋体" w:hAnsi="宋体" w:cs="宋体"/>
                <w:color w:val="auto"/>
                <w:sz w:val="22"/>
                <w:szCs w:val="22"/>
                <w:vertAlign w:val="baseline"/>
                <w:lang w:val="en-US" w:eastAsia="zh-CN"/>
              </w:rPr>
            </w:pPr>
          </w:p>
        </w:tc>
      </w:tr>
      <w:tr w14:paraId="25F0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5D2AE98">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103</w:t>
            </w:r>
          </w:p>
        </w:tc>
        <w:tc>
          <w:tcPr>
            <w:tcW w:w="2098" w:type="dxa"/>
            <w:shd w:val="clear" w:color="auto" w:fill="auto"/>
            <w:vAlign w:val="center"/>
          </w:tcPr>
          <w:p w14:paraId="00807A1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导播电脑</w:t>
            </w:r>
          </w:p>
        </w:tc>
        <w:tc>
          <w:tcPr>
            <w:tcW w:w="2921" w:type="dxa"/>
            <w:vAlign w:val="center"/>
          </w:tcPr>
          <w:p w14:paraId="3B392479">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5CCAE56E">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52F57C9C">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13A593C6">
            <w:pPr>
              <w:pStyle w:val="129"/>
              <w:spacing w:line="360" w:lineRule="auto"/>
              <w:jc w:val="center"/>
              <w:rPr>
                <w:rFonts w:hint="eastAsia" w:ascii="宋体" w:hAnsi="宋体" w:cs="宋体"/>
                <w:color w:val="auto"/>
                <w:sz w:val="22"/>
                <w:szCs w:val="22"/>
                <w:vertAlign w:val="baseline"/>
                <w:lang w:val="en-US" w:eastAsia="zh-CN"/>
              </w:rPr>
            </w:pPr>
          </w:p>
        </w:tc>
      </w:tr>
      <w:tr w14:paraId="55C39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09F05E6D">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104</w:t>
            </w:r>
          </w:p>
        </w:tc>
        <w:tc>
          <w:tcPr>
            <w:tcW w:w="2098" w:type="dxa"/>
            <w:shd w:val="clear" w:color="auto" w:fill="auto"/>
            <w:vAlign w:val="center"/>
          </w:tcPr>
          <w:p w14:paraId="097EA20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观摩电视</w:t>
            </w:r>
          </w:p>
        </w:tc>
        <w:tc>
          <w:tcPr>
            <w:tcW w:w="2921" w:type="dxa"/>
            <w:vAlign w:val="center"/>
          </w:tcPr>
          <w:p w14:paraId="3246B5CB">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CEF1316">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w:t>
            </w:r>
          </w:p>
        </w:tc>
        <w:tc>
          <w:tcPr>
            <w:tcW w:w="943" w:type="dxa"/>
            <w:vAlign w:val="center"/>
          </w:tcPr>
          <w:p w14:paraId="7BD4C638">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台</w:t>
            </w:r>
          </w:p>
        </w:tc>
        <w:tc>
          <w:tcPr>
            <w:tcW w:w="1103" w:type="dxa"/>
            <w:vAlign w:val="center"/>
          </w:tcPr>
          <w:p w14:paraId="5519B3BD">
            <w:pPr>
              <w:pStyle w:val="129"/>
              <w:spacing w:line="360" w:lineRule="auto"/>
              <w:jc w:val="center"/>
              <w:rPr>
                <w:rFonts w:hint="eastAsia" w:ascii="宋体" w:hAnsi="宋体" w:cs="宋体"/>
                <w:color w:val="auto"/>
                <w:sz w:val="22"/>
                <w:szCs w:val="22"/>
                <w:vertAlign w:val="baseline"/>
                <w:lang w:val="en-US" w:eastAsia="zh-CN"/>
              </w:rPr>
            </w:pPr>
          </w:p>
        </w:tc>
      </w:tr>
      <w:tr w14:paraId="45B6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6E2C368C">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105</w:t>
            </w:r>
          </w:p>
        </w:tc>
        <w:tc>
          <w:tcPr>
            <w:tcW w:w="2098" w:type="dxa"/>
            <w:shd w:val="clear" w:color="auto" w:fill="auto"/>
            <w:vAlign w:val="center"/>
          </w:tcPr>
          <w:p w14:paraId="74080802">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学生课桌椅</w:t>
            </w:r>
          </w:p>
        </w:tc>
        <w:tc>
          <w:tcPr>
            <w:tcW w:w="2921" w:type="dxa"/>
            <w:vAlign w:val="center"/>
          </w:tcPr>
          <w:p w14:paraId="4126FE6D">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2FE3B8B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48</w:t>
            </w:r>
          </w:p>
        </w:tc>
        <w:tc>
          <w:tcPr>
            <w:tcW w:w="943" w:type="dxa"/>
            <w:vAlign w:val="center"/>
          </w:tcPr>
          <w:p w14:paraId="247501D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套</w:t>
            </w:r>
          </w:p>
        </w:tc>
        <w:tc>
          <w:tcPr>
            <w:tcW w:w="1103" w:type="dxa"/>
            <w:vAlign w:val="center"/>
          </w:tcPr>
          <w:p w14:paraId="6CC4FB10">
            <w:pPr>
              <w:pStyle w:val="129"/>
              <w:spacing w:line="360" w:lineRule="auto"/>
              <w:jc w:val="center"/>
              <w:rPr>
                <w:rFonts w:hint="eastAsia" w:ascii="宋体" w:hAnsi="宋体" w:cs="宋体"/>
                <w:color w:val="auto"/>
                <w:sz w:val="22"/>
                <w:szCs w:val="22"/>
                <w:vertAlign w:val="baseline"/>
                <w:lang w:val="en-US" w:eastAsia="zh-CN"/>
              </w:rPr>
            </w:pPr>
          </w:p>
        </w:tc>
      </w:tr>
      <w:tr w14:paraId="2F46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46D395D5">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106</w:t>
            </w:r>
          </w:p>
        </w:tc>
        <w:tc>
          <w:tcPr>
            <w:tcW w:w="2098" w:type="dxa"/>
            <w:shd w:val="clear" w:color="auto" w:fill="auto"/>
            <w:vAlign w:val="center"/>
          </w:tcPr>
          <w:p w14:paraId="3351646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观摩室座椅</w:t>
            </w:r>
          </w:p>
        </w:tc>
        <w:tc>
          <w:tcPr>
            <w:tcW w:w="2921" w:type="dxa"/>
            <w:vAlign w:val="center"/>
          </w:tcPr>
          <w:p w14:paraId="70DCAEAA">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75762C4B">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200</w:t>
            </w:r>
          </w:p>
        </w:tc>
        <w:tc>
          <w:tcPr>
            <w:tcW w:w="943" w:type="dxa"/>
            <w:vAlign w:val="center"/>
          </w:tcPr>
          <w:p w14:paraId="42D62E39">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张</w:t>
            </w:r>
          </w:p>
        </w:tc>
        <w:tc>
          <w:tcPr>
            <w:tcW w:w="1103" w:type="dxa"/>
            <w:vAlign w:val="center"/>
          </w:tcPr>
          <w:p w14:paraId="12AEE403">
            <w:pPr>
              <w:pStyle w:val="129"/>
              <w:spacing w:line="360" w:lineRule="auto"/>
              <w:jc w:val="center"/>
              <w:rPr>
                <w:rFonts w:hint="eastAsia" w:ascii="宋体" w:hAnsi="宋体" w:cs="宋体"/>
                <w:color w:val="auto"/>
                <w:sz w:val="22"/>
                <w:szCs w:val="22"/>
                <w:vertAlign w:val="baseline"/>
                <w:lang w:val="en-US" w:eastAsia="zh-CN"/>
              </w:rPr>
            </w:pPr>
          </w:p>
        </w:tc>
      </w:tr>
      <w:tr w14:paraId="2D9F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shd w:val="clear" w:color="auto" w:fill="auto"/>
            <w:vAlign w:val="center"/>
          </w:tcPr>
          <w:p w14:paraId="38EE6AB3">
            <w:pPr>
              <w:snapToGrid w:val="0"/>
              <w:ind w:left="0" w:leftChars="0" w:right="0" w:rightChars="0" w:firstLine="0" w:firstLineChars="0"/>
              <w:jc w:val="center"/>
              <w:rPr>
                <w:rFonts w:hint="default" w:ascii="宋体" w:hAnsi="宋体" w:eastAsia="宋体" w:cs="宋体"/>
                <w:color w:val="auto"/>
                <w:kern w:val="2"/>
                <w:sz w:val="21"/>
                <w:szCs w:val="21"/>
                <w:lang w:val="en-US" w:eastAsia="zh-CN" w:bidi="ar-SA"/>
              </w:rPr>
            </w:pPr>
            <w:r>
              <w:rPr>
                <w:rFonts w:hint="eastAsia" w:ascii="宋体" w:hAnsi="宋体" w:cs="宋体"/>
                <w:color w:val="auto"/>
                <w:kern w:val="2"/>
                <w:sz w:val="21"/>
                <w:szCs w:val="21"/>
                <w:lang w:val="en-US" w:eastAsia="zh-CN" w:bidi="ar-SA"/>
              </w:rPr>
              <w:t>107</w:t>
            </w:r>
          </w:p>
        </w:tc>
        <w:tc>
          <w:tcPr>
            <w:tcW w:w="2098" w:type="dxa"/>
            <w:shd w:val="clear" w:color="auto" w:fill="auto"/>
            <w:vAlign w:val="center"/>
          </w:tcPr>
          <w:p w14:paraId="12FA8F3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系统集成</w:t>
            </w:r>
          </w:p>
        </w:tc>
        <w:tc>
          <w:tcPr>
            <w:tcW w:w="2921" w:type="dxa"/>
            <w:vAlign w:val="center"/>
          </w:tcPr>
          <w:p w14:paraId="67E1E46A">
            <w:pPr>
              <w:spacing w:line="360" w:lineRule="auto"/>
              <w:jc w:val="center"/>
              <w:rPr>
                <w:rFonts w:hint="eastAsia" w:ascii="宋体" w:hAnsi="宋体" w:cs="宋体"/>
                <w:color w:val="auto"/>
                <w:sz w:val="28"/>
                <w:szCs w:val="28"/>
                <w:vertAlign w:val="baseline"/>
                <w:lang w:val="en-US" w:eastAsia="zh-CN"/>
              </w:rPr>
            </w:pPr>
            <w:r>
              <w:rPr>
                <w:rFonts w:hint="eastAsia" w:ascii="宋体" w:hAnsi="宋体" w:cs="宋体"/>
                <w:color w:val="auto"/>
                <w:sz w:val="20"/>
                <w:szCs w:val="20"/>
                <w:vertAlign w:val="baseline"/>
                <w:lang w:val="en-US" w:eastAsia="zh-CN"/>
              </w:rPr>
              <w:t>详见（货物需求明细）</w:t>
            </w:r>
          </w:p>
        </w:tc>
        <w:tc>
          <w:tcPr>
            <w:tcW w:w="920" w:type="dxa"/>
            <w:vAlign w:val="center"/>
          </w:tcPr>
          <w:p w14:paraId="3C6377ED">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1</w:t>
            </w:r>
          </w:p>
        </w:tc>
        <w:tc>
          <w:tcPr>
            <w:tcW w:w="943" w:type="dxa"/>
            <w:vAlign w:val="center"/>
          </w:tcPr>
          <w:p w14:paraId="4728E0EA">
            <w:pPr>
              <w:pStyle w:val="129"/>
              <w:spacing w:line="360" w:lineRule="auto"/>
              <w:ind w:left="0" w:leftChars="0" w:firstLine="0" w:firstLineChars="0"/>
              <w:jc w:val="center"/>
              <w:rPr>
                <w:rFonts w:hint="default" w:ascii="宋体" w:hAnsi="宋体" w:cs="宋体"/>
                <w:color w:val="auto"/>
                <w:sz w:val="22"/>
                <w:szCs w:val="22"/>
                <w:vertAlign w:val="baseline"/>
                <w:lang w:val="en-US" w:eastAsia="zh-CN"/>
              </w:rPr>
            </w:pPr>
            <w:r>
              <w:rPr>
                <w:rFonts w:hint="eastAsia" w:ascii="宋体" w:hAnsi="宋体" w:cs="宋体"/>
                <w:color w:val="auto"/>
                <w:sz w:val="22"/>
                <w:szCs w:val="22"/>
                <w:vertAlign w:val="baseline"/>
                <w:lang w:val="en-US" w:eastAsia="zh-CN"/>
              </w:rPr>
              <w:t>批</w:t>
            </w:r>
          </w:p>
        </w:tc>
        <w:tc>
          <w:tcPr>
            <w:tcW w:w="1103" w:type="dxa"/>
            <w:vAlign w:val="center"/>
          </w:tcPr>
          <w:p w14:paraId="43954244">
            <w:pPr>
              <w:pStyle w:val="129"/>
              <w:spacing w:line="360" w:lineRule="auto"/>
              <w:jc w:val="center"/>
              <w:rPr>
                <w:rFonts w:hint="eastAsia" w:ascii="宋体" w:hAnsi="宋体" w:cs="宋体"/>
                <w:color w:val="auto"/>
                <w:sz w:val="22"/>
                <w:szCs w:val="22"/>
                <w:vertAlign w:val="baseline"/>
                <w:lang w:val="en-US" w:eastAsia="zh-CN"/>
              </w:rPr>
            </w:pPr>
          </w:p>
        </w:tc>
      </w:tr>
    </w:tbl>
    <w:p w14:paraId="55669B8B">
      <w:pPr>
        <w:pStyle w:val="129"/>
        <w:spacing w:line="360" w:lineRule="auto"/>
        <w:ind w:left="0" w:leftChars="0" w:firstLine="0" w:firstLineChars="0"/>
        <w:jc w:val="center"/>
        <w:rPr>
          <w:rFonts w:hint="eastAsia" w:ascii="宋体" w:hAnsi="宋体" w:cs="宋体"/>
          <w:color w:val="auto"/>
          <w:sz w:val="22"/>
          <w:szCs w:val="22"/>
          <w:lang w:val="en-US" w:eastAsia="zh-CN"/>
        </w:rPr>
      </w:pPr>
    </w:p>
    <w:p w14:paraId="0BEBFB1C">
      <w:pPr>
        <w:pStyle w:val="129"/>
        <w:spacing w:line="360" w:lineRule="auto"/>
        <w:ind w:left="0" w:leftChars="0" w:firstLine="0" w:firstLineChars="0"/>
        <w:jc w:val="center"/>
        <w:rPr>
          <w:rFonts w:hint="eastAsia" w:ascii="宋体" w:hAnsi="宋体" w:cs="宋体"/>
          <w:color w:val="auto"/>
          <w:sz w:val="22"/>
          <w:szCs w:val="22"/>
          <w:lang w:val="en-US" w:eastAsia="zh-CN"/>
        </w:rPr>
      </w:pPr>
    </w:p>
    <w:p w14:paraId="03C7AFE8">
      <w:pPr>
        <w:pStyle w:val="129"/>
        <w:spacing w:line="360" w:lineRule="auto"/>
        <w:ind w:firstLineChars="200"/>
        <w:jc w:val="both"/>
        <w:rPr>
          <w:rFonts w:hint="eastAsia" w:ascii="宋体" w:hAnsi="宋体" w:eastAsia="宋体" w:cs="宋体"/>
          <w:color w:val="auto"/>
          <w:sz w:val="22"/>
          <w:szCs w:val="22"/>
        </w:rPr>
      </w:pPr>
    </w:p>
    <w:p w14:paraId="7D4CDD18">
      <w:pPr>
        <w:pStyle w:val="129"/>
        <w:spacing w:line="360" w:lineRule="auto"/>
        <w:ind w:firstLineChars="200"/>
        <w:jc w:val="both"/>
        <w:rPr>
          <w:rFonts w:hint="eastAsia" w:ascii="宋体" w:hAnsi="宋体" w:eastAsia="宋体" w:cs="宋体"/>
          <w:color w:val="auto"/>
          <w:sz w:val="22"/>
          <w:szCs w:val="22"/>
        </w:rPr>
      </w:pPr>
    </w:p>
    <w:p w14:paraId="180B5130">
      <w:pPr>
        <w:pStyle w:val="129"/>
        <w:spacing w:line="360" w:lineRule="auto"/>
        <w:ind w:firstLineChars="200"/>
        <w:jc w:val="both"/>
        <w:rPr>
          <w:rFonts w:hint="eastAsia" w:ascii="宋体" w:hAnsi="宋体" w:eastAsia="宋体" w:cs="宋体"/>
          <w:color w:val="auto"/>
          <w:sz w:val="22"/>
          <w:szCs w:val="22"/>
        </w:rPr>
      </w:pPr>
    </w:p>
    <w:p w14:paraId="1CDC2782">
      <w:pPr>
        <w:pStyle w:val="129"/>
        <w:spacing w:line="360" w:lineRule="auto"/>
        <w:ind w:firstLineChars="200"/>
        <w:jc w:val="both"/>
        <w:rPr>
          <w:rFonts w:hint="eastAsia" w:ascii="宋体" w:hAnsi="宋体" w:eastAsia="宋体" w:cs="宋体"/>
          <w:color w:val="auto"/>
          <w:sz w:val="22"/>
          <w:szCs w:val="22"/>
        </w:rPr>
      </w:pPr>
    </w:p>
    <w:p w14:paraId="4E722855">
      <w:pPr>
        <w:pStyle w:val="129"/>
        <w:spacing w:line="360" w:lineRule="auto"/>
        <w:ind w:firstLineChars="200"/>
        <w:jc w:val="both"/>
        <w:rPr>
          <w:rFonts w:hint="eastAsia" w:ascii="宋体" w:hAnsi="宋体" w:eastAsia="宋体" w:cs="宋体"/>
          <w:color w:val="auto"/>
          <w:sz w:val="22"/>
          <w:szCs w:val="22"/>
        </w:rPr>
      </w:pPr>
    </w:p>
    <w:p w14:paraId="7BA440C7">
      <w:pPr>
        <w:pStyle w:val="129"/>
        <w:spacing w:line="360" w:lineRule="auto"/>
        <w:ind w:firstLineChars="200"/>
        <w:jc w:val="both"/>
        <w:rPr>
          <w:rFonts w:hint="eastAsia" w:ascii="宋体" w:hAnsi="宋体" w:eastAsia="宋体" w:cs="宋体"/>
          <w:color w:val="auto"/>
          <w:sz w:val="22"/>
          <w:szCs w:val="22"/>
        </w:rPr>
      </w:pPr>
    </w:p>
    <w:p w14:paraId="51A5DCF4">
      <w:pPr>
        <w:pStyle w:val="129"/>
        <w:spacing w:line="360" w:lineRule="auto"/>
        <w:ind w:firstLineChars="200"/>
        <w:jc w:val="both"/>
        <w:rPr>
          <w:rFonts w:hint="eastAsia" w:ascii="宋体" w:hAnsi="宋体" w:eastAsia="宋体" w:cs="宋体"/>
          <w:color w:val="auto"/>
          <w:sz w:val="22"/>
          <w:szCs w:val="22"/>
        </w:rPr>
      </w:pPr>
    </w:p>
    <w:p w14:paraId="47FE6648">
      <w:pPr>
        <w:pStyle w:val="129"/>
        <w:spacing w:line="360" w:lineRule="auto"/>
        <w:ind w:firstLineChars="200"/>
        <w:jc w:val="both"/>
        <w:rPr>
          <w:rFonts w:hint="eastAsia" w:ascii="宋体" w:hAnsi="宋体" w:eastAsia="宋体" w:cs="宋体"/>
          <w:color w:val="auto"/>
          <w:sz w:val="22"/>
          <w:szCs w:val="22"/>
        </w:rPr>
      </w:pPr>
    </w:p>
    <w:p w14:paraId="67BC856E">
      <w:pPr>
        <w:pStyle w:val="129"/>
        <w:spacing w:line="360" w:lineRule="auto"/>
        <w:ind w:firstLineChars="200"/>
        <w:jc w:val="both"/>
        <w:rPr>
          <w:rFonts w:hint="eastAsia" w:ascii="宋体" w:hAnsi="宋体" w:eastAsia="宋体" w:cs="宋体"/>
          <w:color w:val="auto"/>
          <w:sz w:val="22"/>
          <w:szCs w:val="22"/>
        </w:rPr>
      </w:pPr>
    </w:p>
    <w:bookmarkEnd w:id="55"/>
    <w:p w14:paraId="360042EE">
      <w:pPr>
        <w:pStyle w:val="5"/>
        <w:numPr>
          <w:ilvl w:val="0"/>
          <w:numId w:val="0"/>
        </w:numPr>
        <w:jc w:val="center"/>
        <w:rPr>
          <w:rFonts w:ascii="黑体" w:eastAsia="黑体"/>
          <w:b/>
          <w:color w:val="auto"/>
          <w:sz w:val="24"/>
        </w:rPr>
      </w:pPr>
      <w:r>
        <w:rPr>
          <w:rFonts w:hint="eastAsia" w:ascii="宋体" w:hAnsi="宋体"/>
          <w:b/>
          <w:bCs/>
          <w:color w:val="auto"/>
          <w:sz w:val="28"/>
          <w:szCs w:val="28"/>
          <w:lang w:val="en-US" w:eastAsia="zh-CN"/>
        </w:rPr>
        <w:t>三、</w:t>
      </w:r>
      <w:r>
        <w:rPr>
          <w:rFonts w:hint="eastAsia" w:ascii="黑体" w:eastAsia="黑体"/>
          <w:b/>
          <w:color w:val="auto"/>
          <w:sz w:val="24"/>
        </w:rPr>
        <w:t>服务/货物需求明细</w:t>
      </w:r>
    </w:p>
    <w:p w14:paraId="3C26880F">
      <w:pPr>
        <w:jc w:val="center"/>
        <w:rPr>
          <w:rFonts w:hint="eastAsia" w:ascii="宋体" w:hAnsi="宋体"/>
          <w:b/>
          <w:bCs/>
          <w:color w:val="auto"/>
          <w:sz w:val="24"/>
          <w:szCs w:val="32"/>
        </w:rPr>
      </w:pPr>
      <w:r>
        <w:rPr>
          <w:rFonts w:hint="eastAsia" w:ascii="宋体" w:hAnsi="宋体"/>
          <w:b/>
          <w:bCs/>
          <w:color w:val="auto"/>
          <w:sz w:val="28"/>
          <w:szCs w:val="28"/>
        </w:rPr>
        <w:t>若羌县职业高中智慧校园建设项目采购</w:t>
      </w:r>
      <w:r>
        <w:rPr>
          <w:rFonts w:ascii="宋体" w:hAnsi="宋体"/>
          <w:b/>
          <w:bCs/>
          <w:color w:val="auto"/>
          <w:sz w:val="28"/>
          <w:szCs w:val="28"/>
        </w:rPr>
        <w:t>需求</w:t>
      </w:r>
      <w:r>
        <w:rPr>
          <w:rFonts w:hint="eastAsia" w:ascii="宋体" w:hAnsi="宋体"/>
          <w:b/>
          <w:bCs/>
          <w:color w:val="auto"/>
          <w:sz w:val="28"/>
          <w:szCs w:val="28"/>
        </w:rPr>
        <w:t>清单</w:t>
      </w:r>
    </w:p>
    <w:tbl>
      <w:tblPr>
        <w:tblStyle w:val="42"/>
        <w:tblW w:w="9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996"/>
        <w:gridCol w:w="6650"/>
        <w:gridCol w:w="548"/>
        <w:gridCol w:w="492"/>
      </w:tblGrid>
      <w:tr w14:paraId="38A5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0D11785">
            <w:pPr>
              <w:widowControl/>
              <w:snapToGrid w:val="0"/>
              <w:jc w:val="center"/>
              <w:rPr>
                <w:rFonts w:hint="eastAsia" w:ascii="仿宋" w:hAnsi="仿宋" w:eastAsia="仿宋" w:cs="宋体"/>
                <w:b/>
                <w:bCs/>
                <w:color w:val="auto"/>
                <w:kern w:val="0"/>
                <w:sz w:val="24"/>
                <w:szCs w:val="24"/>
              </w:rPr>
            </w:pPr>
            <w:r>
              <w:rPr>
                <w:rFonts w:hint="eastAsia" w:ascii="仿宋" w:hAnsi="仿宋" w:eastAsia="仿宋" w:cs="宋体"/>
                <w:b/>
                <w:bCs/>
                <w:color w:val="auto"/>
                <w:kern w:val="0"/>
                <w:sz w:val="24"/>
                <w:szCs w:val="24"/>
              </w:rPr>
              <w:t>序号</w:t>
            </w:r>
          </w:p>
        </w:tc>
        <w:tc>
          <w:tcPr>
            <w:tcW w:w="996" w:type="dxa"/>
            <w:vAlign w:val="center"/>
          </w:tcPr>
          <w:p w14:paraId="35026DF6">
            <w:pPr>
              <w:widowControl/>
              <w:snapToGrid w:val="0"/>
              <w:jc w:val="center"/>
              <w:rPr>
                <w:rFonts w:hint="eastAsia" w:ascii="仿宋" w:hAnsi="仿宋" w:eastAsia="仿宋" w:cs="宋体"/>
                <w:b/>
                <w:bCs/>
                <w:color w:val="auto"/>
                <w:kern w:val="0"/>
                <w:sz w:val="24"/>
                <w:szCs w:val="24"/>
              </w:rPr>
            </w:pPr>
            <w:r>
              <w:rPr>
                <w:rFonts w:hint="eastAsia" w:ascii="仿宋" w:hAnsi="仿宋" w:eastAsia="仿宋" w:cs="宋体"/>
                <w:b/>
                <w:bCs/>
                <w:color w:val="auto"/>
                <w:kern w:val="0"/>
                <w:sz w:val="24"/>
                <w:szCs w:val="24"/>
              </w:rPr>
              <w:t>建设内容</w:t>
            </w:r>
          </w:p>
        </w:tc>
        <w:tc>
          <w:tcPr>
            <w:tcW w:w="6650" w:type="dxa"/>
            <w:vAlign w:val="center"/>
          </w:tcPr>
          <w:p w14:paraId="553BE973">
            <w:pPr>
              <w:widowControl/>
              <w:snapToGrid w:val="0"/>
              <w:jc w:val="center"/>
              <w:rPr>
                <w:rFonts w:hint="eastAsia" w:ascii="仿宋" w:hAnsi="仿宋" w:eastAsia="仿宋" w:cs="宋体"/>
                <w:b/>
                <w:bCs/>
                <w:color w:val="auto"/>
                <w:kern w:val="0"/>
                <w:sz w:val="24"/>
                <w:szCs w:val="24"/>
              </w:rPr>
            </w:pPr>
            <w:r>
              <w:rPr>
                <w:rFonts w:hint="eastAsia" w:ascii="仿宋" w:hAnsi="仿宋" w:eastAsia="仿宋" w:cs="宋体"/>
                <w:b/>
                <w:bCs/>
                <w:color w:val="auto"/>
                <w:kern w:val="0"/>
                <w:sz w:val="24"/>
                <w:szCs w:val="24"/>
              </w:rPr>
              <w:t>技术参数</w:t>
            </w:r>
          </w:p>
        </w:tc>
        <w:tc>
          <w:tcPr>
            <w:tcW w:w="0" w:type="auto"/>
            <w:vAlign w:val="center"/>
          </w:tcPr>
          <w:p w14:paraId="04D4FFA1">
            <w:pPr>
              <w:widowControl/>
              <w:snapToGrid w:val="0"/>
              <w:jc w:val="center"/>
              <w:rPr>
                <w:rFonts w:hint="eastAsia" w:ascii="仿宋" w:hAnsi="仿宋" w:eastAsia="仿宋" w:cs="宋体"/>
                <w:b/>
                <w:bCs/>
                <w:color w:val="auto"/>
                <w:kern w:val="0"/>
                <w:sz w:val="24"/>
                <w:szCs w:val="24"/>
              </w:rPr>
            </w:pPr>
            <w:r>
              <w:rPr>
                <w:rFonts w:hint="eastAsia" w:ascii="仿宋" w:hAnsi="仿宋" w:eastAsia="仿宋" w:cs="宋体"/>
                <w:b/>
                <w:bCs/>
                <w:color w:val="auto"/>
                <w:kern w:val="0"/>
                <w:sz w:val="24"/>
                <w:szCs w:val="24"/>
              </w:rPr>
              <w:t>数量</w:t>
            </w:r>
          </w:p>
        </w:tc>
        <w:tc>
          <w:tcPr>
            <w:tcW w:w="492" w:type="dxa"/>
            <w:vAlign w:val="center"/>
          </w:tcPr>
          <w:p w14:paraId="3C68F961">
            <w:pPr>
              <w:widowControl/>
              <w:snapToGrid w:val="0"/>
              <w:jc w:val="center"/>
              <w:rPr>
                <w:rFonts w:hint="eastAsia" w:ascii="仿宋" w:hAnsi="仿宋" w:eastAsia="仿宋" w:cs="宋体"/>
                <w:b/>
                <w:bCs/>
                <w:color w:val="auto"/>
                <w:kern w:val="0"/>
                <w:sz w:val="24"/>
                <w:szCs w:val="24"/>
              </w:rPr>
            </w:pPr>
            <w:r>
              <w:rPr>
                <w:rFonts w:hint="eastAsia" w:ascii="仿宋" w:hAnsi="仿宋" w:eastAsia="仿宋" w:cs="宋体"/>
                <w:b/>
                <w:bCs/>
                <w:color w:val="auto"/>
                <w:kern w:val="0"/>
                <w:sz w:val="24"/>
                <w:szCs w:val="24"/>
              </w:rPr>
              <w:t>单位</w:t>
            </w:r>
          </w:p>
        </w:tc>
      </w:tr>
      <w:tr w14:paraId="3F8EC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4C5FE145">
            <w:pPr>
              <w:widowControl/>
              <w:snapToGrid w:val="0"/>
              <w:jc w:val="center"/>
              <w:rPr>
                <w:rFonts w:hint="eastAsia" w:ascii="仿宋" w:hAnsi="仿宋" w:eastAsia="仿宋" w:cs="宋体"/>
                <w:color w:val="auto"/>
                <w:kern w:val="0"/>
                <w:sz w:val="24"/>
                <w:szCs w:val="24"/>
              </w:rPr>
            </w:pPr>
            <w:r>
              <w:rPr>
                <w:rFonts w:hint="eastAsia" w:ascii="仿宋" w:hAnsi="仿宋" w:eastAsia="仿宋" w:cs="宋体"/>
                <w:b/>
                <w:bCs/>
                <w:color w:val="auto"/>
                <w:kern w:val="0"/>
                <w:sz w:val="24"/>
                <w:szCs w:val="24"/>
              </w:rPr>
              <w:t>一、全光校园网络建设</w:t>
            </w:r>
          </w:p>
        </w:tc>
        <w:tc>
          <w:tcPr>
            <w:tcW w:w="0" w:type="auto"/>
            <w:vAlign w:val="center"/>
          </w:tcPr>
          <w:p w14:paraId="57B2DF0C">
            <w:pPr>
              <w:widowControl/>
              <w:snapToGrid w:val="0"/>
              <w:jc w:val="center"/>
              <w:rPr>
                <w:rFonts w:hint="eastAsia" w:ascii="仿宋" w:hAnsi="仿宋" w:eastAsia="仿宋" w:cs="宋体"/>
                <w:color w:val="auto"/>
                <w:kern w:val="0"/>
                <w:sz w:val="24"/>
                <w:szCs w:val="24"/>
              </w:rPr>
            </w:pPr>
          </w:p>
        </w:tc>
        <w:tc>
          <w:tcPr>
            <w:tcW w:w="492" w:type="dxa"/>
            <w:vAlign w:val="center"/>
          </w:tcPr>
          <w:p w14:paraId="00279C4E">
            <w:pPr>
              <w:widowControl/>
              <w:snapToGrid w:val="0"/>
              <w:jc w:val="center"/>
              <w:rPr>
                <w:rFonts w:hint="eastAsia" w:ascii="仿宋" w:hAnsi="仿宋" w:eastAsia="仿宋" w:cs="宋体"/>
                <w:color w:val="auto"/>
                <w:kern w:val="0"/>
                <w:sz w:val="24"/>
                <w:szCs w:val="24"/>
              </w:rPr>
            </w:pPr>
          </w:p>
        </w:tc>
      </w:tr>
      <w:tr w14:paraId="6D56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C2F11E2">
            <w:pPr>
              <w:widowControl/>
              <w:snapToGrid w:val="0"/>
              <w:jc w:val="center"/>
              <w:rPr>
                <w:rFonts w:hint="eastAsia" w:ascii="仿宋" w:hAnsi="仿宋" w:eastAsia="仿宋"/>
                <w:color w:val="auto"/>
                <w:kern w:val="0"/>
              </w:rPr>
            </w:pPr>
            <w:r>
              <w:rPr>
                <w:rFonts w:hint="eastAsia" w:ascii="仿宋" w:hAnsi="仿宋" w:eastAsia="仿宋"/>
                <w:color w:val="auto"/>
                <w:kern w:val="0"/>
              </w:rPr>
              <w:t>1</w:t>
            </w:r>
          </w:p>
        </w:tc>
        <w:tc>
          <w:tcPr>
            <w:tcW w:w="996" w:type="dxa"/>
            <w:vAlign w:val="center"/>
          </w:tcPr>
          <w:p w14:paraId="4D28FFB0">
            <w:pPr>
              <w:widowControl/>
              <w:snapToGrid w:val="0"/>
              <w:jc w:val="center"/>
              <w:rPr>
                <w:rFonts w:hint="eastAsia" w:ascii="仿宋" w:hAnsi="仿宋" w:eastAsia="仿宋" w:cs="宋体"/>
                <w:color w:val="auto"/>
                <w:kern w:val="0"/>
              </w:rPr>
            </w:pPr>
            <w:r>
              <w:rPr>
                <w:rFonts w:hint="eastAsia" w:ascii="仿宋" w:hAnsi="仿宋" w:eastAsia="仿宋"/>
                <w:color w:val="auto"/>
              </w:rPr>
              <w:t>网络控制器</w:t>
            </w:r>
          </w:p>
        </w:tc>
        <w:tc>
          <w:tcPr>
            <w:tcW w:w="6650" w:type="dxa"/>
            <w:vAlign w:val="center"/>
          </w:tcPr>
          <w:p w14:paraId="1F7B0052">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1.千兆以太网口数≥3个</w:t>
            </w:r>
          </w:p>
          <w:p w14:paraId="3D7DD1DD">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2.USB接口数≥2个，可用于外接硬件设备；</w:t>
            </w:r>
          </w:p>
          <w:p w14:paraId="6E0BE6B4">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3.最大可管理AP数≥280个；</w:t>
            </w:r>
          </w:p>
          <w:p w14:paraId="53500EFE">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4.具备不小于100G的硬盘存储能力；</w:t>
            </w:r>
          </w:p>
          <w:p w14:paraId="05B11D2A">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5.支持Wi-Fi设备采用本地转发部署模式，避免无线管理设备成为无线速率瓶颈；</w:t>
            </w:r>
          </w:p>
          <w:p w14:paraId="3DE863E4">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6.支持无线AP远程管理模式，可通过广域网对本地转发的无线AP进行统一管理运维；</w:t>
            </w:r>
          </w:p>
          <w:p w14:paraId="4B6B73CB">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7.支持预配置部署上线，可以通过导入无线AP的MAC地址和SN码，AP联网后无需任何配置即可发现无线控制器；</w:t>
            </w:r>
          </w:p>
          <w:p w14:paraId="5790A318">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8.支持基于用户数、信号强度、信道利用率的智能负载均衡，自动平衡各AP之间的接入压力；</w:t>
            </w:r>
          </w:p>
          <w:p w14:paraId="60EAD1C1">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9.支持射频引导功能，引导无线终端优先接入干扰小的5G频段；</w:t>
            </w:r>
          </w:p>
          <w:p w14:paraId="5E1A54B9">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10.支持查看信号质量差的AP TOPN，分析维度包括AP的信号利用率、噪声值、重传率、误码率趋势；支持查看无线用户的上网时长、终端发送(接收)速率、网络接入、终端类型、信号强度、认证类型等信息。便于日常运维，便于快速响应问题；</w:t>
            </w:r>
          </w:p>
          <w:p w14:paraId="227D5D3A">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11.支持应用识别，能识别不低于5000种的网络应用，可识别邮件、游戏、P2P流媒体、WEB流媒体、金融交易、办公OA、移动终端应用等主流应用。</w:t>
            </w:r>
          </w:p>
          <w:p w14:paraId="4C0D4FFD">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12.支持无线网络在本地转发部署模式下实现应用识别以及无线网络审计功能；</w:t>
            </w:r>
          </w:p>
          <w:p w14:paraId="7CDA5B85">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13.支持上网行为审计，可审计用户访问的URL、网络应用类型、FTP上传和下载的文件名、TELNET执行的命令等。</w:t>
            </w:r>
          </w:p>
        </w:tc>
        <w:tc>
          <w:tcPr>
            <w:tcW w:w="0" w:type="auto"/>
            <w:vAlign w:val="center"/>
          </w:tcPr>
          <w:p w14:paraId="68DAFAFC">
            <w:pPr>
              <w:widowControl/>
              <w:snapToGrid w:val="0"/>
              <w:jc w:val="left"/>
              <w:rPr>
                <w:rFonts w:hint="eastAsia" w:ascii="仿宋" w:hAnsi="仿宋" w:eastAsia="仿宋"/>
                <w:color w:val="auto"/>
              </w:rPr>
            </w:pPr>
            <w:r>
              <w:rPr>
                <w:rFonts w:hint="eastAsia" w:ascii="仿宋" w:hAnsi="仿宋" w:eastAsia="仿宋"/>
                <w:color w:val="auto"/>
              </w:rPr>
              <w:t>1</w:t>
            </w:r>
          </w:p>
        </w:tc>
        <w:tc>
          <w:tcPr>
            <w:tcW w:w="492" w:type="dxa"/>
            <w:vAlign w:val="center"/>
          </w:tcPr>
          <w:p w14:paraId="59EAA74B">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7358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E026288">
            <w:pPr>
              <w:widowControl/>
              <w:snapToGrid w:val="0"/>
              <w:jc w:val="center"/>
              <w:rPr>
                <w:rFonts w:hint="eastAsia" w:ascii="仿宋" w:hAnsi="仿宋" w:eastAsia="仿宋"/>
                <w:color w:val="auto"/>
                <w:kern w:val="0"/>
              </w:rPr>
            </w:pPr>
            <w:r>
              <w:rPr>
                <w:rFonts w:hint="eastAsia" w:ascii="仿宋" w:hAnsi="仿宋" w:eastAsia="仿宋"/>
                <w:color w:val="auto"/>
                <w:kern w:val="0"/>
              </w:rPr>
              <w:t>2</w:t>
            </w:r>
          </w:p>
        </w:tc>
        <w:tc>
          <w:tcPr>
            <w:tcW w:w="996" w:type="dxa"/>
            <w:vAlign w:val="center"/>
          </w:tcPr>
          <w:p w14:paraId="4BBE00FF">
            <w:pPr>
              <w:widowControl/>
              <w:snapToGrid w:val="0"/>
              <w:jc w:val="center"/>
              <w:rPr>
                <w:rFonts w:hint="eastAsia" w:ascii="仿宋" w:hAnsi="仿宋" w:eastAsia="仿宋" w:cs="宋体"/>
                <w:color w:val="auto"/>
                <w:kern w:val="0"/>
              </w:rPr>
            </w:pPr>
            <w:r>
              <w:rPr>
                <w:rFonts w:hint="eastAsia" w:ascii="仿宋" w:hAnsi="仿宋" w:eastAsia="仿宋"/>
                <w:color w:val="auto"/>
              </w:rPr>
              <w:t>SDN网络管理中心</w:t>
            </w:r>
          </w:p>
        </w:tc>
        <w:tc>
          <w:tcPr>
            <w:tcW w:w="6650" w:type="dxa"/>
            <w:vAlign w:val="center"/>
          </w:tcPr>
          <w:p w14:paraId="204F09E3">
            <w:pPr>
              <w:widowControl/>
              <w:snapToGrid w:val="0"/>
              <w:jc w:val="left"/>
              <w:rPr>
                <w:rFonts w:hint="eastAsia" w:ascii="仿宋" w:hAnsi="仿宋" w:eastAsia="仿宋"/>
                <w:color w:val="auto"/>
              </w:rPr>
            </w:pPr>
            <w:r>
              <w:rPr>
                <w:rFonts w:hint="eastAsia" w:ascii="仿宋" w:hAnsi="仿宋" w:eastAsia="仿宋"/>
                <w:color w:val="auto"/>
              </w:rPr>
              <w:t>1.设备为本地化部署，非云化部署方式；</w:t>
            </w:r>
          </w:p>
          <w:p w14:paraId="2167B70D">
            <w:pPr>
              <w:widowControl/>
              <w:snapToGrid w:val="0"/>
              <w:jc w:val="left"/>
              <w:rPr>
                <w:rFonts w:hint="eastAsia" w:ascii="仿宋" w:hAnsi="仿宋" w:eastAsia="仿宋"/>
                <w:color w:val="auto"/>
              </w:rPr>
            </w:pPr>
            <w:r>
              <w:rPr>
                <w:rFonts w:hint="eastAsia" w:ascii="仿宋" w:hAnsi="仿宋" w:eastAsia="仿宋"/>
                <w:color w:val="auto"/>
              </w:rPr>
              <w:t>2.具备统一web管理页面，可接入无线、交换机、分支组网、用户认证等组件，实现统一运维管理；</w:t>
            </w:r>
          </w:p>
          <w:p w14:paraId="36739A95">
            <w:pPr>
              <w:widowControl/>
              <w:snapToGrid w:val="0"/>
              <w:jc w:val="left"/>
              <w:rPr>
                <w:rFonts w:hint="eastAsia" w:ascii="仿宋" w:hAnsi="仿宋" w:eastAsia="仿宋"/>
                <w:color w:val="auto"/>
              </w:rPr>
            </w:pPr>
            <w:r>
              <w:rPr>
                <w:rFonts w:hint="eastAsia" w:ascii="仿宋" w:hAnsi="仿宋" w:eastAsia="仿宋"/>
                <w:color w:val="auto"/>
              </w:rPr>
              <w:t>3.支持自动发现交换机，并自动生成网络拓扑，用户可以通过浏览拓扑视图了解交换机的层次结构和运行状态；</w:t>
            </w:r>
          </w:p>
          <w:p w14:paraId="050D8218">
            <w:pPr>
              <w:widowControl/>
              <w:snapToGrid w:val="0"/>
              <w:jc w:val="left"/>
              <w:rPr>
                <w:rFonts w:hint="eastAsia" w:ascii="仿宋" w:hAnsi="仿宋" w:eastAsia="仿宋"/>
                <w:color w:val="auto"/>
              </w:rPr>
            </w:pPr>
            <w:r>
              <w:rPr>
                <w:rFonts w:hint="eastAsia" w:ascii="仿宋" w:hAnsi="仿宋" w:eastAsia="仿宋"/>
                <w:color w:val="auto"/>
              </w:rPr>
              <w:t>4.支持交换机代理上线功能，完成平台配置后即可自动发现同一个二层网络中的所有交换机自动上线，实现快速部署；</w:t>
            </w:r>
          </w:p>
          <w:p w14:paraId="002FCCB5">
            <w:pPr>
              <w:widowControl/>
              <w:snapToGrid w:val="0"/>
              <w:jc w:val="left"/>
              <w:rPr>
                <w:rFonts w:hint="eastAsia" w:ascii="仿宋" w:hAnsi="仿宋" w:eastAsia="仿宋"/>
                <w:color w:val="auto"/>
              </w:rPr>
            </w:pPr>
            <w:r>
              <w:rPr>
                <w:rFonts w:hint="eastAsia" w:ascii="仿宋" w:hAnsi="仿宋" w:eastAsia="仿宋"/>
                <w:color w:val="auto"/>
              </w:rPr>
              <w:t>5.支持在拓扑上直接显示在线、离线、待激活、待修复等状态显示，以及查看设备面板化信息、编辑设备基本属性、设置协议参数、删除、保存位置等基本操作；</w:t>
            </w:r>
          </w:p>
          <w:p w14:paraId="75D1C1C9">
            <w:pPr>
              <w:widowControl/>
              <w:snapToGrid w:val="0"/>
              <w:jc w:val="left"/>
              <w:rPr>
                <w:rFonts w:hint="eastAsia" w:ascii="仿宋" w:hAnsi="仿宋" w:eastAsia="仿宋"/>
                <w:color w:val="auto"/>
              </w:rPr>
            </w:pPr>
            <w:r>
              <w:rPr>
                <w:rFonts w:hint="eastAsia" w:ascii="仿宋" w:hAnsi="仿宋" w:eastAsia="仿宋"/>
                <w:color w:val="auto"/>
              </w:rPr>
              <w:t>6.支持图形化IP地址池管理，实现IP地址画像管理，并可查看相关信息，如发生冲突的IP地址、获取IP地址失败的终端、地址池利用率、IP分配次数分布等；</w:t>
            </w:r>
          </w:p>
          <w:p w14:paraId="5FBA8760">
            <w:pPr>
              <w:widowControl/>
              <w:snapToGrid w:val="0"/>
              <w:jc w:val="left"/>
              <w:rPr>
                <w:rFonts w:hint="eastAsia" w:ascii="仿宋" w:hAnsi="仿宋" w:eastAsia="仿宋"/>
                <w:color w:val="auto"/>
              </w:rPr>
            </w:pPr>
            <w:r>
              <w:rPr>
                <w:rFonts w:hint="eastAsia" w:ascii="仿宋" w:hAnsi="仿宋" w:eastAsia="仿宋"/>
                <w:color w:val="auto"/>
              </w:rPr>
              <w:t>7.支持交换机可视化管理，实现100%去命令行统一下发配置，包括但不限于IP、VLAN、链路聚合、防环路、路由、组播、ACL、QoS、镜像、M-LAG、VRRP等配置；</w:t>
            </w:r>
          </w:p>
          <w:p w14:paraId="4F22B1A9">
            <w:pPr>
              <w:widowControl/>
              <w:snapToGrid w:val="0"/>
              <w:jc w:val="left"/>
              <w:rPr>
                <w:rFonts w:hint="eastAsia" w:ascii="仿宋" w:hAnsi="仿宋" w:eastAsia="仿宋"/>
                <w:color w:val="auto"/>
              </w:rPr>
            </w:pPr>
            <w:r>
              <w:rPr>
                <w:rFonts w:hint="eastAsia" w:ascii="仿宋" w:hAnsi="仿宋" w:eastAsia="仿宋"/>
                <w:color w:val="auto"/>
              </w:rPr>
              <w:t>8.支持查看交换机离线统计、交换机供电负载、系统资源、芯片资源、流量负载、帧类型分析、报文分析、网络协议报文接收速率分析；</w:t>
            </w:r>
          </w:p>
          <w:p w14:paraId="296F177A">
            <w:pPr>
              <w:widowControl/>
              <w:snapToGrid w:val="0"/>
              <w:jc w:val="left"/>
              <w:rPr>
                <w:rFonts w:hint="eastAsia" w:ascii="仿宋" w:hAnsi="仿宋" w:eastAsia="仿宋" w:cs="宋体"/>
                <w:color w:val="auto"/>
                <w:kern w:val="0"/>
              </w:rPr>
            </w:pPr>
            <w:r>
              <w:rPr>
                <w:rFonts w:hint="eastAsia" w:ascii="仿宋" w:hAnsi="仿宋" w:eastAsia="仿宋"/>
                <w:color w:val="auto"/>
              </w:rPr>
              <w:t>9.支持管理员分权分级，不同的管理员拥有不同的管理权限，包括精细的页面修改查看权限和接入点管辖权限以及是否允许登陆数据中心等，方便网络的维护管理；</w:t>
            </w:r>
          </w:p>
        </w:tc>
        <w:tc>
          <w:tcPr>
            <w:tcW w:w="0" w:type="auto"/>
            <w:vAlign w:val="center"/>
          </w:tcPr>
          <w:p w14:paraId="6831BF14">
            <w:pPr>
              <w:widowControl/>
              <w:snapToGrid w:val="0"/>
              <w:jc w:val="left"/>
              <w:rPr>
                <w:rFonts w:hint="eastAsia" w:ascii="仿宋" w:hAnsi="仿宋" w:eastAsia="仿宋"/>
                <w:color w:val="auto"/>
              </w:rPr>
            </w:pPr>
            <w:r>
              <w:rPr>
                <w:rFonts w:hint="eastAsia" w:ascii="仿宋" w:hAnsi="仿宋" w:eastAsia="仿宋"/>
                <w:color w:val="auto"/>
              </w:rPr>
              <w:t>1</w:t>
            </w:r>
          </w:p>
        </w:tc>
        <w:tc>
          <w:tcPr>
            <w:tcW w:w="492" w:type="dxa"/>
            <w:vAlign w:val="center"/>
          </w:tcPr>
          <w:p w14:paraId="6C0AA0E4">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35F1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BC83AFA">
            <w:pPr>
              <w:widowControl/>
              <w:snapToGrid w:val="0"/>
              <w:jc w:val="center"/>
              <w:rPr>
                <w:rFonts w:hint="eastAsia" w:ascii="仿宋" w:hAnsi="仿宋" w:eastAsia="仿宋"/>
                <w:color w:val="auto"/>
                <w:kern w:val="0"/>
              </w:rPr>
            </w:pPr>
            <w:r>
              <w:rPr>
                <w:rFonts w:hint="eastAsia" w:ascii="仿宋" w:hAnsi="仿宋" w:eastAsia="仿宋"/>
                <w:color w:val="auto"/>
                <w:kern w:val="0"/>
              </w:rPr>
              <w:t>3</w:t>
            </w:r>
          </w:p>
        </w:tc>
        <w:tc>
          <w:tcPr>
            <w:tcW w:w="996" w:type="dxa"/>
            <w:vAlign w:val="center"/>
          </w:tcPr>
          <w:p w14:paraId="3AA4C767">
            <w:pPr>
              <w:widowControl/>
              <w:snapToGrid w:val="0"/>
              <w:jc w:val="center"/>
              <w:rPr>
                <w:rFonts w:hint="eastAsia" w:ascii="仿宋" w:hAnsi="仿宋" w:eastAsia="仿宋"/>
                <w:color w:val="auto"/>
              </w:rPr>
            </w:pPr>
            <w:r>
              <w:rPr>
                <w:rFonts w:hint="eastAsia" w:ascii="仿宋" w:hAnsi="仿宋" w:eastAsia="仿宋"/>
                <w:color w:val="auto"/>
              </w:rPr>
              <w:t>统一认证平台</w:t>
            </w:r>
          </w:p>
        </w:tc>
        <w:tc>
          <w:tcPr>
            <w:tcW w:w="6650" w:type="dxa"/>
            <w:vAlign w:val="center"/>
          </w:tcPr>
          <w:p w14:paraId="01C74672">
            <w:pPr>
              <w:widowControl/>
              <w:snapToGrid w:val="0"/>
              <w:jc w:val="left"/>
              <w:rPr>
                <w:rFonts w:hint="eastAsia" w:ascii="仿宋" w:hAnsi="仿宋" w:eastAsia="仿宋"/>
                <w:color w:val="auto"/>
              </w:rPr>
            </w:pPr>
            <w:r>
              <w:rPr>
                <w:rFonts w:hint="eastAsia" w:ascii="仿宋" w:hAnsi="仿宋" w:eastAsia="仿宋"/>
                <w:color w:val="auto"/>
              </w:rPr>
              <w:t>1.支持802.1x、Portal、MAC地址认证等认证；</w:t>
            </w:r>
          </w:p>
          <w:p w14:paraId="1C072EE1">
            <w:pPr>
              <w:widowControl/>
              <w:snapToGrid w:val="0"/>
              <w:jc w:val="left"/>
              <w:rPr>
                <w:rFonts w:hint="eastAsia" w:ascii="仿宋" w:hAnsi="仿宋" w:eastAsia="仿宋"/>
                <w:color w:val="auto"/>
              </w:rPr>
            </w:pPr>
            <w:r>
              <w:rPr>
                <w:rFonts w:hint="eastAsia" w:ascii="仿宋" w:hAnsi="仿宋" w:eastAsia="仿宋"/>
                <w:color w:val="auto"/>
              </w:rPr>
              <w:t>2.二维码审核认证、短信认证、APP认证、临时访客账号等访客认证方式；</w:t>
            </w:r>
          </w:p>
          <w:p w14:paraId="68921AFF">
            <w:pPr>
              <w:widowControl/>
              <w:snapToGrid w:val="0"/>
              <w:jc w:val="left"/>
              <w:rPr>
                <w:rFonts w:hint="eastAsia" w:ascii="仿宋" w:hAnsi="仿宋" w:eastAsia="仿宋"/>
                <w:color w:val="auto"/>
              </w:rPr>
            </w:pPr>
            <w:r>
              <w:rPr>
                <w:rFonts w:hint="eastAsia" w:ascii="仿宋" w:hAnsi="仿宋" w:eastAsia="仿宋"/>
                <w:color w:val="auto"/>
              </w:rPr>
              <w:t>3.支持基于全网无线和有线用户的统一认证和管理，跨区域漫游，实现基于用户/用户组进行授权，可实现用户通过有线、无线接入具有相同的认证账号和上网权限；</w:t>
            </w:r>
          </w:p>
          <w:p w14:paraId="122CC35B">
            <w:pPr>
              <w:widowControl/>
              <w:snapToGrid w:val="0"/>
              <w:jc w:val="left"/>
              <w:rPr>
                <w:rFonts w:hint="eastAsia" w:ascii="仿宋" w:hAnsi="仿宋" w:eastAsia="仿宋"/>
                <w:color w:val="auto"/>
              </w:rPr>
            </w:pPr>
            <w:r>
              <w:rPr>
                <w:rFonts w:hint="eastAsia" w:ascii="仿宋" w:hAnsi="仿宋" w:eastAsia="仿宋"/>
                <w:color w:val="auto"/>
              </w:rPr>
              <w:t>4.支持智能PSK认证功能，不同的PSK终端可使用专属密码，并支持PSK终端的秘钥与MAC绑定，其他终端即使拿到秘钥也无法上网，保证PSK终端安全接入；</w:t>
            </w:r>
          </w:p>
          <w:p w14:paraId="591F51B1">
            <w:pPr>
              <w:widowControl/>
              <w:snapToGrid w:val="0"/>
              <w:jc w:val="left"/>
              <w:rPr>
                <w:rFonts w:hint="eastAsia" w:ascii="仿宋" w:hAnsi="仿宋" w:eastAsia="仿宋"/>
                <w:color w:val="auto"/>
              </w:rPr>
            </w:pPr>
            <w:r>
              <w:rPr>
                <w:rFonts w:hint="eastAsia" w:ascii="仿宋" w:hAnsi="仿宋" w:eastAsia="仿宋"/>
                <w:color w:val="auto"/>
              </w:rPr>
              <w:t>5.支持Portal认证页面自定义，包括页面展示信息、页面标题、文字描述、免责声明等信息；</w:t>
            </w:r>
          </w:p>
          <w:p w14:paraId="1C1A0E96">
            <w:pPr>
              <w:widowControl/>
              <w:snapToGrid w:val="0"/>
              <w:jc w:val="left"/>
              <w:rPr>
                <w:rFonts w:hint="eastAsia" w:ascii="仿宋" w:hAnsi="仿宋" w:eastAsia="仿宋"/>
                <w:color w:val="auto"/>
              </w:rPr>
            </w:pPr>
            <w:r>
              <w:rPr>
                <w:rFonts w:hint="eastAsia" w:ascii="仿宋" w:hAnsi="仿宋" w:eastAsia="仿宋"/>
                <w:color w:val="auto"/>
              </w:rPr>
              <w:t>6支持短信认证的有效期设置和短信验证码的有效期设置，在短信认证有效期内，不用重新认证，在验证码有效期内，不用重新获取验证码；</w:t>
            </w:r>
          </w:p>
          <w:p w14:paraId="3C821F2B">
            <w:pPr>
              <w:widowControl/>
              <w:snapToGrid w:val="0"/>
              <w:jc w:val="left"/>
              <w:rPr>
                <w:rFonts w:hint="eastAsia" w:ascii="仿宋" w:hAnsi="仿宋" w:eastAsia="仿宋"/>
                <w:color w:val="auto"/>
              </w:rPr>
            </w:pPr>
            <w:r>
              <w:rPr>
                <w:rFonts w:hint="eastAsia" w:ascii="仿宋" w:hAnsi="仿宋" w:eastAsia="仿宋"/>
                <w:color w:val="auto"/>
              </w:rPr>
              <w:t>7.要求采用本地化部署方式，而非云化部署方式，</w:t>
            </w:r>
          </w:p>
        </w:tc>
        <w:tc>
          <w:tcPr>
            <w:tcW w:w="0" w:type="auto"/>
            <w:vAlign w:val="center"/>
          </w:tcPr>
          <w:p w14:paraId="25674CFB">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4E47B94B">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2AFA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39233E4">
            <w:pPr>
              <w:widowControl/>
              <w:snapToGrid w:val="0"/>
              <w:jc w:val="center"/>
              <w:rPr>
                <w:rFonts w:hint="eastAsia" w:ascii="仿宋" w:hAnsi="仿宋" w:eastAsia="仿宋"/>
                <w:color w:val="auto"/>
                <w:kern w:val="0"/>
              </w:rPr>
            </w:pPr>
            <w:r>
              <w:rPr>
                <w:rFonts w:hint="eastAsia" w:ascii="仿宋" w:hAnsi="仿宋" w:eastAsia="仿宋"/>
                <w:color w:val="auto"/>
                <w:kern w:val="0"/>
              </w:rPr>
              <w:t>4</w:t>
            </w:r>
          </w:p>
        </w:tc>
        <w:tc>
          <w:tcPr>
            <w:tcW w:w="996" w:type="dxa"/>
            <w:vAlign w:val="center"/>
          </w:tcPr>
          <w:p w14:paraId="6A963A58">
            <w:pPr>
              <w:widowControl/>
              <w:snapToGrid w:val="0"/>
              <w:jc w:val="center"/>
              <w:rPr>
                <w:rFonts w:hint="eastAsia" w:ascii="仿宋" w:hAnsi="仿宋" w:eastAsia="仿宋"/>
                <w:color w:val="auto"/>
              </w:rPr>
            </w:pPr>
            <w:r>
              <w:rPr>
                <w:rFonts w:hint="eastAsia" w:ascii="仿宋" w:hAnsi="仿宋" w:eastAsia="仿宋"/>
                <w:color w:val="auto"/>
              </w:rPr>
              <w:t>终端分析管理组件</w:t>
            </w:r>
          </w:p>
        </w:tc>
        <w:tc>
          <w:tcPr>
            <w:tcW w:w="6650" w:type="dxa"/>
            <w:vAlign w:val="center"/>
          </w:tcPr>
          <w:p w14:paraId="02A8901D">
            <w:pPr>
              <w:widowControl/>
              <w:snapToGrid w:val="0"/>
              <w:jc w:val="left"/>
              <w:rPr>
                <w:rFonts w:hint="eastAsia" w:ascii="仿宋" w:hAnsi="仿宋" w:eastAsia="仿宋"/>
                <w:b/>
                <w:bCs/>
                <w:color w:val="auto"/>
              </w:rPr>
            </w:pPr>
            <w:r>
              <w:rPr>
                <w:rFonts w:hint="eastAsia" w:ascii="仿宋" w:hAnsi="仿宋" w:eastAsia="仿宋"/>
                <w:color w:val="auto"/>
              </w:rPr>
              <w:t>1.内置终端识别库，支持终端类型识别。例如：办公设备、打印机或扫描仪、摄像头、电视盒子、移动终端、路由器等。</w:t>
            </w:r>
          </w:p>
          <w:p w14:paraId="49F5E85D">
            <w:pPr>
              <w:widowControl/>
              <w:snapToGrid w:val="0"/>
              <w:jc w:val="left"/>
              <w:rPr>
                <w:rFonts w:hint="eastAsia" w:ascii="仿宋" w:hAnsi="仿宋" w:eastAsia="仿宋"/>
                <w:color w:val="auto"/>
              </w:rPr>
            </w:pPr>
            <w:r>
              <w:rPr>
                <w:rFonts w:hint="eastAsia" w:ascii="仿宋" w:hAnsi="仿宋" w:eastAsia="仿宋"/>
                <w:color w:val="auto"/>
              </w:rPr>
              <w:t>2.支持基于交换机端口实现终端设备供电特征识别，通过有无要电防止仿冒设备接入；</w:t>
            </w:r>
          </w:p>
          <w:p w14:paraId="31891136">
            <w:pPr>
              <w:widowControl/>
              <w:snapToGrid w:val="0"/>
              <w:jc w:val="left"/>
              <w:rPr>
                <w:rFonts w:hint="eastAsia" w:ascii="仿宋" w:hAnsi="仿宋" w:eastAsia="仿宋"/>
                <w:color w:val="auto"/>
              </w:rPr>
            </w:pPr>
            <w:r>
              <w:rPr>
                <w:rFonts w:hint="eastAsia" w:ascii="仿宋" w:hAnsi="仿宋" w:eastAsia="仿宋"/>
                <w:color w:val="auto"/>
              </w:rPr>
              <w:t>3.支持终端类型准入控制，可对非指定类型终端非法接入，通过短信通知、手机APP通知，并同时将终端加入黑名单冻结；</w:t>
            </w:r>
          </w:p>
          <w:p w14:paraId="47DB0354">
            <w:pPr>
              <w:widowControl/>
              <w:snapToGrid w:val="0"/>
              <w:jc w:val="left"/>
              <w:rPr>
                <w:rFonts w:hint="eastAsia" w:ascii="仿宋" w:hAnsi="仿宋" w:eastAsia="仿宋"/>
                <w:color w:val="auto"/>
              </w:rPr>
            </w:pPr>
            <w:r>
              <w:rPr>
                <w:rFonts w:hint="eastAsia" w:ascii="仿宋" w:hAnsi="仿宋" w:eastAsia="仿宋"/>
                <w:color w:val="auto"/>
              </w:rPr>
              <w:t>4.支持终端MAC地址与IP地址绑定，实现终端IP地址准入控制；</w:t>
            </w:r>
          </w:p>
          <w:p w14:paraId="095EED3F">
            <w:pPr>
              <w:widowControl/>
              <w:snapToGrid w:val="0"/>
              <w:jc w:val="left"/>
              <w:rPr>
                <w:rFonts w:hint="eastAsia" w:ascii="仿宋" w:hAnsi="仿宋" w:eastAsia="仿宋"/>
                <w:color w:val="auto"/>
              </w:rPr>
            </w:pPr>
            <w:r>
              <w:rPr>
                <w:rFonts w:hint="eastAsia" w:ascii="仿宋" w:hAnsi="仿宋" w:eastAsia="仿宋"/>
                <w:color w:val="auto"/>
              </w:rPr>
              <w:t>5.支持实时查看有线接入终端当前的安全状态，例如：在线终端、风险终端、拦截终端；</w:t>
            </w:r>
          </w:p>
          <w:p w14:paraId="00F9978A">
            <w:pPr>
              <w:widowControl/>
              <w:snapToGrid w:val="0"/>
              <w:jc w:val="left"/>
              <w:rPr>
                <w:rFonts w:hint="eastAsia" w:ascii="仿宋" w:hAnsi="仿宋" w:eastAsia="仿宋"/>
                <w:color w:val="auto"/>
              </w:rPr>
            </w:pPr>
            <w:r>
              <w:rPr>
                <w:rFonts w:hint="eastAsia" w:ascii="仿宋" w:hAnsi="仿宋" w:eastAsia="仿宋"/>
                <w:color w:val="auto"/>
              </w:rPr>
              <w:t>6.支持查看内网终端攻击服务类型占比分析、服务访问状态、终端类型分布；</w:t>
            </w:r>
          </w:p>
          <w:p w14:paraId="25D1B313">
            <w:pPr>
              <w:widowControl/>
              <w:snapToGrid w:val="0"/>
              <w:jc w:val="left"/>
              <w:rPr>
                <w:rFonts w:hint="eastAsia" w:ascii="仿宋" w:hAnsi="仿宋" w:eastAsia="仿宋"/>
                <w:color w:val="auto"/>
              </w:rPr>
            </w:pPr>
            <w:r>
              <w:rPr>
                <w:rFonts w:hint="eastAsia" w:ascii="仿宋" w:hAnsi="仿宋" w:eastAsia="仿宋"/>
                <w:color w:val="auto"/>
              </w:rPr>
              <w:t>7.设备为本地化部署，非云化部署方式</w:t>
            </w:r>
          </w:p>
        </w:tc>
        <w:tc>
          <w:tcPr>
            <w:tcW w:w="0" w:type="auto"/>
            <w:vAlign w:val="center"/>
          </w:tcPr>
          <w:p w14:paraId="2762940A">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6CFEB039">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3DFA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44405BF">
            <w:pPr>
              <w:widowControl/>
              <w:snapToGrid w:val="0"/>
              <w:jc w:val="center"/>
              <w:rPr>
                <w:rFonts w:hint="eastAsia" w:ascii="仿宋" w:hAnsi="仿宋" w:eastAsia="仿宋"/>
                <w:color w:val="auto"/>
                <w:kern w:val="0"/>
              </w:rPr>
            </w:pPr>
            <w:r>
              <w:rPr>
                <w:rFonts w:hint="eastAsia" w:ascii="仿宋" w:hAnsi="仿宋" w:eastAsia="仿宋"/>
                <w:color w:val="auto"/>
                <w:kern w:val="0"/>
              </w:rPr>
              <w:t>5</w:t>
            </w:r>
          </w:p>
        </w:tc>
        <w:tc>
          <w:tcPr>
            <w:tcW w:w="996" w:type="dxa"/>
            <w:vAlign w:val="center"/>
          </w:tcPr>
          <w:p w14:paraId="6F1DA8FC">
            <w:pPr>
              <w:widowControl/>
              <w:snapToGrid w:val="0"/>
              <w:jc w:val="center"/>
              <w:rPr>
                <w:rFonts w:hint="eastAsia" w:ascii="仿宋" w:hAnsi="仿宋" w:eastAsia="仿宋"/>
                <w:color w:val="auto"/>
              </w:rPr>
            </w:pPr>
            <w:r>
              <w:rPr>
                <w:rFonts w:hint="eastAsia" w:ascii="仿宋" w:hAnsi="仿宋" w:eastAsia="仿宋"/>
                <w:color w:val="auto"/>
              </w:rPr>
              <w:t>核心交换机</w:t>
            </w:r>
          </w:p>
        </w:tc>
        <w:tc>
          <w:tcPr>
            <w:tcW w:w="6650" w:type="dxa"/>
            <w:vAlign w:val="center"/>
          </w:tcPr>
          <w:p w14:paraId="3C004E8C">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1.为了符合交换机实际应用需要，要求所投框式交换机具有以下性能：交换容量≥53Tbps，包转发率≥38000Mpps，交换容量及包转发率以数字最小的为准；</w:t>
            </w:r>
          </w:p>
          <w:p w14:paraId="06F0BA26">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2.为了符合实际接口应用需要，所投框式交换机要求：主控槽位≥2，业务槽位≥3；</w:t>
            </w:r>
          </w:p>
          <w:p w14:paraId="4DC3DFE2">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3.考虑到设备的稳定性和可扩展性，要求所投设备电源槽位≥2 ，支持电源1+1等冗余供电方式，且可通过可视化界面操作实现，支持电源运行过程异常状态记录；</w:t>
            </w:r>
          </w:p>
          <w:p w14:paraId="62DFAF27">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4.支持GE、10G、40G、100G等端口速率板卡；业务板卡支持最高端口密度为52个端口，且可通过管理平台查看1:1还原可视化面板；</w:t>
            </w:r>
          </w:p>
          <w:p w14:paraId="12E64609">
            <w:pPr>
              <w:widowControl/>
              <w:snapToGrid w:val="0"/>
              <w:jc w:val="left"/>
              <w:rPr>
                <w:rStyle w:val="45"/>
                <w:rFonts w:hint="eastAsia" w:ascii="仿宋" w:hAnsi="宋体" w:eastAsia="仿宋" w:cs="宋体"/>
                <w:b w:val="0"/>
                <w:bCs w:val="0"/>
                <w:color w:val="auto"/>
                <w:shd w:val="clear" w:color="auto" w:fill="FFFFFF"/>
              </w:rPr>
            </w:pPr>
            <w:r>
              <w:rPr>
                <w:rFonts w:hint="eastAsia" w:ascii="仿宋" w:hAnsi="仿宋" w:eastAsia="仿宋" w:cs="宋体"/>
                <w:color w:val="auto"/>
                <w:kern w:val="0"/>
              </w:rPr>
              <w:t>▲5.支持芯片级系统级Flash双启动，避免因FLASH芯片故障导致交换机无法启动。</w:t>
            </w:r>
            <w:bookmarkStart w:id="56" w:name="OLE_LINK8"/>
            <w:r>
              <w:rPr>
                <w:rStyle w:val="45"/>
                <w:rFonts w:hint="eastAsia" w:ascii="仿宋" w:hAnsi="宋体" w:eastAsia="仿宋" w:cs="宋体"/>
                <w:color w:val="auto"/>
                <w:shd w:val="clear" w:color="auto" w:fill="FFFFFF"/>
              </w:rPr>
              <w:t>须提供国家认可的第三方检测机构出具的、处于有效期内的、带有CMA或CNAS标识的产品检测报告，</w:t>
            </w:r>
            <w:bookmarkEnd w:id="56"/>
            <w:r>
              <w:rPr>
                <w:rStyle w:val="45"/>
                <w:rFonts w:hint="eastAsia" w:ascii="仿宋" w:hAnsi="宋体" w:eastAsia="仿宋" w:cs="宋体"/>
                <w:color w:val="auto"/>
                <w:shd w:val="clear" w:color="auto" w:fill="FFFFFF"/>
              </w:rPr>
              <w:t>且检测参数覆盖采购需求相关技术指标，否则视为无效证明材料。</w:t>
            </w:r>
          </w:p>
          <w:p w14:paraId="6BB5758A">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6.基于交换机的可靠性考虑，支持横向N:1虚拟化（N≥2），可以将多台物理设备虚拟化为逻辑上的一台设备；</w:t>
            </w:r>
          </w:p>
          <w:p w14:paraId="508C4492">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7.为了便于管理员对交换机的运维，要求所投交换机支持零配置上线，支持二层广播自动发现控制器平台；支持配置静态IP地址三层发现控制器平台；支持DNS域名发现控制器平台；</w:t>
            </w:r>
          </w:p>
          <w:p w14:paraId="6C429F37">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8.支持堆叠系统可视化，主备交换机同框展示，并可通过切换了解主备交换机机框板卡状态；</w:t>
            </w:r>
          </w:p>
          <w:p w14:paraId="0782C7F9">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9.支持交换机通过可视化面板可呈现业务板卡背板带宽利用率，对每一块业务板卡使用情况一目了然；</w:t>
            </w:r>
          </w:p>
          <w:p w14:paraId="3D796A51">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10.为了符合交换机管理实际需要，要求所投交换机支持业务板卡一键复位、下电、移除等功能，并支持可编辑板卡名称；</w:t>
            </w:r>
          </w:p>
          <w:p w14:paraId="41DC32BC">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▲11.为保证设备在受到外界机械碰撞时能够正常运行，要求所投交换机IK防护测试级别至少达</w:t>
            </w:r>
            <w:r>
              <w:rPr>
                <w:rFonts w:hint="eastAsia" w:ascii="仿宋" w:hAnsi="仿宋" w:eastAsia="仿宋" w:cs="宋体"/>
                <w:color w:val="auto"/>
                <w:kern w:val="0"/>
                <w:highlight w:val="none"/>
              </w:rPr>
              <w:t>到IK06；</w:t>
            </w:r>
            <w:r>
              <w:rPr>
                <w:rStyle w:val="45"/>
                <w:rFonts w:hint="eastAsia" w:ascii="仿宋" w:hAnsi="宋体" w:eastAsia="仿宋" w:cs="宋体"/>
                <w:b/>
                <w:bCs/>
                <w:color w:val="auto"/>
                <w:shd w:val="clear" w:color="auto" w:fill="FFFFFF"/>
              </w:rPr>
              <w:t>须提供国家认可的第三方检测机构出具的、处于有效期内的、带有CMA或CNAS标识的产品检测报告，且检测参数覆盖采购需求相关技术指标，否则视为无效证明材料。</w:t>
            </w:r>
          </w:p>
          <w:p w14:paraId="739A85BA">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12.实配：双电源、双主控、16千兆电口、16千兆光口、8万兆光口</w:t>
            </w:r>
          </w:p>
        </w:tc>
        <w:tc>
          <w:tcPr>
            <w:tcW w:w="0" w:type="auto"/>
            <w:vAlign w:val="center"/>
          </w:tcPr>
          <w:p w14:paraId="0F26638E">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5D009F7D">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5567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7C7C54A">
            <w:pPr>
              <w:widowControl/>
              <w:snapToGrid w:val="0"/>
              <w:jc w:val="center"/>
              <w:rPr>
                <w:rFonts w:hint="eastAsia" w:ascii="仿宋" w:hAnsi="仿宋" w:eastAsia="仿宋"/>
                <w:color w:val="auto"/>
                <w:kern w:val="0"/>
              </w:rPr>
            </w:pPr>
            <w:r>
              <w:rPr>
                <w:rFonts w:hint="eastAsia" w:ascii="仿宋" w:hAnsi="仿宋" w:eastAsia="仿宋"/>
                <w:color w:val="auto"/>
                <w:kern w:val="0"/>
              </w:rPr>
              <w:t>6</w:t>
            </w:r>
          </w:p>
        </w:tc>
        <w:tc>
          <w:tcPr>
            <w:tcW w:w="996" w:type="dxa"/>
            <w:vAlign w:val="center"/>
          </w:tcPr>
          <w:p w14:paraId="66B2B3A8">
            <w:pPr>
              <w:widowControl/>
              <w:snapToGrid w:val="0"/>
              <w:jc w:val="center"/>
              <w:rPr>
                <w:rFonts w:hint="eastAsia" w:ascii="仿宋" w:hAnsi="仿宋" w:eastAsia="仿宋"/>
                <w:color w:val="auto"/>
              </w:rPr>
            </w:pPr>
            <w:r>
              <w:rPr>
                <w:rFonts w:hint="eastAsia" w:ascii="仿宋" w:hAnsi="仿宋" w:eastAsia="仿宋"/>
                <w:color w:val="auto"/>
              </w:rPr>
              <w:t>防火墙</w:t>
            </w:r>
          </w:p>
        </w:tc>
        <w:tc>
          <w:tcPr>
            <w:tcW w:w="6650" w:type="dxa"/>
            <w:vAlign w:val="center"/>
          </w:tcPr>
          <w:p w14:paraId="08909E69">
            <w:pPr>
              <w:widowControl/>
              <w:snapToGrid w:val="0"/>
              <w:jc w:val="left"/>
              <w:rPr>
                <w:rFonts w:hint="eastAsia" w:ascii="仿宋" w:hAnsi="仿宋" w:eastAsia="仿宋"/>
                <w:color w:val="auto"/>
              </w:rPr>
            </w:pPr>
            <w:r>
              <w:rPr>
                <w:rFonts w:hint="eastAsia" w:ascii="仿宋" w:hAnsi="仿宋" w:eastAsia="仿宋"/>
                <w:color w:val="auto"/>
              </w:rPr>
              <w:t>1.网络层吞吐量不低于4G，应用层吞吐量不低于2G，并发连接不低于200万，新建连接数不低于6万，支持IPSEC VPN功能。</w:t>
            </w:r>
          </w:p>
          <w:p w14:paraId="42194068">
            <w:pPr>
              <w:widowControl/>
              <w:snapToGrid w:val="0"/>
              <w:jc w:val="left"/>
              <w:rPr>
                <w:rFonts w:hint="eastAsia" w:ascii="仿宋" w:hAnsi="仿宋" w:eastAsia="仿宋"/>
                <w:color w:val="auto"/>
              </w:rPr>
            </w:pPr>
            <w:r>
              <w:rPr>
                <w:rFonts w:hint="eastAsia" w:ascii="仿宋" w:hAnsi="仿宋" w:eastAsia="仿宋"/>
                <w:color w:val="auto"/>
              </w:rPr>
              <w:t>2.标准1U架构，硬盘容量不少于128G SSD，接口不少于8个千兆电口+2个千兆光口。包含软件升级、规则库升级、云威胁情报、硬件质保服务。</w:t>
            </w:r>
          </w:p>
          <w:p w14:paraId="67978E63">
            <w:pPr>
              <w:widowControl/>
              <w:snapToGrid w:val="0"/>
              <w:jc w:val="left"/>
              <w:rPr>
                <w:rFonts w:hint="eastAsia" w:ascii="仿宋" w:hAnsi="仿宋" w:eastAsia="仿宋"/>
                <w:color w:val="auto"/>
              </w:rPr>
            </w:pPr>
            <w:r>
              <w:rPr>
                <w:rFonts w:hint="eastAsia" w:ascii="仿宋" w:hAnsi="仿宋" w:eastAsia="仿宋"/>
                <w:color w:val="auto"/>
              </w:rPr>
              <w:t>3.具备IPS、防病毒模块。</w:t>
            </w:r>
          </w:p>
          <w:p w14:paraId="02498C54">
            <w:pPr>
              <w:widowControl/>
              <w:snapToGrid w:val="0"/>
              <w:jc w:val="left"/>
              <w:rPr>
                <w:rFonts w:hint="eastAsia" w:ascii="仿宋" w:hAnsi="仿宋" w:eastAsia="仿宋"/>
                <w:color w:val="auto"/>
              </w:rPr>
            </w:pPr>
            <w:r>
              <w:rPr>
                <w:rFonts w:hint="eastAsia" w:ascii="仿宋" w:hAnsi="仿宋" w:eastAsia="仿宋"/>
                <w:color w:val="auto"/>
              </w:rPr>
              <w:t>4.产品支持虚拟防火墙功能，支持虚拟防火墙的创建、启动、关闭、删除功能；虚拟防火墙可独立管理，具备独立的接口、VLAN管理等。</w:t>
            </w:r>
          </w:p>
          <w:p w14:paraId="502BA671">
            <w:pPr>
              <w:widowControl/>
              <w:snapToGrid w:val="0"/>
              <w:jc w:val="left"/>
              <w:rPr>
                <w:rFonts w:hint="eastAsia" w:ascii="仿宋" w:hAnsi="仿宋" w:eastAsia="仿宋"/>
                <w:color w:val="auto"/>
              </w:rPr>
            </w:pPr>
            <w:r>
              <w:rPr>
                <w:rFonts w:hint="eastAsia" w:ascii="仿宋" w:hAnsi="仿宋" w:eastAsia="仿宋"/>
                <w:color w:val="auto"/>
              </w:rPr>
              <w:t>5.产品支持多维度流量控制功能，支持基于IP地址、用户、应用、时间设置流量控制策略，保证关键业务带宽日常需求。</w:t>
            </w:r>
          </w:p>
          <w:p w14:paraId="48933DB6">
            <w:pPr>
              <w:widowControl/>
              <w:snapToGrid w:val="0"/>
              <w:jc w:val="left"/>
              <w:rPr>
                <w:rFonts w:hint="eastAsia" w:ascii="仿宋" w:hAnsi="仿宋" w:eastAsia="仿宋"/>
                <w:color w:val="auto"/>
              </w:rPr>
            </w:pPr>
            <w:r>
              <w:rPr>
                <w:rFonts w:hint="eastAsia" w:ascii="仿宋" w:hAnsi="仿宋" w:eastAsia="仿宋"/>
                <w:color w:val="auto"/>
              </w:rPr>
              <w:t>6.具备web应用防护功能。支持服务器漏洞防扫描功能，并对扫描源IP进行日志记录和联动封锁。</w:t>
            </w:r>
          </w:p>
          <w:p w14:paraId="2EE374F5">
            <w:pPr>
              <w:widowControl/>
              <w:snapToGrid w:val="0"/>
              <w:jc w:val="left"/>
              <w:rPr>
                <w:rFonts w:hint="eastAsia" w:ascii="仿宋" w:hAnsi="仿宋" w:eastAsia="仿宋"/>
                <w:color w:val="auto"/>
              </w:rPr>
            </w:pPr>
            <w:r>
              <w:rPr>
                <w:rFonts w:hint="eastAsia" w:ascii="仿宋" w:hAnsi="仿宋" w:eastAsia="仿宋"/>
                <w:color w:val="auto"/>
              </w:rPr>
              <w:t>7.防火墙需支持勒索软件防护功能，针对勒索软件攻击提供专门的功能模块。</w:t>
            </w:r>
          </w:p>
          <w:p w14:paraId="3CD5E035">
            <w:pPr>
              <w:widowControl/>
              <w:snapToGrid w:val="0"/>
              <w:jc w:val="left"/>
              <w:rPr>
                <w:rFonts w:hint="eastAsia" w:ascii="仿宋" w:hAnsi="仿宋" w:eastAsia="仿宋"/>
                <w:color w:val="auto"/>
              </w:rPr>
            </w:pPr>
            <w:r>
              <w:rPr>
                <w:rFonts w:hint="eastAsia" w:ascii="仿宋" w:hAnsi="仿宋" w:eastAsia="仿宋"/>
                <w:color w:val="auto"/>
              </w:rPr>
              <w:t>8.支持与终端安全软件实现协同防御，当防火墙发现勒索病毒时，可实现防火墙上给终端安全产品下发策略，对威胁进行隔离、处置，同时在防火墙上展示处理结果；</w:t>
            </w:r>
          </w:p>
          <w:p w14:paraId="693B0F93">
            <w:pPr>
              <w:widowControl/>
              <w:snapToGrid w:val="0"/>
              <w:jc w:val="left"/>
              <w:rPr>
                <w:rFonts w:hint="eastAsia" w:ascii="仿宋" w:hAnsi="仿宋" w:eastAsia="仿宋"/>
                <w:color w:val="auto"/>
              </w:rPr>
            </w:pPr>
            <w:r>
              <w:rPr>
                <w:rFonts w:hint="eastAsia" w:ascii="仿宋" w:hAnsi="仿宋" w:eastAsia="仿宋"/>
                <w:color w:val="auto"/>
              </w:rPr>
              <w:t>9.所投设备具备信息技术产品安全测评证书（EAL4+），提供有效证书复印件。</w:t>
            </w:r>
          </w:p>
          <w:p w14:paraId="05431290">
            <w:pPr>
              <w:widowControl/>
              <w:snapToGrid w:val="0"/>
              <w:jc w:val="left"/>
              <w:rPr>
                <w:rFonts w:hint="eastAsia" w:ascii="仿宋" w:hAnsi="仿宋" w:eastAsia="仿宋" w:cs="宋体"/>
                <w:color w:val="auto"/>
                <w:kern w:val="0"/>
              </w:rPr>
            </w:pPr>
            <w:r>
              <w:rPr>
                <w:rFonts w:hint="eastAsia" w:ascii="仿宋" w:hAnsi="仿宋" w:eastAsia="仿宋"/>
                <w:color w:val="auto"/>
              </w:rPr>
              <w:t>10.要求设备厂家得到国家信息安全漏洞库认可，是CNNVD一级技术支撑单位，提供有效证书复印件。</w:t>
            </w:r>
          </w:p>
        </w:tc>
        <w:tc>
          <w:tcPr>
            <w:tcW w:w="0" w:type="auto"/>
            <w:vAlign w:val="center"/>
          </w:tcPr>
          <w:p w14:paraId="5E6EA921">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1C8FCF86">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3B026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98353BD">
            <w:pPr>
              <w:widowControl/>
              <w:snapToGrid w:val="0"/>
              <w:jc w:val="center"/>
              <w:rPr>
                <w:rFonts w:hint="eastAsia" w:ascii="仿宋" w:hAnsi="仿宋" w:eastAsia="仿宋"/>
                <w:color w:val="auto"/>
                <w:kern w:val="0"/>
              </w:rPr>
            </w:pPr>
            <w:r>
              <w:rPr>
                <w:rFonts w:hint="eastAsia" w:ascii="仿宋" w:hAnsi="仿宋" w:eastAsia="仿宋"/>
                <w:color w:val="auto"/>
                <w:kern w:val="0"/>
              </w:rPr>
              <w:t>7</w:t>
            </w:r>
          </w:p>
        </w:tc>
        <w:tc>
          <w:tcPr>
            <w:tcW w:w="996" w:type="dxa"/>
            <w:vAlign w:val="center"/>
          </w:tcPr>
          <w:p w14:paraId="4E65FB31">
            <w:pPr>
              <w:widowControl/>
              <w:snapToGrid w:val="0"/>
              <w:jc w:val="center"/>
              <w:rPr>
                <w:rFonts w:hint="eastAsia" w:ascii="仿宋" w:hAnsi="仿宋" w:eastAsia="仿宋"/>
                <w:color w:val="auto"/>
              </w:rPr>
            </w:pPr>
            <w:r>
              <w:rPr>
                <w:rFonts w:hint="eastAsia" w:ascii="仿宋" w:hAnsi="仿宋" w:eastAsia="仿宋"/>
                <w:color w:val="auto"/>
              </w:rPr>
              <w:t>POE汇聚交换机</w:t>
            </w:r>
          </w:p>
        </w:tc>
        <w:tc>
          <w:tcPr>
            <w:tcW w:w="6650" w:type="dxa"/>
            <w:vAlign w:val="center"/>
          </w:tcPr>
          <w:p w14:paraId="5EA23FE1">
            <w:pPr>
              <w:widowControl/>
              <w:snapToGrid w:val="0"/>
              <w:jc w:val="left"/>
              <w:rPr>
                <w:rFonts w:hint="eastAsia" w:ascii="仿宋" w:hAnsi="仿宋" w:eastAsia="仿宋"/>
                <w:color w:val="auto"/>
              </w:rPr>
            </w:pPr>
            <w:r>
              <w:rPr>
                <w:rFonts w:hint="eastAsia" w:ascii="仿宋" w:hAnsi="仿宋" w:eastAsia="仿宋"/>
                <w:color w:val="auto"/>
              </w:rPr>
              <w:t>1、为保障设备线速转发能力，设备的交换容量≥670Gbps，包转发率≥120Mpps；</w:t>
            </w:r>
          </w:p>
          <w:p w14:paraId="705B7CD5">
            <w:pPr>
              <w:widowControl/>
              <w:snapToGrid w:val="0"/>
              <w:jc w:val="left"/>
              <w:rPr>
                <w:rFonts w:hint="eastAsia" w:ascii="仿宋" w:hAnsi="仿宋" w:eastAsia="仿宋"/>
                <w:color w:val="auto"/>
              </w:rPr>
            </w:pPr>
            <w:r>
              <w:rPr>
                <w:rFonts w:hint="eastAsia" w:ascii="仿宋" w:hAnsi="仿宋" w:eastAsia="仿宋"/>
                <w:color w:val="auto"/>
              </w:rPr>
              <w:t>2、为保障足够的接入能力，千兆POE电口≥24个，SFP+光口≥4个；</w:t>
            </w:r>
          </w:p>
          <w:p w14:paraId="35DDE93E">
            <w:pPr>
              <w:widowControl/>
              <w:snapToGrid w:val="0"/>
              <w:jc w:val="left"/>
              <w:rPr>
                <w:rFonts w:hint="eastAsia" w:ascii="仿宋" w:hAnsi="仿宋" w:eastAsia="仿宋"/>
                <w:color w:val="auto"/>
              </w:rPr>
            </w:pPr>
            <w:r>
              <w:rPr>
                <w:rFonts w:hint="eastAsia" w:ascii="仿宋" w:hAnsi="仿宋" w:eastAsia="仿宋"/>
                <w:color w:val="auto"/>
              </w:rPr>
              <w:t>3、支持IEEE802.3af/at供电标准，单端口最大输出功率≥30W，整机最大输出功率≥370W；</w:t>
            </w:r>
          </w:p>
          <w:p w14:paraId="1C50AE71">
            <w:pPr>
              <w:widowControl/>
              <w:snapToGrid w:val="0"/>
              <w:jc w:val="left"/>
              <w:rPr>
                <w:rFonts w:hint="eastAsia" w:ascii="仿宋" w:hAnsi="仿宋" w:eastAsia="仿宋"/>
                <w:color w:val="auto"/>
              </w:rPr>
            </w:pPr>
            <w:r>
              <w:rPr>
                <w:rFonts w:hint="eastAsia" w:ascii="仿宋" w:hAnsi="仿宋" w:eastAsia="仿宋"/>
                <w:color w:val="auto"/>
              </w:rPr>
              <w:t>4、支持通过APP进行远程管理，并且可以修改交换机网络配置。5、上线方式：支持云发现、支持配置网关IP或通过网关DNS域名自动发现上线；</w:t>
            </w:r>
          </w:p>
          <w:p w14:paraId="6D2C4AB4">
            <w:pPr>
              <w:widowControl/>
              <w:snapToGrid w:val="0"/>
              <w:jc w:val="left"/>
              <w:rPr>
                <w:rFonts w:hint="eastAsia" w:ascii="仿宋" w:hAnsi="仿宋" w:eastAsia="仿宋"/>
                <w:color w:val="auto"/>
              </w:rPr>
            </w:pPr>
            <w:r>
              <w:rPr>
                <w:rFonts w:hint="eastAsia" w:ascii="仿宋" w:hAnsi="仿宋" w:eastAsia="仿宋"/>
                <w:color w:val="auto"/>
              </w:rPr>
              <w:t>6、支持通过在网管中心平台的Web页面对交换机进行可视化管理查看，包括交换机的端口状态及配置、vlan信息；</w:t>
            </w:r>
          </w:p>
          <w:p w14:paraId="3D0859F4">
            <w:pPr>
              <w:widowControl/>
              <w:snapToGrid w:val="0"/>
              <w:jc w:val="left"/>
              <w:rPr>
                <w:rFonts w:hint="eastAsia" w:ascii="仿宋" w:hAnsi="仿宋" w:eastAsia="仿宋"/>
                <w:color w:val="auto"/>
              </w:rPr>
            </w:pPr>
            <w:r>
              <w:rPr>
                <w:rFonts w:hint="eastAsia" w:ascii="仿宋" w:hAnsi="仿宋" w:eastAsia="仿宋"/>
                <w:color w:val="auto"/>
              </w:rPr>
              <w:t>7、支持通过网管中心平台一键替换“按钮”即可完成故障设备替换；</w:t>
            </w:r>
          </w:p>
          <w:p w14:paraId="023507F4">
            <w:pPr>
              <w:widowControl/>
              <w:snapToGrid w:val="0"/>
              <w:jc w:val="left"/>
              <w:rPr>
                <w:rFonts w:hint="eastAsia" w:ascii="仿宋" w:hAnsi="仿宋" w:eastAsia="仿宋" w:cs="宋体"/>
                <w:color w:val="auto"/>
                <w:kern w:val="0"/>
              </w:rPr>
            </w:pPr>
            <w:r>
              <w:rPr>
                <w:rFonts w:hint="eastAsia" w:ascii="仿宋" w:hAnsi="仿宋" w:eastAsia="仿宋"/>
                <w:color w:val="auto"/>
              </w:rPr>
              <w:t>8、支持IEEE802.3az标准的EEE节能技术：当EEE使能时，大幅度减小端口在该阶段的功耗，达到节能目的；</w:t>
            </w:r>
          </w:p>
        </w:tc>
        <w:tc>
          <w:tcPr>
            <w:tcW w:w="0" w:type="auto"/>
            <w:vAlign w:val="center"/>
          </w:tcPr>
          <w:p w14:paraId="38BFD2EF">
            <w:pPr>
              <w:widowControl/>
              <w:snapToGrid w:val="0"/>
              <w:jc w:val="left"/>
              <w:rPr>
                <w:rFonts w:hint="eastAsia" w:ascii="仿宋" w:hAnsi="仿宋" w:eastAsia="仿宋" w:cs="Calibri"/>
                <w:color w:val="auto"/>
                <w:kern w:val="0"/>
              </w:rPr>
            </w:pPr>
            <w:r>
              <w:rPr>
                <w:rFonts w:hint="eastAsia" w:ascii="仿宋" w:hAnsi="仿宋" w:eastAsia="仿宋"/>
                <w:color w:val="auto"/>
              </w:rPr>
              <w:t>4</w:t>
            </w:r>
          </w:p>
        </w:tc>
        <w:tc>
          <w:tcPr>
            <w:tcW w:w="492" w:type="dxa"/>
            <w:vAlign w:val="center"/>
          </w:tcPr>
          <w:p w14:paraId="1C8FAC83">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00E2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2D4B165">
            <w:pPr>
              <w:widowControl/>
              <w:snapToGrid w:val="0"/>
              <w:jc w:val="center"/>
              <w:rPr>
                <w:rFonts w:hint="eastAsia" w:ascii="仿宋" w:hAnsi="仿宋" w:eastAsia="仿宋"/>
                <w:color w:val="auto"/>
                <w:kern w:val="0"/>
              </w:rPr>
            </w:pPr>
            <w:r>
              <w:rPr>
                <w:rFonts w:hint="eastAsia" w:ascii="仿宋" w:hAnsi="仿宋" w:eastAsia="仿宋"/>
                <w:color w:val="auto"/>
                <w:kern w:val="0"/>
              </w:rPr>
              <w:t>8</w:t>
            </w:r>
          </w:p>
        </w:tc>
        <w:tc>
          <w:tcPr>
            <w:tcW w:w="996" w:type="dxa"/>
            <w:vAlign w:val="center"/>
          </w:tcPr>
          <w:p w14:paraId="1B66D576">
            <w:pPr>
              <w:widowControl/>
              <w:snapToGrid w:val="0"/>
              <w:jc w:val="center"/>
              <w:rPr>
                <w:rFonts w:hint="eastAsia" w:ascii="仿宋" w:hAnsi="仿宋" w:eastAsia="仿宋"/>
                <w:color w:val="auto"/>
              </w:rPr>
            </w:pPr>
            <w:r>
              <w:rPr>
                <w:rFonts w:hint="eastAsia" w:ascii="仿宋" w:hAnsi="仿宋" w:eastAsia="仿宋"/>
                <w:color w:val="auto"/>
              </w:rPr>
              <w:t>AP+4网口</w:t>
            </w:r>
          </w:p>
        </w:tc>
        <w:tc>
          <w:tcPr>
            <w:tcW w:w="6650" w:type="dxa"/>
            <w:vAlign w:val="center"/>
          </w:tcPr>
          <w:p w14:paraId="69AD507A">
            <w:pPr>
              <w:widowControl/>
              <w:snapToGrid w:val="0"/>
              <w:jc w:val="left"/>
              <w:rPr>
                <w:rFonts w:hint="eastAsia" w:ascii="仿宋" w:hAnsi="仿宋" w:eastAsia="仿宋"/>
                <w:color w:val="auto"/>
              </w:rPr>
            </w:pPr>
            <w:r>
              <w:rPr>
                <w:rFonts w:hint="eastAsia" w:ascii="仿宋" w:hAnsi="仿宋" w:eastAsia="仿宋"/>
                <w:color w:val="auto"/>
              </w:rPr>
              <w:t>1.支持802.11be 协议，兼容802.11a/b/g/n/ac/ax协议，支持2.4G和5G同时工作；</w:t>
            </w:r>
          </w:p>
          <w:p w14:paraId="261BD6CB">
            <w:pPr>
              <w:widowControl/>
              <w:snapToGrid w:val="0"/>
              <w:jc w:val="left"/>
              <w:rPr>
                <w:rFonts w:hint="eastAsia" w:ascii="仿宋" w:hAnsi="仿宋" w:eastAsia="仿宋"/>
                <w:color w:val="auto"/>
              </w:rPr>
            </w:pPr>
            <w:r>
              <w:rPr>
                <w:rFonts w:hint="eastAsia" w:ascii="仿宋" w:hAnsi="仿宋" w:eastAsia="仿宋"/>
                <w:color w:val="auto"/>
              </w:rPr>
              <w:t>2.整机采用三射频设计，理论无线传输速率＞3.7Gbps；</w:t>
            </w:r>
          </w:p>
          <w:p w14:paraId="7BFD3CD6">
            <w:pPr>
              <w:widowControl/>
              <w:snapToGrid w:val="0"/>
              <w:jc w:val="left"/>
              <w:rPr>
                <w:rFonts w:hint="eastAsia" w:ascii="仿宋" w:hAnsi="仿宋" w:eastAsia="仿宋"/>
                <w:color w:val="auto"/>
              </w:rPr>
            </w:pPr>
            <w:r>
              <w:rPr>
                <w:rFonts w:hint="eastAsia" w:ascii="仿宋" w:hAnsi="仿宋" w:eastAsia="仿宋"/>
                <w:color w:val="auto"/>
              </w:rPr>
              <w:t>3.Wi-Fi 7单终端接入时，在多链路操作特性下吞吐量≥2.3Gbps;</w:t>
            </w:r>
          </w:p>
          <w:p w14:paraId="00F00284">
            <w:pPr>
              <w:widowControl/>
              <w:snapToGrid w:val="0"/>
              <w:jc w:val="left"/>
              <w:rPr>
                <w:rFonts w:hint="eastAsia" w:ascii="仿宋" w:hAnsi="仿宋" w:eastAsia="仿宋"/>
                <w:color w:val="auto"/>
              </w:rPr>
            </w:pPr>
            <w:r>
              <w:rPr>
                <w:rFonts w:hint="eastAsia" w:ascii="仿宋" w:hAnsi="仿宋" w:eastAsia="仿宋"/>
                <w:color w:val="auto"/>
              </w:rPr>
              <w:t>4.内置独立扫描硬件射频，可在不影响业务接入前提下支持实时检测并反制环境非法Wi-Fi；</w:t>
            </w:r>
          </w:p>
          <w:p w14:paraId="157896F4">
            <w:pPr>
              <w:widowControl/>
              <w:snapToGrid w:val="0"/>
              <w:jc w:val="left"/>
              <w:rPr>
                <w:rFonts w:hint="eastAsia" w:ascii="仿宋" w:hAnsi="仿宋" w:eastAsia="仿宋"/>
                <w:b/>
                <w:bCs/>
                <w:color w:val="auto"/>
              </w:rPr>
            </w:pPr>
            <w:r>
              <w:rPr>
                <w:rFonts w:hint="eastAsia" w:ascii="仿宋" w:hAnsi="仿宋" w:eastAsia="仿宋"/>
                <w:color w:val="auto"/>
              </w:rPr>
              <w:t>5. 2.5G上行光口≥1个，采用光电一体化标准化接口，下行千兆以太网口≥4个。</w:t>
            </w:r>
          </w:p>
          <w:p w14:paraId="5B093CF3">
            <w:pPr>
              <w:widowControl/>
              <w:snapToGrid w:val="0"/>
              <w:jc w:val="left"/>
              <w:rPr>
                <w:rFonts w:hint="eastAsia" w:ascii="仿宋" w:hAnsi="仿宋" w:eastAsia="仿宋"/>
                <w:color w:val="auto"/>
              </w:rPr>
            </w:pPr>
            <w:r>
              <w:rPr>
                <w:rFonts w:hint="eastAsia" w:ascii="仿宋" w:hAnsi="仿宋" w:eastAsia="仿宋"/>
                <w:color w:val="auto"/>
              </w:rPr>
              <w:t>6.具备无线网络环境指标检测功能，包括信道总利用率、Wi-Fi 信道利用率、非 Wi-Fi 信道利用率、同频 AP 数量等；</w:t>
            </w:r>
          </w:p>
          <w:p w14:paraId="45063445">
            <w:pPr>
              <w:widowControl/>
              <w:snapToGrid w:val="0"/>
              <w:jc w:val="left"/>
              <w:rPr>
                <w:rFonts w:hint="eastAsia" w:ascii="仿宋" w:hAnsi="仿宋" w:eastAsia="仿宋"/>
                <w:color w:val="auto"/>
              </w:rPr>
            </w:pPr>
            <w:r>
              <w:rPr>
                <w:rFonts w:hint="eastAsia" w:ascii="仿宋" w:hAnsi="仿宋" w:eastAsia="仿宋"/>
                <w:color w:val="auto"/>
              </w:rPr>
              <w:t>7.为了降低无线网络优化难度，AP结合管理平台可实现无线网络信道自动优化功能；</w:t>
            </w:r>
          </w:p>
          <w:p w14:paraId="1CD313AD">
            <w:pPr>
              <w:widowControl/>
              <w:snapToGrid w:val="0"/>
              <w:jc w:val="left"/>
              <w:rPr>
                <w:rFonts w:hint="eastAsia" w:ascii="仿宋" w:hAnsi="仿宋" w:eastAsia="仿宋"/>
                <w:color w:val="auto"/>
              </w:rPr>
            </w:pPr>
            <w:r>
              <w:rPr>
                <w:rFonts w:hint="eastAsia" w:ascii="仿宋" w:hAnsi="仿宋" w:eastAsia="仿宋"/>
                <w:color w:val="auto"/>
              </w:rPr>
              <w:t>8.支持根据终端类型实现终端的无线准入限制；</w:t>
            </w:r>
          </w:p>
          <w:p w14:paraId="6CDC18C8">
            <w:pPr>
              <w:widowControl/>
              <w:snapToGrid w:val="0"/>
              <w:jc w:val="left"/>
              <w:rPr>
                <w:rFonts w:hint="eastAsia" w:ascii="仿宋" w:hAnsi="仿宋" w:eastAsia="仿宋" w:cs="宋体"/>
                <w:color w:val="auto"/>
                <w:kern w:val="0"/>
              </w:rPr>
            </w:pPr>
            <w:r>
              <w:rPr>
                <w:rFonts w:hint="eastAsia" w:ascii="仿宋" w:hAnsi="仿宋" w:eastAsia="仿宋"/>
                <w:color w:val="auto"/>
              </w:rPr>
              <w:t>9.可以自定义网络质量指标阈值进行编辑，包括网络地址、接入时间、DHCP 请求时间、DNS 解析平均时延、网关平均时延、网络丢包率；</w:t>
            </w:r>
          </w:p>
        </w:tc>
        <w:tc>
          <w:tcPr>
            <w:tcW w:w="0" w:type="auto"/>
            <w:vAlign w:val="center"/>
          </w:tcPr>
          <w:p w14:paraId="6078D4A0">
            <w:pPr>
              <w:widowControl/>
              <w:snapToGrid w:val="0"/>
              <w:jc w:val="left"/>
              <w:rPr>
                <w:rFonts w:hint="eastAsia" w:ascii="仿宋" w:hAnsi="仿宋" w:eastAsia="仿宋" w:cs="Calibri"/>
                <w:color w:val="auto"/>
                <w:kern w:val="0"/>
              </w:rPr>
            </w:pPr>
            <w:r>
              <w:rPr>
                <w:rFonts w:hint="eastAsia" w:ascii="仿宋" w:hAnsi="仿宋" w:eastAsia="仿宋"/>
                <w:color w:val="auto"/>
              </w:rPr>
              <w:t>50</w:t>
            </w:r>
          </w:p>
        </w:tc>
        <w:tc>
          <w:tcPr>
            <w:tcW w:w="492" w:type="dxa"/>
            <w:vAlign w:val="center"/>
          </w:tcPr>
          <w:p w14:paraId="1BB06EC3">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0385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C615454">
            <w:pPr>
              <w:widowControl/>
              <w:snapToGrid w:val="0"/>
              <w:jc w:val="center"/>
              <w:rPr>
                <w:rFonts w:hint="eastAsia" w:ascii="仿宋" w:hAnsi="仿宋" w:eastAsia="仿宋"/>
                <w:color w:val="auto"/>
                <w:kern w:val="0"/>
              </w:rPr>
            </w:pPr>
            <w:r>
              <w:rPr>
                <w:rFonts w:hint="eastAsia" w:ascii="仿宋" w:hAnsi="仿宋" w:eastAsia="仿宋"/>
                <w:color w:val="auto"/>
                <w:kern w:val="0"/>
              </w:rPr>
              <w:t>9</w:t>
            </w:r>
          </w:p>
        </w:tc>
        <w:tc>
          <w:tcPr>
            <w:tcW w:w="996" w:type="dxa"/>
            <w:vAlign w:val="center"/>
          </w:tcPr>
          <w:p w14:paraId="6B01CCBA">
            <w:pPr>
              <w:widowControl/>
              <w:snapToGrid w:val="0"/>
              <w:jc w:val="center"/>
              <w:rPr>
                <w:rFonts w:hint="eastAsia" w:ascii="仿宋" w:hAnsi="仿宋" w:eastAsia="仿宋"/>
                <w:color w:val="auto"/>
              </w:rPr>
            </w:pPr>
            <w:r>
              <w:rPr>
                <w:rFonts w:hint="eastAsia" w:ascii="仿宋" w:hAnsi="仿宋" w:eastAsia="仿宋"/>
                <w:color w:val="auto"/>
              </w:rPr>
              <w:t>楼层机柜</w:t>
            </w:r>
          </w:p>
        </w:tc>
        <w:tc>
          <w:tcPr>
            <w:tcW w:w="6650" w:type="dxa"/>
            <w:vAlign w:val="center"/>
          </w:tcPr>
          <w:p w14:paraId="5DE1809C">
            <w:pPr>
              <w:widowControl/>
              <w:snapToGrid w:val="0"/>
              <w:jc w:val="left"/>
              <w:rPr>
                <w:rFonts w:hint="eastAsia" w:ascii="仿宋" w:hAnsi="仿宋" w:eastAsia="仿宋"/>
                <w:color w:val="auto"/>
              </w:rPr>
            </w:pPr>
            <w:r>
              <w:rPr>
                <w:rFonts w:hint="eastAsia" w:ascii="仿宋" w:hAnsi="仿宋" w:eastAsia="仿宋"/>
                <w:color w:val="auto"/>
              </w:rPr>
              <w:t>6U国标机柜，放置在楼层汇聚交换位置。</w:t>
            </w:r>
            <w:r>
              <w:rPr>
                <w:rFonts w:ascii="仿宋" w:hAnsi="仿宋" w:eastAsia="仿宋"/>
                <w:color w:val="auto"/>
              </w:rPr>
              <w:t xml:space="preserve">高度约 266.7mm（6×44.45mm），宽 600mm/550mm，深 400–600mm，材质为 SPCC 冷轧钢板，厚度：立柱 / 框架1.5mm，侧板 / 门1.2mm </w:t>
            </w:r>
            <w:r>
              <w:rPr>
                <w:rFonts w:hint="eastAsia" w:ascii="仿宋" w:hAnsi="仿宋" w:eastAsia="仿宋"/>
                <w:color w:val="auto"/>
              </w:rPr>
              <w:t>；</w:t>
            </w:r>
            <w:r>
              <w:rPr>
                <w:rFonts w:ascii="仿宋" w:hAnsi="仿宋" w:eastAsia="仿宋"/>
                <w:color w:val="auto"/>
              </w:rPr>
              <w:t xml:space="preserve">表面：脱脂→酸洗→磷化→静电喷塑（黑 / 白为主） </w:t>
            </w:r>
            <w:r>
              <w:rPr>
                <w:rFonts w:hint="eastAsia" w:ascii="仿宋" w:hAnsi="仿宋" w:eastAsia="仿宋"/>
                <w:color w:val="auto"/>
              </w:rPr>
              <w:t>；</w:t>
            </w:r>
            <w:r>
              <w:rPr>
                <w:rFonts w:ascii="仿宋" w:hAnsi="仿宋" w:eastAsia="仿宋"/>
                <w:color w:val="auto"/>
              </w:rPr>
              <w:t>防护：IP20，防尘防触，防腐防锈</w:t>
            </w:r>
            <w:r>
              <w:rPr>
                <w:rFonts w:hint="eastAsia" w:ascii="仿宋" w:hAnsi="仿宋" w:eastAsia="仿宋"/>
                <w:color w:val="auto"/>
              </w:rPr>
              <w:t>。</w:t>
            </w:r>
            <w:r>
              <w:rPr>
                <w:rFonts w:ascii="仿宋" w:hAnsi="仿宋" w:eastAsia="仿宋"/>
                <w:color w:val="auto"/>
              </w:rPr>
              <w:t>散热：顶部风扇位、底部 / 背部散热孔、侧门通风</w:t>
            </w:r>
            <w:r>
              <w:rPr>
                <w:rFonts w:hint="eastAsia" w:ascii="仿宋" w:hAnsi="仿宋" w:eastAsia="仿宋"/>
                <w:color w:val="auto"/>
              </w:rPr>
              <w:t>。</w:t>
            </w:r>
            <w:r>
              <w:rPr>
                <w:rFonts w:ascii="仿宋" w:hAnsi="仿宋" w:eastAsia="仿宋"/>
                <w:color w:val="auto"/>
              </w:rPr>
              <w:t>壁挂 / 落地两用。</w:t>
            </w:r>
          </w:p>
        </w:tc>
        <w:tc>
          <w:tcPr>
            <w:tcW w:w="0" w:type="auto"/>
            <w:vAlign w:val="center"/>
          </w:tcPr>
          <w:p w14:paraId="36739B0E">
            <w:pPr>
              <w:widowControl/>
              <w:snapToGrid w:val="0"/>
              <w:jc w:val="left"/>
              <w:rPr>
                <w:rFonts w:hint="eastAsia" w:ascii="仿宋" w:hAnsi="仿宋" w:eastAsia="仿宋" w:cs="Calibri"/>
                <w:color w:val="auto"/>
                <w:kern w:val="0"/>
              </w:rPr>
            </w:pPr>
            <w:r>
              <w:rPr>
                <w:rFonts w:hint="eastAsia" w:ascii="仿宋" w:hAnsi="仿宋" w:eastAsia="仿宋"/>
                <w:color w:val="auto"/>
              </w:rPr>
              <w:t>4</w:t>
            </w:r>
          </w:p>
        </w:tc>
        <w:tc>
          <w:tcPr>
            <w:tcW w:w="492" w:type="dxa"/>
            <w:vAlign w:val="center"/>
          </w:tcPr>
          <w:p w14:paraId="77411F15">
            <w:pPr>
              <w:widowControl/>
              <w:snapToGrid w:val="0"/>
              <w:jc w:val="center"/>
              <w:rPr>
                <w:rFonts w:hint="eastAsia" w:ascii="仿宋" w:hAnsi="仿宋" w:eastAsia="仿宋" w:cs="Calibri"/>
                <w:color w:val="auto"/>
                <w:kern w:val="0"/>
              </w:rPr>
            </w:pPr>
            <w:r>
              <w:rPr>
                <w:rFonts w:hint="eastAsia" w:ascii="仿宋" w:hAnsi="仿宋" w:eastAsia="仿宋"/>
                <w:color w:val="auto"/>
              </w:rPr>
              <w:t>个</w:t>
            </w:r>
          </w:p>
        </w:tc>
      </w:tr>
      <w:tr w14:paraId="25B14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5EA8BF1">
            <w:pPr>
              <w:widowControl/>
              <w:snapToGrid w:val="0"/>
              <w:jc w:val="center"/>
              <w:rPr>
                <w:rFonts w:hint="eastAsia" w:ascii="仿宋" w:hAnsi="仿宋" w:eastAsia="仿宋"/>
                <w:color w:val="auto"/>
                <w:kern w:val="0"/>
              </w:rPr>
            </w:pPr>
            <w:r>
              <w:rPr>
                <w:rFonts w:hint="eastAsia" w:ascii="仿宋" w:hAnsi="仿宋" w:eastAsia="仿宋"/>
                <w:color w:val="auto"/>
                <w:kern w:val="0"/>
              </w:rPr>
              <w:t>10</w:t>
            </w:r>
          </w:p>
        </w:tc>
        <w:tc>
          <w:tcPr>
            <w:tcW w:w="996" w:type="dxa"/>
            <w:vAlign w:val="center"/>
          </w:tcPr>
          <w:p w14:paraId="022E4C24">
            <w:pPr>
              <w:widowControl/>
              <w:snapToGrid w:val="0"/>
              <w:jc w:val="center"/>
              <w:rPr>
                <w:rFonts w:hint="eastAsia" w:ascii="仿宋" w:hAnsi="仿宋" w:eastAsia="仿宋"/>
                <w:color w:val="auto"/>
              </w:rPr>
            </w:pPr>
            <w:r>
              <w:rPr>
                <w:rFonts w:hint="eastAsia" w:ascii="仿宋" w:hAnsi="仿宋" w:eastAsia="仿宋"/>
                <w:color w:val="auto"/>
              </w:rPr>
              <w:t>机房机柜</w:t>
            </w:r>
          </w:p>
        </w:tc>
        <w:tc>
          <w:tcPr>
            <w:tcW w:w="6650" w:type="dxa"/>
            <w:vAlign w:val="center"/>
          </w:tcPr>
          <w:p w14:paraId="19D9B309">
            <w:pPr>
              <w:widowControl/>
              <w:snapToGrid w:val="0"/>
              <w:jc w:val="left"/>
              <w:rPr>
                <w:rFonts w:hint="eastAsia" w:ascii="仿宋" w:hAnsi="仿宋" w:eastAsia="仿宋"/>
                <w:color w:val="auto"/>
              </w:rPr>
            </w:pPr>
            <w:bookmarkStart w:id="57" w:name="OLE_LINK2"/>
            <w:r>
              <w:rPr>
                <w:rFonts w:hint="eastAsia" w:ascii="仿宋" w:hAnsi="仿宋" w:eastAsia="仿宋"/>
                <w:color w:val="auto"/>
              </w:rPr>
              <w:t>42U国标机柜</w:t>
            </w:r>
            <w:bookmarkEnd w:id="57"/>
            <w:r>
              <w:rPr>
                <w:rFonts w:hint="eastAsia" w:ascii="仿宋" w:hAnsi="仿宋" w:eastAsia="仿宋"/>
                <w:color w:val="auto"/>
              </w:rPr>
              <w:t>，放置在机房位置。整机尺寸：≥</w:t>
            </w:r>
            <w:r>
              <w:rPr>
                <w:rFonts w:ascii="仿宋" w:hAnsi="仿宋" w:eastAsia="仿宋"/>
                <w:color w:val="auto"/>
              </w:rPr>
              <w:t>600×600×2000 mm</w:t>
            </w:r>
            <w:r>
              <w:rPr>
                <w:rFonts w:hint="eastAsia" w:ascii="仿宋" w:hAnsi="仿宋" w:eastAsia="仿宋"/>
                <w:color w:val="auto"/>
              </w:rPr>
              <w:t>，</w:t>
            </w:r>
            <w:r>
              <w:rPr>
                <w:rFonts w:ascii="仿宋" w:hAnsi="仿宋" w:eastAsia="仿宋"/>
                <w:color w:val="auto"/>
              </w:rPr>
              <w:t>材质：优质 SPCC 冷轧钢板</w:t>
            </w:r>
            <w:r>
              <w:rPr>
                <w:rFonts w:hint="eastAsia" w:ascii="仿宋" w:hAnsi="仿宋" w:eastAsia="仿宋"/>
                <w:color w:val="auto"/>
              </w:rPr>
              <w:t>，</w:t>
            </w:r>
            <w:r>
              <w:rPr>
                <w:rFonts w:ascii="仿宋" w:hAnsi="仿宋" w:eastAsia="仿宋"/>
                <w:color w:val="auto"/>
              </w:rPr>
              <w:t>框架 / 立柱：1.5–2.0 mm</w:t>
            </w:r>
            <w:r>
              <w:rPr>
                <w:rFonts w:hint="eastAsia" w:ascii="仿宋" w:hAnsi="仿宋" w:eastAsia="仿宋"/>
                <w:color w:val="auto"/>
              </w:rPr>
              <w:t>，</w:t>
            </w:r>
            <w:r>
              <w:rPr>
                <w:rFonts w:ascii="仿宋" w:hAnsi="仿宋" w:eastAsia="仿宋"/>
                <w:color w:val="auto"/>
              </w:rPr>
              <w:t>门板、侧板：1.0–1.2 mm</w:t>
            </w:r>
            <w:r>
              <w:rPr>
                <w:rFonts w:hint="eastAsia" w:ascii="仿宋" w:hAnsi="仿宋" w:eastAsia="仿宋"/>
                <w:color w:val="auto"/>
              </w:rPr>
              <w:t>，</w:t>
            </w:r>
            <w:r>
              <w:rPr>
                <w:rFonts w:ascii="仿宋" w:hAnsi="仿宋" w:eastAsia="仿宋"/>
                <w:color w:val="auto"/>
              </w:rPr>
              <w:t>表面处理：脱脂→酸洗→磷化→静电喷塑（黑色 / 灰色）</w:t>
            </w:r>
            <w:r>
              <w:rPr>
                <w:rFonts w:hint="eastAsia" w:ascii="仿宋" w:hAnsi="仿宋" w:eastAsia="仿宋"/>
                <w:color w:val="auto"/>
              </w:rPr>
              <w:t>，</w:t>
            </w:r>
            <w:r>
              <w:rPr>
                <w:rFonts w:ascii="仿宋" w:hAnsi="仿宋" w:eastAsia="仿宋"/>
                <w:color w:val="auto"/>
              </w:rPr>
              <w:t>防护等级：IP20</w:t>
            </w:r>
            <w:r>
              <w:rPr>
                <w:rFonts w:hint="eastAsia" w:ascii="仿宋" w:hAnsi="仿宋" w:eastAsia="仿宋"/>
                <w:color w:val="auto"/>
              </w:rPr>
              <w:t>，</w:t>
            </w:r>
            <w:r>
              <w:rPr>
                <w:rFonts w:ascii="仿宋" w:hAnsi="仿宋" w:eastAsia="仿宋"/>
                <w:color w:val="auto"/>
              </w:rPr>
              <w:t xml:space="preserve">顶部标配1–4 个风扇位 </w:t>
            </w:r>
            <w:r>
              <w:rPr>
                <w:rFonts w:hint="eastAsia" w:ascii="仿宋" w:hAnsi="仿宋" w:eastAsia="仿宋"/>
                <w:color w:val="auto"/>
              </w:rPr>
              <w:t>，</w:t>
            </w:r>
            <w:r>
              <w:rPr>
                <w:rFonts w:ascii="仿宋" w:hAnsi="仿宋" w:eastAsia="仿宋"/>
                <w:color w:val="auto"/>
              </w:rPr>
              <w:t xml:space="preserve">前后门高密度通风网孔 </w:t>
            </w:r>
            <w:r>
              <w:rPr>
                <w:rFonts w:hint="eastAsia" w:ascii="仿宋" w:hAnsi="仿宋" w:eastAsia="仿宋"/>
                <w:color w:val="auto"/>
              </w:rPr>
              <w:t>，</w:t>
            </w:r>
            <w:r>
              <w:rPr>
                <w:rFonts w:ascii="仿宋" w:hAnsi="仿宋" w:eastAsia="仿宋"/>
                <w:color w:val="auto"/>
              </w:rPr>
              <w:t xml:space="preserve">顶部、底部多组走线孔 </w:t>
            </w:r>
            <w:r>
              <w:rPr>
                <w:rFonts w:hint="eastAsia" w:ascii="仿宋" w:hAnsi="仿宋" w:eastAsia="仿宋"/>
                <w:color w:val="auto"/>
              </w:rPr>
              <w:t>，</w:t>
            </w:r>
            <w:r>
              <w:rPr>
                <w:rFonts w:ascii="仿宋" w:hAnsi="仿宋" w:eastAsia="仿宋"/>
                <w:color w:val="auto"/>
              </w:rPr>
              <w:t>内置理线环 / 理线扎带固定位</w:t>
            </w:r>
            <w:r>
              <w:rPr>
                <w:rFonts w:hint="eastAsia" w:ascii="仿宋" w:hAnsi="仿宋" w:eastAsia="仿宋"/>
                <w:color w:val="auto"/>
              </w:rPr>
              <w:t>。</w:t>
            </w:r>
          </w:p>
        </w:tc>
        <w:tc>
          <w:tcPr>
            <w:tcW w:w="0" w:type="auto"/>
            <w:vAlign w:val="center"/>
          </w:tcPr>
          <w:p w14:paraId="14DBD16C">
            <w:pPr>
              <w:widowControl/>
              <w:snapToGrid w:val="0"/>
              <w:jc w:val="left"/>
              <w:rPr>
                <w:rFonts w:hint="eastAsia" w:ascii="仿宋" w:hAnsi="仿宋" w:eastAsia="仿宋" w:cs="Calibri"/>
                <w:color w:val="auto"/>
                <w:kern w:val="0"/>
              </w:rPr>
            </w:pPr>
            <w:r>
              <w:rPr>
                <w:rFonts w:hint="eastAsia" w:ascii="仿宋" w:hAnsi="仿宋" w:eastAsia="仿宋"/>
                <w:color w:val="auto"/>
              </w:rPr>
              <w:t>2</w:t>
            </w:r>
          </w:p>
        </w:tc>
        <w:tc>
          <w:tcPr>
            <w:tcW w:w="492" w:type="dxa"/>
            <w:vAlign w:val="center"/>
          </w:tcPr>
          <w:p w14:paraId="54B1787C">
            <w:pPr>
              <w:widowControl/>
              <w:snapToGrid w:val="0"/>
              <w:jc w:val="center"/>
              <w:rPr>
                <w:rFonts w:hint="eastAsia" w:ascii="仿宋" w:hAnsi="仿宋" w:eastAsia="仿宋" w:cs="Calibri"/>
                <w:color w:val="auto"/>
                <w:kern w:val="0"/>
              </w:rPr>
            </w:pPr>
            <w:r>
              <w:rPr>
                <w:rFonts w:hint="eastAsia" w:ascii="仿宋" w:hAnsi="仿宋" w:eastAsia="仿宋"/>
                <w:color w:val="auto"/>
              </w:rPr>
              <w:t>个</w:t>
            </w:r>
          </w:p>
        </w:tc>
      </w:tr>
      <w:tr w14:paraId="37E11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4832562">
            <w:pPr>
              <w:widowControl/>
              <w:snapToGrid w:val="0"/>
              <w:jc w:val="center"/>
              <w:rPr>
                <w:rFonts w:hint="eastAsia" w:ascii="仿宋" w:hAnsi="仿宋" w:eastAsia="仿宋"/>
                <w:color w:val="auto"/>
                <w:kern w:val="0"/>
              </w:rPr>
            </w:pPr>
            <w:r>
              <w:rPr>
                <w:rFonts w:hint="eastAsia" w:ascii="仿宋" w:hAnsi="仿宋" w:eastAsia="仿宋"/>
                <w:color w:val="auto"/>
                <w:kern w:val="0"/>
              </w:rPr>
              <w:t>11</w:t>
            </w:r>
          </w:p>
        </w:tc>
        <w:tc>
          <w:tcPr>
            <w:tcW w:w="996" w:type="dxa"/>
            <w:vAlign w:val="center"/>
          </w:tcPr>
          <w:p w14:paraId="732ED0E0">
            <w:pPr>
              <w:widowControl/>
              <w:snapToGrid w:val="0"/>
              <w:jc w:val="center"/>
              <w:rPr>
                <w:rFonts w:hint="eastAsia" w:ascii="仿宋" w:hAnsi="仿宋" w:eastAsia="仿宋"/>
                <w:color w:val="auto"/>
              </w:rPr>
            </w:pPr>
            <w:r>
              <w:rPr>
                <w:rFonts w:hint="eastAsia" w:ascii="仿宋" w:hAnsi="仿宋" w:eastAsia="仿宋"/>
                <w:color w:val="auto"/>
              </w:rPr>
              <w:t>网线</w:t>
            </w:r>
          </w:p>
        </w:tc>
        <w:tc>
          <w:tcPr>
            <w:tcW w:w="6650" w:type="dxa"/>
            <w:vAlign w:val="center"/>
          </w:tcPr>
          <w:p w14:paraId="6A6D25D9">
            <w:pPr>
              <w:widowControl/>
              <w:snapToGrid w:val="0"/>
              <w:jc w:val="left"/>
              <w:rPr>
                <w:rFonts w:hint="eastAsia" w:ascii="仿宋" w:hAnsi="仿宋" w:eastAsia="仿宋"/>
                <w:b/>
                <w:bCs/>
                <w:color w:val="auto"/>
              </w:rPr>
            </w:pPr>
            <w:bookmarkStart w:id="58" w:name="OLE_LINK3"/>
            <w:r>
              <w:rPr>
                <w:rFonts w:hint="eastAsia" w:ascii="仿宋" w:hAnsi="仿宋" w:eastAsia="仿宋"/>
                <w:b/>
                <w:bCs/>
                <w:color w:val="auto"/>
              </w:rPr>
              <w:t>六类网线</w:t>
            </w:r>
            <w:bookmarkEnd w:id="58"/>
            <w:r>
              <w:rPr>
                <w:rFonts w:hint="eastAsia" w:ascii="仿宋" w:hAnsi="仿宋" w:eastAsia="仿宋"/>
                <w:b/>
                <w:bCs/>
                <w:color w:val="auto"/>
              </w:rPr>
              <w:t>：</w:t>
            </w:r>
          </w:p>
          <w:p w14:paraId="3FD006B5">
            <w:pPr>
              <w:widowControl/>
              <w:snapToGrid w:val="0"/>
              <w:jc w:val="left"/>
              <w:rPr>
                <w:rFonts w:hint="eastAsia" w:ascii="仿宋" w:hAnsi="仿宋" w:eastAsia="仿宋"/>
                <w:color w:val="auto"/>
              </w:rPr>
            </w:pPr>
            <w:r>
              <w:rPr>
                <w:rFonts w:hint="eastAsia" w:ascii="仿宋" w:hAnsi="仿宋" w:eastAsia="仿宋"/>
                <w:color w:val="auto"/>
              </w:rPr>
              <w:t>1.</w:t>
            </w:r>
            <w:r>
              <w:rPr>
                <w:rFonts w:ascii="仿宋" w:hAnsi="仿宋" w:eastAsia="仿宋"/>
                <w:color w:val="auto"/>
              </w:rPr>
              <w:t>结构</w:t>
            </w:r>
            <w:r>
              <w:rPr>
                <w:rFonts w:hint="eastAsia" w:ascii="仿宋" w:hAnsi="仿宋" w:eastAsia="仿宋"/>
                <w:color w:val="auto"/>
              </w:rPr>
              <w:t>：</w:t>
            </w:r>
            <w:r>
              <w:rPr>
                <w:rFonts w:ascii="仿宋" w:hAnsi="仿宋" w:eastAsia="仿宋"/>
                <w:color w:val="auto"/>
              </w:rPr>
              <w:t>4 对双绞</w:t>
            </w:r>
            <w:r>
              <w:rPr>
                <w:rFonts w:hint="eastAsia" w:ascii="仿宋" w:hAnsi="仿宋" w:eastAsia="仿宋"/>
                <w:color w:val="auto"/>
              </w:rPr>
              <w:t>，</w:t>
            </w:r>
            <w:r>
              <w:rPr>
                <w:rFonts w:ascii="仿宋" w:hAnsi="仿宋" w:eastAsia="仿宋"/>
                <w:color w:val="auto"/>
              </w:rPr>
              <w:t>中心十字骨架（隔离对间串扰）</w:t>
            </w:r>
            <w:r>
              <w:rPr>
                <w:rFonts w:hint="eastAsia" w:ascii="仿宋" w:hAnsi="仿宋" w:eastAsia="仿宋"/>
                <w:color w:val="auto"/>
              </w:rPr>
              <w:t>；</w:t>
            </w:r>
          </w:p>
          <w:p w14:paraId="4D0049DD">
            <w:pPr>
              <w:widowControl/>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标准信道长度：≤100m</w:t>
            </w:r>
            <w:r>
              <w:rPr>
                <w:rFonts w:hint="eastAsia" w:ascii="仿宋" w:hAnsi="仿宋" w:eastAsia="仿宋"/>
                <w:color w:val="auto"/>
              </w:rPr>
              <w:t>，</w:t>
            </w:r>
            <w:r>
              <w:rPr>
                <w:rFonts w:ascii="仿宋" w:hAnsi="仿宋" w:eastAsia="仿宋"/>
                <w:color w:val="auto"/>
              </w:rPr>
              <w:t>适用：千兆网络、机房、楼宇综合布线</w:t>
            </w:r>
            <w:r>
              <w:rPr>
                <w:rFonts w:hint="eastAsia" w:ascii="仿宋" w:hAnsi="仿宋" w:eastAsia="仿宋"/>
                <w:color w:val="auto"/>
              </w:rPr>
              <w:t>；</w:t>
            </w:r>
          </w:p>
          <w:p w14:paraId="27585BDF">
            <w:pPr>
              <w:widowControl/>
              <w:snapToGrid w:val="0"/>
              <w:jc w:val="left"/>
              <w:rPr>
                <w:rFonts w:hint="eastAsia" w:ascii="仿宋" w:hAnsi="仿宋" w:eastAsia="仿宋"/>
                <w:color w:val="auto"/>
              </w:rPr>
            </w:pPr>
            <w:r>
              <w:rPr>
                <w:rFonts w:hint="eastAsia" w:ascii="仿宋" w:hAnsi="仿宋" w:eastAsia="仿宋"/>
                <w:color w:val="auto"/>
              </w:rPr>
              <w:t>3.</w:t>
            </w:r>
            <w:r>
              <w:rPr>
                <w:rFonts w:ascii="仿宋" w:hAnsi="仿宋" w:eastAsia="仿宋"/>
                <w:color w:val="auto"/>
              </w:rPr>
              <w:t>最大直流电阻：≤9.38 Ω/100m</w:t>
            </w:r>
            <w:r>
              <w:rPr>
                <w:rFonts w:hint="eastAsia" w:ascii="仿宋" w:hAnsi="仿宋" w:eastAsia="仿宋"/>
                <w:color w:val="auto"/>
              </w:rPr>
              <w:t>；</w:t>
            </w:r>
            <w:r>
              <w:rPr>
                <w:rFonts w:ascii="仿宋" w:hAnsi="仿宋" w:eastAsia="仿宋"/>
                <w:color w:val="auto"/>
              </w:rPr>
              <w:t xml:space="preserve"> </w:t>
            </w:r>
          </w:p>
          <w:p w14:paraId="1CBF1DD1">
            <w:pPr>
              <w:widowControl/>
              <w:snapToGrid w:val="0"/>
              <w:jc w:val="left"/>
              <w:rPr>
                <w:rFonts w:hint="eastAsia" w:ascii="仿宋" w:hAnsi="仿宋" w:eastAsia="仿宋"/>
                <w:color w:val="auto"/>
              </w:rPr>
            </w:pPr>
            <w:r>
              <w:rPr>
                <w:rFonts w:hint="eastAsia" w:ascii="仿宋" w:hAnsi="仿宋" w:eastAsia="仿宋"/>
                <w:color w:val="auto"/>
              </w:rPr>
              <w:t>4.</w:t>
            </w:r>
            <w:r>
              <w:rPr>
                <w:rFonts w:ascii="仿宋" w:hAnsi="仿宋" w:eastAsia="仿宋"/>
                <w:color w:val="auto"/>
              </w:rPr>
              <w:t>近端串扰（NEXT）、衰减（Attenuation）、回波损耗（RL） 满足六类标准</w:t>
            </w:r>
            <w:r>
              <w:rPr>
                <w:rFonts w:hint="eastAsia" w:ascii="仿宋" w:hAnsi="仿宋" w:eastAsia="仿宋"/>
                <w:color w:val="auto"/>
              </w:rPr>
              <w:t>；</w:t>
            </w:r>
            <w:r>
              <w:rPr>
                <w:rFonts w:ascii="仿宋" w:hAnsi="仿宋" w:eastAsia="仿宋"/>
                <w:color w:val="auto"/>
              </w:rPr>
              <w:t xml:space="preserve"> </w:t>
            </w:r>
          </w:p>
          <w:p w14:paraId="2601EEA6">
            <w:pPr>
              <w:widowControl/>
              <w:snapToGrid w:val="0"/>
              <w:jc w:val="left"/>
              <w:rPr>
                <w:rFonts w:hint="eastAsia" w:ascii="仿宋" w:hAnsi="仿宋" w:eastAsia="仿宋"/>
                <w:color w:val="auto"/>
              </w:rPr>
            </w:pPr>
            <w:r>
              <w:rPr>
                <w:rFonts w:hint="eastAsia" w:ascii="仿宋" w:hAnsi="仿宋" w:eastAsia="仿宋"/>
                <w:color w:val="auto"/>
              </w:rPr>
              <w:t>5.</w:t>
            </w:r>
            <w:r>
              <w:rPr>
                <w:rFonts w:ascii="仿宋" w:hAnsi="仿宋" w:eastAsia="仿宋"/>
                <w:color w:val="auto"/>
              </w:rPr>
              <w:t>工作温度：-20℃～60℃</w:t>
            </w:r>
            <w:r>
              <w:rPr>
                <w:rFonts w:hint="eastAsia" w:ascii="仿宋" w:hAnsi="仿宋" w:eastAsia="仿宋"/>
                <w:color w:val="auto"/>
              </w:rPr>
              <w:t>；</w:t>
            </w:r>
          </w:p>
          <w:p w14:paraId="49651241">
            <w:pPr>
              <w:widowControl/>
              <w:snapToGrid w:val="0"/>
              <w:jc w:val="left"/>
              <w:rPr>
                <w:rFonts w:hint="eastAsia" w:ascii="仿宋" w:hAnsi="仿宋" w:eastAsia="仿宋"/>
                <w:b/>
                <w:bCs/>
                <w:color w:val="auto"/>
              </w:rPr>
            </w:pPr>
            <w:r>
              <w:rPr>
                <w:rFonts w:hint="eastAsia" w:ascii="仿宋" w:hAnsi="仿宋" w:eastAsia="仿宋"/>
                <w:b/>
                <w:bCs/>
                <w:color w:val="auto"/>
              </w:rPr>
              <w:t>RVV2*1.0电源线：</w:t>
            </w:r>
          </w:p>
          <w:p w14:paraId="113370D9">
            <w:pPr>
              <w:widowControl/>
              <w:snapToGrid w:val="0"/>
              <w:jc w:val="left"/>
              <w:rPr>
                <w:rFonts w:hint="eastAsia" w:ascii="仿宋" w:hAnsi="仿宋" w:eastAsia="仿宋"/>
                <w:color w:val="auto"/>
              </w:rPr>
            </w:pPr>
            <w:r>
              <w:rPr>
                <w:rFonts w:hint="eastAsia" w:ascii="仿宋" w:hAnsi="仿宋" w:eastAsia="仿宋"/>
                <w:color w:val="auto"/>
              </w:rPr>
              <w:t>1.结构参数：</w:t>
            </w:r>
            <w:r>
              <w:rPr>
                <w:rFonts w:ascii="仿宋" w:hAnsi="仿宋" w:eastAsia="仿宋"/>
                <w:color w:val="auto"/>
              </w:rPr>
              <w:t xml:space="preserve">芯数：2 芯 </w:t>
            </w:r>
            <w:r>
              <w:rPr>
                <w:rFonts w:hint="eastAsia" w:ascii="仿宋" w:hAnsi="仿宋" w:eastAsia="仿宋"/>
                <w:color w:val="auto"/>
              </w:rPr>
              <w:t>；</w:t>
            </w:r>
            <w:r>
              <w:rPr>
                <w:rFonts w:ascii="仿宋" w:hAnsi="仿宋" w:eastAsia="仿宋"/>
                <w:color w:val="auto"/>
              </w:rPr>
              <w:t xml:space="preserve">导体：多股绞合软铜线（纯铜） </w:t>
            </w:r>
            <w:r>
              <w:rPr>
                <w:rFonts w:hint="eastAsia" w:ascii="仿宋" w:hAnsi="仿宋" w:eastAsia="仿宋"/>
                <w:color w:val="auto"/>
              </w:rPr>
              <w:t>；</w:t>
            </w:r>
            <w:r>
              <w:rPr>
                <w:rFonts w:ascii="仿宋" w:hAnsi="仿宋" w:eastAsia="仿宋"/>
                <w:color w:val="auto"/>
              </w:rPr>
              <w:t>单芯标称截面积：1.0 mm</w:t>
            </w:r>
            <w:r>
              <w:rPr>
                <w:rFonts w:ascii="仿宋" w:hAnsi="Calibri" w:eastAsia="仿宋" w:cs="Calibri"/>
                <w:color w:val="auto"/>
              </w:rPr>
              <w:t>²</w:t>
            </w:r>
            <w:r>
              <w:rPr>
                <w:rFonts w:ascii="仿宋" w:hAnsi="仿宋" w:eastAsia="仿宋"/>
                <w:color w:val="auto"/>
              </w:rPr>
              <w:t xml:space="preserve"> </w:t>
            </w:r>
            <w:r>
              <w:rPr>
                <w:rFonts w:hint="eastAsia" w:ascii="仿宋" w:hAnsi="仿宋" w:eastAsia="仿宋"/>
                <w:color w:val="auto"/>
              </w:rPr>
              <w:t>；</w:t>
            </w:r>
            <w:r>
              <w:rPr>
                <w:rFonts w:ascii="仿宋" w:hAnsi="仿宋" w:eastAsia="仿宋"/>
                <w:color w:val="auto"/>
              </w:rPr>
              <w:t xml:space="preserve">绝缘：PVC 绝缘 </w:t>
            </w:r>
            <w:r>
              <w:rPr>
                <w:rFonts w:hint="eastAsia" w:ascii="仿宋" w:hAnsi="仿宋" w:eastAsia="仿宋"/>
                <w:color w:val="auto"/>
              </w:rPr>
              <w:t>；</w:t>
            </w:r>
            <w:r>
              <w:rPr>
                <w:rFonts w:ascii="仿宋" w:hAnsi="仿宋" w:eastAsia="仿宋"/>
                <w:color w:val="auto"/>
              </w:rPr>
              <w:t>护套：PVC 护套（圆线）</w:t>
            </w:r>
          </w:p>
          <w:p w14:paraId="2D2535ED">
            <w:pPr>
              <w:widowControl/>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 xml:space="preserve"> 电气参数</w:t>
            </w:r>
            <w:r>
              <w:rPr>
                <w:rFonts w:hint="eastAsia" w:ascii="仿宋" w:hAnsi="仿宋" w:eastAsia="仿宋"/>
                <w:color w:val="auto"/>
              </w:rPr>
              <w:t>：</w:t>
            </w:r>
            <w:r>
              <w:rPr>
                <w:rFonts w:ascii="仿宋" w:hAnsi="仿宋" w:eastAsia="仿宋"/>
                <w:color w:val="auto"/>
              </w:rPr>
              <w:t>额定电压：300/500V</w:t>
            </w:r>
            <w:r>
              <w:rPr>
                <w:rFonts w:hint="eastAsia" w:ascii="仿宋" w:hAnsi="仿宋" w:eastAsia="仿宋"/>
                <w:color w:val="auto"/>
              </w:rPr>
              <w:t>；</w:t>
            </w:r>
            <w:r>
              <w:rPr>
                <w:rFonts w:ascii="仿宋" w:hAnsi="仿宋" w:eastAsia="仿宋"/>
                <w:color w:val="auto"/>
              </w:rPr>
              <w:t>导体直流电阻（20℃）：≤19.5 Ω/km</w:t>
            </w:r>
            <w:r>
              <w:rPr>
                <w:rFonts w:hint="eastAsia" w:ascii="仿宋" w:hAnsi="仿宋" w:eastAsia="仿宋"/>
                <w:color w:val="auto"/>
              </w:rPr>
              <w:t>；</w:t>
            </w:r>
            <w:r>
              <w:rPr>
                <w:rFonts w:ascii="仿宋" w:hAnsi="仿宋" w:eastAsia="仿宋"/>
                <w:color w:val="auto"/>
              </w:rPr>
              <w:t>绝缘电阻：≥20 MΩ·km</w:t>
            </w:r>
            <w:r>
              <w:rPr>
                <w:rFonts w:hint="eastAsia" w:ascii="仿宋" w:hAnsi="仿宋" w:eastAsia="仿宋"/>
                <w:color w:val="auto"/>
              </w:rPr>
              <w:t>；</w:t>
            </w:r>
          </w:p>
          <w:p w14:paraId="0B1C6905">
            <w:pPr>
              <w:widowControl/>
              <w:snapToGrid w:val="0"/>
              <w:jc w:val="left"/>
              <w:rPr>
                <w:rFonts w:hint="eastAsia" w:ascii="仿宋" w:hAnsi="仿宋" w:eastAsia="仿宋"/>
                <w:color w:val="auto"/>
              </w:rPr>
            </w:pPr>
            <w:r>
              <w:rPr>
                <w:rFonts w:hint="eastAsia" w:ascii="仿宋" w:hAnsi="仿宋" w:eastAsia="仿宋"/>
                <w:color w:val="auto"/>
              </w:rPr>
              <w:t>3.</w:t>
            </w:r>
            <w:r>
              <w:rPr>
                <w:rFonts w:ascii="仿宋" w:hAnsi="仿宋" w:eastAsia="仿宋"/>
                <w:color w:val="auto"/>
              </w:rPr>
              <w:t xml:space="preserve">安全载流量：≈6～8A </w:t>
            </w:r>
            <w:r>
              <w:rPr>
                <w:rFonts w:hint="eastAsia" w:ascii="仿宋" w:hAnsi="仿宋" w:eastAsia="仿宋"/>
                <w:color w:val="auto"/>
              </w:rPr>
              <w:t>；</w:t>
            </w:r>
            <w:r>
              <w:rPr>
                <w:rFonts w:ascii="仿宋" w:hAnsi="仿宋" w:eastAsia="仿宋"/>
                <w:color w:val="auto"/>
              </w:rPr>
              <w:t>适用功率：220V 下约 ≤1.5kW</w:t>
            </w:r>
          </w:p>
          <w:p w14:paraId="70C59298">
            <w:pPr>
              <w:widowControl/>
              <w:snapToGrid w:val="0"/>
              <w:jc w:val="left"/>
              <w:rPr>
                <w:rFonts w:hint="eastAsia" w:ascii="仿宋" w:hAnsi="仿宋" w:eastAsia="仿宋"/>
                <w:b/>
                <w:bCs/>
                <w:color w:val="auto"/>
              </w:rPr>
            </w:pPr>
            <w:r>
              <w:rPr>
                <w:rFonts w:hint="eastAsia" w:ascii="仿宋" w:hAnsi="仿宋" w:eastAsia="仿宋"/>
                <w:b/>
                <w:bCs/>
                <w:color w:val="auto"/>
              </w:rPr>
              <w:t>国标2芯皮光纤：</w:t>
            </w:r>
          </w:p>
          <w:p w14:paraId="292FBC49">
            <w:pPr>
              <w:widowControl/>
              <w:snapToGrid w:val="0"/>
              <w:jc w:val="left"/>
              <w:rPr>
                <w:rFonts w:hint="eastAsia" w:ascii="仿宋" w:hAnsi="仿宋" w:eastAsia="仿宋"/>
                <w:color w:val="auto"/>
              </w:rPr>
            </w:pPr>
            <w:r>
              <w:rPr>
                <w:rFonts w:hint="eastAsia" w:ascii="仿宋" w:hAnsi="仿宋" w:eastAsia="仿宋"/>
                <w:color w:val="auto"/>
              </w:rPr>
              <w:t>1.</w:t>
            </w:r>
            <w:r>
              <w:rPr>
                <w:rFonts w:ascii="仿宋" w:hAnsi="仿宋" w:eastAsia="仿宋"/>
                <w:color w:val="auto"/>
              </w:rPr>
              <w:t xml:space="preserve">支持传输速率：≥10Gbps（100m 信道长度），兼容 25Gbps 以太网传输。 </w:t>
            </w:r>
          </w:p>
          <w:p w14:paraId="7688D0E9">
            <w:pPr>
              <w:widowControl/>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最大信道长度：≤100m（符合 GB 50311 综合布线系统要求）。</w:t>
            </w:r>
          </w:p>
          <w:p w14:paraId="213824FE">
            <w:pPr>
              <w:widowControl/>
              <w:snapToGrid w:val="0"/>
              <w:jc w:val="left"/>
              <w:rPr>
                <w:rFonts w:hint="eastAsia" w:ascii="仿宋" w:hAnsi="仿宋" w:eastAsia="仿宋"/>
                <w:color w:val="auto"/>
              </w:rPr>
            </w:pPr>
            <w:r>
              <w:rPr>
                <w:rFonts w:hint="eastAsia" w:ascii="仿宋" w:hAnsi="仿宋" w:eastAsia="仿宋"/>
                <w:color w:val="auto"/>
              </w:rPr>
              <w:t>3.</w:t>
            </w:r>
            <w:r>
              <w:rPr>
                <w:rFonts w:ascii="仿宋" w:hAnsi="仿宋" w:eastAsia="仿宋"/>
                <w:color w:val="auto"/>
              </w:rPr>
              <w:t>绝缘电阻：≥1000MΩ</w:t>
            </w:r>
            <w:r>
              <w:rPr>
                <w:rFonts w:hint="eastAsia" w:ascii="仿宋" w:hAnsi="微软雅黑" w:eastAsia="仿宋" w:cs="微软雅黑"/>
                <w:color w:val="auto"/>
              </w:rPr>
              <w:t>・</w:t>
            </w:r>
            <w:r>
              <w:rPr>
                <w:rFonts w:ascii="仿宋" w:hAnsi="仿宋" w:eastAsia="仿宋"/>
                <w:color w:val="auto"/>
              </w:rPr>
              <w:t xml:space="preserve">km（20℃、500V 直流）。 </w:t>
            </w:r>
          </w:p>
          <w:p w14:paraId="02243452">
            <w:pPr>
              <w:widowControl/>
              <w:snapToGrid w:val="0"/>
              <w:jc w:val="left"/>
              <w:rPr>
                <w:rFonts w:ascii="仿宋" w:eastAsia="仿宋"/>
                <w:color w:val="auto"/>
              </w:rPr>
            </w:pPr>
            <w:r>
              <w:rPr>
                <w:rFonts w:hint="eastAsia" w:ascii="仿宋" w:hAnsi="仿宋" w:eastAsia="仿宋"/>
                <w:color w:val="auto"/>
              </w:rPr>
              <w:t>4.</w:t>
            </w:r>
            <w:r>
              <w:rPr>
                <w:rFonts w:ascii="仿宋" w:hAnsi="仿宋" w:eastAsia="仿宋"/>
                <w:color w:val="auto"/>
              </w:rPr>
              <w:t>耐压性能：1500V 直流电压下保持 1min，</w:t>
            </w:r>
          </w:p>
        </w:tc>
        <w:tc>
          <w:tcPr>
            <w:tcW w:w="0" w:type="auto"/>
            <w:vAlign w:val="center"/>
          </w:tcPr>
          <w:p w14:paraId="4DE9BC34">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61F61793">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7E18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3E33497">
            <w:pPr>
              <w:widowControl/>
              <w:snapToGrid w:val="0"/>
              <w:jc w:val="center"/>
              <w:rPr>
                <w:rFonts w:hint="eastAsia" w:ascii="仿宋" w:hAnsi="仿宋" w:eastAsia="仿宋"/>
                <w:color w:val="auto"/>
                <w:kern w:val="0"/>
              </w:rPr>
            </w:pPr>
            <w:r>
              <w:rPr>
                <w:rFonts w:hint="eastAsia" w:ascii="仿宋" w:hAnsi="仿宋" w:eastAsia="仿宋"/>
                <w:color w:val="auto"/>
                <w:kern w:val="0"/>
              </w:rPr>
              <w:t>12</w:t>
            </w:r>
          </w:p>
        </w:tc>
        <w:tc>
          <w:tcPr>
            <w:tcW w:w="996" w:type="dxa"/>
            <w:vAlign w:val="center"/>
          </w:tcPr>
          <w:p w14:paraId="68AFCFC3">
            <w:pPr>
              <w:widowControl/>
              <w:snapToGrid w:val="0"/>
              <w:jc w:val="center"/>
              <w:rPr>
                <w:rFonts w:hint="eastAsia" w:ascii="仿宋" w:hAnsi="仿宋" w:eastAsia="仿宋"/>
                <w:color w:val="auto"/>
              </w:rPr>
            </w:pPr>
            <w:r>
              <w:rPr>
                <w:rFonts w:hint="eastAsia" w:ascii="仿宋" w:hAnsi="仿宋" w:eastAsia="仿宋"/>
                <w:color w:val="auto"/>
              </w:rPr>
              <w:t>光模块（万兆）</w:t>
            </w:r>
          </w:p>
        </w:tc>
        <w:tc>
          <w:tcPr>
            <w:tcW w:w="6650" w:type="dxa"/>
            <w:vAlign w:val="center"/>
          </w:tcPr>
          <w:p w14:paraId="34AA9F5E">
            <w:pPr>
              <w:widowControl/>
              <w:snapToGrid w:val="0"/>
              <w:jc w:val="left"/>
              <w:rPr>
                <w:rFonts w:hint="eastAsia" w:ascii="仿宋" w:hAnsi="仿宋" w:eastAsia="仿宋" w:cs="宋体"/>
                <w:color w:val="auto"/>
                <w:kern w:val="0"/>
              </w:rPr>
            </w:pPr>
            <w:r>
              <w:rPr>
                <w:rFonts w:hint="eastAsia" w:ascii="仿宋" w:hAnsi="仿宋" w:eastAsia="仿宋"/>
                <w:color w:val="auto"/>
              </w:rPr>
              <w:t>SFP+ 万兆单模光模块，单模，1310nm，最大传输距离 10km，接头类型：LC</w:t>
            </w:r>
          </w:p>
        </w:tc>
        <w:tc>
          <w:tcPr>
            <w:tcW w:w="0" w:type="auto"/>
            <w:vAlign w:val="center"/>
          </w:tcPr>
          <w:p w14:paraId="3D2DBA13">
            <w:pPr>
              <w:widowControl/>
              <w:snapToGrid w:val="0"/>
              <w:jc w:val="left"/>
              <w:rPr>
                <w:rFonts w:hint="eastAsia" w:ascii="仿宋" w:hAnsi="仿宋" w:eastAsia="仿宋" w:cs="Calibri"/>
                <w:color w:val="auto"/>
                <w:kern w:val="0"/>
              </w:rPr>
            </w:pPr>
            <w:r>
              <w:rPr>
                <w:rFonts w:hint="eastAsia" w:ascii="仿宋" w:hAnsi="仿宋" w:eastAsia="仿宋"/>
                <w:color w:val="auto"/>
              </w:rPr>
              <w:t>8</w:t>
            </w:r>
          </w:p>
        </w:tc>
        <w:tc>
          <w:tcPr>
            <w:tcW w:w="492" w:type="dxa"/>
            <w:vAlign w:val="center"/>
          </w:tcPr>
          <w:p w14:paraId="5C891727">
            <w:pPr>
              <w:widowControl/>
              <w:snapToGrid w:val="0"/>
              <w:jc w:val="center"/>
              <w:rPr>
                <w:rFonts w:hint="eastAsia" w:ascii="仿宋" w:hAnsi="仿宋" w:eastAsia="仿宋" w:cs="Calibri"/>
                <w:color w:val="auto"/>
                <w:kern w:val="0"/>
              </w:rPr>
            </w:pPr>
            <w:r>
              <w:rPr>
                <w:rFonts w:hint="eastAsia" w:ascii="仿宋" w:hAnsi="仿宋" w:eastAsia="仿宋"/>
                <w:color w:val="auto"/>
              </w:rPr>
              <w:t>个</w:t>
            </w:r>
          </w:p>
        </w:tc>
      </w:tr>
      <w:tr w14:paraId="5F62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0324C8AE">
            <w:pPr>
              <w:widowControl/>
              <w:snapToGrid w:val="0"/>
              <w:jc w:val="center"/>
              <w:rPr>
                <w:rFonts w:hint="eastAsia" w:ascii="仿宋" w:hAnsi="仿宋" w:eastAsia="仿宋"/>
                <w:color w:val="auto"/>
                <w:kern w:val="0"/>
              </w:rPr>
            </w:pPr>
            <w:r>
              <w:rPr>
                <w:rFonts w:hint="eastAsia" w:ascii="仿宋" w:hAnsi="仿宋" w:eastAsia="仿宋"/>
                <w:color w:val="auto"/>
                <w:kern w:val="0"/>
              </w:rPr>
              <w:t>13</w:t>
            </w:r>
          </w:p>
        </w:tc>
        <w:tc>
          <w:tcPr>
            <w:tcW w:w="996" w:type="dxa"/>
            <w:vAlign w:val="center"/>
          </w:tcPr>
          <w:p w14:paraId="222D4690">
            <w:pPr>
              <w:widowControl/>
              <w:snapToGrid w:val="0"/>
              <w:jc w:val="center"/>
              <w:rPr>
                <w:rFonts w:hint="eastAsia" w:ascii="仿宋" w:hAnsi="仿宋" w:eastAsia="仿宋"/>
                <w:color w:val="auto"/>
              </w:rPr>
            </w:pPr>
            <w:r>
              <w:rPr>
                <w:rFonts w:hint="eastAsia" w:ascii="仿宋" w:hAnsi="仿宋" w:eastAsia="仿宋"/>
                <w:color w:val="auto"/>
              </w:rPr>
              <w:t>实施+辅材</w:t>
            </w:r>
          </w:p>
        </w:tc>
        <w:tc>
          <w:tcPr>
            <w:tcW w:w="6650" w:type="dxa"/>
            <w:vAlign w:val="center"/>
          </w:tcPr>
          <w:p w14:paraId="5ACC38BC">
            <w:pPr>
              <w:pStyle w:val="2"/>
              <w:snapToGrid w:val="0"/>
              <w:jc w:val="left"/>
              <w:rPr>
                <w:rFonts w:hint="eastAsia" w:ascii="仿宋" w:hAnsi="仿宋" w:eastAsia="仿宋"/>
                <w:color w:val="auto"/>
                <w:sz w:val="21"/>
                <w:szCs w:val="21"/>
              </w:rPr>
            </w:pPr>
            <w:bookmarkStart w:id="59" w:name="OLE_LINK4"/>
            <w:r>
              <w:rPr>
                <w:rFonts w:hint="eastAsia" w:ascii="仿宋" w:hAnsi="仿宋" w:eastAsia="仿宋"/>
                <w:color w:val="auto"/>
                <w:sz w:val="21"/>
                <w:szCs w:val="21"/>
              </w:rPr>
              <w:t>所有设备安装调试，包含现场混泥土开槽恢复，线材穿管等防护措施</w:t>
            </w:r>
            <w:bookmarkEnd w:id="59"/>
            <w:r>
              <w:rPr>
                <w:rFonts w:hint="eastAsia" w:ascii="仿宋" w:hAnsi="仿宋" w:eastAsia="仿宋"/>
                <w:color w:val="auto"/>
                <w:sz w:val="21"/>
                <w:szCs w:val="21"/>
              </w:rPr>
              <w:t>。</w:t>
            </w:r>
          </w:p>
          <w:p w14:paraId="41EACE0F">
            <w:pPr>
              <w:pStyle w:val="2"/>
              <w:snapToGrid w:val="0"/>
              <w:jc w:val="left"/>
              <w:rPr>
                <w:rFonts w:hint="eastAsia" w:ascii="仿宋" w:hAnsi="仿宋" w:eastAsia="仿宋"/>
                <w:color w:val="auto"/>
                <w:sz w:val="21"/>
                <w:szCs w:val="21"/>
              </w:rPr>
            </w:pPr>
            <w:r>
              <w:rPr>
                <w:rFonts w:hint="eastAsia" w:ascii="仿宋" w:hAnsi="仿宋" w:eastAsia="仿宋"/>
                <w:color w:val="auto"/>
                <w:sz w:val="21"/>
                <w:szCs w:val="21"/>
              </w:rPr>
              <w:t>1.</w:t>
            </w:r>
            <w:r>
              <w:rPr>
                <w:rFonts w:ascii="仿宋" w:hAnsi="仿宋" w:eastAsia="仿宋"/>
                <w:color w:val="auto"/>
                <w:sz w:val="21"/>
                <w:szCs w:val="21"/>
              </w:rPr>
              <w:t>穿管施工：</w:t>
            </w:r>
            <w:r>
              <w:rPr>
                <w:rFonts w:ascii="仿宋" w:hAnsi="Cambria Math" w:eastAsia="仿宋" w:cs="Cambria Math"/>
                <w:color w:val="auto"/>
                <w:sz w:val="21"/>
                <w:szCs w:val="21"/>
              </w:rPr>
              <w:t>​</w:t>
            </w:r>
          </w:p>
          <w:p w14:paraId="7EB1D3AF">
            <w:pPr>
              <w:pStyle w:val="2"/>
              <w:snapToGrid w:val="0"/>
              <w:jc w:val="left"/>
              <w:rPr>
                <w:rFonts w:hint="eastAsia" w:ascii="仿宋" w:hAnsi="仿宋" w:eastAsia="仿宋"/>
                <w:color w:val="auto"/>
                <w:sz w:val="21"/>
                <w:szCs w:val="21"/>
              </w:rPr>
            </w:pPr>
            <w:r>
              <w:rPr>
                <w:rFonts w:ascii="仿宋" w:hAnsi="仿宋" w:eastAsia="仿宋"/>
                <w:color w:val="auto"/>
                <w:sz w:val="21"/>
                <w:szCs w:val="21"/>
              </w:rPr>
              <w:sym w:font="Wingdings" w:char="F081"/>
            </w:r>
            <w:r>
              <w:rPr>
                <w:rFonts w:hint="eastAsia" w:ascii="仿宋" w:hAnsi="仿宋" w:eastAsia="仿宋"/>
                <w:color w:val="auto"/>
                <w:sz w:val="21"/>
                <w:szCs w:val="21"/>
              </w:rPr>
              <w:t>.</w:t>
            </w:r>
            <w:r>
              <w:rPr>
                <w:rFonts w:ascii="仿宋" w:hAnsi="仿宋" w:eastAsia="仿宋"/>
                <w:color w:val="auto"/>
                <w:sz w:val="21"/>
                <w:szCs w:val="21"/>
              </w:rPr>
              <w:t>线管内线缆截面积总和≤线管内径截面积的 40%，单管最多穿 3 类线缆（如网线 + 电源线 + 光纤需分管）；</w:t>
            </w:r>
            <w:r>
              <w:rPr>
                <w:rFonts w:ascii="仿宋" w:hAnsi="Cambria Math" w:eastAsia="仿宋" w:cs="Cambria Math"/>
                <w:color w:val="auto"/>
                <w:sz w:val="21"/>
                <w:szCs w:val="21"/>
              </w:rPr>
              <w:t>​</w:t>
            </w:r>
          </w:p>
          <w:p w14:paraId="17506637">
            <w:pPr>
              <w:pStyle w:val="2"/>
              <w:snapToGrid w:val="0"/>
              <w:jc w:val="left"/>
              <w:rPr>
                <w:rFonts w:hint="eastAsia" w:ascii="仿宋" w:hAnsi="仿宋" w:eastAsia="仿宋"/>
                <w:color w:val="auto"/>
                <w:sz w:val="21"/>
                <w:szCs w:val="21"/>
              </w:rPr>
            </w:pPr>
            <w:r>
              <w:rPr>
                <w:rFonts w:ascii="仿宋" w:hAnsi="仿宋" w:eastAsia="仿宋"/>
                <w:color w:val="auto"/>
                <w:sz w:val="21"/>
                <w:szCs w:val="21"/>
              </w:rPr>
              <w:sym w:font="Wingdings" w:char="F082"/>
            </w:r>
            <w:r>
              <w:rPr>
                <w:rFonts w:hint="eastAsia" w:ascii="仿宋" w:hAnsi="仿宋" w:eastAsia="仿宋"/>
                <w:color w:val="auto"/>
                <w:sz w:val="21"/>
                <w:szCs w:val="21"/>
              </w:rPr>
              <w:t>.</w:t>
            </w:r>
            <w:r>
              <w:rPr>
                <w:rFonts w:ascii="仿宋" w:hAnsi="仿宋" w:eastAsia="仿宋"/>
                <w:color w:val="auto"/>
                <w:sz w:val="21"/>
                <w:szCs w:val="21"/>
              </w:rPr>
              <w:t>转弯处采用弯头（弯曲半径≥10 倍线管直径），禁止直接弯折；</w:t>
            </w:r>
            <w:r>
              <w:rPr>
                <w:rFonts w:ascii="仿宋" w:hAnsi="Cambria Math" w:eastAsia="仿宋" w:cs="Cambria Math"/>
                <w:color w:val="auto"/>
                <w:sz w:val="21"/>
                <w:szCs w:val="21"/>
              </w:rPr>
              <w:t>​</w:t>
            </w:r>
          </w:p>
          <w:p w14:paraId="03AAD4E9">
            <w:pPr>
              <w:pStyle w:val="2"/>
              <w:snapToGrid w:val="0"/>
              <w:jc w:val="left"/>
              <w:rPr>
                <w:rFonts w:hint="eastAsia" w:ascii="仿宋" w:hAnsi="仿宋" w:eastAsia="仿宋"/>
                <w:color w:val="auto"/>
                <w:sz w:val="21"/>
                <w:szCs w:val="21"/>
              </w:rPr>
            </w:pPr>
            <w:r>
              <w:rPr>
                <w:rFonts w:ascii="仿宋" w:hAnsi="仿宋" w:eastAsia="仿宋"/>
                <w:color w:val="auto"/>
                <w:sz w:val="21"/>
                <w:szCs w:val="21"/>
              </w:rPr>
              <w:sym w:font="Wingdings" w:char="F083"/>
            </w:r>
            <w:r>
              <w:rPr>
                <w:rFonts w:hint="eastAsia" w:ascii="仿宋" w:hAnsi="仿宋" w:eastAsia="仿宋"/>
                <w:color w:val="auto"/>
                <w:sz w:val="21"/>
                <w:szCs w:val="21"/>
              </w:rPr>
              <w:t>.</w:t>
            </w:r>
            <w:r>
              <w:rPr>
                <w:rFonts w:ascii="仿宋" w:hAnsi="仿宋" w:eastAsia="仿宋"/>
                <w:color w:val="auto"/>
                <w:sz w:val="21"/>
                <w:szCs w:val="21"/>
              </w:rPr>
              <w:t>管口安装护口（塑料 / 金属），避免划伤线缆护套；</w:t>
            </w:r>
            <w:r>
              <w:rPr>
                <w:rFonts w:ascii="仿宋" w:hAnsi="Cambria Math" w:eastAsia="仿宋" w:cs="Cambria Math"/>
                <w:color w:val="auto"/>
                <w:sz w:val="21"/>
                <w:szCs w:val="21"/>
              </w:rPr>
              <w:t>​</w:t>
            </w:r>
          </w:p>
          <w:p w14:paraId="0F9C217B">
            <w:pPr>
              <w:pStyle w:val="2"/>
              <w:snapToGrid w:val="0"/>
              <w:jc w:val="left"/>
              <w:rPr>
                <w:rFonts w:hint="eastAsia" w:ascii="仿宋" w:hAnsi="仿宋" w:eastAsia="仿宋"/>
                <w:color w:val="auto"/>
                <w:sz w:val="21"/>
                <w:szCs w:val="21"/>
              </w:rPr>
            </w:pPr>
            <w:r>
              <w:rPr>
                <w:rFonts w:ascii="仿宋" w:hAnsi="仿宋" w:eastAsia="仿宋"/>
                <w:color w:val="auto"/>
                <w:sz w:val="21"/>
                <w:szCs w:val="21"/>
              </w:rPr>
              <w:sym w:font="Wingdings" w:char="F084"/>
            </w:r>
            <w:r>
              <w:rPr>
                <w:rFonts w:hint="eastAsia" w:ascii="仿宋" w:hAnsi="仿宋" w:eastAsia="仿宋"/>
                <w:color w:val="auto"/>
                <w:sz w:val="21"/>
                <w:szCs w:val="21"/>
              </w:rPr>
              <w:t>.</w:t>
            </w:r>
            <w:r>
              <w:rPr>
                <w:rFonts w:ascii="仿宋" w:hAnsi="仿宋" w:eastAsia="仿宋"/>
                <w:color w:val="auto"/>
                <w:sz w:val="21"/>
                <w:szCs w:val="21"/>
              </w:rPr>
              <w:t>垂直布线每隔 1.5m 固定，水平布线每隔 1m 固定，固定点采用管卡（间距均匀，不损伤线管）。</w:t>
            </w:r>
            <w:r>
              <w:rPr>
                <w:rFonts w:ascii="仿宋" w:hAnsi="Cambria Math" w:eastAsia="仿宋" w:cs="Cambria Math"/>
                <w:color w:val="auto"/>
                <w:sz w:val="21"/>
                <w:szCs w:val="21"/>
              </w:rPr>
              <w:t>​</w:t>
            </w:r>
          </w:p>
          <w:p w14:paraId="2BA95541">
            <w:pPr>
              <w:pStyle w:val="2"/>
              <w:snapToGrid w:val="0"/>
              <w:jc w:val="left"/>
              <w:rPr>
                <w:rFonts w:hint="eastAsia" w:ascii="仿宋" w:hAnsi="仿宋" w:eastAsia="仿宋"/>
                <w:color w:val="auto"/>
                <w:sz w:val="21"/>
                <w:szCs w:val="21"/>
              </w:rPr>
            </w:pPr>
            <w:r>
              <w:rPr>
                <w:rFonts w:hint="eastAsia" w:ascii="仿宋" w:hAnsi="仿宋" w:eastAsia="仿宋"/>
                <w:color w:val="auto"/>
                <w:sz w:val="21"/>
                <w:szCs w:val="21"/>
              </w:rPr>
              <w:t>2.</w:t>
            </w:r>
            <w:r>
              <w:rPr>
                <w:rFonts w:ascii="仿宋" w:hAnsi="仿宋" w:eastAsia="仿宋"/>
                <w:color w:val="auto"/>
                <w:sz w:val="21"/>
                <w:szCs w:val="21"/>
              </w:rPr>
              <w:t>布线防护：</w:t>
            </w:r>
            <w:r>
              <w:rPr>
                <w:rFonts w:ascii="仿宋" w:hAnsi="Cambria Math" w:eastAsia="仿宋" w:cs="Cambria Math"/>
                <w:color w:val="auto"/>
                <w:sz w:val="21"/>
                <w:szCs w:val="21"/>
              </w:rPr>
              <w:t>​</w:t>
            </w:r>
          </w:p>
          <w:p w14:paraId="535160F4">
            <w:pPr>
              <w:pStyle w:val="2"/>
              <w:snapToGrid w:val="0"/>
              <w:jc w:val="left"/>
              <w:rPr>
                <w:rFonts w:hint="eastAsia" w:ascii="仿宋" w:hAnsi="仿宋" w:eastAsia="仿宋"/>
                <w:color w:val="auto"/>
                <w:sz w:val="21"/>
                <w:szCs w:val="21"/>
              </w:rPr>
            </w:pPr>
            <w:r>
              <w:rPr>
                <w:rFonts w:ascii="仿宋" w:hAnsi="仿宋" w:eastAsia="仿宋"/>
                <w:color w:val="auto"/>
                <w:sz w:val="21"/>
                <w:szCs w:val="21"/>
              </w:rPr>
              <w:sym w:font="Wingdings" w:char="F081"/>
            </w:r>
            <w:r>
              <w:rPr>
                <w:rFonts w:hint="eastAsia" w:ascii="仿宋" w:hAnsi="仿宋" w:eastAsia="仿宋"/>
                <w:color w:val="auto"/>
                <w:sz w:val="21"/>
                <w:szCs w:val="21"/>
              </w:rPr>
              <w:t>.</w:t>
            </w:r>
            <w:r>
              <w:rPr>
                <w:rFonts w:ascii="仿宋" w:hAnsi="仿宋" w:eastAsia="仿宋"/>
                <w:color w:val="auto"/>
                <w:sz w:val="21"/>
                <w:szCs w:val="21"/>
              </w:rPr>
              <w:t>吊顶内布线：线管采用吊杆固定（吊杆间距≤1.5m），避开灯具、风口等热源；</w:t>
            </w:r>
          </w:p>
          <w:p w14:paraId="52999517">
            <w:pPr>
              <w:pStyle w:val="2"/>
              <w:snapToGrid w:val="0"/>
              <w:jc w:val="left"/>
              <w:rPr>
                <w:rFonts w:hint="eastAsia" w:ascii="仿宋" w:hAnsi="仿宋" w:eastAsia="仿宋"/>
                <w:color w:val="auto"/>
                <w:sz w:val="21"/>
                <w:szCs w:val="21"/>
              </w:rPr>
            </w:pPr>
            <w:r>
              <w:rPr>
                <w:rFonts w:ascii="仿宋" w:hAnsi="仿宋" w:eastAsia="仿宋"/>
                <w:color w:val="auto"/>
                <w:sz w:val="21"/>
                <w:szCs w:val="21"/>
              </w:rPr>
              <w:sym w:font="Wingdings" w:char="F082"/>
            </w:r>
            <w:r>
              <w:rPr>
                <w:rFonts w:hint="eastAsia" w:ascii="仿宋" w:hAnsi="仿宋" w:eastAsia="仿宋"/>
                <w:color w:val="auto"/>
                <w:sz w:val="21"/>
                <w:szCs w:val="21"/>
              </w:rPr>
              <w:t>.</w:t>
            </w:r>
            <w:r>
              <w:rPr>
                <w:rFonts w:ascii="仿宋" w:hAnsi="仿宋" w:eastAsia="仿宋"/>
                <w:color w:val="auto"/>
                <w:sz w:val="21"/>
                <w:szCs w:val="21"/>
              </w:rPr>
              <w:t>地面布线：穿管后覆盖水泥沙浆保护（厚度≥20mm），禁止直接裸露；</w:t>
            </w:r>
            <w:r>
              <w:rPr>
                <w:rFonts w:ascii="仿宋" w:hAnsi="Cambria Math" w:eastAsia="仿宋" w:cs="Cambria Math"/>
                <w:color w:val="auto"/>
                <w:sz w:val="21"/>
                <w:szCs w:val="21"/>
              </w:rPr>
              <w:t>​</w:t>
            </w:r>
          </w:p>
          <w:p w14:paraId="60469AFA">
            <w:pPr>
              <w:pStyle w:val="2"/>
              <w:snapToGrid w:val="0"/>
              <w:jc w:val="left"/>
              <w:rPr>
                <w:rFonts w:hint="eastAsia" w:ascii="仿宋" w:hAnsi="仿宋" w:eastAsia="仿宋"/>
                <w:color w:val="auto"/>
                <w:sz w:val="21"/>
                <w:szCs w:val="21"/>
              </w:rPr>
            </w:pPr>
            <w:r>
              <w:rPr>
                <w:rFonts w:ascii="仿宋" w:hAnsi="仿宋" w:eastAsia="仿宋"/>
                <w:color w:val="auto"/>
                <w:sz w:val="21"/>
                <w:szCs w:val="21"/>
              </w:rPr>
              <w:sym w:font="Wingdings" w:char="F083"/>
            </w:r>
            <w:r>
              <w:rPr>
                <w:rFonts w:hint="eastAsia" w:ascii="仿宋" w:hAnsi="仿宋" w:eastAsia="仿宋"/>
                <w:color w:val="auto"/>
                <w:sz w:val="21"/>
                <w:szCs w:val="21"/>
              </w:rPr>
              <w:t>.</w:t>
            </w:r>
            <w:r>
              <w:rPr>
                <w:rFonts w:ascii="仿宋" w:hAnsi="仿宋" w:eastAsia="仿宋"/>
                <w:color w:val="auto"/>
                <w:sz w:val="21"/>
                <w:szCs w:val="21"/>
              </w:rPr>
              <w:t>室外 / 潮湿环境：采用防水线管 + 密封接头，线缆两端做防水处理。</w:t>
            </w:r>
          </w:p>
          <w:p w14:paraId="7613B7DB">
            <w:pPr>
              <w:pStyle w:val="2"/>
              <w:snapToGrid w:val="0"/>
              <w:jc w:val="left"/>
              <w:rPr>
                <w:rFonts w:hint="eastAsia" w:ascii="仿宋" w:hAnsi="仿宋" w:eastAsia="仿宋"/>
                <w:color w:val="auto"/>
                <w:sz w:val="21"/>
                <w:szCs w:val="21"/>
              </w:rPr>
            </w:pPr>
            <w:r>
              <w:rPr>
                <w:rFonts w:hint="eastAsia" w:ascii="仿宋" w:hAnsi="仿宋" w:eastAsia="仿宋"/>
                <w:color w:val="auto"/>
                <w:sz w:val="21"/>
                <w:szCs w:val="21"/>
              </w:rPr>
              <w:t>3.调试要求：</w:t>
            </w:r>
          </w:p>
          <w:p w14:paraId="39E925A0">
            <w:pPr>
              <w:pStyle w:val="2"/>
              <w:snapToGrid w:val="0"/>
              <w:jc w:val="left"/>
              <w:rPr>
                <w:rFonts w:hint="eastAsia" w:ascii="仿宋" w:hAnsi="仿宋" w:eastAsia="仿宋"/>
                <w:color w:val="auto"/>
                <w:sz w:val="21"/>
                <w:szCs w:val="21"/>
              </w:rPr>
            </w:pPr>
            <w:r>
              <w:rPr>
                <w:rFonts w:ascii="仿宋" w:hAnsi="仿宋" w:eastAsia="仿宋"/>
                <w:color w:val="auto"/>
                <w:sz w:val="21"/>
                <w:szCs w:val="21"/>
              </w:rPr>
              <w:sym w:font="Wingdings" w:char="F081"/>
            </w:r>
            <w:r>
              <w:rPr>
                <w:rFonts w:hint="eastAsia" w:ascii="仿宋" w:hAnsi="仿宋" w:eastAsia="仿宋"/>
                <w:color w:val="auto"/>
                <w:sz w:val="21"/>
                <w:szCs w:val="21"/>
              </w:rPr>
              <w:t>.</w:t>
            </w:r>
            <w:r>
              <w:rPr>
                <w:rFonts w:ascii="仿宋" w:hAnsi="仿宋" w:eastAsia="仿宋"/>
                <w:color w:val="auto"/>
                <w:sz w:val="21"/>
                <w:szCs w:val="21"/>
              </w:rPr>
              <w:t>线缆测试：网线用福禄克测试仪测试（六类网线需满足 Cat.6 标准，衰减、串扰等指标合格），光纤用 OTDR 测试（衰减≤0.3dB/km）；</w:t>
            </w:r>
            <w:r>
              <w:rPr>
                <w:rFonts w:ascii="仿宋" w:hAnsi="Cambria Math" w:eastAsia="仿宋" w:cs="Cambria Math"/>
                <w:color w:val="auto"/>
                <w:sz w:val="21"/>
                <w:szCs w:val="21"/>
              </w:rPr>
              <w:t>​</w:t>
            </w:r>
          </w:p>
          <w:p w14:paraId="184304EF">
            <w:pPr>
              <w:pStyle w:val="2"/>
              <w:snapToGrid w:val="0"/>
              <w:jc w:val="left"/>
              <w:rPr>
                <w:rFonts w:hint="eastAsia" w:ascii="仿宋" w:hAnsi="仿宋" w:eastAsia="仿宋"/>
                <w:color w:val="auto"/>
                <w:sz w:val="21"/>
                <w:szCs w:val="21"/>
                <w:highlight w:val="yellow"/>
              </w:rPr>
            </w:pPr>
            <w:r>
              <w:rPr>
                <w:rFonts w:ascii="仿宋" w:hAnsi="仿宋" w:eastAsia="仿宋"/>
                <w:color w:val="auto"/>
                <w:sz w:val="21"/>
                <w:szCs w:val="21"/>
              </w:rPr>
              <w:sym w:font="Wingdings" w:char="F082"/>
            </w:r>
            <w:r>
              <w:rPr>
                <w:rFonts w:hint="eastAsia" w:ascii="仿宋" w:hAnsi="仿宋" w:eastAsia="仿宋"/>
                <w:color w:val="auto"/>
                <w:sz w:val="21"/>
                <w:szCs w:val="21"/>
              </w:rPr>
              <w:t>.</w:t>
            </w:r>
            <w:r>
              <w:rPr>
                <w:rFonts w:ascii="仿宋" w:hAnsi="仿宋" w:eastAsia="仿宋"/>
                <w:color w:val="auto"/>
                <w:sz w:val="21"/>
                <w:szCs w:val="21"/>
              </w:rPr>
              <w:t>设备调试：通电前检查接线正确性，逐一调试设备功能（网络连通性、监控画面、门禁开关、对讲通话等）；</w:t>
            </w:r>
          </w:p>
        </w:tc>
        <w:tc>
          <w:tcPr>
            <w:tcW w:w="0" w:type="auto"/>
            <w:vAlign w:val="center"/>
          </w:tcPr>
          <w:p w14:paraId="1E395B99">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4CC8D060">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33AB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67888060">
            <w:pPr>
              <w:widowControl/>
              <w:snapToGrid w:val="0"/>
              <w:jc w:val="center"/>
              <w:rPr>
                <w:rFonts w:hint="eastAsia" w:ascii="仿宋" w:hAnsi="仿宋" w:eastAsia="仿宋" w:cs="宋体"/>
                <w:b/>
                <w:bCs/>
                <w:color w:val="auto"/>
                <w:kern w:val="0"/>
                <w:sz w:val="24"/>
                <w:szCs w:val="24"/>
              </w:rPr>
            </w:pPr>
            <w:r>
              <w:rPr>
                <w:rFonts w:hint="eastAsia" w:ascii="仿宋" w:hAnsi="仿宋" w:eastAsia="仿宋" w:cs="宋体"/>
                <w:b/>
                <w:bCs/>
                <w:color w:val="auto"/>
                <w:kern w:val="0"/>
                <w:sz w:val="24"/>
                <w:szCs w:val="24"/>
              </w:rPr>
              <w:t>二、校园数字IP广播建设</w:t>
            </w:r>
          </w:p>
        </w:tc>
        <w:tc>
          <w:tcPr>
            <w:tcW w:w="0" w:type="auto"/>
            <w:vAlign w:val="center"/>
          </w:tcPr>
          <w:p w14:paraId="209848E6">
            <w:pPr>
              <w:widowControl/>
              <w:snapToGrid w:val="0"/>
              <w:jc w:val="center"/>
              <w:rPr>
                <w:rFonts w:hint="eastAsia" w:ascii="仿宋" w:hAnsi="仿宋" w:eastAsia="仿宋"/>
                <w:color w:val="auto"/>
              </w:rPr>
            </w:pPr>
          </w:p>
        </w:tc>
        <w:tc>
          <w:tcPr>
            <w:tcW w:w="492" w:type="dxa"/>
            <w:vAlign w:val="center"/>
          </w:tcPr>
          <w:p w14:paraId="4B6E0FFC">
            <w:pPr>
              <w:widowControl/>
              <w:snapToGrid w:val="0"/>
              <w:jc w:val="center"/>
              <w:rPr>
                <w:rFonts w:hint="eastAsia" w:ascii="仿宋" w:hAnsi="仿宋" w:eastAsia="仿宋" w:cs="Calibri"/>
                <w:color w:val="auto"/>
                <w:kern w:val="0"/>
              </w:rPr>
            </w:pPr>
          </w:p>
        </w:tc>
      </w:tr>
      <w:tr w14:paraId="1CD6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0C6DCB76">
            <w:pPr>
              <w:widowControl/>
              <w:snapToGrid w:val="0"/>
              <w:jc w:val="center"/>
              <w:rPr>
                <w:rFonts w:hint="eastAsia" w:ascii="仿宋" w:hAnsi="仿宋" w:eastAsia="仿宋" w:cs="宋体"/>
                <w:b/>
                <w:bCs/>
                <w:color w:val="auto"/>
                <w:kern w:val="0"/>
                <w:sz w:val="24"/>
                <w:szCs w:val="24"/>
              </w:rPr>
            </w:pPr>
            <w:r>
              <w:rPr>
                <w:rFonts w:hint="eastAsia" w:ascii="仿宋" w:hAnsi="仿宋" w:eastAsia="仿宋" w:cs="宋体"/>
                <w:b/>
                <w:bCs/>
                <w:color w:val="auto"/>
                <w:kern w:val="0"/>
                <w:sz w:val="24"/>
                <w:szCs w:val="24"/>
              </w:rPr>
              <w:t>机房中心设备-主服务器软件</w:t>
            </w:r>
          </w:p>
        </w:tc>
        <w:tc>
          <w:tcPr>
            <w:tcW w:w="0" w:type="auto"/>
            <w:vAlign w:val="center"/>
          </w:tcPr>
          <w:p w14:paraId="2AD3A877">
            <w:pPr>
              <w:widowControl/>
              <w:snapToGrid w:val="0"/>
              <w:jc w:val="center"/>
              <w:rPr>
                <w:rFonts w:hint="eastAsia" w:ascii="仿宋" w:hAnsi="仿宋" w:eastAsia="仿宋"/>
                <w:color w:val="auto"/>
              </w:rPr>
            </w:pPr>
          </w:p>
        </w:tc>
        <w:tc>
          <w:tcPr>
            <w:tcW w:w="492" w:type="dxa"/>
            <w:vAlign w:val="center"/>
          </w:tcPr>
          <w:p w14:paraId="1F32C87B">
            <w:pPr>
              <w:widowControl/>
              <w:snapToGrid w:val="0"/>
              <w:jc w:val="center"/>
              <w:rPr>
                <w:rFonts w:hint="eastAsia" w:ascii="仿宋" w:hAnsi="仿宋" w:eastAsia="仿宋" w:cs="Calibri"/>
                <w:color w:val="auto"/>
                <w:kern w:val="0"/>
              </w:rPr>
            </w:pPr>
          </w:p>
        </w:tc>
      </w:tr>
      <w:tr w14:paraId="079C3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0AE43E55">
            <w:pPr>
              <w:widowControl/>
              <w:snapToGrid w:val="0"/>
              <w:jc w:val="center"/>
              <w:rPr>
                <w:rFonts w:hint="eastAsia" w:ascii="仿宋" w:hAnsi="仿宋" w:eastAsia="仿宋"/>
                <w:color w:val="auto"/>
                <w:kern w:val="0"/>
              </w:rPr>
            </w:pPr>
            <w:r>
              <w:rPr>
                <w:rFonts w:hint="eastAsia" w:ascii="仿宋" w:hAnsi="仿宋" w:eastAsia="仿宋"/>
                <w:color w:val="auto"/>
                <w:kern w:val="0"/>
              </w:rPr>
              <w:t>1</w:t>
            </w:r>
          </w:p>
        </w:tc>
        <w:tc>
          <w:tcPr>
            <w:tcW w:w="996" w:type="dxa"/>
            <w:vAlign w:val="center"/>
          </w:tcPr>
          <w:p w14:paraId="37815C04">
            <w:pPr>
              <w:widowControl/>
              <w:snapToGrid w:val="0"/>
              <w:jc w:val="center"/>
              <w:rPr>
                <w:rFonts w:hint="eastAsia" w:ascii="仿宋" w:hAnsi="仿宋" w:eastAsia="仿宋"/>
                <w:color w:val="auto"/>
              </w:rPr>
            </w:pPr>
            <w:r>
              <w:rPr>
                <w:rFonts w:hint="eastAsia" w:ascii="仿宋" w:hAnsi="仿宋" w:eastAsia="仿宋"/>
                <w:color w:val="auto"/>
              </w:rPr>
              <w:t>IP网络广播控制中心</w:t>
            </w:r>
          </w:p>
        </w:tc>
        <w:tc>
          <w:tcPr>
            <w:tcW w:w="6650" w:type="dxa"/>
            <w:vAlign w:val="center"/>
          </w:tcPr>
          <w:p w14:paraId="471BC4F5">
            <w:pPr>
              <w:widowControl/>
              <w:snapToGrid w:val="0"/>
              <w:jc w:val="left"/>
              <w:rPr>
                <w:rFonts w:hint="eastAsia" w:ascii="仿宋" w:hAnsi="仿宋" w:eastAsia="仿宋"/>
                <w:color w:val="auto"/>
              </w:rPr>
            </w:pPr>
            <w:r>
              <w:rPr>
                <w:rFonts w:hint="eastAsia" w:ascii="仿宋" w:hAnsi="仿宋" w:eastAsia="仿宋"/>
                <w:color w:val="auto"/>
              </w:rPr>
              <w:t>1.国产化适配广播系统管理主机，为系统提供核心应用程序后台服务；</w:t>
            </w:r>
            <w:r>
              <w:rPr>
                <w:rFonts w:hint="eastAsia" w:ascii="仿宋" w:hAnsi="仿宋" w:eastAsia="仿宋"/>
                <w:color w:val="auto"/>
              </w:rPr>
              <w:br w:type="textWrapping"/>
            </w:r>
            <w:r>
              <w:rPr>
                <w:rFonts w:hint="eastAsia" w:ascii="仿宋" w:hAnsi="仿宋" w:eastAsia="仿宋"/>
                <w:color w:val="auto"/>
              </w:rPr>
              <w:t>2.屏幕采用≥17.3英寸电容式触摸屏，分辨率≥1920*1080；</w:t>
            </w:r>
            <w:r>
              <w:rPr>
                <w:rFonts w:hint="eastAsia" w:ascii="仿宋" w:hAnsi="仿宋" w:eastAsia="仿宋"/>
                <w:color w:val="auto"/>
              </w:rPr>
              <w:br w:type="textWrapping"/>
            </w:r>
            <w:r>
              <w:rPr>
                <w:rFonts w:hint="eastAsia" w:ascii="仿宋" w:hAnsi="仿宋" w:eastAsia="仿宋"/>
                <w:color w:val="auto"/>
              </w:rPr>
              <w:t>3.采用工业级工控机机箱设计，内置抽拉式键盘方便操作，机箱采用钢结构，有较高的防磁、防尘、防冲击的能力；</w:t>
            </w:r>
            <w:r>
              <w:rPr>
                <w:rFonts w:hint="eastAsia" w:ascii="仿宋" w:hAnsi="仿宋" w:eastAsia="仿宋"/>
                <w:color w:val="auto"/>
              </w:rPr>
              <w:br w:type="textWrapping"/>
            </w:r>
            <w:r>
              <w:rPr>
                <w:rFonts w:hint="eastAsia" w:ascii="仿宋" w:hAnsi="仿宋" w:eastAsia="仿宋"/>
                <w:color w:val="auto"/>
              </w:rPr>
              <w:t>4.高性能专用主板设计，嵌入式工业级处理器，处理速度更快，运作性能更强，可长时期不断电稳定工作；</w:t>
            </w:r>
            <w:r>
              <w:rPr>
                <w:rFonts w:hint="eastAsia" w:ascii="仿宋" w:hAnsi="仿宋" w:eastAsia="仿宋"/>
                <w:color w:val="auto"/>
              </w:rPr>
              <w:br w:type="textWrapping"/>
            </w:r>
            <w:r>
              <w:rPr>
                <w:rFonts w:hint="eastAsia" w:ascii="仿宋" w:hAnsi="仿宋" w:eastAsia="仿宋"/>
                <w:color w:val="auto"/>
              </w:rPr>
              <w:t>5.主板支持开关机设置，可定时设置开关机功能，用于定时驱动开机运行，实现无人值守功能；</w:t>
            </w:r>
            <w:r>
              <w:rPr>
                <w:rFonts w:hint="eastAsia" w:ascii="仿宋" w:hAnsi="仿宋" w:eastAsia="仿宋"/>
                <w:color w:val="auto"/>
              </w:rPr>
              <w:br w:type="textWrapping"/>
            </w:r>
            <w:r>
              <w:rPr>
                <w:rFonts w:hint="eastAsia" w:ascii="仿宋" w:hAnsi="仿宋" w:eastAsia="仿宋"/>
                <w:color w:val="auto"/>
              </w:rPr>
              <w:t>6.内置网络服务器后台数据库程序；开机系统即可自动运行，程序内置管理员模式，开机自动运行原设定模式；</w:t>
            </w:r>
            <w:r>
              <w:rPr>
                <w:rFonts w:hint="eastAsia" w:ascii="仿宋" w:hAnsi="仿宋" w:eastAsia="仿宋"/>
                <w:color w:val="auto"/>
              </w:rPr>
              <w:br w:type="textWrapping"/>
            </w:r>
            <w:r>
              <w:rPr>
                <w:rFonts w:hint="eastAsia" w:ascii="仿宋" w:hAnsi="仿宋" w:eastAsia="仿宋"/>
                <w:color w:val="auto"/>
              </w:rPr>
              <w:t>7.配置国产高性能处理器，规格不低于八核设计，处理器主频不低于2.7GHz，满足多程序并发运行及业务数据处理性能要求；</w:t>
            </w:r>
            <w:r>
              <w:rPr>
                <w:rFonts w:hint="eastAsia" w:ascii="仿宋" w:hAnsi="仿宋" w:eastAsia="仿宋"/>
                <w:color w:val="auto"/>
              </w:rPr>
              <w:br w:type="textWrapping"/>
            </w:r>
            <w:r>
              <w:rPr>
                <w:rFonts w:hint="eastAsia" w:ascii="仿宋" w:hAnsi="仿宋" w:eastAsia="仿宋"/>
                <w:color w:val="auto"/>
              </w:rPr>
              <w:t>8.内置≥256G SSD固态硬盘、≥8G内存、≥7.1声道高品质声卡；</w:t>
            </w:r>
            <w:r>
              <w:rPr>
                <w:rFonts w:hint="eastAsia" w:ascii="仿宋" w:hAnsi="仿宋" w:eastAsia="仿宋"/>
                <w:color w:val="auto"/>
              </w:rPr>
              <w:br w:type="textWrapping"/>
            </w:r>
            <w:r>
              <w:rPr>
                <w:rFonts w:hint="eastAsia" w:ascii="仿宋" w:hAnsi="仿宋" w:eastAsia="仿宋"/>
                <w:color w:val="auto"/>
              </w:rPr>
              <w:t>9.系统操作平台兼容国产信创操作系统，支持主流国产自主可控操作系统同等版本及以上，满足国产化部署与安全使用要求；</w:t>
            </w:r>
            <w:r>
              <w:rPr>
                <w:rFonts w:hint="eastAsia" w:ascii="仿宋" w:hAnsi="仿宋" w:eastAsia="仿宋"/>
                <w:color w:val="auto"/>
              </w:rPr>
              <w:br w:type="textWrapping"/>
            </w:r>
            <w:r>
              <w:rPr>
                <w:rFonts w:hint="eastAsia" w:ascii="仿宋" w:hAnsi="仿宋" w:eastAsia="仿宋"/>
                <w:color w:val="auto"/>
              </w:rPr>
              <w:t>10.接口不少于：4×USB2.0、2×USB3.0、1组PS/2接口、1组VGA接口、1组HDMI接口、1组RJ45网络接口、2×3.5mm接口、1组COM通信串口。</w:t>
            </w:r>
          </w:p>
        </w:tc>
        <w:tc>
          <w:tcPr>
            <w:tcW w:w="0" w:type="auto"/>
            <w:vAlign w:val="center"/>
          </w:tcPr>
          <w:p w14:paraId="55D48166">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10C1EAE2">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201D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D1BC2B2">
            <w:pPr>
              <w:widowControl/>
              <w:snapToGrid w:val="0"/>
              <w:jc w:val="center"/>
              <w:rPr>
                <w:rFonts w:hint="eastAsia" w:ascii="仿宋" w:hAnsi="仿宋" w:eastAsia="仿宋"/>
                <w:color w:val="auto"/>
                <w:kern w:val="0"/>
              </w:rPr>
            </w:pPr>
            <w:r>
              <w:rPr>
                <w:rFonts w:hint="eastAsia" w:ascii="仿宋" w:hAnsi="仿宋" w:eastAsia="仿宋"/>
                <w:color w:val="auto"/>
                <w:kern w:val="0"/>
              </w:rPr>
              <w:t>2</w:t>
            </w:r>
          </w:p>
        </w:tc>
        <w:tc>
          <w:tcPr>
            <w:tcW w:w="996" w:type="dxa"/>
            <w:vAlign w:val="center"/>
          </w:tcPr>
          <w:p w14:paraId="51A07FFA">
            <w:pPr>
              <w:widowControl/>
              <w:snapToGrid w:val="0"/>
              <w:jc w:val="center"/>
              <w:rPr>
                <w:rFonts w:hint="eastAsia" w:ascii="仿宋" w:hAnsi="仿宋" w:eastAsia="仿宋"/>
                <w:color w:val="auto"/>
              </w:rPr>
            </w:pPr>
            <w:r>
              <w:rPr>
                <w:rFonts w:hint="eastAsia" w:ascii="仿宋" w:hAnsi="仿宋" w:eastAsia="仿宋"/>
                <w:color w:val="auto"/>
              </w:rPr>
              <w:t>互联网云广播平台管理软件</w:t>
            </w:r>
          </w:p>
        </w:tc>
        <w:tc>
          <w:tcPr>
            <w:tcW w:w="6650" w:type="dxa"/>
            <w:vAlign w:val="center"/>
          </w:tcPr>
          <w:p w14:paraId="668AB018">
            <w:pPr>
              <w:widowControl/>
              <w:snapToGrid w:val="0"/>
              <w:jc w:val="left"/>
              <w:rPr>
                <w:rFonts w:hint="eastAsia" w:ascii="仿宋" w:hAnsi="仿宋" w:eastAsia="仿宋"/>
                <w:color w:val="auto"/>
              </w:rPr>
            </w:pPr>
            <w:r>
              <w:rPr>
                <w:rFonts w:hint="eastAsia" w:ascii="仿宋" w:hAnsi="仿宋" w:eastAsia="仿宋"/>
                <w:color w:val="auto"/>
              </w:rPr>
              <w:t>1.系统支持跨平台运行，可适配 Windows、Linux 系列操作系统及主流国产化信创操作系统，满足信创兼容要求，保障系统运行稳定性与信息安全合规。</w:t>
            </w:r>
            <w:r>
              <w:rPr>
                <w:rFonts w:hint="eastAsia" w:ascii="仿宋" w:hAnsi="仿宋" w:eastAsia="仿宋"/>
                <w:color w:val="auto"/>
              </w:rPr>
              <w:br w:type="textWrapping"/>
            </w:r>
            <w:r>
              <w:rPr>
                <w:rFonts w:hint="eastAsia" w:ascii="仿宋" w:hAnsi="仿宋" w:eastAsia="仿宋"/>
                <w:color w:val="auto"/>
              </w:rPr>
              <w:t>2.可对频繁使用的任务进行收藏，首页可快捷点播已收藏的任务；</w:t>
            </w:r>
            <w:r>
              <w:rPr>
                <w:rFonts w:hint="eastAsia" w:ascii="仿宋" w:hAnsi="仿宋" w:eastAsia="仿宋"/>
                <w:color w:val="auto"/>
              </w:rPr>
              <w:br w:type="textWrapping"/>
            </w:r>
            <w:r>
              <w:rPr>
                <w:rFonts w:hint="eastAsia" w:ascii="仿宋" w:hAnsi="仿宋" w:eastAsia="仿宋"/>
                <w:color w:val="auto"/>
              </w:rPr>
              <w:t>3.支持多套定时方案，方案内可编制任意数量的定时广播任务，支持一键禁用/启用方案或任务，实现全自动无人值守铃声播报，满足各时间段多场景播报需求；</w:t>
            </w:r>
            <w:r>
              <w:rPr>
                <w:rFonts w:hint="eastAsia" w:ascii="仿宋" w:hAnsi="仿宋" w:eastAsia="仿宋"/>
                <w:color w:val="auto"/>
              </w:rPr>
              <w:br w:type="textWrapping"/>
            </w:r>
            <w:r>
              <w:rPr>
                <w:rFonts w:hint="eastAsia" w:ascii="仿宋" w:hAnsi="仿宋" w:eastAsia="仿宋"/>
                <w:color w:val="auto"/>
              </w:rPr>
              <w:t>4.根据预设任务定时、定点自动播出音频、文本或采播广播，支持批量创建多时段任务并附加说明，创建时可查看终端在线状态，一键启用/禁用；</w:t>
            </w:r>
            <w:r>
              <w:rPr>
                <w:rFonts w:hint="eastAsia" w:ascii="仿宋" w:hAnsi="仿宋" w:eastAsia="仿宋"/>
                <w:color w:val="auto"/>
              </w:rPr>
              <w:br w:type="textWrapping"/>
            </w:r>
            <w:r>
              <w:rPr>
                <w:rFonts w:hint="eastAsia" w:ascii="仿宋" w:hAnsi="仿宋" w:eastAsia="仿宋"/>
                <w:color w:val="auto"/>
              </w:rPr>
              <w:t>5.可对任意单点、分组或全区执行实时音频/文本/采播广播任务，一键寻呼喊话任务，高同步性和实时性；</w:t>
            </w:r>
            <w:r>
              <w:rPr>
                <w:rFonts w:hint="eastAsia" w:ascii="仿宋" w:hAnsi="仿宋" w:eastAsia="仿宋"/>
                <w:color w:val="auto"/>
              </w:rPr>
              <w:br w:type="textWrapping"/>
            </w:r>
            <w:r>
              <w:rPr>
                <w:rFonts w:hint="eastAsia" w:ascii="仿宋" w:hAnsi="仿宋" w:eastAsia="仿宋"/>
                <w:color w:val="auto"/>
              </w:rPr>
              <w:t>6.具有今日广播任务概览，可通过环形图直观显示定时文本、定时音频、定时采集、实时文本、实时音频、实时采集等任务数的占比，帮助用户直观了解任务执行情况；</w:t>
            </w:r>
            <w:r>
              <w:rPr>
                <w:rFonts w:hint="eastAsia" w:ascii="仿宋" w:hAnsi="仿宋" w:eastAsia="仿宋"/>
                <w:color w:val="auto"/>
              </w:rPr>
              <w:br w:type="textWrapping"/>
            </w:r>
            <w:r>
              <w:rPr>
                <w:rFonts w:hint="eastAsia" w:ascii="仿宋" w:hAnsi="仿宋" w:eastAsia="仿宋"/>
                <w:color w:val="auto"/>
              </w:rPr>
              <w:t>7.具有任务批量编辑，支持批量修改播放时间、周期、音量模式，并增减任务关联的设备与音频文件，提高管理效率；</w:t>
            </w:r>
            <w:r>
              <w:rPr>
                <w:rFonts w:hint="eastAsia" w:ascii="仿宋" w:hAnsi="仿宋" w:eastAsia="仿宋"/>
                <w:color w:val="auto"/>
              </w:rPr>
              <w:br w:type="textWrapping"/>
            </w:r>
            <w:r>
              <w:rPr>
                <w:rFonts w:hint="eastAsia" w:ascii="仿宋" w:hAnsi="仿宋" w:eastAsia="仿宋"/>
                <w:color w:val="auto"/>
              </w:rPr>
              <w:t>8.具有定时方案复制功能，提供一键式操作，轻松复制定时广播方案，满足用户在不同时间段、不同场景下多方案并行运行的配置需求，提升管理效率；</w:t>
            </w:r>
            <w:r>
              <w:rPr>
                <w:rFonts w:hint="eastAsia" w:ascii="仿宋" w:hAnsi="仿宋" w:eastAsia="仿宋"/>
                <w:color w:val="auto"/>
              </w:rPr>
              <w:br w:type="textWrapping"/>
            </w:r>
            <w:r>
              <w:rPr>
                <w:rFonts w:hint="eastAsia" w:ascii="仿宋" w:hAnsi="仿宋" w:eastAsia="仿宋"/>
                <w:color w:val="auto"/>
              </w:rPr>
              <w:t>9.定时广播支持音频/文本/采播任务的定点定时执行，提供任务批量编排、终端状态实时监测、一键启停及播放日志追溯功能；</w:t>
            </w:r>
            <w:r>
              <w:rPr>
                <w:rFonts w:hint="eastAsia" w:ascii="仿宋" w:hAnsi="仿宋" w:eastAsia="仿宋"/>
                <w:color w:val="auto"/>
              </w:rPr>
              <w:br w:type="textWrapping"/>
            </w:r>
            <w:r>
              <w:rPr>
                <w:rFonts w:hint="eastAsia" w:ascii="仿宋" w:hAnsi="仿宋" w:eastAsia="仿宋"/>
                <w:color w:val="auto"/>
              </w:rPr>
              <w:t>10.实时广播可对任意单点、分组或全区执行实时音频/文本/采播广播任务，一键寻呼喊话任务，高同步性和实时性；</w:t>
            </w:r>
            <w:r>
              <w:rPr>
                <w:rFonts w:hint="eastAsia" w:ascii="仿宋" w:hAnsi="仿宋" w:eastAsia="仿宋"/>
                <w:color w:val="auto"/>
              </w:rPr>
              <w:br w:type="textWrapping"/>
            </w:r>
            <w:r>
              <w:rPr>
                <w:rFonts w:hint="eastAsia" w:ascii="仿宋" w:hAnsi="仿宋" w:eastAsia="仿宋"/>
                <w:color w:val="auto"/>
              </w:rPr>
              <w:t>11.短路联动广播支持全区、分区消防联动，短路输入输出端口联动自由配置，自动化安全机制</w:t>
            </w:r>
            <w:r>
              <w:rPr>
                <w:rFonts w:hint="eastAsia" w:ascii="仿宋" w:hAnsi="仿宋" w:eastAsia="仿宋"/>
                <w:color w:val="auto"/>
              </w:rPr>
              <w:br w:type="textWrapping"/>
            </w:r>
            <w:r>
              <w:rPr>
                <w:rFonts w:hint="eastAsia" w:ascii="仿宋" w:hAnsi="仿宋" w:eastAsia="仿宋"/>
                <w:color w:val="auto"/>
              </w:rPr>
              <w:t>12.考试广播支持基于考场信息自动创建专属定时任务，考试期间自动接管考场终端设备，强制锁定考试任务优先级，阻断非考务广播干扰，确保广播指令零干扰执行；</w:t>
            </w:r>
            <w:r>
              <w:rPr>
                <w:rFonts w:hint="eastAsia" w:ascii="仿宋" w:hAnsi="仿宋" w:eastAsia="仿宋"/>
                <w:color w:val="auto"/>
              </w:rPr>
              <w:br w:type="textWrapping"/>
            </w:r>
            <w:r>
              <w:rPr>
                <w:rFonts w:hint="eastAsia" w:ascii="仿宋" w:hAnsi="仿宋" w:eastAsia="仿宋"/>
                <w:color w:val="auto"/>
              </w:rPr>
              <w:t>13.支持听力备份配置，主备链路智能切换（网络/IP/模拟信号），平台端实时监控终端备份状态，支持备份策略定时器与手动强切模式；</w:t>
            </w:r>
            <w:r>
              <w:rPr>
                <w:rFonts w:hint="eastAsia" w:ascii="仿宋" w:hAnsi="仿宋" w:eastAsia="仿宋"/>
                <w:color w:val="auto"/>
              </w:rPr>
              <w:br w:type="textWrapping"/>
            </w:r>
            <w:r>
              <w:rPr>
                <w:rFonts w:hint="eastAsia" w:ascii="仿宋" w:hAnsi="仿宋" w:eastAsia="仿宋"/>
                <w:color w:val="auto"/>
              </w:rPr>
              <w:t>14.任务音量支持使用终端设备本机音量进行广播，实现同个任务下局部设备音量差异化调节，以满足多样化场景需求；</w:t>
            </w:r>
            <w:r>
              <w:rPr>
                <w:rFonts w:hint="eastAsia" w:ascii="仿宋" w:hAnsi="仿宋" w:eastAsia="仿宋"/>
                <w:color w:val="auto"/>
              </w:rPr>
              <w:br w:type="textWrapping"/>
            </w:r>
            <w:r>
              <w:rPr>
                <w:rFonts w:hint="eastAsia" w:ascii="仿宋" w:hAnsi="仿宋" w:eastAsia="仿宋"/>
                <w:color w:val="auto"/>
              </w:rPr>
              <w:t>15.平台全面覆盖中文、英文，并具备控制带屏终端设备中英文界面无缝切换的能力；</w:t>
            </w:r>
            <w:r>
              <w:rPr>
                <w:rFonts w:hint="eastAsia" w:ascii="仿宋" w:hAnsi="仿宋" w:eastAsia="仿宋"/>
                <w:color w:val="auto"/>
              </w:rPr>
              <w:br w:type="textWrapping"/>
            </w:r>
            <w:r>
              <w:rPr>
                <w:rFonts w:hint="eastAsia" w:ascii="仿宋" w:hAnsi="仿宋" w:eastAsia="仿宋"/>
                <w:color w:val="auto"/>
              </w:rPr>
              <w:t>16.具有全周期任务视图，日历/列表双视图展示定时任务，支持历史数据回溯与未来任务预演；</w:t>
            </w:r>
            <w:r>
              <w:rPr>
                <w:rFonts w:hint="eastAsia" w:ascii="仿宋" w:hAnsi="仿宋" w:eastAsia="仿宋"/>
                <w:color w:val="auto"/>
              </w:rPr>
              <w:br w:type="textWrapping"/>
            </w:r>
            <w:r>
              <w:rPr>
                <w:rFonts w:hint="eastAsia" w:ascii="仿宋" w:hAnsi="仿宋" w:eastAsia="仿宋"/>
                <w:color w:val="auto"/>
              </w:rPr>
              <w:t>17.支持调休管理，自动置换休息日与补班日广播策略，配置变更实时同步全网设备，规避人工逐条修改风险；</w:t>
            </w:r>
            <w:r>
              <w:rPr>
                <w:rFonts w:hint="eastAsia" w:ascii="仿宋" w:hAnsi="仿宋" w:eastAsia="仿宋"/>
                <w:color w:val="auto"/>
              </w:rPr>
              <w:br w:type="textWrapping"/>
            </w:r>
            <w:r>
              <w:rPr>
                <w:rFonts w:hint="eastAsia" w:ascii="仿宋" w:hAnsi="仿宋" w:eastAsia="仿宋"/>
                <w:color w:val="auto"/>
              </w:rPr>
              <w:t>18.支持节假日管理，预设节假日自动冻结当日定时任务，配置变更实时生效无需人工干预；</w:t>
            </w:r>
            <w:r>
              <w:rPr>
                <w:rFonts w:hint="eastAsia" w:ascii="仿宋" w:hAnsi="仿宋" w:eastAsia="仿宋"/>
                <w:color w:val="auto"/>
              </w:rPr>
              <w:br w:type="textWrapping"/>
            </w:r>
            <w:r>
              <w:rPr>
                <w:rFonts w:hint="eastAsia" w:ascii="仿宋" w:hAnsi="仿宋" w:eastAsia="仿宋"/>
                <w:color w:val="auto"/>
              </w:rPr>
              <w:t>19.播音室采用规范化布局架构（支持 3*7 及以上合理布局形式），高效集成设备配置、广播内容编辑与即时播放功能，并配备便捷的广播点播系统；</w:t>
            </w:r>
            <w:r>
              <w:rPr>
                <w:rFonts w:hint="eastAsia" w:ascii="仿宋" w:hAnsi="仿宋" w:eastAsia="仿宋"/>
                <w:color w:val="auto"/>
              </w:rPr>
              <w:br w:type="textWrapping"/>
            </w:r>
            <w:r>
              <w:rPr>
                <w:rFonts w:hint="eastAsia" w:ascii="仿宋" w:hAnsi="仿宋" w:eastAsia="仿宋"/>
                <w:color w:val="auto"/>
              </w:rPr>
              <w:t>20.系统内置先进的TTS语音引擎，支持将文本自动转换为语音进行广播，提供文本任务试听与下载功能，可以验证文字发音准确性，提升信息传达的准确性和效果；</w:t>
            </w:r>
            <w:r>
              <w:rPr>
                <w:rFonts w:hint="eastAsia" w:ascii="仿宋" w:hAnsi="仿宋" w:eastAsia="仿宋"/>
                <w:color w:val="auto"/>
              </w:rPr>
              <w:br w:type="textWrapping"/>
            </w:r>
            <w:r>
              <w:rPr>
                <w:rFonts w:hint="eastAsia" w:ascii="仿宋" w:hAnsi="仿宋" w:eastAsia="仿宋"/>
                <w:color w:val="auto"/>
              </w:rPr>
              <w:t>21.具有任务试听功能，用户可在任务播放前，对已保存的任务进行广播音频效果测试预览，确保播放内容准确无误；</w:t>
            </w:r>
            <w:r>
              <w:rPr>
                <w:rFonts w:hint="eastAsia" w:ascii="仿宋" w:hAnsi="仿宋" w:eastAsia="仿宋"/>
                <w:color w:val="auto"/>
              </w:rPr>
              <w:br w:type="textWrapping"/>
            </w:r>
            <w:r>
              <w:rPr>
                <w:rFonts w:hint="eastAsia" w:ascii="仿宋" w:hAnsi="仿宋" w:eastAsia="仿宋"/>
                <w:color w:val="auto"/>
              </w:rPr>
              <w:t>22.具有设备巡检功能，支持立即巡检和定时巡检，可对终端设备的功放过流、功放过热、过压保护、低压检测、线路开路、线路短路、网络状态进行检测，并可通过平台查看检测结果，定时巡检可设置一次性和周期性巡检周期以及巡检时间，实现自动巡检，巡检时不影响广播正常播放；</w:t>
            </w:r>
            <w:r>
              <w:rPr>
                <w:rFonts w:hint="eastAsia" w:ascii="仿宋" w:hAnsi="仿宋" w:eastAsia="仿宋"/>
                <w:color w:val="auto"/>
              </w:rPr>
              <w:br w:type="textWrapping"/>
            </w:r>
            <w:r>
              <w:rPr>
                <w:rFonts w:hint="eastAsia" w:ascii="仿宋" w:hAnsi="仿宋" w:eastAsia="仿宋"/>
                <w:color w:val="auto"/>
              </w:rPr>
              <w:t>23.提供一键式备份操作，支持远程下载备份文件、一键还原功能，有效协助用户应对各种数据丢失场景，轻松实现现有数据的全面保存；</w:t>
            </w:r>
            <w:r>
              <w:rPr>
                <w:rFonts w:hint="eastAsia" w:ascii="仿宋" w:hAnsi="仿宋" w:eastAsia="仿宋"/>
                <w:color w:val="auto"/>
              </w:rPr>
              <w:br w:type="textWrapping"/>
            </w:r>
            <w:r>
              <w:rPr>
                <w:rFonts w:hint="eastAsia" w:ascii="仿宋" w:hAnsi="仿宋" w:eastAsia="仿宋"/>
                <w:color w:val="auto"/>
              </w:rPr>
              <w:t>24.通过灵活配置两台广播管理服务器，实现无缝对接与协同工作的服务器热备份方案，当主服务器发生故障时，备服务器可以在1分钟内接管工作，保证广播服务不中断；</w:t>
            </w:r>
            <w:r>
              <w:rPr>
                <w:rFonts w:hint="eastAsia" w:ascii="仿宋" w:hAnsi="仿宋" w:eastAsia="仿宋"/>
                <w:color w:val="auto"/>
              </w:rPr>
              <w:br w:type="textWrapping"/>
            </w:r>
            <w:r>
              <w:rPr>
                <w:rFonts w:hint="eastAsia" w:ascii="仿宋" w:hAnsi="仿宋" w:eastAsia="仿宋"/>
                <w:color w:val="auto"/>
              </w:rPr>
              <w:t xml:space="preserve">25.支持音源优先级设置，可对紧急求助、报警呼叫、监听、对讲、寻呼、文字广播、定时任务、实时采播、实时文件播放、定时采播、定时打铃等优先级进行自由排序并进行保存； </w:t>
            </w:r>
            <w:r>
              <w:rPr>
                <w:rFonts w:hint="eastAsia" w:ascii="仿宋" w:hAnsi="仿宋" w:eastAsia="仿宋"/>
                <w:color w:val="auto"/>
              </w:rPr>
              <w:br w:type="textWrapping"/>
            </w:r>
            <w:r>
              <w:rPr>
                <w:rFonts w:hint="eastAsia" w:ascii="仿宋" w:hAnsi="仿宋" w:eastAsia="仿宋"/>
                <w:color w:val="auto"/>
              </w:rPr>
              <w:t>26.支持电源预启动设置，提供 10 秒、15 秒、20 秒、30 秒、40 秒、50 秒、60 秒及以上可选预启动时间，可减少能源损耗并降低设备损坏风险。</w:t>
            </w:r>
            <w:r>
              <w:rPr>
                <w:rFonts w:hint="eastAsia" w:ascii="仿宋" w:hAnsi="仿宋" w:eastAsia="仿宋"/>
                <w:color w:val="auto"/>
              </w:rPr>
              <w:br w:type="textWrapping"/>
            </w:r>
            <w:r>
              <w:rPr>
                <w:rFonts w:hint="eastAsia" w:ascii="仿宋" w:hAnsi="仿宋" w:eastAsia="仿宋"/>
                <w:color w:val="auto"/>
              </w:rPr>
              <w:t>27.支持自动采集功能，搭配音频采集终端，可根据音源的输入情况，自动触发或关闭采集任务，实现资源的智能管理；</w:t>
            </w:r>
            <w:r>
              <w:rPr>
                <w:rFonts w:hint="eastAsia" w:ascii="仿宋" w:hAnsi="仿宋" w:eastAsia="仿宋"/>
                <w:color w:val="auto"/>
              </w:rPr>
              <w:br w:type="textWrapping"/>
            </w:r>
            <w:r>
              <w:rPr>
                <w:rFonts w:hint="eastAsia" w:ascii="仿宋" w:hAnsi="仿宋" w:eastAsia="仿宋"/>
                <w:color w:val="auto"/>
              </w:rPr>
              <w:t>28.系统内置大容量媒体库，可存储数千小时以上的音乐或语音节目，支持为所有音频终端提供精准的定时播放和灵活的实时点播服务，用户可随时下载媒体库中的内容，且媒体库全面兼容mp3、wav、wma、flac、ogg、ape、aac等多种主流音频格式；</w:t>
            </w:r>
            <w:r>
              <w:rPr>
                <w:rFonts w:hint="eastAsia" w:ascii="仿宋" w:hAnsi="仿宋" w:eastAsia="仿宋"/>
                <w:color w:val="auto"/>
              </w:rPr>
              <w:br w:type="textWrapping"/>
            </w:r>
            <w:r>
              <w:rPr>
                <w:rFonts w:hint="eastAsia" w:ascii="仿宋" w:hAnsi="仿宋" w:eastAsia="仿宋"/>
                <w:color w:val="auto"/>
              </w:rPr>
              <w:t>29.支持网络音箱优先级设置，具有网路优先、话筒优先、音源优先、音源和话筒优先、话筒和网络优先、网络和音源优先等音源优先级选择，实现自由调节网络、线路和话筒各端口的优先级顺序，确保关键信息优先传达；</w:t>
            </w:r>
            <w:r>
              <w:rPr>
                <w:rFonts w:hint="eastAsia" w:ascii="仿宋" w:hAnsi="仿宋" w:eastAsia="仿宋"/>
                <w:color w:val="auto"/>
              </w:rPr>
              <w:br w:type="textWrapping"/>
            </w:r>
            <w:r>
              <w:rPr>
                <w:rFonts w:hint="eastAsia" w:ascii="仿宋" w:hAnsi="仿宋" w:eastAsia="仿宋"/>
                <w:color w:val="auto"/>
              </w:rPr>
              <w:t>30.可配置终端设备自动化采集任务，根据音源输入自动触发或停止采集，提高采集效率和准确性；</w:t>
            </w:r>
            <w:r>
              <w:rPr>
                <w:rFonts w:hint="eastAsia" w:ascii="仿宋" w:hAnsi="仿宋" w:eastAsia="仿宋"/>
                <w:color w:val="auto"/>
              </w:rPr>
              <w:br w:type="textWrapping"/>
            </w:r>
            <w:r>
              <w:rPr>
                <w:rFonts w:hint="eastAsia" w:ascii="仿宋" w:hAnsi="仿宋" w:eastAsia="仿宋"/>
                <w:color w:val="auto"/>
              </w:rPr>
              <w:t>31.系统可自建多种角色，可按需自定义角色的操作权限，如播音室、设备管理、实时播放、定时广播、报警任务、媒体库、系统管理等菜单权限以及管理组织权限，提供不同的操作界面，实现人性化管理不同用户需求；</w:t>
            </w:r>
            <w:r>
              <w:rPr>
                <w:rFonts w:hint="eastAsia" w:ascii="仿宋" w:hAnsi="仿宋" w:eastAsia="仿宋"/>
                <w:color w:val="auto"/>
              </w:rPr>
              <w:br w:type="textWrapping"/>
            </w:r>
            <w:r>
              <w:rPr>
                <w:rFonts w:hint="eastAsia" w:ascii="仿宋" w:hAnsi="仿宋" w:eastAsia="仿宋"/>
                <w:color w:val="auto"/>
              </w:rPr>
              <w:t>32.支持对实时任务进行播放控制和查看，可调节0-100级音量大小、上一首、下一首及点击音频可进行歌曲切换，播放或停止任务；</w:t>
            </w:r>
            <w:r>
              <w:rPr>
                <w:rFonts w:hint="eastAsia" w:ascii="仿宋" w:hAnsi="仿宋" w:eastAsia="仿宋"/>
                <w:color w:val="auto"/>
              </w:rPr>
              <w:br w:type="textWrapping"/>
            </w:r>
            <w:r>
              <w:rPr>
                <w:rFonts w:hint="eastAsia" w:ascii="仿宋" w:hAnsi="仿宋" w:eastAsia="仿宋"/>
                <w:color w:val="auto"/>
              </w:rPr>
              <w:t>▲33.话筒配置支持一键报警操作，通过配置话筒报警任务，可对任务进行添加、编辑和删除，任务音量、播放模式、音源类型和音频文件可自由选择。</w:t>
            </w:r>
            <w:r>
              <w:rPr>
                <w:rFonts w:hint="eastAsia" w:ascii="仿宋" w:hAnsi="仿宋" w:eastAsia="仿宋"/>
                <w:b/>
                <w:bCs/>
                <w:color w:val="auto"/>
              </w:rPr>
              <w:t>须提供符合功能要求的系统软件截图。</w:t>
            </w:r>
            <w:r>
              <w:rPr>
                <w:rFonts w:hint="eastAsia" w:ascii="仿宋" w:hAnsi="仿宋" w:eastAsia="仿宋"/>
                <w:color w:val="auto"/>
              </w:rPr>
              <w:br w:type="textWrapping"/>
            </w:r>
            <w:r>
              <w:rPr>
                <w:rFonts w:hint="eastAsia" w:ascii="仿宋" w:hAnsi="仿宋" w:eastAsia="仿宋"/>
                <w:color w:val="auto"/>
              </w:rPr>
              <w:t>▲34.具有登录日志管理功能，记录用户登录的记录，可根据登录地址、登录名称、登录状态、登录时间等信息进行日志的搜索，也可进行删除、清空、解锁、导出等操作。</w:t>
            </w:r>
            <w:bookmarkStart w:id="60" w:name="OLE_LINK9"/>
            <w:r>
              <w:rPr>
                <w:rFonts w:hint="eastAsia" w:ascii="仿宋" w:hAnsi="仿宋" w:eastAsia="仿宋"/>
                <w:b/>
                <w:bCs/>
                <w:color w:val="auto"/>
              </w:rPr>
              <w:t>须提供符合功能要求的系统软件截图。</w:t>
            </w:r>
            <w:bookmarkEnd w:id="60"/>
          </w:p>
        </w:tc>
        <w:tc>
          <w:tcPr>
            <w:tcW w:w="0" w:type="auto"/>
            <w:vAlign w:val="center"/>
          </w:tcPr>
          <w:p w14:paraId="3E4ACE46">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019A5854">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47B1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FFF28B1">
            <w:pPr>
              <w:widowControl/>
              <w:snapToGrid w:val="0"/>
              <w:jc w:val="center"/>
              <w:rPr>
                <w:rFonts w:hint="eastAsia" w:ascii="仿宋" w:hAnsi="仿宋" w:eastAsia="仿宋"/>
                <w:color w:val="auto"/>
                <w:kern w:val="0"/>
              </w:rPr>
            </w:pPr>
            <w:r>
              <w:rPr>
                <w:rFonts w:hint="eastAsia" w:ascii="仿宋" w:hAnsi="仿宋" w:eastAsia="仿宋"/>
                <w:color w:val="auto"/>
                <w:kern w:val="0"/>
              </w:rPr>
              <w:t>3</w:t>
            </w:r>
          </w:p>
        </w:tc>
        <w:tc>
          <w:tcPr>
            <w:tcW w:w="996" w:type="dxa"/>
            <w:vAlign w:val="center"/>
          </w:tcPr>
          <w:p w14:paraId="0CE356AD">
            <w:pPr>
              <w:widowControl/>
              <w:snapToGrid w:val="0"/>
              <w:jc w:val="center"/>
              <w:rPr>
                <w:rFonts w:hint="eastAsia" w:ascii="仿宋" w:hAnsi="仿宋" w:eastAsia="仿宋"/>
                <w:color w:val="auto"/>
              </w:rPr>
            </w:pPr>
            <w:r>
              <w:rPr>
                <w:rFonts w:hint="eastAsia" w:ascii="仿宋" w:hAnsi="仿宋" w:eastAsia="仿宋"/>
                <w:color w:val="auto"/>
              </w:rPr>
              <w:t>消防联动模块</w:t>
            </w:r>
          </w:p>
        </w:tc>
        <w:tc>
          <w:tcPr>
            <w:tcW w:w="6650" w:type="dxa"/>
            <w:vAlign w:val="center"/>
          </w:tcPr>
          <w:p w14:paraId="1236CDF1">
            <w:pPr>
              <w:widowControl/>
              <w:snapToGrid w:val="0"/>
              <w:jc w:val="left"/>
              <w:rPr>
                <w:rFonts w:hint="eastAsia" w:ascii="仿宋" w:hAnsi="仿宋" w:eastAsia="仿宋"/>
                <w:color w:val="auto"/>
              </w:rPr>
            </w:pPr>
            <w:r>
              <w:rPr>
                <w:rFonts w:hint="eastAsia" w:ascii="仿宋" w:hAnsi="仿宋" w:eastAsia="仿宋"/>
                <w:color w:val="auto"/>
              </w:rPr>
              <w:t>1.采用19 英寸标准机架式结构，机身高度 1U，金属材质面板，满足机柜安装与工业级稳定运行要求</w:t>
            </w:r>
            <w:r>
              <w:rPr>
                <w:rFonts w:hint="eastAsia" w:ascii="仿宋" w:hAnsi="仿宋" w:eastAsia="仿宋"/>
                <w:color w:val="auto"/>
              </w:rPr>
              <w:br w:type="textWrapping"/>
            </w:r>
            <w:r>
              <w:rPr>
                <w:rFonts w:hint="eastAsia" w:ascii="仿宋" w:hAnsi="仿宋" w:eastAsia="仿宋"/>
                <w:color w:val="auto"/>
              </w:rPr>
              <w:t>2.直接接入广播系统使用，无需外接其他转换设备，信号路数随意扩展；</w:t>
            </w:r>
            <w:r>
              <w:rPr>
                <w:rFonts w:hint="eastAsia" w:ascii="仿宋" w:hAnsi="仿宋" w:eastAsia="仿宋"/>
                <w:color w:val="auto"/>
              </w:rPr>
              <w:br w:type="textWrapping"/>
            </w:r>
            <w:r>
              <w:rPr>
                <w:rFonts w:hint="eastAsia" w:ascii="仿宋" w:hAnsi="仿宋" w:eastAsia="仿宋"/>
                <w:color w:val="auto"/>
              </w:rPr>
              <w:t>3.自带不少于32路信号输入及8路信号输出，可实现自动强插；</w:t>
            </w:r>
            <w:r>
              <w:rPr>
                <w:rFonts w:hint="eastAsia" w:ascii="仿宋" w:hAnsi="仿宋" w:eastAsia="仿宋"/>
                <w:color w:val="auto"/>
              </w:rPr>
              <w:br w:type="textWrapping"/>
            </w:r>
            <w:r>
              <w:rPr>
                <w:rFonts w:hint="eastAsia" w:ascii="仿宋" w:hAnsi="仿宋" w:eastAsia="仿宋"/>
                <w:color w:val="auto"/>
              </w:rPr>
              <w:t>4.支持≥1路紧急话筒输入，可用于现场应急指挥或实现话筒录音功能；</w:t>
            </w:r>
            <w:r>
              <w:rPr>
                <w:rFonts w:hint="eastAsia" w:ascii="仿宋" w:hAnsi="仿宋" w:eastAsia="仿宋"/>
                <w:color w:val="auto"/>
              </w:rPr>
              <w:br w:type="textWrapping"/>
            </w:r>
            <w:r>
              <w:rPr>
                <w:rFonts w:hint="eastAsia" w:ascii="仿宋" w:hAnsi="仿宋" w:eastAsia="仿宋"/>
                <w:color w:val="auto"/>
              </w:rPr>
              <w:t>5.配置≥1个RJ45网口，支持ARP、IP、UDP、TCP、ICMP、IGMP等网络协议；</w:t>
            </w:r>
            <w:r>
              <w:rPr>
                <w:rFonts w:hint="eastAsia" w:ascii="仿宋" w:hAnsi="仿宋" w:eastAsia="仿宋"/>
                <w:color w:val="auto"/>
              </w:rPr>
              <w:br w:type="textWrapping"/>
            </w:r>
            <w:r>
              <w:rPr>
                <w:rFonts w:hint="eastAsia" w:ascii="仿宋" w:hAnsi="仿宋" w:eastAsia="仿宋"/>
                <w:color w:val="auto"/>
              </w:rPr>
              <w:t>6.支持一键网络音频全区报警、一键本地音频全区报警，支持报警语音与话筒信号混音输出。；</w:t>
            </w:r>
            <w:r>
              <w:rPr>
                <w:rFonts w:hint="eastAsia" w:ascii="仿宋" w:hAnsi="仿宋" w:eastAsia="仿宋"/>
                <w:color w:val="auto"/>
              </w:rPr>
              <w:br w:type="textWrapping"/>
            </w:r>
            <w:r>
              <w:rPr>
                <w:rFonts w:hint="eastAsia" w:ascii="仿宋" w:hAnsi="仿宋" w:eastAsia="仿宋"/>
                <w:color w:val="auto"/>
              </w:rPr>
              <w:t>7.支持自定义报警声，可对不同地点不同场合设置不同的报警铃声。</w:t>
            </w:r>
          </w:p>
        </w:tc>
        <w:tc>
          <w:tcPr>
            <w:tcW w:w="0" w:type="auto"/>
            <w:vAlign w:val="center"/>
          </w:tcPr>
          <w:p w14:paraId="2F405E9E">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58A77827">
            <w:pPr>
              <w:widowControl/>
              <w:snapToGrid w:val="0"/>
              <w:jc w:val="center"/>
              <w:rPr>
                <w:rFonts w:hint="eastAsia" w:ascii="仿宋" w:hAnsi="仿宋" w:eastAsia="仿宋" w:cs="Calibri"/>
                <w:color w:val="auto"/>
                <w:kern w:val="0"/>
              </w:rPr>
            </w:pPr>
            <w:r>
              <w:rPr>
                <w:rFonts w:hint="eastAsia" w:ascii="仿宋" w:hAnsi="仿宋" w:eastAsia="仿宋"/>
                <w:color w:val="auto"/>
              </w:rPr>
              <w:t>个</w:t>
            </w:r>
          </w:p>
        </w:tc>
      </w:tr>
      <w:tr w14:paraId="1A82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254DE5AA">
            <w:pPr>
              <w:widowControl/>
              <w:snapToGrid w:val="0"/>
              <w:jc w:val="center"/>
              <w:rPr>
                <w:rFonts w:hint="eastAsia" w:ascii="仿宋" w:hAnsi="仿宋" w:eastAsia="仿宋"/>
                <w:color w:val="auto"/>
              </w:rPr>
            </w:pPr>
            <w:bookmarkStart w:id="61" w:name="OLE_LINK15"/>
            <w:r>
              <w:rPr>
                <w:rFonts w:hint="eastAsia" w:ascii="仿宋" w:hAnsi="仿宋" w:eastAsia="仿宋" w:cs="宋体"/>
                <w:b/>
                <w:bCs/>
                <w:color w:val="auto"/>
                <w:kern w:val="0"/>
                <w:sz w:val="24"/>
                <w:szCs w:val="24"/>
              </w:rPr>
              <w:t>机房中心设备-音源设备</w:t>
            </w:r>
            <w:bookmarkEnd w:id="61"/>
          </w:p>
        </w:tc>
        <w:tc>
          <w:tcPr>
            <w:tcW w:w="0" w:type="auto"/>
            <w:vAlign w:val="center"/>
          </w:tcPr>
          <w:p w14:paraId="0807CB00">
            <w:pPr>
              <w:widowControl/>
              <w:snapToGrid w:val="0"/>
              <w:jc w:val="center"/>
              <w:rPr>
                <w:rFonts w:hint="eastAsia" w:ascii="仿宋" w:hAnsi="仿宋" w:eastAsia="仿宋"/>
                <w:color w:val="auto"/>
              </w:rPr>
            </w:pPr>
          </w:p>
        </w:tc>
        <w:tc>
          <w:tcPr>
            <w:tcW w:w="492" w:type="dxa"/>
            <w:vAlign w:val="center"/>
          </w:tcPr>
          <w:p w14:paraId="042D2FB4">
            <w:pPr>
              <w:widowControl/>
              <w:snapToGrid w:val="0"/>
              <w:jc w:val="center"/>
              <w:rPr>
                <w:rFonts w:hint="eastAsia" w:ascii="仿宋" w:hAnsi="仿宋" w:eastAsia="仿宋" w:cs="Calibri"/>
                <w:color w:val="auto"/>
                <w:kern w:val="0"/>
              </w:rPr>
            </w:pPr>
          </w:p>
        </w:tc>
      </w:tr>
      <w:tr w14:paraId="63A64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AE0F4C9">
            <w:pPr>
              <w:widowControl/>
              <w:snapToGrid w:val="0"/>
              <w:jc w:val="center"/>
              <w:rPr>
                <w:rFonts w:hint="eastAsia" w:ascii="仿宋" w:hAnsi="仿宋" w:eastAsia="仿宋"/>
                <w:color w:val="auto"/>
                <w:kern w:val="0"/>
              </w:rPr>
            </w:pPr>
            <w:r>
              <w:rPr>
                <w:rFonts w:hint="eastAsia" w:ascii="仿宋" w:hAnsi="仿宋" w:eastAsia="仿宋"/>
                <w:color w:val="auto"/>
                <w:kern w:val="0"/>
              </w:rPr>
              <w:t>1</w:t>
            </w:r>
          </w:p>
        </w:tc>
        <w:tc>
          <w:tcPr>
            <w:tcW w:w="996" w:type="dxa"/>
            <w:vAlign w:val="center"/>
          </w:tcPr>
          <w:p w14:paraId="75CC85EE">
            <w:pPr>
              <w:widowControl/>
              <w:snapToGrid w:val="0"/>
              <w:jc w:val="center"/>
              <w:rPr>
                <w:rFonts w:hint="eastAsia" w:ascii="仿宋" w:hAnsi="仿宋" w:eastAsia="仿宋"/>
                <w:color w:val="auto"/>
              </w:rPr>
            </w:pPr>
            <w:r>
              <w:rPr>
                <w:rFonts w:hint="eastAsia" w:ascii="仿宋" w:hAnsi="仿宋" w:eastAsia="仿宋"/>
                <w:color w:val="auto"/>
              </w:rPr>
              <w:t>DVD播放器</w:t>
            </w:r>
          </w:p>
        </w:tc>
        <w:tc>
          <w:tcPr>
            <w:tcW w:w="6650" w:type="dxa"/>
            <w:vAlign w:val="center"/>
          </w:tcPr>
          <w:p w14:paraId="675BDD59">
            <w:pPr>
              <w:widowControl/>
              <w:snapToGrid w:val="0"/>
              <w:jc w:val="left"/>
              <w:rPr>
                <w:rFonts w:hint="eastAsia" w:ascii="仿宋" w:hAnsi="仿宋" w:eastAsia="仿宋"/>
                <w:color w:val="auto"/>
              </w:rPr>
            </w:pPr>
            <w:r>
              <w:rPr>
                <w:rFonts w:hint="eastAsia" w:ascii="仿宋" w:hAnsi="仿宋" w:eastAsia="仿宋"/>
                <w:color w:val="auto"/>
              </w:rPr>
              <w:t>1.支持多个循环模式播放，单曲循环、全部重复、顺序播放；</w:t>
            </w:r>
            <w:r>
              <w:rPr>
                <w:rFonts w:hint="eastAsia" w:ascii="仿宋" w:hAnsi="仿宋" w:eastAsia="仿宋"/>
                <w:color w:val="auto"/>
              </w:rPr>
              <w:br w:type="textWrapping"/>
            </w:r>
            <w:r>
              <w:rPr>
                <w:rFonts w:hint="eastAsia" w:ascii="仿宋" w:hAnsi="仿宋" w:eastAsia="仿宋"/>
                <w:color w:val="auto"/>
              </w:rPr>
              <w:t>2.支持CD/VCD/DVD等多种播放格式；</w:t>
            </w:r>
            <w:r>
              <w:rPr>
                <w:rFonts w:hint="eastAsia" w:ascii="仿宋" w:hAnsi="仿宋" w:eastAsia="仿宋"/>
                <w:color w:val="auto"/>
              </w:rPr>
              <w:br w:type="textWrapping"/>
            </w:r>
            <w:r>
              <w:rPr>
                <w:rFonts w:hint="eastAsia" w:ascii="仿宋" w:hAnsi="仿宋" w:eastAsia="仿宋"/>
                <w:color w:val="auto"/>
              </w:rPr>
              <w:t>3.支持U盘/SD卡即插即放；</w:t>
            </w:r>
            <w:r>
              <w:rPr>
                <w:rFonts w:hint="eastAsia" w:ascii="仿宋" w:hAnsi="仿宋" w:eastAsia="仿宋"/>
                <w:color w:val="auto"/>
              </w:rPr>
              <w:br w:type="textWrapping"/>
            </w:r>
            <w:r>
              <w:rPr>
                <w:rFonts w:hint="eastAsia" w:ascii="仿宋" w:hAnsi="仿宋" w:eastAsia="仿宋"/>
                <w:color w:val="auto"/>
              </w:rPr>
              <w:t>4.支持不少于2路音频信号左右声道（L/R）输出，1路色差视频输出；</w:t>
            </w:r>
            <w:r>
              <w:rPr>
                <w:rFonts w:hint="eastAsia" w:ascii="仿宋" w:hAnsi="仿宋" w:eastAsia="仿宋"/>
                <w:color w:val="auto"/>
              </w:rPr>
              <w:br w:type="textWrapping"/>
            </w:r>
            <w:r>
              <w:rPr>
                <w:rFonts w:hint="eastAsia" w:ascii="仿宋" w:hAnsi="仿宋" w:eastAsia="仿宋"/>
                <w:color w:val="auto"/>
              </w:rPr>
              <w:t>5.音频失真度：≤0.1%（1KHz），输出幅度：≥500mV。</w:t>
            </w:r>
          </w:p>
        </w:tc>
        <w:tc>
          <w:tcPr>
            <w:tcW w:w="0" w:type="auto"/>
            <w:vAlign w:val="center"/>
          </w:tcPr>
          <w:p w14:paraId="15B100FA">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1</w:t>
            </w:r>
          </w:p>
        </w:tc>
        <w:tc>
          <w:tcPr>
            <w:tcW w:w="492" w:type="dxa"/>
            <w:vAlign w:val="center"/>
          </w:tcPr>
          <w:p w14:paraId="1F7BE271">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62A0B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A705570">
            <w:pPr>
              <w:widowControl/>
              <w:snapToGrid w:val="0"/>
              <w:jc w:val="center"/>
              <w:rPr>
                <w:rFonts w:hint="eastAsia" w:ascii="仿宋" w:hAnsi="仿宋" w:eastAsia="仿宋"/>
                <w:color w:val="auto"/>
                <w:kern w:val="0"/>
              </w:rPr>
            </w:pPr>
            <w:r>
              <w:rPr>
                <w:rFonts w:hint="eastAsia" w:ascii="仿宋" w:hAnsi="仿宋" w:eastAsia="仿宋"/>
                <w:color w:val="auto"/>
                <w:kern w:val="0"/>
              </w:rPr>
              <w:t>2</w:t>
            </w:r>
          </w:p>
        </w:tc>
        <w:tc>
          <w:tcPr>
            <w:tcW w:w="996" w:type="dxa"/>
            <w:vAlign w:val="center"/>
          </w:tcPr>
          <w:p w14:paraId="6CEB1B57">
            <w:pPr>
              <w:widowControl/>
              <w:snapToGrid w:val="0"/>
              <w:jc w:val="center"/>
              <w:rPr>
                <w:rFonts w:hint="eastAsia" w:ascii="仿宋" w:hAnsi="仿宋" w:eastAsia="仿宋"/>
                <w:color w:val="auto"/>
              </w:rPr>
            </w:pPr>
            <w:r>
              <w:rPr>
                <w:rFonts w:hint="eastAsia" w:ascii="仿宋" w:hAnsi="仿宋" w:eastAsia="仿宋"/>
                <w:color w:val="auto"/>
              </w:rPr>
              <w:t>数字调谐器</w:t>
            </w:r>
          </w:p>
        </w:tc>
        <w:tc>
          <w:tcPr>
            <w:tcW w:w="6650" w:type="dxa"/>
            <w:vAlign w:val="center"/>
          </w:tcPr>
          <w:p w14:paraId="511FD612">
            <w:pPr>
              <w:widowControl/>
              <w:snapToGrid w:val="0"/>
              <w:jc w:val="left"/>
              <w:rPr>
                <w:rFonts w:hint="eastAsia" w:ascii="仿宋" w:hAnsi="仿宋" w:eastAsia="仿宋"/>
                <w:color w:val="auto"/>
              </w:rPr>
            </w:pPr>
            <w:r>
              <w:rPr>
                <w:rFonts w:hint="eastAsia" w:ascii="仿宋" w:hAnsi="仿宋" w:eastAsia="仿宋"/>
                <w:color w:val="auto"/>
              </w:rPr>
              <w:t>1.支持自动搜台、手动调台、预设电台，可存储≥32个电台；</w:t>
            </w:r>
            <w:r>
              <w:rPr>
                <w:rFonts w:hint="eastAsia" w:ascii="仿宋" w:hAnsi="仿宋" w:eastAsia="仿宋"/>
                <w:color w:val="auto"/>
              </w:rPr>
              <w:br w:type="textWrapping"/>
            </w:r>
            <w:r>
              <w:rPr>
                <w:rFonts w:hint="eastAsia" w:ascii="仿宋" w:hAnsi="仿宋" w:eastAsia="仿宋"/>
                <w:color w:val="auto"/>
              </w:rPr>
              <w:t>2.支持断电记忆播放或受控播放；</w:t>
            </w:r>
            <w:r>
              <w:rPr>
                <w:rFonts w:hint="eastAsia" w:ascii="仿宋" w:hAnsi="仿宋" w:eastAsia="仿宋"/>
                <w:color w:val="auto"/>
              </w:rPr>
              <w:br w:type="textWrapping"/>
            </w:r>
            <w:r>
              <w:rPr>
                <w:rFonts w:hint="eastAsia" w:ascii="仿宋" w:hAnsi="仿宋" w:eastAsia="仿宋"/>
                <w:color w:val="auto"/>
              </w:rPr>
              <w:t>3.支持RS485总线远程控制接口，带外置增益天线；</w:t>
            </w:r>
            <w:r>
              <w:rPr>
                <w:rFonts w:hint="eastAsia" w:ascii="仿宋" w:hAnsi="仿宋" w:eastAsia="仿宋"/>
                <w:color w:val="auto"/>
              </w:rPr>
              <w:br w:type="textWrapping"/>
            </w:r>
            <w:r>
              <w:rPr>
                <w:rFonts w:hint="eastAsia" w:ascii="仿宋" w:hAnsi="仿宋" w:eastAsia="仿宋"/>
                <w:color w:val="auto"/>
              </w:rPr>
              <w:t>4.支持RS485多机级联，可扩展≥ 6台设备；</w:t>
            </w:r>
            <w:r>
              <w:rPr>
                <w:rFonts w:hint="eastAsia" w:ascii="仿宋" w:hAnsi="仿宋" w:eastAsia="仿宋"/>
                <w:color w:val="auto"/>
              </w:rPr>
              <w:br w:type="textWrapping"/>
            </w:r>
            <w:r>
              <w:rPr>
                <w:rFonts w:hint="eastAsia" w:ascii="仿宋" w:hAnsi="仿宋" w:eastAsia="仿宋"/>
                <w:color w:val="auto"/>
              </w:rPr>
              <w:t>5.≥2路音频信号左右声道（L /R）输出；</w:t>
            </w:r>
            <w:r>
              <w:rPr>
                <w:rFonts w:hint="eastAsia" w:ascii="仿宋" w:hAnsi="仿宋" w:eastAsia="仿宋"/>
                <w:color w:val="auto"/>
              </w:rPr>
              <w:br w:type="textWrapping"/>
            </w:r>
            <w:r>
              <w:rPr>
                <w:rFonts w:hint="eastAsia" w:ascii="仿宋" w:hAnsi="仿宋" w:eastAsia="仿宋"/>
                <w:color w:val="auto"/>
              </w:rPr>
              <w:t>6.内置监听功能，可实时监听当前播放状态；</w:t>
            </w:r>
            <w:r>
              <w:rPr>
                <w:rFonts w:hint="eastAsia" w:ascii="仿宋" w:hAnsi="仿宋" w:eastAsia="仿宋"/>
                <w:color w:val="auto"/>
              </w:rPr>
              <w:br w:type="textWrapping"/>
            </w:r>
            <w:r>
              <w:rPr>
                <w:rFonts w:hint="eastAsia" w:ascii="仿宋" w:hAnsi="仿宋" w:eastAsia="仿宋"/>
                <w:color w:val="auto"/>
              </w:rPr>
              <w:t>7.带静音按键，可使系统将进入静音状态。</w:t>
            </w:r>
          </w:p>
        </w:tc>
        <w:tc>
          <w:tcPr>
            <w:tcW w:w="0" w:type="auto"/>
            <w:vAlign w:val="center"/>
          </w:tcPr>
          <w:p w14:paraId="4B6CE954">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1</w:t>
            </w:r>
          </w:p>
        </w:tc>
        <w:tc>
          <w:tcPr>
            <w:tcW w:w="492" w:type="dxa"/>
            <w:vAlign w:val="center"/>
          </w:tcPr>
          <w:p w14:paraId="4AE2D52A">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723C3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0FDA46CB">
            <w:pPr>
              <w:widowControl/>
              <w:snapToGrid w:val="0"/>
              <w:jc w:val="center"/>
              <w:rPr>
                <w:rFonts w:hint="eastAsia" w:ascii="仿宋" w:hAnsi="仿宋" w:eastAsia="仿宋"/>
                <w:color w:val="auto"/>
                <w:kern w:val="0"/>
              </w:rPr>
            </w:pPr>
            <w:r>
              <w:rPr>
                <w:rFonts w:hint="eastAsia" w:ascii="仿宋" w:hAnsi="仿宋" w:eastAsia="仿宋"/>
                <w:color w:val="auto"/>
                <w:kern w:val="0"/>
              </w:rPr>
              <w:t>3</w:t>
            </w:r>
          </w:p>
        </w:tc>
        <w:tc>
          <w:tcPr>
            <w:tcW w:w="996" w:type="dxa"/>
            <w:vAlign w:val="center"/>
          </w:tcPr>
          <w:p w14:paraId="295CE257">
            <w:pPr>
              <w:widowControl/>
              <w:snapToGrid w:val="0"/>
              <w:jc w:val="center"/>
              <w:rPr>
                <w:rFonts w:hint="eastAsia" w:ascii="仿宋" w:hAnsi="仿宋" w:eastAsia="仿宋"/>
                <w:color w:val="auto"/>
              </w:rPr>
            </w:pPr>
            <w:r>
              <w:rPr>
                <w:rFonts w:hint="eastAsia" w:ascii="仿宋" w:hAnsi="仿宋" w:eastAsia="仿宋"/>
                <w:color w:val="auto"/>
              </w:rPr>
              <w:t>机架式互联网云广播音频采集器</w:t>
            </w:r>
          </w:p>
        </w:tc>
        <w:tc>
          <w:tcPr>
            <w:tcW w:w="6650" w:type="dxa"/>
            <w:vAlign w:val="center"/>
          </w:tcPr>
          <w:p w14:paraId="57D9B736">
            <w:pPr>
              <w:widowControl/>
              <w:snapToGrid w:val="0"/>
              <w:jc w:val="left"/>
              <w:rPr>
                <w:rFonts w:hint="eastAsia" w:ascii="仿宋" w:hAnsi="仿宋" w:eastAsia="仿宋"/>
                <w:color w:val="auto"/>
              </w:rPr>
            </w:pPr>
            <w:r>
              <w:rPr>
                <w:rFonts w:hint="eastAsia" w:ascii="仿宋" w:hAnsi="仿宋" w:eastAsia="仿宋"/>
                <w:color w:val="auto"/>
              </w:rPr>
              <w:t>1.采用标准机柜式设计，配置≥4.3英寸全彩色触屏显示屏，文字和图形结合的菜单界面；</w:t>
            </w:r>
            <w:r>
              <w:rPr>
                <w:rFonts w:hint="eastAsia" w:ascii="仿宋" w:hAnsi="仿宋" w:eastAsia="仿宋"/>
                <w:color w:val="auto"/>
              </w:rPr>
              <w:br w:type="textWrapping"/>
            </w:r>
            <w:r>
              <w:rPr>
                <w:rFonts w:hint="eastAsia" w:ascii="仿宋" w:hAnsi="仿宋" w:eastAsia="仿宋"/>
                <w:color w:val="auto"/>
              </w:rPr>
              <w:t>2.支持外接U盘或SD卡进行本地音源的点播与采集广播，最大可扩展至32G内存；</w:t>
            </w:r>
            <w:r>
              <w:rPr>
                <w:rFonts w:hint="eastAsia" w:ascii="仿宋" w:hAnsi="仿宋" w:eastAsia="仿宋"/>
                <w:color w:val="auto"/>
              </w:rPr>
              <w:br w:type="textWrapping"/>
            </w:r>
            <w:r>
              <w:rPr>
                <w:rFonts w:hint="eastAsia" w:ascii="仿宋" w:hAnsi="仿宋" w:eastAsia="仿宋"/>
                <w:color w:val="auto"/>
              </w:rPr>
              <w:t>3.支持实时将外接的音源信号转换成数字化网络音频信号进行传输，实现本地音源广播到指定的分组终端；</w:t>
            </w:r>
            <w:r>
              <w:rPr>
                <w:rFonts w:hint="eastAsia" w:ascii="仿宋" w:hAnsi="仿宋" w:eastAsia="仿宋"/>
                <w:color w:val="auto"/>
              </w:rPr>
              <w:br w:type="textWrapping"/>
            </w:r>
            <w:r>
              <w:rPr>
                <w:rFonts w:hint="eastAsia" w:ascii="仿宋" w:hAnsi="仿宋" w:eastAsia="仿宋"/>
                <w:color w:val="auto"/>
              </w:rPr>
              <w:t>▲4.具有≥1路话筒全区采集物理按键和1路全区网络报警按键，支持一键恢复出厂功能；</w:t>
            </w:r>
            <w:r>
              <w:rPr>
                <w:rFonts w:hint="eastAsia" w:ascii="仿宋" w:hAnsi="仿宋" w:eastAsia="仿宋"/>
                <w:b/>
                <w:bCs/>
                <w:color w:val="auto"/>
              </w:rPr>
              <w:t>须提供产品官方说明书彩色扫描件，说明书中明确有此功能。</w:t>
            </w:r>
            <w:r>
              <w:rPr>
                <w:rFonts w:hint="eastAsia" w:ascii="仿宋" w:hAnsi="仿宋" w:eastAsia="仿宋"/>
                <w:color w:val="auto"/>
                <w:highlight w:val="cyan"/>
              </w:rPr>
              <w:br w:type="textWrapping"/>
            </w:r>
            <w:r>
              <w:rPr>
                <w:rFonts w:hint="eastAsia" w:ascii="仿宋" w:hAnsi="仿宋" w:eastAsia="仿宋"/>
                <w:color w:val="auto"/>
              </w:rPr>
              <w:t>5.支持≥10级亮度调节，可以根据现场不同的光线环境进行调节；</w:t>
            </w:r>
            <w:r>
              <w:rPr>
                <w:rFonts w:hint="eastAsia" w:ascii="仿宋" w:hAnsi="仿宋" w:eastAsia="仿宋"/>
                <w:color w:val="auto"/>
              </w:rPr>
              <w:br w:type="textWrapping"/>
            </w:r>
            <w:r>
              <w:rPr>
                <w:rFonts w:hint="eastAsia" w:ascii="仿宋" w:hAnsi="仿宋" w:eastAsia="仿宋"/>
                <w:color w:val="auto"/>
              </w:rPr>
              <w:t xml:space="preserve">6.配置3-5W监听喇叭，可自由选择关闭或打开，也可将音频输出到功放/有源音箱实现音源监听；                                                                                                                  </w:t>
            </w:r>
            <w:r>
              <w:rPr>
                <w:rFonts w:hint="eastAsia" w:ascii="仿宋" w:hAnsi="仿宋" w:eastAsia="仿宋"/>
                <w:color w:val="auto"/>
              </w:rPr>
              <w:br w:type="textWrapping"/>
            </w:r>
            <w:r>
              <w:rPr>
                <w:rFonts w:hint="eastAsia" w:ascii="仿宋" w:hAnsi="仿宋" w:eastAsia="仿宋"/>
                <w:color w:val="auto"/>
              </w:rPr>
              <w:t>7.具有不少于1路10/100M RJ45网络交换机接口、2路本地话筒、2路本地线路输入接口和1路音频输出接口；</w:t>
            </w:r>
            <w:r>
              <w:rPr>
                <w:rFonts w:hint="eastAsia" w:ascii="仿宋" w:hAnsi="仿宋" w:eastAsia="仿宋"/>
                <w:color w:val="auto"/>
              </w:rPr>
              <w:br w:type="textWrapping"/>
            </w:r>
            <w:r>
              <w:rPr>
                <w:rFonts w:hint="eastAsia" w:ascii="仿宋" w:hAnsi="仿宋" w:eastAsia="仿宋"/>
                <w:color w:val="auto"/>
              </w:rPr>
              <w:t>8.具有播放操作栏，可实现进入播放列表、上一曲、播放/暂停、下一曲、选择播放顺序（随机播放、单曲循环、列表循环）、返回等操作。</w:t>
            </w:r>
          </w:p>
          <w:p w14:paraId="05E60B36">
            <w:pPr>
              <w:widowControl/>
              <w:snapToGrid w:val="0"/>
              <w:jc w:val="left"/>
              <w:rPr>
                <w:rFonts w:hint="eastAsia" w:ascii="仿宋" w:hAnsi="仿宋" w:eastAsia="仿宋"/>
                <w:color w:val="auto"/>
              </w:rPr>
            </w:pPr>
            <w:r>
              <w:rPr>
                <w:rFonts w:hint="eastAsia" w:ascii="仿宋" w:hAnsi="仿宋" w:eastAsia="仿宋"/>
                <w:color w:val="auto"/>
              </w:rPr>
              <w:t>9.支持自动采集功能，内置智能自动采集模块，一旦音源信号接入指定端口，立即自动启动采集任务，当音源信号中断后的10秒内，系统将自动终止采集；</w:t>
            </w:r>
            <w:r>
              <w:rPr>
                <w:rFonts w:hint="eastAsia" w:ascii="仿宋" w:hAnsi="仿宋" w:eastAsia="仿宋"/>
                <w:color w:val="auto"/>
              </w:rPr>
              <w:br w:type="textWrapping"/>
            </w:r>
            <w:r>
              <w:rPr>
                <w:rFonts w:hint="eastAsia" w:ascii="仿宋" w:hAnsi="仿宋" w:eastAsia="仿宋"/>
                <w:color w:val="auto"/>
              </w:rPr>
              <w:t>10.配备≥40个可自定义快捷分组，通过在平台软件配置和控制分组信息与状态开关；</w:t>
            </w:r>
            <w:r>
              <w:rPr>
                <w:rFonts w:hint="eastAsia" w:ascii="仿宋" w:hAnsi="仿宋" w:eastAsia="仿宋"/>
                <w:color w:val="auto"/>
              </w:rPr>
              <w:br w:type="textWrapping"/>
            </w:r>
            <w:r>
              <w:rPr>
                <w:rFonts w:hint="eastAsia" w:ascii="仿宋" w:hAnsi="仿宋" w:eastAsia="仿宋"/>
                <w:color w:val="auto"/>
              </w:rPr>
              <w:t xml:space="preserve">11.支持ARP、UDP、TCP/IP、ICMP等网络协议；                                                                                                                                                                   </w:t>
            </w:r>
            <w:r>
              <w:rPr>
                <w:rFonts w:hint="eastAsia" w:ascii="仿宋" w:hAnsi="仿宋" w:eastAsia="仿宋"/>
                <w:color w:val="auto"/>
              </w:rPr>
              <w:br w:type="textWrapping"/>
            </w:r>
            <w:r>
              <w:rPr>
                <w:rFonts w:hint="eastAsia" w:ascii="仿宋" w:hAnsi="仿宋" w:eastAsia="仿宋"/>
                <w:color w:val="auto"/>
              </w:rPr>
              <w:t>12.输入电源：AC220V/50Hz。</w:t>
            </w:r>
          </w:p>
        </w:tc>
        <w:tc>
          <w:tcPr>
            <w:tcW w:w="0" w:type="auto"/>
            <w:vAlign w:val="center"/>
          </w:tcPr>
          <w:p w14:paraId="7869B099">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1</w:t>
            </w:r>
          </w:p>
        </w:tc>
        <w:tc>
          <w:tcPr>
            <w:tcW w:w="492" w:type="dxa"/>
            <w:vAlign w:val="center"/>
          </w:tcPr>
          <w:p w14:paraId="75256998">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4C4E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511AF65A">
            <w:pPr>
              <w:widowControl/>
              <w:snapToGrid w:val="0"/>
              <w:jc w:val="center"/>
              <w:rPr>
                <w:rFonts w:hint="eastAsia" w:ascii="仿宋" w:hAnsi="仿宋" w:eastAsia="仿宋"/>
                <w:color w:val="auto"/>
              </w:rPr>
            </w:pPr>
            <w:r>
              <w:rPr>
                <w:rFonts w:hint="eastAsia" w:ascii="仿宋" w:hAnsi="仿宋" w:eastAsia="仿宋" w:cs="宋体"/>
                <w:b/>
                <w:bCs/>
                <w:color w:val="auto"/>
                <w:kern w:val="0"/>
                <w:sz w:val="24"/>
                <w:szCs w:val="24"/>
              </w:rPr>
              <w:t>机房中心设备-其他设备</w:t>
            </w:r>
          </w:p>
        </w:tc>
        <w:tc>
          <w:tcPr>
            <w:tcW w:w="0" w:type="auto"/>
            <w:vAlign w:val="center"/>
          </w:tcPr>
          <w:p w14:paraId="59E7EADF">
            <w:pPr>
              <w:widowControl/>
              <w:snapToGrid w:val="0"/>
              <w:jc w:val="center"/>
              <w:rPr>
                <w:rFonts w:hint="eastAsia" w:ascii="仿宋" w:hAnsi="仿宋" w:eastAsia="仿宋" w:cs="Calibri"/>
                <w:color w:val="auto"/>
                <w:kern w:val="0"/>
              </w:rPr>
            </w:pPr>
          </w:p>
        </w:tc>
        <w:tc>
          <w:tcPr>
            <w:tcW w:w="492" w:type="dxa"/>
            <w:vAlign w:val="center"/>
          </w:tcPr>
          <w:p w14:paraId="7591DF06">
            <w:pPr>
              <w:widowControl/>
              <w:snapToGrid w:val="0"/>
              <w:jc w:val="center"/>
              <w:rPr>
                <w:rFonts w:hint="eastAsia" w:ascii="仿宋" w:hAnsi="仿宋" w:eastAsia="仿宋" w:cs="Calibri"/>
                <w:color w:val="auto"/>
                <w:kern w:val="0"/>
              </w:rPr>
            </w:pPr>
          </w:p>
        </w:tc>
      </w:tr>
      <w:tr w14:paraId="2D13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7579945">
            <w:pPr>
              <w:widowControl/>
              <w:snapToGrid w:val="0"/>
              <w:jc w:val="center"/>
              <w:rPr>
                <w:rFonts w:hint="eastAsia" w:ascii="仿宋" w:hAnsi="仿宋" w:eastAsia="仿宋"/>
                <w:color w:val="auto"/>
                <w:kern w:val="0"/>
              </w:rPr>
            </w:pPr>
            <w:r>
              <w:rPr>
                <w:rFonts w:hint="eastAsia" w:ascii="仿宋" w:hAnsi="仿宋" w:eastAsia="仿宋"/>
                <w:color w:val="auto"/>
                <w:kern w:val="0"/>
              </w:rPr>
              <w:t>1</w:t>
            </w:r>
          </w:p>
        </w:tc>
        <w:tc>
          <w:tcPr>
            <w:tcW w:w="996" w:type="dxa"/>
            <w:vAlign w:val="center"/>
          </w:tcPr>
          <w:p w14:paraId="0B0F4175">
            <w:pPr>
              <w:widowControl/>
              <w:snapToGrid w:val="0"/>
              <w:jc w:val="center"/>
              <w:rPr>
                <w:rFonts w:hint="eastAsia" w:ascii="仿宋" w:hAnsi="仿宋" w:eastAsia="仿宋"/>
                <w:color w:val="auto"/>
              </w:rPr>
            </w:pPr>
            <w:r>
              <w:rPr>
                <w:rFonts w:hint="eastAsia" w:ascii="仿宋" w:hAnsi="仿宋" w:eastAsia="仿宋"/>
                <w:color w:val="auto"/>
              </w:rPr>
              <w:t>互联网云广播远程寻呼话筒</w:t>
            </w:r>
          </w:p>
        </w:tc>
        <w:tc>
          <w:tcPr>
            <w:tcW w:w="6650" w:type="dxa"/>
            <w:vAlign w:val="center"/>
          </w:tcPr>
          <w:p w14:paraId="2506BF40">
            <w:pPr>
              <w:widowControl/>
              <w:snapToGrid w:val="0"/>
              <w:jc w:val="left"/>
              <w:rPr>
                <w:rFonts w:hint="eastAsia" w:ascii="仿宋" w:hAnsi="仿宋" w:eastAsia="仿宋"/>
                <w:color w:val="auto"/>
              </w:rPr>
            </w:pPr>
            <w:r>
              <w:rPr>
                <w:rFonts w:hint="eastAsia" w:ascii="仿宋" w:hAnsi="仿宋" w:eastAsia="仿宋"/>
                <w:color w:val="auto"/>
              </w:rPr>
              <w:t>1.釆用≥7英寸电容触屏显示屏设计，支持通过触屏对U盘/SD卡内文件进行本地播放和实现本地扩声，并发送到指定终端播放；</w:t>
            </w:r>
            <w:r>
              <w:rPr>
                <w:rFonts w:hint="eastAsia" w:ascii="仿宋" w:hAnsi="仿宋" w:eastAsia="仿宋"/>
                <w:color w:val="auto"/>
              </w:rPr>
              <w:br w:type="textWrapping"/>
            </w:r>
            <w:r>
              <w:rPr>
                <w:rFonts w:hint="eastAsia" w:ascii="仿宋" w:hAnsi="仿宋" w:eastAsia="仿宋"/>
                <w:color w:val="auto"/>
              </w:rPr>
              <w:t>2.配置页面可显示当前设备的配置信息，支持修改设备IP地址、子网掩码、默认网关、服务器地址、服务器端口和WEB端口等信息；</w:t>
            </w:r>
            <w:r>
              <w:rPr>
                <w:rFonts w:hint="eastAsia" w:ascii="仿宋" w:hAnsi="仿宋" w:eastAsia="仿宋"/>
                <w:color w:val="auto"/>
              </w:rPr>
              <w:br w:type="textWrapping"/>
            </w:r>
            <w:r>
              <w:rPr>
                <w:rFonts w:hint="eastAsia" w:ascii="仿宋" w:hAnsi="仿宋" w:eastAsia="仿宋"/>
                <w:color w:val="auto"/>
              </w:rPr>
              <w:t>3.具有不同的亮度级调节和一键全区报警按钮，点击时可以触发平台预设好的全区报警任务，可再次点击报警按钮关闭报警任务，也可通过触屏关闭；</w:t>
            </w:r>
          </w:p>
          <w:p w14:paraId="19AF2BD6">
            <w:pPr>
              <w:widowControl/>
              <w:snapToGrid w:val="0"/>
              <w:jc w:val="left"/>
              <w:rPr>
                <w:rFonts w:hint="eastAsia" w:ascii="仿宋" w:hAnsi="仿宋" w:eastAsia="仿宋"/>
                <w:color w:val="auto"/>
              </w:rPr>
            </w:pPr>
            <w:r>
              <w:rPr>
                <w:rFonts w:hint="eastAsia" w:ascii="仿宋" w:hAnsi="仿宋" w:eastAsia="仿宋"/>
                <w:b/>
                <w:bCs/>
                <w:color w:val="auto"/>
              </w:rPr>
              <w:t>▲4.</w:t>
            </w:r>
            <w:r>
              <w:rPr>
                <w:rFonts w:hint="eastAsia" w:ascii="仿宋" w:hAnsi="仿宋" w:eastAsia="仿宋"/>
                <w:color w:val="auto"/>
              </w:rPr>
              <w:t xml:space="preserve"> 采用嵌入式架构与 DSP 音频处理技术，支持 IEEE 802.3at 标准 POE 供电。</w:t>
            </w:r>
            <w:r>
              <w:rPr>
                <w:rFonts w:hint="eastAsia" w:ascii="仿宋" w:hAnsi="仿宋" w:eastAsia="仿宋"/>
                <w:b/>
                <w:bCs/>
                <w:color w:val="auto"/>
              </w:rPr>
              <w:t>须提供产品官方说明书彩色扫描件，说明书中明确有此功能。</w:t>
            </w:r>
            <w:r>
              <w:rPr>
                <w:rFonts w:hint="eastAsia" w:ascii="仿宋" w:hAnsi="仿宋" w:eastAsia="仿宋"/>
                <w:color w:val="auto"/>
              </w:rPr>
              <w:br w:type="textWrapping"/>
            </w:r>
            <w:r>
              <w:rPr>
                <w:rFonts w:hint="eastAsia" w:ascii="仿宋" w:hAnsi="仿宋" w:eastAsia="仿宋"/>
                <w:color w:val="auto"/>
              </w:rPr>
              <w:t>5.配备不少于 40 个自定义触摸按键（支持扩展或定制），支持一键呼叫广播、一键寻呼静音功能，可直接操作呼叫任意终端设备，按键功能可自由配置，适配多终端快速调度需求</w:t>
            </w:r>
            <w:r>
              <w:rPr>
                <w:rFonts w:hint="eastAsia" w:ascii="仿宋" w:hAnsi="仿宋" w:eastAsia="仿宋"/>
                <w:color w:val="auto"/>
              </w:rPr>
              <w:br w:type="textWrapping"/>
            </w:r>
            <w:r>
              <w:rPr>
                <w:rFonts w:hint="eastAsia" w:ascii="仿宋" w:hAnsi="仿宋" w:eastAsia="仿宋"/>
                <w:color w:val="auto"/>
              </w:rPr>
              <w:t>6.≥1路网络硬件音频解码，支持TCP/IP、UDP、IGMP（组播）协议， 可网络化传输16位立体声CD音质的音频信号；</w:t>
            </w:r>
            <w:r>
              <w:rPr>
                <w:rFonts w:hint="eastAsia" w:ascii="仿宋" w:hAnsi="仿宋" w:eastAsia="仿宋"/>
                <w:color w:val="auto"/>
              </w:rPr>
              <w:br w:type="textWrapping"/>
            </w:r>
            <w:r>
              <w:rPr>
                <w:rFonts w:hint="eastAsia" w:ascii="仿宋" w:hAnsi="仿宋" w:eastAsia="仿宋"/>
                <w:color w:val="auto"/>
              </w:rPr>
              <w:t>7.配置≥5W监听喇叭，具有任务监听功能，可实现任意监听其他终端的实时任务；</w:t>
            </w:r>
            <w:r>
              <w:rPr>
                <w:rFonts w:hint="eastAsia" w:ascii="仿宋" w:hAnsi="仿宋" w:eastAsia="仿宋"/>
                <w:color w:val="auto"/>
              </w:rPr>
              <w:br w:type="textWrapping"/>
            </w:r>
            <w:r>
              <w:rPr>
                <w:rFonts w:hint="eastAsia" w:ascii="仿宋" w:hAnsi="仿宋" w:eastAsia="仿宋"/>
                <w:color w:val="auto"/>
              </w:rPr>
              <w:t xml:space="preserve">8.支持双路混音/多路混音功能，配置高灵敏度长咪杆，具有灯环指示；                                                                                                                                               </w:t>
            </w:r>
            <w:r>
              <w:rPr>
                <w:rFonts w:hint="eastAsia" w:ascii="仿宋" w:hAnsi="仿宋" w:eastAsia="仿宋"/>
                <w:color w:val="auto"/>
              </w:rPr>
              <w:br w:type="textWrapping"/>
            </w:r>
            <w:r>
              <w:rPr>
                <w:rFonts w:hint="eastAsia" w:ascii="仿宋" w:hAnsi="仿宋" w:eastAsia="仿宋"/>
                <w:color w:val="auto"/>
              </w:rPr>
              <w:t>9.报警音频/短路音频输入时，具有不少于两路短路输出可以用于触发预置语音提示和控制门禁联动输入短路信号；</w:t>
            </w:r>
            <w:r>
              <w:rPr>
                <w:rFonts w:hint="eastAsia" w:ascii="仿宋" w:hAnsi="仿宋" w:eastAsia="仿宋"/>
                <w:color w:val="auto"/>
              </w:rPr>
              <w:br w:type="textWrapping"/>
            </w:r>
            <w:r>
              <w:rPr>
                <w:rFonts w:hint="eastAsia" w:ascii="仿宋" w:hAnsi="仿宋" w:eastAsia="仿宋"/>
                <w:color w:val="auto"/>
              </w:rPr>
              <w:t xml:space="preserve">10.支持≥1路标准3.5mm音频输入接口，用于接收外部音频输入，支持≥1路标准3.5mm音频输出接口，用于将终端的音频输送给外部播出设备；       </w:t>
            </w:r>
            <w:r>
              <w:rPr>
                <w:rFonts w:hint="eastAsia" w:ascii="仿宋" w:hAnsi="仿宋" w:eastAsia="仿宋"/>
                <w:color w:val="auto"/>
              </w:rPr>
              <w:br w:type="textWrapping"/>
            </w:r>
            <w:r>
              <w:rPr>
                <w:rFonts w:hint="eastAsia" w:ascii="仿宋" w:hAnsi="仿宋" w:eastAsia="仿宋"/>
                <w:color w:val="auto"/>
              </w:rPr>
              <w:t>11.支持DHCP,兼容路由器、交换机、网桥网关、Modem, Intelnet、2G、3G、4G、组播、单播等任意网络结构；</w:t>
            </w:r>
            <w:r>
              <w:rPr>
                <w:rFonts w:hint="eastAsia" w:ascii="仿宋" w:hAnsi="仿宋" w:eastAsia="仿宋"/>
                <w:color w:val="auto"/>
              </w:rPr>
              <w:br w:type="textWrapping"/>
            </w:r>
            <w:r>
              <w:rPr>
                <w:rFonts w:hint="eastAsia" w:ascii="仿宋" w:hAnsi="仿宋" w:eastAsia="仿宋"/>
                <w:color w:val="auto"/>
              </w:rPr>
              <w:t>12.具有双向对讲功能，允许双方同时进行语音通信，用户可以在本机轻松查阅对讲记录，并回拨历史对讲终端；</w:t>
            </w:r>
            <w:r>
              <w:rPr>
                <w:rFonts w:hint="eastAsia" w:ascii="仿宋" w:hAnsi="仿宋" w:eastAsia="仿宋"/>
                <w:color w:val="auto"/>
              </w:rPr>
              <w:br w:type="textWrapping"/>
            </w:r>
            <w:r>
              <w:rPr>
                <w:rFonts w:hint="eastAsia" w:ascii="仿宋" w:hAnsi="仿宋" w:eastAsia="仿宋"/>
                <w:color w:val="auto"/>
              </w:rPr>
              <w:t>13.具有呼叫自动转接服务，对讲系统内置呼叫转移功能，支持最多三级呼叫转移，确保在通话过程中，若受理端无法接听，可自动将呼叫转接至其他指定终端；</w:t>
            </w:r>
            <w:r>
              <w:rPr>
                <w:rFonts w:hint="eastAsia" w:ascii="仿宋" w:hAnsi="仿宋" w:eastAsia="仿宋"/>
                <w:color w:val="auto"/>
              </w:rPr>
              <w:br w:type="textWrapping"/>
            </w:r>
            <w:r>
              <w:rPr>
                <w:rFonts w:hint="eastAsia" w:ascii="仿宋" w:hAnsi="仿宋" w:eastAsia="仿宋"/>
                <w:color w:val="auto"/>
              </w:rPr>
              <w:t>14.具有呼叫指定转接功能，系统支持手动转接，用户可根据实际需求，手动指定受理端进行接听处理；</w:t>
            </w:r>
            <w:r>
              <w:rPr>
                <w:rFonts w:hint="eastAsia" w:ascii="仿宋" w:hAnsi="仿宋" w:eastAsia="仿宋"/>
                <w:color w:val="auto"/>
              </w:rPr>
              <w:br w:type="textWrapping"/>
            </w:r>
            <w:r>
              <w:rPr>
                <w:rFonts w:hint="eastAsia" w:ascii="仿宋" w:hAnsi="仿宋" w:eastAsia="仿宋"/>
                <w:color w:val="auto"/>
              </w:rPr>
              <w:t>15.具有呼叫排队转接功能，系统具备呼叫排队机制，对于未接通的呼叫请求，可自动排队等待处理，用户可对排队中的呼叫请求进行手动转接；</w:t>
            </w:r>
            <w:r>
              <w:rPr>
                <w:rFonts w:hint="eastAsia" w:ascii="仿宋" w:hAnsi="仿宋" w:eastAsia="仿宋"/>
                <w:color w:val="auto"/>
              </w:rPr>
              <w:br w:type="textWrapping"/>
            </w:r>
            <w:r>
              <w:rPr>
                <w:rFonts w:hint="eastAsia" w:ascii="仿宋" w:hAnsi="仿宋" w:eastAsia="仿宋"/>
                <w:color w:val="auto"/>
              </w:rPr>
              <w:t>16.具有录音喊话功能，支持用户预先录制喊话音频内容，通过录音的试听功能即时确认音质与效果，录制完成后，用户不仅可以直接进行广播，还能将录音文件安全地保存在本地SD卡上，便于后续查阅或导出使用。</w:t>
            </w:r>
          </w:p>
        </w:tc>
        <w:tc>
          <w:tcPr>
            <w:tcW w:w="0" w:type="auto"/>
            <w:vAlign w:val="center"/>
          </w:tcPr>
          <w:p w14:paraId="3F54BCAE">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1</w:t>
            </w:r>
          </w:p>
        </w:tc>
        <w:tc>
          <w:tcPr>
            <w:tcW w:w="492" w:type="dxa"/>
            <w:vAlign w:val="center"/>
          </w:tcPr>
          <w:p w14:paraId="7B1A5DBA">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2439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3105E76">
            <w:pPr>
              <w:widowControl/>
              <w:snapToGrid w:val="0"/>
              <w:jc w:val="center"/>
              <w:rPr>
                <w:rFonts w:hint="eastAsia" w:ascii="仿宋" w:hAnsi="仿宋" w:eastAsia="仿宋"/>
                <w:color w:val="auto"/>
                <w:kern w:val="0"/>
              </w:rPr>
            </w:pPr>
            <w:r>
              <w:rPr>
                <w:rFonts w:hint="eastAsia" w:ascii="仿宋" w:hAnsi="仿宋" w:eastAsia="仿宋"/>
                <w:color w:val="auto"/>
                <w:kern w:val="0"/>
              </w:rPr>
              <w:t>2</w:t>
            </w:r>
          </w:p>
        </w:tc>
        <w:tc>
          <w:tcPr>
            <w:tcW w:w="996" w:type="dxa"/>
            <w:vAlign w:val="center"/>
          </w:tcPr>
          <w:p w14:paraId="1EDD91F9">
            <w:pPr>
              <w:widowControl/>
              <w:snapToGrid w:val="0"/>
              <w:jc w:val="center"/>
              <w:rPr>
                <w:rFonts w:hint="eastAsia" w:ascii="仿宋" w:hAnsi="仿宋" w:eastAsia="仿宋"/>
                <w:color w:val="auto"/>
              </w:rPr>
            </w:pPr>
            <w:r>
              <w:rPr>
                <w:rFonts w:hint="eastAsia" w:ascii="仿宋" w:hAnsi="仿宋" w:eastAsia="仿宋"/>
                <w:color w:val="auto"/>
              </w:rPr>
              <w:t>电源时序器</w:t>
            </w:r>
          </w:p>
        </w:tc>
        <w:tc>
          <w:tcPr>
            <w:tcW w:w="6650" w:type="dxa"/>
            <w:vAlign w:val="center"/>
          </w:tcPr>
          <w:p w14:paraId="1D4186E3">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1.配置彩屏显示窗口，可以实时显示当前电压、日期时间等信息，内置时钟芯片，可根据日期时间设定，实现定时开关机功能；</w:t>
            </w:r>
          </w:p>
          <w:p w14:paraId="1D2843D2">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2.支持开机按 “先开后关”、关机按“后开先关”时序控制，每路输出带指示灯，支持独立开关控制电源；</w:t>
            </w:r>
          </w:p>
          <w:p w14:paraId="57EF5AB6">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3.总共可控制≥8路管理电源，每路延时开启及关闭时间可在0-999秒自定义设置，同时还具有≥2路辅助通道；</w:t>
            </w:r>
          </w:p>
          <w:p w14:paraId="6753600F">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4.单路额定输出电流≥10A，通道开关状态额定输出电流≥30A；</w:t>
            </w:r>
          </w:p>
          <w:p w14:paraId="6978305F">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5.主机配置有一路短路输入和输出口，可实现多台链接使用；</w:t>
            </w:r>
          </w:p>
          <w:p w14:paraId="0D2045BD">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6.配置RS232接口，支持外部中央控制设备控制，≥6种波特率可选择；</w:t>
            </w:r>
          </w:p>
          <w:p w14:paraId="599DAD7D">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7.支持实现远程集中控制，每台设备自带设备编码ID检测和设置；</w:t>
            </w:r>
          </w:p>
          <w:p w14:paraId="3A37FC5C">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8.支持面板Lock锁定功能，内置≥8组设备开关场景数据保存/调用。</w:t>
            </w:r>
          </w:p>
        </w:tc>
        <w:tc>
          <w:tcPr>
            <w:tcW w:w="0" w:type="auto"/>
            <w:vAlign w:val="center"/>
          </w:tcPr>
          <w:p w14:paraId="68E2F4F2">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1</w:t>
            </w:r>
          </w:p>
        </w:tc>
        <w:tc>
          <w:tcPr>
            <w:tcW w:w="492" w:type="dxa"/>
            <w:vAlign w:val="center"/>
          </w:tcPr>
          <w:p w14:paraId="35B0078F">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0A7F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4CF95887">
            <w:pPr>
              <w:widowControl/>
              <w:snapToGrid w:val="0"/>
              <w:jc w:val="center"/>
              <w:rPr>
                <w:rFonts w:hint="eastAsia" w:ascii="仿宋" w:hAnsi="仿宋" w:eastAsia="仿宋"/>
                <w:color w:val="auto"/>
              </w:rPr>
            </w:pPr>
            <w:r>
              <w:rPr>
                <w:rFonts w:hint="eastAsia" w:ascii="仿宋" w:hAnsi="仿宋" w:eastAsia="仿宋" w:cs="宋体"/>
                <w:b/>
                <w:bCs/>
                <w:color w:val="auto"/>
                <w:kern w:val="0"/>
                <w:sz w:val="24"/>
                <w:szCs w:val="24"/>
              </w:rPr>
              <w:t>前端设备-教学楼</w:t>
            </w:r>
          </w:p>
        </w:tc>
        <w:tc>
          <w:tcPr>
            <w:tcW w:w="0" w:type="auto"/>
            <w:vAlign w:val="center"/>
          </w:tcPr>
          <w:p w14:paraId="79341F37">
            <w:pPr>
              <w:widowControl/>
              <w:snapToGrid w:val="0"/>
              <w:jc w:val="center"/>
              <w:rPr>
                <w:rFonts w:hint="eastAsia" w:ascii="仿宋" w:hAnsi="仿宋" w:eastAsia="仿宋" w:cs="Calibri"/>
                <w:color w:val="auto"/>
                <w:kern w:val="0"/>
              </w:rPr>
            </w:pPr>
          </w:p>
        </w:tc>
        <w:tc>
          <w:tcPr>
            <w:tcW w:w="492" w:type="dxa"/>
            <w:vAlign w:val="center"/>
          </w:tcPr>
          <w:p w14:paraId="7986DB97">
            <w:pPr>
              <w:widowControl/>
              <w:snapToGrid w:val="0"/>
              <w:jc w:val="center"/>
              <w:rPr>
                <w:rFonts w:hint="eastAsia" w:ascii="仿宋" w:hAnsi="仿宋" w:eastAsia="仿宋" w:cs="Calibri"/>
                <w:color w:val="auto"/>
                <w:kern w:val="0"/>
              </w:rPr>
            </w:pPr>
          </w:p>
        </w:tc>
      </w:tr>
      <w:tr w14:paraId="1EB06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BC6E55E">
            <w:pPr>
              <w:widowControl/>
              <w:snapToGrid w:val="0"/>
              <w:jc w:val="center"/>
              <w:rPr>
                <w:rFonts w:hint="eastAsia" w:ascii="仿宋" w:hAnsi="仿宋" w:eastAsia="仿宋"/>
                <w:color w:val="auto"/>
                <w:kern w:val="0"/>
              </w:rPr>
            </w:pPr>
            <w:r>
              <w:rPr>
                <w:rFonts w:hint="eastAsia" w:ascii="仿宋" w:hAnsi="仿宋" w:eastAsia="仿宋"/>
                <w:color w:val="auto"/>
                <w:kern w:val="0"/>
              </w:rPr>
              <w:t>1</w:t>
            </w:r>
          </w:p>
        </w:tc>
        <w:tc>
          <w:tcPr>
            <w:tcW w:w="996" w:type="dxa"/>
            <w:vAlign w:val="center"/>
          </w:tcPr>
          <w:p w14:paraId="71741718">
            <w:pPr>
              <w:widowControl/>
              <w:snapToGrid w:val="0"/>
              <w:jc w:val="center"/>
              <w:rPr>
                <w:rFonts w:hint="eastAsia" w:ascii="仿宋" w:hAnsi="仿宋" w:eastAsia="仿宋"/>
                <w:color w:val="auto"/>
              </w:rPr>
            </w:pPr>
            <w:r>
              <w:rPr>
                <w:rFonts w:hint="eastAsia" w:ascii="仿宋" w:hAnsi="仿宋" w:eastAsia="仿宋"/>
                <w:color w:val="auto"/>
              </w:rPr>
              <w:t>互联网云广播网络有源音箱</w:t>
            </w:r>
          </w:p>
        </w:tc>
        <w:tc>
          <w:tcPr>
            <w:tcW w:w="6650" w:type="dxa"/>
            <w:vAlign w:val="center"/>
          </w:tcPr>
          <w:p w14:paraId="377281A0">
            <w:pPr>
              <w:widowControl/>
              <w:snapToGrid w:val="0"/>
              <w:jc w:val="left"/>
              <w:rPr>
                <w:rFonts w:hint="eastAsia" w:ascii="仿宋" w:hAnsi="仿宋" w:eastAsia="仿宋"/>
                <w:color w:val="auto"/>
              </w:rPr>
            </w:pPr>
            <w:r>
              <w:rPr>
                <w:rFonts w:hint="eastAsia" w:ascii="仿宋" w:hAnsi="仿宋" w:eastAsia="仿宋"/>
                <w:color w:val="auto"/>
              </w:rPr>
              <w:t>1.一体化壁挂式设计，集成≥2×30W数字功放、网络解码和音箱，支持外扩≥30W/8Ω无源定阻音箱；</w:t>
            </w:r>
          </w:p>
          <w:p w14:paraId="2A2AAEE3">
            <w:pPr>
              <w:widowControl/>
              <w:snapToGrid w:val="0"/>
              <w:jc w:val="left"/>
              <w:rPr>
                <w:rFonts w:hint="eastAsia" w:ascii="仿宋" w:hAnsi="仿宋" w:eastAsia="仿宋"/>
                <w:color w:val="auto"/>
              </w:rPr>
            </w:pPr>
            <w:r>
              <w:rPr>
                <w:rFonts w:hint="eastAsia" w:ascii="仿宋" w:hAnsi="仿宋" w:eastAsia="仿宋"/>
                <w:color w:val="auto"/>
              </w:rPr>
              <w:t>2.支持AUX本地音频输入和本地话筒输入；</w:t>
            </w:r>
          </w:p>
          <w:p w14:paraId="2CDC89B9">
            <w:pPr>
              <w:widowControl/>
              <w:snapToGrid w:val="0"/>
              <w:jc w:val="left"/>
              <w:rPr>
                <w:rFonts w:hint="eastAsia" w:ascii="仿宋" w:hAnsi="仿宋" w:eastAsia="仿宋"/>
                <w:color w:val="auto"/>
              </w:rPr>
            </w:pPr>
            <w:r>
              <w:rPr>
                <w:rFonts w:hint="eastAsia" w:ascii="仿宋" w:hAnsi="仿宋" w:eastAsia="仿宋"/>
                <w:color w:val="auto"/>
              </w:rPr>
              <w:t>3.支持静态 IP（固定 IP）与 DHCP 自动获取 IP双模式，网络变更或断电重启后地址不丢失、配置自动保存，保障运行稳定</w:t>
            </w:r>
          </w:p>
          <w:p w14:paraId="3B8DEB03">
            <w:pPr>
              <w:widowControl/>
              <w:snapToGrid w:val="0"/>
              <w:jc w:val="left"/>
              <w:rPr>
                <w:rFonts w:hint="eastAsia" w:ascii="仿宋" w:hAnsi="仿宋" w:eastAsia="仿宋"/>
                <w:color w:val="auto"/>
              </w:rPr>
            </w:pPr>
            <w:r>
              <w:rPr>
                <w:rFonts w:hint="eastAsia" w:ascii="仿宋" w:hAnsi="仿宋" w:eastAsia="仿宋"/>
                <w:color w:val="auto"/>
              </w:rPr>
              <w:t>4.支持网络传输音频，硬件解码44.1kHz/16bit CD 级音质，支持MP3/AAC/WAV等高保真音频格式，码率8Kbps～320Kbps 自适应；</w:t>
            </w:r>
          </w:p>
          <w:p w14:paraId="6C3084E1">
            <w:pPr>
              <w:widowControl/>
              <w:snapToGrid w:val="0"/>
              <w:jc w:val="left"/>
              <w:rPr>
                <w:rFonts w:hint="eastAsia" w:ascii="仿宋" w:hAnsi="仿宋" w:eastAsia="仿宋"/>
                <w:color w:val="auto"/>
              </w:rPr>
            </w:pPr>
            <w:r>
              <w:rPr>
                <w:rFonts w:hint="eastAsia" w:ascii="仿宋" w:hAnsi="仿宋" w:eastAsia="仿宋"/>
                <w:color w:val="auto"/>
              </w:rPr>
              <w:t>5.支持文字广播，可直接将文字转换为音频文件，并通过平台实现对终端的播放；</w:t>
            </w:r>
          </w:p>
          <w:p w14:paraId="363E582A">
            <w:pPr>
              <w:widowControl/>
              <w:snapToGrid w:val="0"/>
              <w:jc w:val="left"/>
              <w:rPr>
                <w:rFonts w:hint="eastAsia" w:ascii="仿宋" w:hAnsi="仿宋" w:eastAsia="仿宋"/>
                <w:color w:val="auto"/>
              </w:rPr>
            </w:pPr>
            <w:r>
              <w:rPr>
                <w:rFonts w:hint="eastAsia" w:ascii="仿宋" w:hAnsi="仿宋" w:eastAsia="仿宋"/>
                <w:color w:val="auto"/>
              </w:rPr>
              <w:t xml:space="preserve">6.支持扩展手机蓝牙模块，通过手机蓝牙连接设备，可实现无线音频传输播放；                                                                                       </w:t>
            </w:r>
          </w:p>
          <w:p w14:paraId="7A47145A">
            <w:pPr>
              <w:widowControl/>
              <w:snapToGrid w:val="0"/>
              <w:jc w:val="left"/>
              <w:rPr>
                <w:rFonts w:hint="eastAsia" w:ascii="仿宋" w:hAnsi="仿宋" w:eastAsia="仿宋"/>
                <w:color w:val="auto"/>
              </w:rPr>
            </w:pPr>
            <w:r>
              <w:rPr>
                <w:rFonts w:hint="eastAsia" w:ascii="仿宋" w:hAnsi="仿宋" w:eastAsia="仿宋"/>
                <w:color w:val="auto"/>
              </w:rPr>
              <w:t>7.支持ARP、IP、UDP、TCP、ICMP和IGMP等网络协议，支持跨网段跨路由设置，支持局域网和广域网；</w:t>
            </w:r>
          </w:p>
          <w:p w14:paraId="489D7932">
            <w:pPr>
              <w:widowControl/>
              <w:snapToGrid w:val="0"/>
              <w:jc w:val="left"/>
              <w:rPr>
                <w:rFonts w:hint="eastAsia" w:ascii="仿宋" w:hAnsi="仿宋" w:eastAsia="仿宋"/>
                <w:color w:val="auto"/>
              </w:rPr>
            </w:pPr>
            <w:r>
              <w:rPr>
                <w:rFonts w:hint="eastAsia" w:ascii="仿宋" w:hAnsi="仿宋" w:eastAsia="仿宋"/>
                <w:color w:val="auto"/>
              </w:rPr>
              <w:t>8.网络延迟：文件播放：&lt;50ms，实时讲话：&lt;150ms，音频位率：8Kbps-320Kbps自适应；</w:t>
            </w:r>
          </w:p>
          <w:p w14:paraId="74669EE9">
            <w:pPr>
              <w:widowControl/>
              <w:snapToGrid w:val="0"/>
              <w:jc w:val="left"/>
              <w:rPr>
                <w:rFonts w:hint="eastAsia" w:ascii="仿宋" w:hAnsi="仿宋" w:eastAsia="仿宋"/>
                <w:color w:val="auto"/>
              </w:rPr>
            </w:pPr>
            <w:r>
              <w:rPr>
                <w:rFonts w:hint="eastAsia" w:ascii="仿宋" w:hAnsi="仿宋" w:eastAsia="仿宋"/>
                <w:color w:val="auto"/>
              </w:rPr>
              <w:t>9.支持平台一键设备巡检功能，可对终端设备的功放过流、功放过热、过压保护、低压检测、线路开路、线路短路、网络状态进行检测，并可通过平台查看检测结果，巡检时不影响广播正常播放；</w:t>
            </w:r>
          </w:p>
          <w:p w14:paraId="290BBB5C">
            <w:pPr>
              <w:widowControl/>
              <w:snapToGrid w:val="0"/>
              <w:jc w:val="left"/>
              <w:rPr>
                <w:rFonts w:hint="eastAsia" w:ascii="仿宋" w:hAnsi="仿宋" w:eastAsia="仿宋"/>
                <w:color w:val="auto"/>
              </w:rPr>
            </w:pPr>
            <w:r>
              <w:rPr>
                <w:rFonts w:hint="eastAsia" w:ascii="仿宋" w:hAnsi="仿宋" w:eastAsia="仿宋"/>
                <w:color w:val="auto"/>
              </w:rPr>
              <w:t>10.具有网络优先、话筒优先、音源优先、音源和话筒优先、话筒和网络优先、网络和音源优先等音源优先级选择，实现自由调节网络、线路和话筒各端口的优先级顺序，确保关键信息优先传达。</w:t>
            </w:r>
          </w:p>
          <w:p w14:paraId="76125A72">
            <w:pPr>
              <w:widowControl/>
              <w:snapToGrid w:val="0"/>
              <w:jc w:val="left"/>
              <w:rPr>
                <w:rFonts w:hint="eastAsia" w:ascii="仿宋" w:hAnsi="仿宋" w:eastAsia="仿宋"/>
                <w:color w:val="auto"/>
              </w:rPr>
            </w:pPr>
            <w:r>
              <w:rPr>
                <w:rFonts w:hint="eastAsia" w:ascii="仿宋" w:hAnsi="仿宋" w:eastAsia="仿宋"/>
                <w:color w:val="auto"/>
              </w:rPr>
              <w:t>辅助音箱：</w:t>
            </w:r>
          </w:p>
          <w:p w14:paraId="6B91EC43">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1.单元≥4.5"全频，高音≥2.5″；</w:t>
            </w:r>
          </w:p>
          <w:p w14:paraId="451A34DD">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2.额定功率≥30W；</w:t>
            </w:r>
          </w:p>
          <w:p w14:paraId="2E8335A9">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3.输入阻抗:8Ω；</w:t>
            </w:r>
          </w:p>
          <w:p w14:paraId="565B35C6">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4.灵敏度≥87dB；</w:t>
            </w:r>
          </w:p>
          <w:p w14:paraId="1A7A10A0">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5.最大声压级≥102dB；</w:t>
            </w:r>
          </w:p>
          <w:p w14:paraId="7B037EE4">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6.频率响应:130Hz-13KHz。</w:t>
            </w:r>
          </w:p>
        </w:tc>
        <w:tc>
          <w:tcPr>
            <w:tcW w:w="0" w:type="auto"/>
            <w:vAlign w:val="center"/>
          </w:tcPr>
          <w:p w14:paraId="12D8CB4B">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34</w:t>
            </w:r>
          </w:p>
        </w:tc>
        <w:tc>
          <w:tcPr>
            <w:tcW w:w="492" w:type="dxa"/>
            <w:vAlign w:val="center"/>
          </w:tcPr>
          <w:p w14:paraId="785D3979">
            <w:pPr>
              <w:widowControl/>
              <w:snapToGrid w:val="0"/>
              <w:jc w:val="center"/>
              <w:rPr>
                <w:rFonts w:hint="eastAsia" w:ascii="仿宋" w:hAnsi="仿宋" w:eastAsia="仿宋" w:cs="Calibri"/>
                <w:color w:val="auto"/>
                <w:kern w:val="0"/>
              </w:rPr>
            </w:pPr>
            <w:r>
              <w:rPr>
                <w:rFonts w:hint="eastAsia" w:ascii="仿宋" w:hAnsi="仿宋" w:eastAsia="仿宋"/>
                <w:color w:val="auto"/>
              </w:rPr>
              <w:t>对</w:t>
            </w:r>
          </w:p>
        </w:tc>
      </w:tr>
      <w:tr w14:paraId="3A804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A42E9EC">
            <w:pPr>
              <w:widowControl/>
              <w:snapToGrid w:val="0"/>
              <w:jc w:val="center"/>
              <w:rPr>
                <w:rFonts w:hint="eastAsia" w:ascii="仿宋" w:hAnsi="仿宋" w:eastAsia="仿宋"/>
                <w:color w:val="auto"/>
                <w:kern w:val="0"/>
              </w:rPr>
            </w:pPr>
            <w:r>
              <w:rPr>
                <w:rFonts w:hint="eastAsia" w:ascii="仿宋" w:hAnsi="仿宋" w:eastAsia="仿宋"/>
                <w:color w:val="auto"/>
                <w:kern w:val="0"/>
              </w:rPr>
              <w:t>2</w:t>
            </w:r>
          </w:p>
        </w:tc>
        <w:tc>
          <w:tcPr>
            <w:tcW w:w="996" w:type="dxa"/>
            <w:vAlign w:val="center"/>
          </w:tcPr>
          <w:p w14:paraId="29A593A0">
            <w:pPr>
              <w:widowControl/>
              <w:snapToGrid w:val="0"/>
              <w:jc w:val="center"/>
              <w:rPr>
                <w:rFonts w:hint="eastAsia" w:ascii="仿宋" w:hAnsi="仿宋" w:eastAsia="仿宋"/>
                <w:color w:val="auto"/>
              </w:rPr>
            </w:pPr>
            <w:r>
              <w:rPr>
                <w:rFonts w:hint="eastAsia" w:ascii="仿宋" w:hAnsi="仿宋" w:eastAsia="仿宋"/>
                <w:color w:val="auto"/>
              </w:rPr>
              <w:t>室内壁挂音箱</w:t>
            </w:r>
          </w:p>
        </w:tc>
        <w:tc>
          <w:tcPr>
            <w:tcW w:w="6650" w:type="dxa"/>
            <w:vAlign w:val="center"/>
          </w:tcPr>
          <w:p w14:paraId="3252E8B6">
            <w:pPr>
              <w:widowControl/>
              <w:snapToGrid w:val="0"/>
              <w:jc w:val="left"/>
              <w:rPr>
                <w:rFonts w:hint="eastAsia" w:ascii="仿宋" w:hAnsi="仿宋" w:eastAsia="仿宋"/>
                <w:color w:val="auto"/>
              </w:rPr>
            </w:pPr>
            <w:r>
              <w:rPr>
                <w:rFonts w:hint="eastAsia" w:ascii="仿宋" w:hAnsi="仿宋" w:eastAsia="仿宋"/>
                <w:color w:val="auto"/>
              </w:rPr>
              <w:t>1.单元配置：≥4.5"全频×1+2.5"×1高音；</w:t>
            </w:r>
          </w:p>
          <w:p w14:paraId="3969186D">
            <w:pPr>
              <w:widowControl/>
              <w:snapToGrid w:val="0"/>
              <w:jc w:val="left"/>
              <w:rPr>
                <w:rFonts w:hint="eastAsia" w:ascii="仿宋" w:hAnsi="仿宋" w:eastAsia="仿宋"/>
                <w:color w:val="auto"/>
              </w:rPr>
            </w:pPr>
            <w:r>
              <w:rPr>
                <w:rFonts w:hint="eastAsia" w:ascii="仿宋" w:hAnsi="仿宋" w:eastAsia="仿宋"/>
                <w:color w:val="auto"/>
              </w:rPr>
              <w:t>2.额定功率≥10W；</w:t>
            </w:r>
          </w:p>
          <w:p w14:paraId="059FA645">
            <w:pPr>
              <w:widowControl/>
              <w:snapToGrid w:val="0"/>
              <w:jc w:val="left"/>
              <w:rPr>
                <w:rFonts w:hint="eastAsia" w:ascii="仿宋" w:hAnsi="仿宋" w:eastAsia="仿宋"/>
                <w:color w:val="auto"/>
              </w:rPr>
            </w:pPr>
            <w:r>
              <w:rPr>
                <w:rFonts w:hint="eastAsia" w:ascii="仿宋" w:hAnsi="仿宋" w:eastAsia="仿宋"/>
                <w:color w:val="auto"/>
              </w:rPr>
              <w:t>3.灵敏度≥92dB；</w:t>
            </w:r>
          </w:p>
          <w:p w14:paraId="4CDBC3EF">
            <w:pPr>
              <w:widowControl/>
              <w:snapToGrid w:val="0"/>
              <w:jc w:val="left"/>
              <w:rPr>
                <w:rFonts w:hint="eastAsia" w:ascii="仿宋" w:hAnsi="仿宋" w:eastAsia="仿宋"/>
                <w:color w:val="auto"/>
              </w:rPr>
            </w:pPr>
            <w:r>
              <w:rPr>
                <w:rFonts w:hint="eastAsia" w:ascii="仿宋" w:hAnsi="仿宋" w:eastAsia="仿宋"/>
                <w:color w:val="auto"/>
              </w:rPr>
              <w:t>4.输入电压:70V/100V；</w:t>
            </w:r>
          </w:p>
          <w:p w14:paraId="327C62B7">
            <w:pPr>
              <w:widowControl/>
              <w:snapToGrid w:val="0"/>
              <w:jc w:val="left"/>
              <w:rPr>
                <w:rFonts w:hint="eastAsia" w:ascii="仿宋" w:hAnsi="仿宋" w:eastAsia="仿宋" w:cs="宋体"/>
                <w:color w:val="auto"/>
                <w:kern w:val="0"/>
              </w:rPr>
            </w:pPr>
            <w:r>
              <w:rPr>
                <w:rFonts w:hint="eastAsia" w:ascii="仿宋" w:hAnsi="仿宋" w:eastAsia="仿宋"/>
                <w:color w:val="auto"/>
              </w:rPr>
              <w:t>5.频率响应：100Hz-18kHz</w:t>
            </w:r>
          </w:p>
        </w:tc>
        <w:tc>
          <w:tcPr>
            <w:tcW w:w="0" w:type="auto"/>
            <w:vAlign w:val="center"/>
          </w:tcPr>
          <w:p w14:paraId="3FC215B4">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24</w:t>
            </w:r>
          </w:p>
        </w:tc>
        <w:tc>
          <w:tcPr>
            <w:tcW w:w="492" w:type="dxa"/>
            <w:vAlign w:val="center"/>
          </w:tcPr>
          <w:p w14:paraId="59A06647">
            <w:pPr>
              <w:widowControl/>
              <w:snapToGrid w:val="0"/>
              <w:jc w:val="center"/>
              <w:rPr>
                <w:rFonts w:hint="eastAsia" w:ascii="仿宋" w:hAnsi="仿宋" w:eastAsia="仿宋" w:cs="Calibri"/>
                <w:color w:val="auto"/>
                <w:kern w:val="0"/>
              </w:rPr>
            </w:pPr>
            <w:r>
              <w:rPr>
                <w:rFonts w:hint="eastAsia" w:ascii="仿宋" w:hAnsi="仿宋" w:eastAsia="仿宋"/>
                <w:color w:val="auto"/>
              </w:rPr>
              <w:t>只</w:t>
            </w:r>
          </w:p>
        </w:tc>
      </w:tr>
      <w:tr w14:paraId="721A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8DA317C">
            <w:pPr>
              <w:widowControl/>
              <w:snapToGrid w:val="0"/>
              <w:jc w:val="center"/>
              <w:rPr>
                <w:rFonts w:hint="eastAsia" w:ascii="仿宋" w:hAnsi="仿宋" w:eastAsia="仿宋"/>
                <w:color w:val="auto"/>
                <w:kern w:val="0"/>
              </w:rPr>
            </w:pPr>
            <w:r>
              <w:rPr>
                <w:rFonts w:hint="eastAsia" w:ascii="仿宋" w:hAnsi="仿宋" w:eastAsia="仿宋"/>
                <w:color w:val="auto"/>
                <w:kern w:val="0"/>
              </w:rPr>
              <w:t>3</w:t>
            </w:r>
          </w:p>
        </w:tc>
        <w:tc>
          <w:tcPr>
            <w:tcW w:w="996" w:type="dxa"/>
            <w:vAlign w:val="center"/>
          </w:tcPr>
          <w:p w14:paraId="37F96B69">
            <w:pPr>
              <w:widowControl/>
              <w:snapToGrid w:val="0"/>
              <w:jc w:val="center"/>
              <w:rPr>
                <w:rFonts w:hint="eastAsia" w:ascii="仿宋" w:hAnsi="仿宋" w:eastAsia="仿宋"/>
                <w:color w:val="auto"/>
              </w:rPr>
            </w:pPr>
            <w:r>
              <w:rPr>
                <w:rFonts w:hint="eastAsia" w:ascii="仿宋" w:hAnsi="仿宋" w:eastAsia="仿宋"/>
                <w:color w:val="auto"/>
              </w:rPr>
              <w:t>互联网云广播网络功率放大器</w:t>
            </w:r>
          </w:p>
        </w:tc>
        <w:tc>
          <w:tcPr>
            <w:tcW w:w="6650" w:type="dxa"/>
            <w:vAlign w:val="center"/>
          </w:tcPr>
          <w:p w14:paraId="1FD7D9E5">
            <w:pPr>
              <w:widowControl/>
              <w:snapToGrid w:val="0"/>
              <w:jc w:val="left"/>
              <w:rPr>
                <w:rFonts w:hint="eastAsia" w:ascii="仿宋" w:hAnsi="仿宋" w:eastAsia="仿宋"/>
                <w:color w:val="auto"/>
              </w:rPr>
            </w:pPr>
            <w:r>
              <w:rPr>
                <w:rFonts w:hint="eastAsia" w:ascii="仿宋" w:hAnsi="仿宋" w:eastAsia="仿宋"/>
                <w:color w:val="auto"/>
              </w:rPr>
              <w:t>1.支持网络音频流的同步接收和解码，具有单向接收及主控单向呼叫功能，采用程序固化设计，不易丢失及受病毒干扰；</w:t>
            </w:r>
          </w:p>
          <w:p w14:paraId="36BFAD72">
            <w:pPr>
              <w:widowControl/>
              <w:snapToGrid w:val="0"/>
              <w:jc w:val="left"/>
              <w:rPr>
                <w:rFonts w:hint="eastAsia" w:ascii="仿宋" w:hAnsi="仿宋" w:eastAsia="仿宋"/>
                <w:color w:val="auto"/>
              </w:rPr>
            </w:pPr>
            <w:r>
              <w:rPr>
                <w:rFonts w:hint="eastAsia" w:ascii="仿宋" w:hAnsi="仿宋" w:eastAsia="仿宋"/>
                <w:color w:val="auto"/>
              </w:rPr>
              <w:t>2.支持TCP/IP、UDP、IGMP网络协议，采用16 位 / 44.1kHz CD 级音质解码，音频位率8Kbps-320Kbps 自适应，支持本地高保真数字音频播放；</w:t>
            </w:r>
          </w:p>
          <w:p w14:paraId="61813CB2">
            <w:pPr>
              <w:widowControl/>
              <w:snapToGrid w:val="0"/>
              <w:jc w:val="left"/>
              <w:rPr>
                <w:rFonts w:hint="eastAsia" w:ascii="仿宋" w:hAnsi="仿宋" w:eastAsia="仿宋"/>
                <w:color w:val="auto"/>
              </w:rPr>
            </w:pPr>
            <w:r>
              <w:rPr>
                <w:rFonts w:hint="eastAsia" w:ascii="仿宋" w:hAnsi="仿宋" w:eastAsia="仿宋"/>
                <w:color w:val="auto"/>
              </w:rPr>
              <w:t>3.采用静态IP地址设计，当网络发生改变时地址不会丢失，可以保障工作稳定运行；</w:t>
            </w:r>
          </w:p>
          <w:p w14:paraId="10CAD97D">
            <w:pPr>
              <w:widowControl/>
              <w:snapToGrid w:val="0"/>
              <w:jc w:val="left"/>
              <w:rPr>
                <w:rFonts w:hint="eastAsia" w:ascii="仿宋" w:hAnsi="仿宋" w:eastAsia="仿宋"/>
                <w:color w:val="auto"/>
              </w:rPr>
            </w:pPr>
            <w:r>
              <w:rPr>
                <w:rFonts w:hint="eastAsia" w:ascii="仿宋" w:hAnsi="仿宋" w:eastAsia="仿宋"/>
                <w:color w:val="auto"/>
              </w:rPr>
              <w:t>4.集成IP网络广播解码板和大功率模拟功率放大器，≥360W的输出功率，支持直接接入定压喇叭；</w:t>
            </w:r>
          </w:p>
          <w:p w14:paraId="2E45AA97">
            <w:pPr>
              <w:widowControl/>
              <w:snapToGrid w:val="0"/>
              <w:jc w:val="left"/>
              <w:rPr>
                <w:rFonts w:hint="eastAsia" w:ascii="仿宋" w:hAnsi="仿宋" w:eastAsia="仿宋"/>
                <w:color w:val="auto"/>
              </w:rPr>
            </w:pPr>
            <w:r>
              <w:rPr>
                <w:rFonts w:hint="eastAsia" w:ascii="仿宋" w:hAnsi="仿宋" w:eastAsia="仿宋"/>
                <w:color w:val="auto"/>
              </w:rPr>
              <w:t>5.具备高低音独立调节功能；支持 ≥3 级信号优先级调节 （话筒、线路、网络），可自由设置端口信号优先顺序；</w:t>
            </w:r>
          </w:p>
          <w:p w14:paraId="28E41D2C">
            <w:pPr>
              <w:widowControl/>
              <w:snapToGrid w:val="0"/>
              <w:jc w:val="left"/>
              <w:rPr>
                <w:rFonts w:hint="eastAsia" w:ascii="仿宋" w:hAnsi="仿宋" w:eastAsia="仿宋"/>
                <w:color w:val="auto"/>
              </w:rPr>
            </w:pPr>
            <w:r>
              <w:rPr>
                <w:rFonts w:hint="eastAsia" w:ascii="仿宋" w:hAnsi="仿宋" w:eastAsia="仿宋"/>
                <w:color w:val="auto"/>
              </w:rPr>
              <w:t>6.支持本地话筒和线路输入的音量调节，当无网络信号时，本地话筒可选择手动或自动的方式对本机进行寻呼；</w:t>
            </w:r>
          </w:p>
          <w:p w14:paraId="37DC1994">
            <w:pPr>
              <w:widowControl/>
              <w:snapToGrid w:val="0"/>
              <w:jc w:val="left"/>
              <w:rPr>
                <w:rFonts w:hint="eastAsia" w:ascii="仿宋" w:hAnsi="仿宋" w:eastAsia="仿宋" w:cs="宋体"/>
                <w:color w:val="auto"/>
                <w:kern w:val="0"/>
              </w:rPr>
            </w:pPr>
            <w:r>
              <w:rPr>
                <w:rFonts w:hint="eastAsia" w:ascii="仿宋" w:hAnsi="仿宋" w:eastAsia="仿宋"/>
                <w:color w:val="auto"/>
              </w:rPr>
              <w:t>7.支持文字广播，可直接将文字转换为音频文件，并通过平台实现对终端的播放。</w:t>
            </w:r>
          </w:p>
        </w:tc>
        <w:tc>
          <w:tcPr>
            <w:tcW w:w="0" w:type="auto"/>
            <w:vAlign w:val="center"/>
          </w:tcPr>
          <w:p w14:paraId="2945D480">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1</w:t>
            </w:r>
          </w:p>
        </w:tc>
        <w:tc>
          <w:tcPr>
            <w:tcW w:w="492" w:type="dxa"/>
            <w:vAlign w:val="center"/>
          </w:tcPr>
          <w:p w14:paraId="68CD0738">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76D0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108DF10F">
            <w:pPr>
              <w:widowControl/>
              <w:snapToGrid w:val="0"/>
              <w:jc w:val="center"/>
              <w:rPr>
                <w:rFonts w:hint="eastAsia" w:ascii="仿宋" w:hAnsi="仿宋" w:eastAsia="仿宋"/>
                <w:color w:val="auto"/>
              </w:rPr>
            </w:pPr>
            <w:r>
              <w:rPr>
                <w:rFonts w:hint="eastAsia" w:ascii="仿宋" w:hAnsi="仿宋" w:eastAsia="仿宋" w:cs="宋体"/>
                <w:b/>
                <w:bCs/>
                <w:color w:val="auto"/>
                <w:kern w:val="0"/>
                <w:sz w:val="24"/>
                <w:szCs w:val="24"/>
              </w:rPr>
              <w:t>前端设备-运动场</w:t>
            </w:r>
          </w:p>
        </w:tc>
        <w:tc>
          <w:tcPr>
            <w:tcW w:w="0" w:type="auto"/>
            <w:vAlign w:val="center"/>
          </w:tcPr>
          <w:p w14:paraId="770C9AB6">
            <w:pPr>
              <w:widowControl/>
              <w:snapToGrid w:val="0"/>
              <w:jc w:val="center"/>
              <w:rPr>
                <w:rFonts w:hint="eastAsia" w:ascii="仿宋" w:hAnsi="仿宋" w:eastAsia="仿宋" w:cs="Calibri"/>
                <w:color w:val="auto"/>
                <w:kern w:val="0"/>
              </w:rPr>
            </w:pPr>
          </w:p>
        </w:tc>
        <w:tc>
          <w:tcPr>
            <w:tcW w:w="492" w:type="dxa"/>
            <w:vAlign w:val="center"/>
          </w:tcPr>
          <w:p w14:paraId="54D4F99F">
            <w:pPr>
              <w:widowControl/>
              <w:snapToGrid w:val="0"/>
              <w:jc w:val="center"/>
              <w:rPr>
                <w:rFonts w:hint="eastAsia" w:ascii="仿宋" w:hAnsi="仿宋" w:eastAsia="仿宋" w:cs="Calibri"/>
                <w:color w:val="auto"/>
                <w:kern w:val="0"/>
              </w:rPr>
            </w:pPr>
          </w:p>
        </w:tc>
      </w:tr>
      <w:tr w14:paraId="1581E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F72589C">
            <w:pPr>
              <w:widowControl/>
              <w:snapToGrid w:val="0"/>
              <w:jc w:val="center"/>
              <w:rPr>
                <w:rFonts w:hint="eastAsia" w:ascii="仿宋" w:hAnsi="仿宋" w:eastAsia="仿宋"/>
                <w:color w:val="auto"/>
                <w:kern w:val="0"/>
              </w:rPr>
            </w:pPr>
            <w:r>
              <w:rPr>
                <w:rFonts w:hint="eastAsia" w:ascii="仿宋" w:hAnsi="仿宋" w:eastAsia="仿宋"/>
                <w:color w:val="auto"/>
                <w:kern w:val="0"/>
              </w:rPr>
              <w:t>1</w:t>
            </w:r>
          </w:p>
        </w:tc>
        <w:tc>
          <w:tcPr>
            <w:tcW w:w="996" w:type="dxa"/>
            <w:vAlign w:val="center"/>
          </w:tcPr>
          <w:p w14:paraId="7678EBBD">
            <w:pPr>
              <w:widowControl/>
              <w:snapToGrid w:val="0"/>
              <w:jc w:val="center"/>
              <w:rPr>
                <w:rFonts w:hint="eastAsia" w:ascii="仿宋" w:hAnsi="仿宋" w:eastAsia="仿宋"/>
                <w:color w:val="auto"/>
              </w:rPr>
            </w:pPr>
            <w:r>
              <w:rPr>
                <w:rFonts w:hint="eastAsia" w:ascii="仿宋" w:hAnsi="仿宋" w:eastAsia="仿宋"/>
                <w:color w:val="auto"/>
              </w:rPr>
              <w:t>大型室外远程防水音柱</w:t>
            </w:r>
          </w:p>
        </w:tc>
        <w:tc>
          <w:tcPr>
            <w:tcW w:w="6650" w:type="dxa"/>
            <w:vAlign w:val="center"/>
          </w:tcPr>
          <w:p w14:paraId="6DD35B27">
            <w:pPr>
              <w:widowControl/>
              <w:snapToGrid w:val="0"/>
              <w:jc w:val="left"/>
              <w:rPr>
                <w:rFonts w:hint="eastAsia" w:ascii="仿宋" w:hAnsi="仿宋" w:eastAsia="仿宋"/>
                <w:color w:val="auto"/>
              </w:rPr>
            </w:pPr>
            <w:r>
              <w:rPr>
                <w:rFonts w:hint="eastAsia" w:ascii="仿宋" w:hAnsi="仿宋" w:eastAsia="仿宋"/>
                <w:color w:val="auto"/>
              </w:rPr>
              <w:t>1.额定功率≥120W；</w:t>
            </w:r>
          </w:p>
          <w:p w14:paraId="4AE829B9">
            <w:pPr>
              <w:widowControl/>
              <w:snapToGrid w:val="0"/>
              <w:jc w:val="left"/>
              <w:rPr>
                <w:rFonts w:hint="eastAsia" w:ascii="仿宋" w:hAnsi="仿宋" w:eastAsia="仿宋"/>
                <w:color w:val="auto"/>
              </w:rPr>
            </w:pPr>
            <w:r>
              <w:rPr>
                <w:rFonts w:hint="eastAsia" w:ascii="仿宋" w:hAnsi="仿宋" w:eastAsia="仿宋"/>
                <w:color w:val="auto"/>
              </w:rPr>
              <w:t>2.输入电压：100V/70V</w:t>
            </w:r>
          </w:p>
          <w:p w14:paraId="1E7B8399">
            <w:pPr>
              <w:widowControl/>
              <w:snapToGrid w:val="0"/>
              <w:jc w:val="left"/>
              <w:rPr>
                <w:rFonts w:hint="eastAsia" w:ascii="仿宋" w:hAnsi="仿宋" w:eastAsia="仿宋"/>
                <w:color w:val="auto"/>
              </w:rPr>
            </w:pPr>
            <w:r>
              <w:rPr>
                <w:rFonts w:hint="eastAsia" w:ascii="仿宋" w:hAnsi="仿宋" w:eastAsia="仿宋"/>
                <w:color w:val="auto"/>
              </w:rPr>
              <w:t>3.灵敏度≥94dB；</w:t>
            </w:r>
          </w:p>
          <w:p w14:paraId="763B96CF">
            <w:pPr>
              <w:widowControl/>
              <w:snapToGrid w:val="0"/>
              <w:jc w:val="left"/>
              <w:rPr>
                <w:rFonts w:hint="eastAsia" w:ascii="仿宋" w:hAnsi="仿宋" w:eastAsia="仿宋"/>
                <w:color w:val="auto"/>
              </w:rPr>
            </w:pPr>
            <w:r>
              <w:rPr>
                <w:rFonts w:hint="eastAsia" w:ascii="仿宋" w:hAnsi="仿宋" w:eastAsia="仿宋"/>
                <w:color w:val="auto"/>
              </w:rPr>
              <w:t>4.频率响应:100Hz-20KHz；</w:t>
            </w:r>
          </w:p>
          <w:p w14:paraId="44427F53">
            <w:pPr>
              <w:widowControl/>
              <w:snapToGrid w:val="0"/>
              <w:jc w:val="left"/>
              <w:rPr>
                <w:rFonts w:hint="eastAsia" w:ascii="仿宋" w:hAnsi="仿宋" w:eastAsia="仿宋" w:cs="宋体"/>
                <w:color w:val="auto"/>
                <w:kern w:val="0"/>
              </w:rPr>
            </w:pPr>
            <w:r>
              <w:rPr>
                <w:rFonts w:hint="eastAsia" w:ascii="仿宋" w:hAnsi="仿宋" w:eastAsia="仿宋"/>
                <w:color w:val="auto"/>
              </w:rPr>
              <w:t>5.单元≥6"全频*4+高音*1。</w:t>
            </w:r>
          </w:p>
        </w:tc>
        <w:tc>
          <w:tcPr>
            <w:tcW w:w="0" w:type="auto"/>
            <w:vAlign w:val="center"/>
          </w:tcPr>
          <w:p w14:paraId="02EDBB43">
            <w:pPr>
              <w:widowControl/>
              <w:snapToGrid w:val="0"/>
              <w:jc w:val="left"/>
              <w:rPr>
                <w:rFonts w:hint="eastAsia" w:ascii="仿宋" w:hAnsi="仿宋" w:eastAsia="仿宋" w:cs="Calibri"/>
                <w:color w:val="auto"/>
                <w:kern w:val="0"/>
              </w:rPr>
            </w:pPr>
            <w:r>
              <w:rPr>
                <w:rFonts w:hint="eastAsia" w:ascii="仿宋" w:hAnsi="仿宋" w:eastAsia="仿宋"/>
                <w:color w:val="auto"/>
              </w:rPr>
              <w:t>6</w:t>
            </w:r>
          </w:p>
        </w:tc>
        <w:tc>
          <w:tcPr>
            <w:tcW w:w="492" w:type="dxa"/>
            <w:vAlign w:val="center"/>
          </w:tcPr>
          <w:p w14:paraId="76E81385">
            <w:pPr>
              <w:widowControl/>
              <w:snapToGrid w:val="0"/>
              <w:jc w:val="center"/>
              <w:rPr>
                <w:rFonts w:hint="eastAsia" w:ascii="仿宋" w:hAnsi="仿宋" w:eastAsia="仿宋" w:cs="Calibri"/>
                <w:color w:val="auto"/>
                <w:kern w:val="0"/>
              </w:rPr>
            </w:pPr>
            <w:r>
              <w:rPr>
                <w:rFonts w:hint="eastAsia" w:ascii="仿宋" w:hAnsi="仿宋" w:eastAsia="仿宋"/>
                <w:color w:val="auto"/>
              </w:rPr>
              <w:t>只</w:t>
            </w:r>
          </w:p>
        </w:tc>
      </w:tr>
      <w:tr w14:paraId="0EE55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0609F1D">
            <w:pPr>
              <w:widowControl/>
              <w:snapToGrid w:val="0"/>
              <w:jc w:val="center"/>
              <w:rPr>
                <w:rFonts w:hint="eastAsia" w:ascii="仿宋" w:hAnsi="仿宋" w:eastAsia="仿宋"/>
                <w:color w:val="auto"/>
                <w:kern w:val="0"/>
              </w:rPr>
            </w:pPr>
            <w:r>
              <w:rPr>
                <w:rFonts w:hint="eastAsia" w:ascii="仿宋" w:hAnsi="仿宋" w:eastAsia="仿宋"/>
                <w:color w:val="auto"/>
                <w:kern w:val="0"/>
              </w:rPr>
              <w:t>2</w:t>
            </w:r>
          </w:p>
        </w:tc>
        <w:tc>
          <w:tcPr>
            <w:tcW w:w="996" w:type="dxa"/>
            <w:vAlign w:val="center"/>
          </w:tcPr>
          <w:p w14:paraId="6459E23F">
            <w:pPr>
              <w:widowControl/>
              <w:snapToGrid w:val="0"/>
              <w:jc w:val="center"/>
              <w:rPr>
                <w:rFonts w:hint="eastAsia" w:ascii="仿宋" w:hAnsi="仿宋" w:eastAsia="仿宋"/>
                <w:color w:val="auto"/>
              </w:rPr>
            </w:pPr>
            <w:r>
              <w:rPr>
                <w:rFonts w:hint="eastAsia" w:ascii="仿宋" w:hAnsi="仿宋" w:eastAsia="仿宋"/>
                <w:color w:val="auto"/>
              </w:rPr>
              <w:t>纯后级广播功放</w:t>
            </w:r>
          </w:p>
        </w:tc>
        <w:tc>
          <w:tcPr>
            <w:tcW w:w="6650" w:type="dxa"/>
            <w:vAlign w:val="center"/>
          </w:tcPr>
          <w:p w14:paraId="2E20AA0E">
            <w:pPr>
              <w:widowControl/>
              <w:snapToGrid w:val="0"/>
              <w:jc w:val="left"/>
              <w:rPr>
                <w:rFonts w:hint="eastAsia" w:ascii="仿宋" w:hAnsi="仿宋" w:eastAsia="仿宋"/>
                <w:color w:val="auto"/>
              </w:rPr>
            </w:pPr>
            <w:r>
              <w:rPr>
                <w:rFonts w:hint="eastAsia" w:ascii="仿宋" w:hAnsi="仿宋" w:eastAsia="仿宋"/>
                <w:color w:val="auto"/>
              </w:rPr>
              <w:t>1.标准机柜式设计，3U高度，专业纯后级功率放大器；</w:t>
            </w:r>
          </w:p>
          <w:p w14:paraId="16A9EABF">
            <w:pPr>
              <w:widowControl/>
              <w:snapToGrid w:val="0"/>
              <w:jc w:val="left"/>
              <w:rPr>
                <w:rFonts w:hint="eastAsia" w:ascii="仿宋" w:hAnsi="仿宋" w:eastAsia="仿宋"/>
                <w:color w:val="auto"/>
              </w:rPr>
            </w:pPr>
            <w:r>
              <w:rPr>
                <w:rFonts w:hint="eastAsia" w:ascii="仿宋" w:hAnsi="仿宋" w:eastAsia="仿宋"/>
                <w:color w:val="auto"/>
              </w:rPr>
              <w:t>2.≥1路TRS线路输入，≥1路TRS线路级联输出，≥1路XLR线路输入，≥1路XLR线路级联输出；</w:t>
            </w:r>
          </w:p>
          <w:p w14:paraId="1471CA74">
            <w:pPr>
              <w:widowControl/>
              <w:snapToGrid w:val="0"/>
              <w:jc w:val="left"/>
              <w:rPr>
                <w:rFonts w:hint="eastAsia" w:ascii="仿宋" w:hAnsi="仿宋" w:eastAsia="仿宋"/>
                <w:color w:val="auto"/>
              </w:rPr>
            </w:pPr>
            <w:r>
              <w:rPr>
                <w:rFonts w:hint="eastAsia" w:ascii="仿宋" w:hAnsi="仿宋" w:eastAsia="仿宋"/>
                <w:color w:val="auto"/>
              </w:rPr>
              <w:t>3.设置有一个总音量调节旋钮，可对音量大小进行调节；</w:t>
            </w:r>
          </w:p>
          <w:p w14:paraId="3C2311D6">
            <w:pPr>
              <w:widowControl/>
              <w:snapToGrid w:val="0"/>
              <w:jc w:val="left"/>
              <w:rPr>
                <w:rFonts w:hint="eastAsia" w:ascii="仿宋" w:hAnsi="仿宋" w:eastAsia="仿宋"/>
                <w:color w:val="auto"/>
              </w:rPr>
            </w:pPr>
            <w:r>
              <w:rPr>
                <w:rFonts w:hint="eastAsia" w:ascii="仿宋" w:hAnsi="仿宋" w:eastAsia="仿宋"/>
                <w:color w:val="auto"/>
              </w:rPr>
              <w:t>4.具有短路、过载、过热、直流、软启动保护线路等保护功能；</w:t>
            </w:r>
          </w:p>
          <w:p w14:paraId="42B77D1A">
            <w:pPr>
              <w:widowControl/>
              <w:snapToGrid w:val="0"/>
              <w:jc w:val="left"/>
              <w:rPr>
                <w:rFonts w:hint="eastAsia" w:ascii="仿宋" w:hAnsi="仿宋" w:eastAsia="仿宋" w:cs="宋体"/>
                <w:color w:val="auto"/>
                <w:kern w:val="0"/>
              </w:rPr>
            </w:pPr>
            <w:r>
              <w:rPr>
                <w:rFonts w:hint="eastAsia" w:ascii="仿宋" w:hAnsi="仿宋" w:eastAsia="仿宋"/>
                <w:color w:val="auto"/>
              </w:rPr>
              <w:t>5.采用 高效 H 类 / AB 类放大电路，额定输出功率≥2000W，负载适应能力强（4–16Ω）；                                                                                                                                                                                                   6.内置压限（限幅）电路，防止信号过载失真；具备智能静噪/降噪功能；                                                                                                                                                                      7.支持100V、70V定压输出和4-16Ω定阻输出，输出功率≥2000W。</w:t>
            </w:r>
          </w:p>
        </w:tc>
        <w:tc>
          <w:tcPr>
            <w:tcW w:w="0" w:type="auto"/>
            <w:vAlign w:val="center"/>
          </w:tcPr>
          <w:p w14:paraId="3CEB304D">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5F0B8426">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051A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DBABC23">
            <w:pPr>
              <w:widowControl/>
              <w:snapToGrid w:val="0"/>
              <w:jc w:val="center"/>
              <w:rPr>
                <w:rFonts w:hint="eastAsia" w:ascii="仿宋" w:hAnsi="仿宋" w:eastAsia="仿宋"/>
                <w:color w:val="auto"/>
                <w:kern w:val="0"/>
              </w:rPr>
            </w:pPr>
            <w:r>
              <w:rPr>
                <w:rFonts w:hint="eastAsia" w:ascii="仿宋" w:hAnsi="仿宋" w:eastAsia="仿宋"/>
                <w:color w:val="auto"/>
                <w:kern w:val="0"/>
              </w:rPr>
              <w:t>3</w:t>
            </w:r>
          </w:p>
        </w:tc>
        <w:tc>
          <w:tcPr>
            <w:tcW w:w="996" w:type="dxa"/>
            <w:vAlign w:val="center"/>
          </w:tcPr>
          <w:p w14:paraId="5C22DFA4">
            <w:pPr>
              <w:widowControl/>
              <w:snapToGrid w:val="0"/>
              <w:jc w:val="center"/>
              <w:rPr>
                <w:rFonts w:hint="eastAsia" w:ascii="仿宋" w:hAnsi="仿宋" w:eastAsia="仿宋"/>
                <w:color w:val="auto"/>
              </w:rPr>
            </w:pPr>
            <w:r>
              <w:rPr>
                <w:rFonts w:hint="eastAsia" w:ascii="仿宋" w:hAnsi="仿宋" w:eastAsia="仿宋"/>
                <w:color w:val="auto"/>
              </w:rPr>
              <w:t>互联网云广播网络解码器</w:t>
            </w:r>
          </w:p>
        </w:tc>
        <w:tc>
          <w:tcPr>
            <w:tcW w:w="6650" w:type="dxa"/>
            <w:vAlign w:val="center"/>
          </w:tcPr>
          <w:p w14:paraId="0832DCF8">
            <w:pPr>
              <w:widowControl/>
              <w:snapToGrid w:val="0"/>
              <w:jc w:val="left"/>
              <w:rPr>
                <w:rFonts w:hint="eastAsia" w:ascii="仿宋" w:hAnsi="仿宋" w:eastAsia="仿宋"/>
                <w:color w:val="auto"/>
              </w:rPr>
            </w:pPr>
            <w:r>
              <w:rPr>
                <w:rFonts w:hint="eastAsia" w:ascii="仿宋" w:hAnsi="仿宋" w:eastAsia="仿宋"/>
                <w:color w:val="auto"/>
              </w:rPr>
              <w:t>1.标准1U机架式设计，支持网络音频流的同步接收和解码，具有单向接收及主控单向呼叫功能；</w:t>
            </w:r>
          </w:p>
          <w:p w14:paraId="0192AFB2">
            <w:pPr>
              <w:widowControl/>
              <w:snapToGrid w:val="0"/>
              <w:jc w:val="left"/>
              <w:rPr>
                <w:rFonts w:hint="eastAsia" w:ascii="仿宋" w:hAnsi="仿宋" w:eastAsia="仿宋"/>
                <w:color w:val="auto"/>
              </w:rPr>
            </w:pPr>
            <w:r>
              <w:rPr>
                <w:rFonts w:hint="eastAsia" w:ascii="仿宋" w:hAnsi="仿宋" w:eastAsia="仿宋"/>
                <w:color w:val="auto"/>
              </w:rPr>
              <w:t>2.≥4通道分区管理，支持平台单独控制分区开关；</w:t>
            </w:r>
          </w:p>
          <w:p w14:paraId="41CB02FA">
            <w:pPr>
              <w:widowControl/>
              <w:snapToGrid w:val="0"/>
              <w:jc w:val="left"/>
              <w:rPr>
                <w:rFonts w:hint="eastAsia" w:ascii="仿宋" w:hAnsi="仿宋" w:eastAsia="仿宋"/>
                <w:color w:val="auto"/>
              </w:rPr>
            </w:pPr>
            <w:r>
              <w:rPr>
                <w:rFonts w:hint="eastAsia" w:ascii="仿宋" w:hAnsi="仿宋" w:eastAsia="仿宋"/>
                <w:color w:val="auto"/>
              </w:rPr>
              <w:t>3.支持TCP/IP高品质的数字音频传输，可以本地解码CD级音质和支持16位 / 44.1kHz 及以上 CD 级音质解码；</w:t>
            </w:r>
          </w:p>
          <w:p w14:paraId="4FACF40D">
            <w:pPr>
              <w:widowControl/>
              <w:snapToGrid w:val="0"/>
              <w:jc w:val="left"/>
              <w:rPr>
                <w:rFonts w:hint="eastAsia" w:ascii="仿宋" w:hAnsi="仿宋" w:eastAsia="仿宋"/>
                <w:color w:val="auto"/>
              </w:rPr>
            </w:pPr>
            <w:r>
              <w:rPr>
                <w:rFonts w:hint="eastAsia" w:ascii="仿宋" w:hAnsi="仿宋" w:eastAsia="仿宋"/>
                <w:color w:val="auto"/>
              </w:rPr>
              <w:t>4.配置两路外控电源，实现定时控制功放的电源打开，当无网络信号时可自动断开功放电源，每路负载功率≤650W，总负载功率≤1300W；</w:t>
            </w:r>
          </w:p>
          <w:p w14:paraId="47FF3D0C">
            <w:pPr>
              <w:widowControl/>
              <w:snapToGrid w:val="0"/>
              <w:jc w:val="left"/>
              <w:rPr>
                <w:rFonts w:hint="eastAsia" w:ascii="仿宋" w:hAnsi="仿宋" w:eastAsia="仿宋"/>
                <w:color w:val="auto"/>
              </w:rPr>
            </w:pPr>
            <w:r>
              <w:rPr>
                <w:rFonts w:hint="eastAsia" w:ascii="仿宋" w:hAnsi="仿宋" w:eastAsia="仿宋"/>
                <w:color w:val="auto"/>
              </w:rPr>
              <w:t>5.标准RJ45输入接口，支持TCP/IP、UDP、IGMP（组播）等网络协议；</w:t>
            </w:r>
          </w:p>
          <w:p w14:paraId="554895BB">
            <w:pPr>
              <w:widowControl/>
              <w:snapToGrid w:val="0"/>
              <w:jc w:val="left"/>
              <w:rPr>
                <w:rFonts w:hint="eastAsia" w:ascii="仿宋" w:hAnsi="仿宋" w:eastAsia="仿宋"/>
                <w:color w:val="auto"/>
              </w:rPr>
            </w:pPr>
            <w:r>
              <w:rPr>
                <w:rFonts w:hint="eastAsia" w:ascii="仿宋" w:hAnsi="仿宋" w:eastAsia="仿宋"/>
                <w:color w:val="auto"/>
              </w:rPr>
              <w:t xml:space="preserve">6.支持静态IP、DHCP 自动获取，配置参数掉电记忆，网络变更后快速恢复稳定运行。 </w:t>
            </w:r>
          </w:p>
          <w:p w14:paraId="1C6D3CE2">
            <w:pPr>
              <w:widowControl/>
              <w:snapToGrid w:val="0"/>
              <w:jc w:val="left"/>
              <w:rPr>
                <w:rFonts w:hint="eastAsia" w:ascii="仿宋" w:hAnsi="仿宋" w:eastAsia="仿宋"/>
                <w:color w:val="auto"/>
              </w:rPr>
            </w:pPr>
            <w:r>
              <w:rPr>
                <w:rFonts w:hint="eastAsia" w:ascii="仿宋" w:hAnsi="仿宋" w:eastAsia="仿宋"/>
                <w:color w:val="auto"/>
              </w:rPr>
              <w:t xml:space="preserve">7.音频格式：MP3，音频输入灵敏度：775±50mV； </w:t>
            </w:r>
          </w:p>
          <w:p w14:paraId="3219572F">
            <w:pPr>
              <w:widowControl/>
              <w:snapToGrid w:val="0"/>
              <w:jc w:val="left"/>
              <w:rPr>
                <w:rFonts w:hint="eastAsia" w:ascii="仿宋" w:hAnsi="仿宋" w:eastAsia="仿宋"/>
                <w:color w:val="auto"/>
              </w:rPr>
            </w:pPr>
            <w:r>
              <w:rPr>
                <w:rFonts w:hint="eastAsia" w:ascii="仿宋" w:hAnsi="仿宋" w:eastAsia="仿宋"/>
                <w:color w:val="auto"/>
              </w:rPr>
              <w:t>8.通道增益差：≤0.5dB；</w:t>
            </w:r>
          </w:p>
          <w:p w14:paraId="13BB306D">
            <w:pPr>
              <w:widowControl/>
              <w:snapToGrid w:val="0"/>
              <w:jc w:val="left"/>
              <w:rPr>
                <w:rFonts w:hint="eastAsia" w:ascii="仿宋" w:hAnsi="仿宋" w:eastAsia="仿宋"/>
                <w:color w:val="auto"/>
              </w:rPr>
            </w:pPr>
            <w:r>
              <w:rPr>
                <w:rFonts w:hint="eastAsia" w:ascii="仿宋" w:hAnsi="仿宋" w:eastAsia="仿宋"/>
                <w:color w:val="auto"/>
              </w:rPr>
              <w:t>9.信噪比：＞93dB。</w:t>
            </w:r>
          </w:p>
        </w:tc>
        <w:tc>
          <w:tcPr>
            <w:tcW w:w="0" w:type="auto"/>
            <w:vAlign w:val="center"/>
          </w:tcPr>
          <w:p w14:paraId="4EFF7FF5">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7EEDD4C2">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79426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5F0F203">
            <w:pPr>
              <w:widowControl/>
              <w:snapToGrid w:val="0"/>
              <w:jc w:val="center"/>
              <w:rPr>
                <w:rFonts w:hint="eastAsia" w:ascii="仿宋" w:hAnsi="仿宋" w:eastAsia="仿宋"/>
                <w:color w:val="auto"/>
                <w:kern w:val="0"/>
              </w:rPr>
            </w:pPr>
            <w:r>
              <w:rPr>
                <w:rFonts w:hint="eastAsia" w:ascii="仿宋" w:hAnsi="仿宋" w:eastAsia="仿宋"/>
                <w:color w:val="auto"/>
                <w:kern w:val="0"/>
              </w:rPr>
              <w:t>4</w:t>
            </w:r>
          </w:p>
        </w:tc>
        <w:tc>
          <w:tcPr>
            <w:tcW w:w="996" w:type="dxa"/>
            <w:vAlign w:val="center"/>
          </w:tcPr>
          <w:p w14:paraId="6F549C7B">
            <w:pPr>
              <w:widowControl/>
              <w:snapToGrid w:val="0"/>
              <w:jc w:val="center"/>
              <w:rPr>
                <w:rFonts w:hint="eastAsia" w:ascii="仿宋" w:hAnsi="仿宋" w:eastAsia="仿宋"/>
                <w:color w:val="auto"/>
              </w:rPr>
            </w:pPr>
            <w:r>
              <w:rPr>
                <w:rFonts w:hint="eastAsia" w:ascii="仿宋" w:hAnsi="仿宋" w:eastAsia="仿宋"/>
                <w:color w:val="auto"/>
              </w:rPr>
              <w:t>前置放大器</w:t>
            </w:r>
          </w:p>
        </w:tc>
        <w:tc>
          <w:tcPr>
            <w:tcW w:w="6650" w:type="dxa"/>
            <w:vAlign w:val="center"/>
          </w:tcPr>
          <w:p w14:paraId="79A18582">
            <w:pPr>
              <w:widowControl/>
              <w:snapToGrid w:val="0"/>
              <w:jc w:val="left"/>
              <w:rPr>
                <w:rFonts w:hint="eastAsia" w:ascii="仿宋" w:hAnsi="仿宋" w:eastAsia="仿宋"/>
                <w:color w:val="auto"/>
              </w:rPr>
            </w:pPr>
            <w:r>
              <w:rPr>
                <w:rFonts w:hint="eastAsia" w:ascii="仿宋" w:hAnsi="仿宋" w:eastAsia="仿宋"/>
                <w:color w:val="auto"/>
              </w:rPr>
              <w:t>1.采用≤1U标准机柜式设计，具有不少于12路输入，包含7路话筒、3路线路、2路紧急输入；</w:t>
            </w:r>
          </w:p>
          <w:p w14:paraId="48D263F4">
            <w:pPr>
              <w:widowControl/>
              <w:snapToGrid w:val="0"/>
              <w:jc w:val="left"/>
              <w:rPr>
                <w:rFonts w:hint="eastAsia" w:ascii="仿宋" w:hAnsi="仿宋" w:eastAsia="仿宋"/>
                <w:color w:val="auto"/>
              </w:rPr>
            </w:pPr>
            <w:r>
              <w:rPr>
                <w:rFonts w:hint="eastAsia" w:ascii="仿宋" w:hAnsi="仿宋" w:eastAsia="仿宋"/>
                <w:color w:val="auto"/>
              </w:rPr>
              <w:t>2.MIC2、3、4、5、6和AUX1、2、3通道输入可交叉混合输出；</w:t>
            </w:r>
          </w:p>
          <w:p w14:paraId="53105B91">
            <w:pPr>
              <w:widowControl/>
              <w:snapToGrid w:val="0"/>
              <w:jc w:val="left"/>
              <w:rPr>
                <w:rFonts w:hint="eastAsia" w:ascii="仿宋" w:hAnsi="仿宋" w:eastAsia="仿宋"/>
                <w:color w:val="auto"/>
              </w:rPr>
            </w:pPr>
            <w:r>
              <w:rPr>
                <w:rFonts w:hint="eastAsia" w:ascii="仿宋" w:hAnsi="仿宋" w:eastAsia="仿宋"/>
                <w:color w:val="auto"/>
              </w:rPr>
              <w:t>3.MIC1、MIC7话筒具有最高优先、强行切入优先功能；</w:t>
            </w:r>
          </w:p>
          <w:p w14:paraId="7624DCB6">
            <w:pPr>
              <w:widowControl/>
              <w:snapToGrid w:val="0"/>
              <w:jc w:val="left"/>
              <w:rPr>
                <w:rFonts w:hint="eastAsia" w:ascii="仿宋" w:hAnsi="仿宋" w:eastAsia="仿宋"/>
                <w:color w:val="auto"/>
              </w:rPr>
            </w:pPr>
            <w:r>
              <w:rPr>
                <w:rFonts w:hint="eastAsia" w:ascii="仿宋" w:hAnsi="仿宋" w:eastAsia="仿宋"/>
                <w:color w:val="auto"/>
              </w:rPr>
              <w:t>4.设有高音和低音独立调节，各输入通道音量独立调节并带指示灯；</w:t>
            </w:r>
          </w:p>
          <w:p w14:paraId="69F1A370">
            <w:pPr>
              <w:widowControl/>
              <w:snapToGrid w:val="0"/>
              <w:jc w:val="left"/>
              <w:rPr>
                <w:rFonts w:hint="eastAsia" w:ascii="仿宋" w:hAnsi="仿宋" w:eastAsia="仿宋"/>
                <w:color w:val="auto"/>
              </w:rPr>
            </w:pPr>
            <w:r>
              <w:rPr>
                <w:rFonts w:hint="eastAsia" w:ascii="仿宋" w:hAnsi="仿宋" w:eastAsia="仿宋"/>
                <w:color w:val="auto"/>
              </w:rPr>
              <w:t>5.支持2路48V幻象供电话筒输入，手动开关并带指示灯；</w:t>
            </w:r>
          </w:p>
          <w:p w14:paraId="32D86E31">
            <w:pPr>
              <w:widowControl/>
              <w:snapToGrid w:val="0"/>
              <w:jc w:val="left"/>
              <w:rPr>
                <w:rFonts w:hint="eastAsia" w:ascii="仿宋" w:hAnsi="仿宋" w:eastAsia="仿宋"/>
                <w:color w:val="auto"/>
              </w:rPr>
            </w:pPr>
            <w:r>
              <w:rPr>
                <w:rFonts w:hint="eastAsia" w:ascii="仿宋" w:hAnsi="仿宋" w:eastAsia="仿宋"/>
                <w:color w:val="auto"/>
              </w:rPr>
              <w:t>6.具有默音深度调节旋钮和EMC输入增益调节旋钮；</w:t>
            </w:r>
          </w:p>
          <w:p w14:paraId="70DC70E0">
            <w:pPr>
              <w:widowControl/>
              <w:snapToGrid w:val="0"/>
              <w:jc w:val="left"/>
              <w:rPr>
                <w:rFonts w:hint="eastAsia" w:ascii="仿宋" w:hAnsi="仿宋" w:eastAsia="仿宋"/>
                <w:color w:val="auto"/>
              </w:rPr>
            </w:pPr>
            <w:r>
              <w:rPr>
                <w:rFonts w:hint="eastAsia" w:ascii="仿宋" w:hAnsi="仿宋" w:eastAsia="仿宋"/>
                <w:color w:val="auto"/>
              </w:rPr>
              <w:t>7.频响：20Hz-20KHz，信噪比：MIC≥90dB、AUX≥90dB；</w:t>
            </w:r>
          </w:p>
          <w:p w14:paraId="7CC7B4C3">
            <w:pPr>
              <w:widowControl/>
              <w:snapToGrid w:val="0"/>
              <w:jc w:val="left"/>
              <w:rPr>
                <w:rFonts w:hint="eastAsia" w:ascii="仿宋" w:hAnsi="仿宋" w:eastAsia="仿宋" w:cs="宋体"/>
                <w:color w:val="auto"/>
                <w:kern w:val="0"/>
              </w:rPr>
            </w:pPr>
            <w:r>
              <w:rPr>
                <w:rFonts w:hint="eastAsia" w:ascii="仿宋" w:hAnsi="仿宋" w:eastAsia="仿宋"/>
                <w:color w:val="auto"/>
              </w:rPr>
              <w:t>8.电源：AC220V/50Hz，静态功耗≤10W，峰值功耗≤30W。</w:t>
            </w:r>
          </w:p>
        </w:tc>
        <w:tc>
          <w:tcPr>
            <w:tcW w:w="0" w:type="auto"/>
            <w:vAlign w:val="center"/>
          </w:tcPr>
          <w:p w14:paraId="02462BD4">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2</w:t>
            </w:r>
          </w:p>
        </w:tc>
        <w:tc>
          <w:tcPr>
            <w:tcW w:w="492" w:type="dxa"/>
            <w:vAlign w:val="center"/>
          </w:tcPr>
          <w:p w14:paraId="7EDD408F">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70FA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05155AFE">
            <w:pPr>
              <w:widowControl/>
              <w:snapToGrid w:val="0"/>
              <w:jc w:val="center"/>
              <w:rPr>
                <w:rFonts w:hint="eastAsia" w:ascii="仿宋" w:hAnsi="仿宋" w:eastAsia="仿宋"/>
                <w:color w:val="auto"/>
                <w:kern w:val="0"/>
              </w:rPr>
            </w:pPr>
            <w:r>
              <w:rPr>
                <w:rFonts w:hint="eastAsia" w:ascii="仿宋" w:hAnsi="仿宋" w:eastAsia="仿宋"/>
                <w:color w:val="auto"/>
                <w:kern w:val="0"/>
              </w:rPr>
              <w:t>5</w:t>
            </w:r>
          </w:p>
        </w:tc>
        <w:tc>
          <w:tcPr>
            <w:tcW w:w="996" w:type="dxa"/>
            <w:vAlign w:val="center"/>
          </w:tcPr>
          <w:p w14:paraId="4C8B7872">
            <w:pPr>
              <w:widowControl/>
              <w:snapToGrid w:val="0"/>
              <w:jc w:val="center"/>
              <w:rPr>
                <w:rFonts w:hint="eastAsia" w:ascii="仿宋" w:hAnsi="仿宋" w:eastAsia="仿宋"/>
                <w:color w:val="auto"/>
              </w:rPr>
            </w:pPr>
            <w:r>
              <w:rPr>
                <w:rFonts w:hint="eastAsia" w:ascii="仿宋" w:hAnsi="仿宋" w:eastAsia="仿宋"/>
                <w:color w:val="auto"/>
              </w:rPr>
              <w:t>广播避雷器</w:t>
            </w:r>
          </w:p>
        </w:tc>
        <w:tc>
          <w:tcPr>
            <w:tcW w:w="6650" w:type="dxa"/>
            <w:vAlign w:val="center"/>
          </w:tcPr>
          <w:p w14:paraId="645C4466">
            <w:pPr>
              <w:widowControl/>
              <w:snapToGrid w:val="0"/>
              <w:jc w:val="left"/>
              <w:rPr>
                <w:rFonts w:hint="eastAsia" w:ascii="仿宋" w:hAnsi="仿宋" w:eastAsia="仿宋"/>
                <w:color w:val="auto"/>
              </w:rPr>
            </w:pPr>
            <w:r>
              <w:rPr>
                <w:rFonts w:hint="eastAsia" w:ascii="仿宋" w:hAnsi="仿宋" w:eastAsia="仿宋"/>
                <w:color w:val="auto"/>
              </w:rPr>
              <w:t>1.可用于广播系统的雷电保护、过压保护及漏电保护；</w:t>
            </w:r>
          </w:p>
          <w:p w14:paraId="575DEED1">
            <w:pPr>
              <w:widowControl/>
              <w:snapToGrid w:val="0"/>
              <w:jc w:val="left"/>
              <w:rPr>
                <w:rFonts w:hint="eastAsia" w:ascii="仿宋" w:hAnsi="仿宋" w:eastAsia="仿宋"/>
                <w:color w:val="auto"/>
              </w:rPr>
            </w:pPr>
            <w:r>
              <w:rPr>
                <w:rFonts w:hint="eastAsia" w:ascii="仿宋" w:hAnsi="仿宋" w:eastAsia="仿宋"/>
                <w:color w:val="auto"/>
              </w:rPr>
              <w:t>2.支持≥4通道输入输出通断控制，1-4路可任意选接；</w:t>
            </w:r>
          </w:p>
          <w:p w14:paraId="257590CB">
            <w:pPr>
              <w:widowControl/>
              <w:snapToGrid w:val="0"/>
              <w:jc w:val="left"/>
              <w:rPr>
                <w:rFonts w:hint="eastAsia" w:ascii="仿宋" w:hAnsi="仿宋" w:eastAsia="仿宋"/>
                <w:color w:val="auto"/>
              </w:rPr>
            </w:pPr>
            <w:r>
              <w:rPr>
                <w:rFonts w:hint="eastAsia" w:ascii="仿宋" w:hAnsi="仿宋" w:eastAsia="仿宋"/>
                <w:color w:val="auto"/>
              </w:rPr>
              <w:t>3.具有正常运行指示和故障保护指示；</w:t>
            </w:r>
          </w:p>
          <w:p w14:paraId="2C406A8B">
            <w:pPr>
              <w:widowControl/>
              <w:snapToGrid w:val="0"/>
              <w:jc w:val="left"/>
              <w:rPr>
                <w:rFonts w:hint="eastAsia" w:ascii="仿宋" w:hAnsi="仿宋" w:eastAsia="仿宋"/>
                <w:color w:val="auto"/>
              </w:rPr>
            </w:pPr>
            <w:r>
              <w:rPr>
                <w:rFonts w:hint="eastAsia" w:ascii="仿宋" w:hAnsi="仿宋" w:eastAsia="仿宋"/>
                <w:color w:val="auto"/>
              </w:rPr>
              <w:t>4.输入容量：每个通道70-200V，≥20A（功率输入）；</w:t>
            </w:r>
          </w:p>
          <w:p w14:paraId="62636F5B">
            <w:pPr>
              <w:widowControl/>
              <w:snapToGrid w:val="0"/>
              <w:jc w:val="left"/>
              <w:rPr>
                <w:rFonts w:hint="eastAsia" w:ascii="仿宋" w:hAnsi="仿宋" w:eastAsia="仿宋"/>
                <w:color w:val="auto"/>
              </w:rPr>
            </w:pPr>
            <w:r>
              <w:rPr>
                <w:rFonts w:hint="eastAsia" w:ascii="仿宋" w:hAnsi="仿宋" w:eastAsia="仿宋"/>
                <w:color w:val="auto"/>
              </w:rPr>
              <w:t>5.输出容量：每个通道70-200V，≥20A（功率输入）；</w:t>
            </w:r>
          </w:p>
          <w:p w14:paraId="1B4EC05E">
            <w:pPr>
              <w:widowControl/>
              <w:snapToGrid w:val="0"/>
              <w:jc w:val="left"/>
              <w:rPr>
                <w:rFonts w:hint="eastAsia" w:ascii="仿宋" w:hAnsi="仿宋" w:eastAsia="仿宋"/>
                <w:color w:val="auto"/>
              </w:rPr>
            </w:pPr>
            <w:r>
              <w:rPr>
                <w:rFonts w:hint="eastAsia" w:ascii="仿宋" w:hAnsi="仿宋" w:eastAsia="仿宋"/>
                <w:color w:val="auto"/>
              </w:rPr>
              <w:t>6.过压保护阀值电压≥350V；</w:t>
            </w:r>
          </w:p>
          <w:p w14:paraId="4EA4A615">
            <w:pPr>
              <w:widowControl/>
              <w:snapToGrid w:val="0"/>
              <w:jc w:val="left"/>
              <w:rPr>
                <w:rFonts w:hint="eastAsia" w:ascii="仿宋" w:hAnsi="仿宋" w:eastAsia="仿宋"/>
                <w:color w:val="auto"/>
              </w:rPr>
            </w:pPr>
            <w:r>
              <w:rPr>
                <w:rFonts w:hint="eastAsia" w:ascii="仿宋" w:hAnsi="仿宋" w:eastAsia="仿宋"/>
                <w:color w:val="auto"/>
              </w:rPr>
              <w:t>7.漏电保护电流≥10mA；</w:t>
            </w:r>
          </w:p>
          <w:p w14:paraId="39EEAE96">
            <w:pPr>
              <w:widowControl/>
              <w:snapToGrid w:val="0"/>
              <w:jc w:val="left"/>
              <w:rPr>
                <w:rFonts w:hint="eastAsia" w:ascii="仿宋" w:hAnsi="仿宋" w:eastAsia="仿宋" w:cs="宋体"/>
                <w:color w:val="auto"/>
                <w:kern w:val="0"/>
              </w:rPr>
            </w:pPr>
            <w:r>
              <w:rPr>
                <w:rFonts w:hint="eastAsia" w:ascii="仿宋" w:hAnsi="仿宋" w:eastAsia="仿宋"/>
                <w:color w:val="auto"/>
              </w:rPr>
              <w:t>8.电源：AC 220-240V/50-60Hz。</w:t>
            </w:r>
          </w:p>
        </w:tc>
        <w:tc>
          <w:tcPr>
            <w:tcW w:w="0" w:type="auto"/>
            <w:vAlign w:val="center"/>
          </w:tcPr>
          <w:p w14:paraId="39151CAA">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79F78460">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6D82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5696EAE">
            <w:pPr>
              <w:widowControl/>
              <w:snapToGrid w:val="0"/>
              <w:jc w:val="center"/>
              <w:rPr>
                <w:rFonts w:hint="eastAsia" w:ascii="仿宋" w:hAnsi="仿宋" w:eastAsia="仿宋"/>
                <w:color w:val="auto"/>
                <w:kern w:val="0"/>
              </w:rPr>
            </w:pPr>
            <w:r>
              <w:rPr>
                <w:rFonts w:hint="eastAsia" w:ascii="仿宋" w:hAnsi="仿宋" w:eastAsia="仿宋"/>
                <w:color w:val="auto"/>
                <w:kern w:val="0"/>
              </w:rPr>
              <w:t>6</w:t>
            </w:r>
          </w:p>
        </w:tc>
        <w:tc>
          <w:tcPr>
            <w:tcW w:w="996" w:type="dxa"/>
            <w:vAlign w:val="center"/>
          </w:tcPr>
          <w:p w14:paraId="161C807C">
            <w:pPr>
              <w:widowControl/>
              <w:snapToGrid w:val="0"/>
              <w:jc w:val="center"/>
              <w:rPr>
                <w:rFonts w:hint="eastAsia" w:ascii="仿宋" w:hAnsi="仿宋" w:eastAsia="仿宋"/>
                <w:color w:val="auto"/>
              </w:rPr>
            </w:pPr>
            <w:r>
              <w:rPr>
                <w:rFonts w:hint="eastAsia" w:ascii="仿宋" w:hAnsi="仿宋" w:eastAsia="仿宋"/>
                <w:color w:val="auto"/>
              </w:rPr>
              <w:t>大功率电源时序器</w:t>
            </w:r>
          </w:p>
        </w:tc>
        <w:tc>
          <w:tcPr>
            <w:tcW w:w="6650" w:type="dxa"/>
            <w:vAlign w:val="center"/>
          </w:tcPr>
          <w:p w14:paraId="1DE5D87B">
            <w:pPr>
              <w:widowControl/>
              <w:snapToGrid w:val="0"/>
              <w:jc w:val="left"/>
              <w:rPr>
                <w:rFonts w:hint="eastAsia" w:ascii="仿宋" w:hAnsi="仿宋" w:eastAsia="仿宋"/>
                <w:color w:val="auto"/>
              </w:rPr>
            </w:pPr>
            <w:r>
              <w:rPr>
                <w:rFonts w:hint="eastAsia" w:ascii="仿宋" w:hAnsi="仿宋" w:eastAsia="仿宋"/>
                <w:color w:val="auto"/>
              </w:rPr>
              <w:t>1.配置彩屏显示窗口，可以实时显示当前电压、日期时间等信息，内置时钟芯片，可根据日期时间设定，实现定时开关机功能；</w:t>
            </w:r>
          </w:p>
          <w:p w14:paraId="7D8CDE38">
            <w:pPr>
              <w:widowControl/>
              <w:snapToGrid w:val="0"/>
              <w:jc w:val="left"/>
              <w:rPr>
                <w:rFonts w:hint="eastAsia" w:ascii="仿宋" w:hAnsi="仿宋" w:eastAsia="仿宋"/>
                <w:color w:val="auto"/>
              </w:rPr>
            </w:pPr>
            <w:r>
              <w:rPr>
                <w:rFonts w:hint="eastAsia" w:ascii="仿宋" w:hAnsi="仿宋" w:eastAsia="仿宋"/>
                <w:color w:val="auto"/>
              </w:rPr>
              <w:t>2.支持顺序开机（先开启先闭合）、逆序关机（先开启后关闭）；每路输出通道配备独立工作状态指示灯。</w:t>
            </w:r>
          </w:p>
          <w:p w14:paraId="31851F13">
            <w:pPr>
              <w:widowControl/>
              <w:snapToGrid w:val="0"/>
              <w:jc w:val="left"/>
              <w:rPr>
                <w:rFonts w:hint="eastAsia" w:ascii="仿宋" w:hAnsi="仿宋" w:eastAsia="仿宋"/>
                <w:color w:val="auto"/>
              </w:rPr>
            </w:pPr>
            <w:r>
              <w:rPr>
                <w:rFonts w:hint="eastAsia" w:ascii="仿宋" w:hAnsi="仿宋" w:eastAsia="仿宋"/>
                <w:color w:val="auto"/>
              </w:rPr>
              <w:t>3.总共可控制≥8路管理电源，每路延时开启及关闭时间可在0-999秒自定义设置，同时还具有≥2路辅助通道；</w:t>
            </w:r>
          </w:p>
          <w:p w14:paraId="514A4AFD">
            <w:pPr>
              <w:widowControl/>
              <w:snapToGrid w:val="0"/>
              <w:jc w:val="left"/>
              <w:rPr>
                <w:rFonts w:hint="eastAsia" w:ascii="仿宋" w:hAnsi="仿宋" w:eastAsia="仿宋"/>
                <w:color w:val="auto"/>
              </w:rPr>
            </w:pPr>
            <w:r>
              <w:rPr>
                <w:rFonts w:hint="eastAsia" w:ascii="仿宋" w:hAnsi="仿宋" w:eastAsia="仿宋"/>
                <w:color w:val="auto"/>
              </w:rPr>
              <w:t>4.单路额定输出电流≥10A，通道开关状态额定输出电流≥30A；</w:t>
            </w:r>
          </w:p>
          <w:p w14:paraId="19EAE169">
            <w:pPr>
              <w:widowControl/>
              <w:snapToGrid w:val="0"/>
              <w:jc w:val="left"/>
              <w:rPr>
                <w:rFonts w:hint="eastAsia" w:ascii="仿宋" w:hAnsi="仿宋" w:eastAsia="仿宋"/>
                <w:color w:val="auto"/>
              </w:rPr>
            </w:pPr>
            <w:r>
              <w:rPr>
                <w:rFonts w:hint="eastAsia" w:ascii="仿宋" w:hAnsi="仿宋" w:eastAsia="仿宋"/>
                <w:color w:val="auto"/>
              </w:rPr>
              <w:t>5.主机配置有一路短路输入和输出口，可实现多台链接使用；</w:t>
            </w:r>
          </w:p>
          <w:p w14:paraId="1B6A69CF">
            <w:pPr>
              <w:widowControl/>
              <w:snapToGrid w:val="0"/>
              <w:jc w:val="left"/>
              <w:rPr>
                <w:rFonts w:hint="eastAsia" w:ascii="仿宋" w:hAnsi="仿宋" w:eastAsia="仿宋"/>
                <w:color w:val="auto"/>
              </w:rPr>
            </w:pPr>
            <w:r>
              <w:rPr>
                <w:rFonts w:hint="eastAsia" w:ascii="仿宋" w:hAnsi="仿宋" w:eastAsia="仿宋"/>
                <w:color w:val="auto"/>
              </w:rPr>
              <w:t>6.配置RS232接口，支持外部中央控制设备控制，≥6种波特率可选择；</w:t>
            </w:r>
          </w:p>
          <w:p w14:paraId="26A61765">
            <w:pPr>
              <w:widowControl/>
              <w:snapToGrid w:val="0"/>
              <w:jc w:val="left"/>
              <w:rPr>
                <w:rFonts w:hint="eastAsia" w:ascii="仿宋" w:hAnsi="仿宋" w:eastAsia="仿宋"/>
                <w:color w:val="auto"/>
              </w:rPr>
            </w:pPr>
            <w:r>
              <w:rPr>
                <w:rFonts w:hint="eastAsia" w:ascii="仿宋" w:hAnsi="仿宋" w:eastAsia="仿宋"/>
                <w:color w:val="auto"/>
              </w:rPr>
              <w:t>7.支持实现远程集中控制，每台设备自带设备编码ID检测和设置；</w:t>
            </w:r>
          </w:p>
          <w:p w14:paraId="02C600BB">
            <w:pPr>
              <w:widowControl/>
              <w:snapToGrid w:val="0"/>
              <w:jc w:val="left"/>
              <w:rPr>
                <w:rFonts w:hint="eastAsia" w:ascii="仿宋" w:hAnsi="仿宋" w:eastAsia="仿宋" w:cs="宋体"/>
                <w:color w:val="auto"/>
                <w:kern w:val="0"/>
              </w:rPr>
            </w:pPr>
            <w:r>
              <w:rPr>
                <w:rFonts w:hint="eastAsia" w:ascii="仿宋" w:hAnsi="仿宋" w:eastAsia="仿宋"/>
                <w:color w:val="auto"/>
              </w:rPr>
              <w:t>8.支持面板Lock锁定功能，内置≥8组设备开关场景数据保存/调用。</w:t>
            </w:r>
          </w:p>
        </w:tc>
        <w:tc>
          <w:tcPr>
            <w:tcW w:w="0" w:type="auto"/>
            <w:vAlign w:val="center"/>
          </w:tcPr>
          <w:p w14:paraId="6285490B">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3B38403B">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0DC3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02532AD5">
            <w:pPr>
              <w:widowControl/>
              <w:snapToGrid w:val="0"/>
              <w:jc w:val="center"/>
              <w:rPr>
                <w:rFonts w:hint="eastAsia" w:ascii="仿宋" w:hAnsi="仿宋" w:eastAsia="仿宋"/>
                <w:color w:val="auto"/>
              </w:rPr>
            </w:pPr>
            <w:r>
              <w:rPr>
                <w:rFonts w:hint="eastAsia" w:ascii="仿宋" w:hAnsi="仿宋" w:eastAsia="仿宋" w:cs="宋体"/>
                <w:b/>
                <w:bCs/>
                <w:color w:val="auto"/>
                <w:kern w:val="0"/>
                <w:sz w:val="24"/>
                <w:szCs w:val="24"/>
              </w:rPr>
              <w:t>前端设备-升旗广场</w:t>
            </w:r>
          </w:p>
        </w:tc>
        <w:tc>
          <w:tcPr>
            <w:tcW w:w="0" w:type="auto"/>
            <w:vAlign w:val="center"/>
          </w:tcPr>
          <w:p w14:paraId="3E3E389D">
            <w:pPr>
              <w:widowControl/>
              <w:snapToGrid w:val="0"/>
              <w:jc w:val="center"/>
              <w:rPr>
                <w:rFonts w:hint="eastAsia" w:ascii="仿宋" w:hAnsi="仿宋" w:eastAsia="仿宋"/>
                <w:color w:val="auto"/>
              </w:rPr>
            </w:pPr>
          </w:p>
        </w:tc>
        <w:tc>
          <w:tcPr>
            <w:tcW w:w="492" w:type="dxa"/>
            <w:vAlign w:val="center"/>
          </w:tcPr>
          <w:p w14:paraId="2E37B34D">
            <w:pPr>
              <w:widowControl/>
              <w:snapToGrid w:val="0"/>
              <w:jc w:val="center"/>
              <w:rPr>
                <w:rFonts w:hint="eastAsia" w:ascii="仿宋" w:hAnsi="仿宋" w:eastAsia="仿宋" w:cs="Calibri"/>
                <w:color w:val="auto"/>
                <w:kern w:val="0"/>
              </w:rPr>
            </w:pPr>
          </w:p>
        </w:tc>
      </w:tr>
      <w:tr w14:paraId="4F8A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0B2D2D24">
            <w:pPr>
              <w:widowControl/>
              <w:snapToGrid w:val="0"/>
              <w:jc w:val="center"/>
              <w:rPr>
                <w:rFonts w:hint="eastAsia" w:ascii="仿宋" w:hAnsi="仿宋" w:eastAsia="仿宋"/>
                <w:color w:val="auto"/>
                <w:kern w:val="0"/>
              </w:rPr>
            </w:pPr>
            <w:r>
              <w:rPr>
                <w:rFonts w:hint="eastAsia" w:ascii="仿宋" w:hAnsi="仿宋" w:eastAsia="仿宋"/>
                <w:color w:val="auto"/>
                <w:kern w:val="0"/>
              </w:rPr>
              <w:t>1</w:t>
            </w:r>
          </w:p>
        </w:tc>
        <w:tc>
          <w:tcPr>
            <w:tcW w:w="996" w:type="dxa"/>
            <w:vAlign w:val="center"/>
          </w:tcPr>
          <w:p w14:paraId="556B46D8">
            <w:pPr>
              <w:widowControl/>
              <w:snapToGrid w:val="0"/>
              <w:jc w:val="center"/>
              <w:rPr>
                <w:rFonts w:hint="eastAsia" w:ascii="仿宋" w:hAnsi="仿宋" w:eastAsia="仿宋"/>
                <w:color w:val="auto"/>
              </w:rPr>
            </w:pPr>
            <w:r>
              <w:rPr>
                <w:rFonts w:hint="eastAsia" w:ascii="仿宋" w:hAnsi="仿宋" w:eastAsia="仿宋"/>
                <w:color w:val="auto"/>
              </w:rPr>
              <w:t>大型室外远程防水音柱</w:t>
            </w:r>
          </w:p>
        </w:tc>
        <w:tc>
          <w:tcPr>
            <w:tcW w:w="6650" w:type="dxa"/>
            <w:vAlign w:val="center"/>
          </w:tcPr>
          <w:p w14:paraId="29C27799">
            <w:pPr>
              <w:widowControl/>
              <w:adjustRightInd w:val="0"/>
              <w:snapToGrid w:val="0"/>
              <w:jc w:val="left"/>
              <w:rPr>
                <w:rFonts w:hint="eastAsia" w:ascii="仿宋" w:hAnsi="仿宋" w:eastAsia="仿宋" w:cs="宋体"/>
                <w:color w:val="auto"/>
                <w:kern w:val="0"/>
              </w:rPr>
            </w:pPr>
            <w:bookmarkStart w:id="62" w:name="OLE_LINK6"/>
            <w:r>
              <w:rPr>
                <w:rFonts w:hint="eastAsia" w:ascii="仿宋" w:hAnsi="仿宋" w:eastAsia="仿宋" w:cs="宋体"/>
                <w:color w:val="auto"/>
                <w:kern w:val="0"/>
              </w:rPr>
              <w:t>1.额定功率≥120W；</w:t>
            </w:r>
          </w:p>
          <w:p w14:paraId="2B70F91F">
            <w:pPr>
              <w:widowControl/>
              <w:adjustRightInd w:val="0"/>
              <w:snapToGrid w:val="0"/>
              <w:jc w:val="left"/>
              <w:rPr>
                <w:rFonts w:hint="eastAsia" w:ascii="仿宋" w:hAnsi="仿宋" w:eastAsia="仿宋" w:cs="宋体"/>
                <w:color w:val="auto"/>
                <w:kern w:val="0"/>
              </w:rPr>
            </w:pPr>
            <w:r>
              <w:rPr>
                <w:rFonts w:hint="eastAsia" w:ascii="仿宋" w:hAnsi="仿宋" w:eastAsia="仿宋" w:cs="宋体"/>
                <w:color w:val="auto"/>
                <w:kern w:val="0"/>
              </w:rPr>
              <w:t>2.输入电压：100V/70V</w:t>
            </w:r>
          </w:p>
          <w:p w14:paraId="7D89A6C2">
            <w:pPr>
              <w:widowControl/>
              <w:adjustRightInd w:val="0"/>
              <w:snapToGrid w:val="0"/>
              <w:jc w:val="left"/>
              <w:rPr>
                <w:rFonts w:hint="eastAsia" w:ascii="仿宋" w:hAnsi="仿宋" w:eastAsia="仿宋" w:cs="宋体"/>
                <w:color w:val="auto"/>
                <w:kern w:val="0"/>
              </w:rPr>
            </w:pPr>
            <w:r>
              <w:rPr>
                <w:rFonts w:hint="eastAsia" w:ascii="仿宋" w:hAnsi="仿宋" w:eastAsia="仿宋" w:cs="宋体"/>
                <w:color w:val="auto"/>
                <w:kern w:val="0"/>
              </w:rPr>
              <w:t>3.灵敏度≥94dB；</w:t>
            </w:r>
          </w:p>
          <w:p w14:paraId="09E8DAD7">
            <w:pPr>
              <w:widowControl/>
              <w:adjustRightInd w:val="0"/>
              <w:snapToGrid w:val="0"/>
              <w:jc w:val="left"/>
              <w:rPr>
                <w:rFonts w:hint="eastAsia" w:ascii="仿宋" w:hAnsi="仿宋" w:eastAsia="仿宋" w:cs="宋体"/>
                <w:color w:val="auto"/>
                <w:kern w:val="0"/>
              </w:rPr>
            </w:pPr>
            <w:r>
              <w:rPr>
                <w:rFonts w:hint="eastAsia" w:ascii="仿宋" w:hAnsi="仿宋" w:eastAsia="仿宋" w:cs="宋体"/>
                <w:color w:val="auto"/>
                <w:kern w:val="0"/>
              </w:rPr>
              <w:t>4.频率响应:100Hz-20KHz；</w:t>
            </w:r>
          </w:p>
          <w:p w14:paraId="2B0C7867">
            <w:pPr>
              <w:widowControl/>
              <w:adjustRightInd w:val="0"/>
              <w:snapToGrid w:val="0"/>
              <w:jc w:val="left"/>
              <w:rPr>
                <w:rFonts w:hint="eastAsia" w:ascii="仿宋" w:hAnsi="仿宋" w:eastAsia="仿宋" w:cs="宋体"/>
                <w:color w:val="auto"/>
                <w:kern w:val="0"/>
              </w:rPr>
            </w:pPr>
            <w:r>
              <w:rPr>
                <w:rFonts w:hint="eastAsia" w:ascii="仿宋" w:hAnsi="仿宋" w:eastAsia="仿宋" w:cs="宋体"/>
                <w:color w:val="auto"/>
                <w:kern w:val="0"/>
              </w:rPr>
              <w:t>5.单元≥6"全频*4+高音*1。</w:t>
            </w:r>
            <w:bookmarkEnd w:id="62"/>
          </w:p>
          <w:p w14:paraId="48715B0D">
            <w:pPr>
              <w:pStyle w:val="2"/>
              <w:adjustRightInd w:val="0"/>
              <w:snapToGrid w:val="0"/>
              <w:jc w:val="left"/>
              <w:rPr>
                <w:rFonts w:hint="eastAsia" w:ascii="仿宋" w:hAnsi="仿宋" w:eastAsia="仿宋" w:cs="宋体"/>
                <w:color w:val="auto"/>
                <w:kern w:val="0"/>
                <w:sz w:val="21"/>
                <w:szCs w:val="21"/>
              </w:rPr>
            </w:pPr>
            <w:r>
              <w:rPr>
                <w:rFonts w:hint="eastAsia" w:ascii="仿宋" w:hAnsi="仿宋" w:eastAsia="仿宋" w:cs="宋体"/>
                <w:color w:val="auto"/>
                <w:kern w:val="0"/>
                <w:sz w:val="21"/>
                <w:szCs w:val="21"/>
              </w:rPr>
              <w:t>6.</w:t>
            </w:r>
            <w:r>
              <w:rPr>
                <w:rFonts w:ascii="仿宋" w:hAnsi="仿宋" w:eastAsia="仿宋" w:cs="宋体"/>
                <w:color w:val="auto"/>
                <w:kern w:val="0"/>
                <w:sz w:val="21"/>
                <w:szCs w:val="21"/>
              </w:rPr>
              <w:t xml:space="preserve">一体化长条柱形立式音柱，流线型窄边设计，线条简洁硬朗，适合建筑外墙、立柱、广场、校园、公园等室外场景安装。 </w:t>
            </w:r>
          </w:p>
          <w:p w14:paraId="7A125A6B">
            <w:pPr>
              <w:pStyle w:val="2"/>
              <w:adjustRightInd w:val="0"/>
              <w:snapToGrid w:val="0"/>
              <w:jc w:val="left"/>
              <w:rPr>
                <w:rFonts w:hint="eastAsia" w:ascii="仿宋" w:hAnsi="仿宋" w:eastAsia="仿宋" w:cs="宋体"/>
                <w:color w:val="auto"/>
                <w:kern w:val="0"/>
                <w:sz w:val="21"/>
                <w:szCs w:val="21"/>
              </w:rPr>
            </w:pPr>
            <w:r>
              <w:rPr>
                <w:rFonts w:hint="eastAsia" w:ascii="仿宋" w:hAnsi="仿宋" w:eastAsia="仿宋" w:cs="宋体"/>
                <w:color w:val="auto"/>
                <w:kern w:val="0"/>
                <w:sz w:val="21"/>
                <w:szCs w:val="21"/>
              </w:rPr>
              <w:t>7.</w:t>
            </w:r>
            <w:r>
              <w:rPr>
                <w:rFonts w:ascii="仿宋" w:hAnsi="仿宋" w:eastAsia="仿宋" w:cs="宋体"/>
                <w:color w:val="auto"/>
                <w:kern w:val="0"/>
                <w:sz w:val="21"/>
                <w:szCs w:val="21"/>
              </w:rPr>
              <w:t>整体呈哑光深灰</w:t>
            </w:r>
            <w:r>
              <w:rPr>
                <w:rFonts w:hint="eastAsia" w:ascii="仿宋" w:hAnsi="仿宋" w:eastAsia="仿宋" w:cs="宋体"/>
                <w:color w:val="auto"/>
                <w:kern w:val="0"/>
                <w:sz w:val="21"/>
                <w:szCs w:val="21"/>
              </w:rPr>
              <w:t>/</w:t>
            </w:r>
            <w:r>
              <w:rPr>
                <w:rFonts w:ascii="仿宋" w:hAnsi="仿宋" w:eastAsia="仿宋" w:cs="宋体"/>
                <w:color w:val="auto"/>
                <w:kern w:val="0"/>
                <w:sz w:val="21"/>
                <w:szCs w:val="21"/>
              </w:rPr>
              <w:t>黑色，低调大气，与户外环境高度融合，不突兀。</w:t>
            </w:r>
          </w:p>
          <w:p w14:paraId="691CC20C">
            <w:pPr>
              <w:pStyle w:val="3"/>
              <w:spacing w:line="240" w:lineRule="auto"/>
              <w:ind w:firstLine="0" w:firstLineChars="0"/>
              <w:jc w:val="left"/>
              <w:rPr>
                <w:rFonts w:hint="eastAsia" w:ascii="仿宋" w:hAnsi="仿宋" w:eastAsia="仿宋" w:cs="宋体"/>
                <w:color w:val="auto"/>
                <w:sz w:val="21"/>
                <w:szCs w:val="21"/>
              </w:rPr>
            </w:pPr>
            <w:r>
              <w:rPr>
                <w:rFonts w:hint="eastAsia" w:ascii="仿宋" w:hAnsi="仿宋" w:eastAsia="仿宋" w:cs="宋体"/>
                <w:color w:val="auto"/>
                <w:sz w:val="21"/>
                <w:szCs w:val="21"/>
              </w:rPr>
              <w:t>8.</w:t>
            </w:r>
            <w:r>
              <w:rPr>
                <w:rFonts w:ascii="仿宋" w:hAnsi="仿宋" w:eastAsia="仿宋" w:cs="宋体"/>
                <w:color w:val="auto"/>
                <w:sz w:val="21"/>
                <w:szCs w:val="21"/>
              </w:rPr>
              <w:t xml:space="preserve">立式长条造型，高度≥800mm，宽度≤150mm，厚度≤120mm（便于壁挂 / 抱杆安装）。 </w:t>
            </w:r>
          </w:p>
          <w:p w14:paraId="7E829B9B">
            <w:pPr>
              <w:pStyle w:val="3"/>
              <w:spacing w:line="240" w:lineRule="auto"/>
              <w:ind w:firstLine="0" w:firstLineChars="0"/>
              <w:jc w:val="left"/>
              <w:rPr>
                <w:rFonts w:hint="eastAsia" w:ascii="仿宋" w:hAnsi="仿宋" w:eastAsia="仿宋" w:cs="宋体"/>
                <w:color w:val="auto"/>
                <w:sz w:val="21"/>
                <w:szCs w:val="21"/>
                <w:highlight w:val="yellow"/>
              </w:rPr>
            </w:pPr>
            <w:r>
              <w:rPr>
                <w:rFonts w:hint="eastAsia" w:ascii="仿宋" w:hAnsi="仿宋" w:eastAsia="仿宋" w:cs="宋体"/>
                <w:color w:val="auto"/>
                <w:sz w:val="21"/>
                <w:szCs w:val="21"/>
              </w:rPr>
              <w:t>9.</w:t>
            </w:r>
            <w:r>
              <w:rPr>
                <w:rFonts w:ascii="仿宋" w:hAnsi="仿宋" w:eastAsia="仿宋" w:cs="宋体"/>
                <w:color w:val="auto"/>
                <w:sz w:val="21"/>
                <w:szCs w:val="21"/>
              </w:rPr>
              <w:t>背部预留标准安装支架孔位，标配壁挂支架或 U 型抱箍，可直接安装于墙面、灯杆、监控杆等。</w:t>
            </w:r>
          </w:p>
        </w:tc>
        <w:tc>
          <w:tcPr>
            <w:tcW w:w="0" w:type="auto"/>
            <w:vAlign w:val="center"/>
          </w:tcPr>
          <w:p w14:paraId="21561481">
            <w:pPr>
              <w:widowControl/>
              <w:snapToGrid w:val="0"/>
              <w:jc w:val="left"/>
              <w:rPr>
                <w:rFonts w:hint="eastAsia" w:ascii="仿宋" w:hAnsi="仿宋" w:eastAsia="仿宋" w:cs="Calibri"/>
                <w:color w:val="auto"/>
                <w:kern w:val="0"/>
              </w:rPr>
            </w:pPr>
            <w:r>
              <w:rPr>
                <w:rFonts w:hint="eastAsia" w:ascii="仿宋" w:hAnsi="仿宋" w:eastAsia="仿宋"/>
                <w:color w:val="auto"/>
              </w:rPr>
              <w:t>4</w:t>
            </w:r>
          </w:p>
        </w:tc>
        <w:tc>
          <w:tcPr>
            <w:tcW w:w="492" w:type="dxa"/>
            <w:vAlign w:val="center"/>
          </w:tcPr>
          <w:p w14:paraId="2A0C2164">
            <w:pPr>
              <w:widowControl/>
              <w:snapToGrid w:val="0"/>
              <w:jc w:val="center"/>
              <w:rPr>
                <w:rFonts w:hint="eastAsia" w:ascii="仿宋" w:hAnsi="仿宋" w:eastAsia="仿宋" w:cs="Calibri"/>
                <w:color w:val="auto"/>
                <w:kern w:val="0"/>
              </w:rPr>
            </w:pPr>
            <w:r>
              <w:rPr>
                <w:rFonts w:hint="eastAsia" w:ascii="仿宋" w:hAnsi="仿宋" w:eastAsia="仿宋"/>
                <w:color w:val="auto"/>
              </w:rPr>
              <w:t>只</w:t>
            </w:r>
          </w:p>
        </w:tc>
      </w:tr>
      <w:tr w14:paraId="02CE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8E73C73">
            <w:pPr>
              <w:widowControl/>
              <w:snapToGrid w:val="0"/>
              <w:jc w:val="center"/>
              <w:rPr>
                <w:rFonts w:hint="eastAsia" w:ascii="仿宋" w:hAnsi="仿宋" w:eastAsia="仿宋"/>
                <w:color w:val="auto"/>
                <w:kern w:val="0"/>
              </w:rPr>
            </w:pPr>
            <w:r>
              <w:rPr>
                <w:rFonts w:hint="eastAsia" w:ascii="仿宋" w:hAnsi="仿宋" w:eastAsia="仿宋"/>
                <w:color w:val="auto"/>
                <w:kern w:val="0"/>
              </w:rPr>
              <w:t>2</w:t>
            </w:r>
          </w:p>
        </w:tc>
        <w:tc>
          <w:tcPr>
            <w:tcW w:w="996" w:type="dxa"/>
            <w:vAlign w:val="center"/>
          </w:tcPr>
          <w:p w14:paraId="1F32C0B7">
            <w:pPr>
              <w:widowControl/>
              <w:snapToGrid w:val="0"/>
              <w:jc w:val="center"/>
              <w:rPr>
                <w:rFonts w:hint="eastAsia" w:ascii="仿宋" w:hAnsi="仿宋" w:eastAsia="仿宋"/>
                <w:color w:val="auto"/>
              </w:rPr>
            </w:pPr>
            <w:r>
              <w:rPr>
                <w:rFonts w:hint="eastAsia" w:ascii="仿宋" w:hAnsi="仿宋" w:eastAsia="仿宋"/>
                <w:color w:val="auto"/>
              </w:rPr>
              <w:t>纯后级广播功放</w:t>
            </w:r>
          </w:p>
        </w:tc>
        <w:tc>
          <w:tcPr>
            <w:tcW w:w="6650" w:type="dxa"/>
            <w:vAlign w:val="center"/>
          </w:tcPr>
          <w:p w14:paraId="27E65161">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1.标准机柜式设计，3U高度，专业纯后级功率放大器；</w:t>
            </w:r>
          </w:p>
          <w:p w14:paraId="0989F010">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2.≥1路TRS线路输入，≥1路TRS线路级联输出，≥1路XLR线路输入，≥1路XLR线路级联输出；</w:t>
            </w:r>
          </w:p>
          <w:p w14:paraId="42825C51">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3.设置有一个总音量调节旋钮，可对音量大小进行调节；</w:t>
            </w:r>
          </w:p>
          <w:p w14:paraId="65191F78">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4.具有短路、过载、过热、饱和失真、直流输出、独立的启动保护线路等保护功能；</w:t>
            </w:r>
          </w:p>
          <w:p w14:paraId="5E2CC208">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5.采用高效 H 类 / AB 类放大电路，功率输出稳定强劲，支持 4-16Ω 宽范围负载自适应，负载能力强；                                                                                                                                                                                                   6.带压限电路，可限制输入信号过大，独立的静噪音线路处理。                                                                                                                                                                      7.支持100V、70V定压输出和4-16Ω定阻输出，输出功率≥1000W。</w:t>
            </w:r>
          </w:p>
        </w:tc>
        <w:tc>
          <w:tcPr>
            <w:tcW w:w="0" w:type="auto"/>
            <w:vAlign w:val="center"/>
          </w:tcPr>
          <w:p w14:paraId="7024B00A">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2F6BF75F">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193C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4FDBB1E">
            <w:pPr>
              <w:widowControl/>
              <w:snapToGrid w:val="0"/>
              <w:jc w:val="center"/>
              <w:rPr>
                <w:rFonts w:hint="eastAsia" w:ascii="仿宋" w:hAnsi="仿宋" w:eastAsia="仿宋"/>
                <w:color w:val="auto"/>
                <w:kern w:val="0"/>
              </w:rPr>
            </w:pPr>
            <w:r>
              <w:rPr>
                <w:rFonts w:hint="eastAsia" w:ascii="仿宋" w:hAnsi="仿宋" w:eastAsia="仿宋"/>
                <w:color w:val="auto"/>
                <w:kern w:val="0"/>
              </w:rPr>
              <w:t>3</w:t>
            </w:r>
          </w:p>
        </w:tc>
        <w:tc>
          <w:tcPr>
            <w:tcW w:w="996" w:type="dxa"/>
            <w:vAlign w:val="center"/>
          </w:tcPr>
          <w:p w14:paraId="44490751">
            <w:pPr>
              <w:widowControl/>
              <w:snapToGrid w:val="0"/>
              <w:jc w:val="center"/>
              <w:rPr>
                <w:rFonts w:hint="eastAsia" w:ascii="仿宋" w:hAnsi="仿宋" w:eastAsia="仿宋"/>
                <w:color w:val="auto"/>
              </w:rPr>
            </w:pPr>
            <w:r>
              <w:rPr>
                <w:rFonts w:hint="eastAsia" w:ascii="仿宋" w:hAnsi="仿宋" w:eastAsia="仿宋"/>
                <w:color w:val="auto"/>
              </w:rPr>
              <w:t>互联网云广播网络解码器</w:t>
            </w:r>
          </w:p>
        </w:tc>
        <w:tc>
          <w:tcPr>
            <w:tcW w:w="6650" w:type="dxa"/>
            <w:vAlign w:val="center"/>
          </w:tcPr>
          <w:p w14:paraId="72EB530D">
            <w:pPr>
              <w:widowControl/>
              <w:snapToGrid w:val="0"/>
              <w:jc w:val="left"/>
              <w:rPr>
                <w:rFonts w:hint="eastAsia" w:ascii="仿宋" w:hAnsi="仿宋" w:eastAsia="仿宋"/>
                <w:color w:val="auto"/>
              </w:rPr>
            </w:pPr>
            <w:r>
              <w:rPr>
                <w:rFonts w:hint="eastAsia" w:ascii="仿宋" w:hAnsi="仿宋" w:eastAsia="仿宋"/>
                <w:color w:val="auto"/>
              </w:rPr>
              <w:t>1.标准1U机架式设计，支持网络音频流的同步接收和解码，具有单向接收及主控单向呼叫功能；</w:t>
            </w:r>
          </w:p>
          <w:p w14:paraId="6A0CD2B6">
            <w:pPr>
              <w:widowControl/>
              <w:snapToGrid w:val="0"/>
              <w:jc w:val="left"/>
              <w:rPr>
                <w:rFonts w:hint="eastAsia" w:ascii="仿宋" w:hAnsi="仿宋" w:eastAsia="仿宋"/>
                <w:color w:val="auto"/>
              </w:rPr>
            </w:pPr>
            <w:r>
              <w:rPr>
                <w:rFonts w:hint="eastAsia" w:ascii="仿宋" w:hAnsi="仿宋" w:eastAsia="仿宋"/>
                <w:color w:val="auto"/>
              </w:rPr>
              <w:t>2.≥4通道分区管理，支持平台单独控制分区开关；</w:t>
            </w:r>
          </w:p>
          <w:p w14:paraId="59B48C8A">
            <w:pPr>
              <w:widowControl/>
              <w:snapToGrid w:val="0"/>
              <w:jc w:val="left"/>
              <w:rPr>
                <w:rFonts w:hint="eastAsia" w:ascii="仿宋" w:hAnsi="仿宋" w:eastAsia="仿宋"/>
                <w:color w:val="auto"/>
              </w:rPr>
            </w:pPr>
            <w:r>
              <w:rPr>
                <w:rFonts w:hint="eastAsia" w:ascii="仿宋" w:hAnsi="仿宋" w:eastAsia="仿宋"/>
                <w:color w:val="auto"/>
              </w:rPr>
              <w:t>3.采用 TCP/IP 协议实现高品质数字音频传输，本地硬解码支持 16 位立体声 CD 级音质，可播放 MP3 格式高保真音频文件（32K~320Kbps 自适应）；</w:t>
            </w:r>
          </w:p>
          <w:p w14:paraId="50C98428">
            <w:pPr>
              <w:widowControl/>
              <w:snapToGrid w:val="0"/>
              <w:jc w:val="left"/>
              <w:rPr>
                <w:rFonts w:hint="eastAsia" w:ascii="仿宋" w:hAnsi="仿宋" w:eastAsia="仿宋"/>
                <w:color w:val="auto"/>
              </w:rPr>
            </w:pPr>
            <w:r>
              <w:rPr>
                <w:rFonts w:hint="eastAsia" w:ascii="仿宋" w:hAnsi="仿宋" w:eastAsia="仿宋"/>
                <w:color w:val="auto"/>
              </w:rPr>
              <w:t>4.配置两路外控电源，实现定时控制功放的电源打开，当无网络信号时可自动断开功放电源，每路负载功率≤650W，总负载功率≤1300W；</w:t>
            </w:r>
          </w:p>
          <w:p w14:paraId="65F6D9A6">
            <w:pPr>
              <w:widowControl/>
              <w:snapToGrid w:val="0"/>
              <w:jc w:val="left"/>
              <w:rPr>
                <w:rFonts w:hint="eastAsia" w:ascii="仿宋" w:hAnsi="仿宋" w:eastAsia="仿宋"/>
                <w:color w:val="auto"/>
              </w:rPr>
            </w:pPr>
            <w:r>
              <w:rPr>
                <w:rFonts w:hint="eastAsia" w:ascii="仿宋" w:hAnsi="仿宋" w:eastAsia="仿宋"/>
                <w:color w:val="auto"/>
              </w:rPr>
              <w:t>5.标准RJ45输入接口，支持TCP/IP、UDP、IGMP（组播）等网络协议；</w:t>
            </w:r>
          </w:p>
          <w:p w14:paraId="103E75F8">
            <w:pPr>
              <w:widowControl/>
              <w:snapToGrid w:val="0"/>
              <w:jc w:val="left"/>
              <w:rPr>
                <w:rFonts w:hint="eastAsia" w:ascii="仿宋" w:hAnsi="仿宋" w:eastAsia="仿宋"/>
                <w:color w:val="auto"/>
              </w:rPr>
            </w:pPr>
            <w:r>
              <w:rPr>
                <w:rFonts w:hint="eastAsia" w:ascii="仿宋" w:hAnsi="仿宋" w:eastAsia="仿宋"/>
                <w:color w:val="auto"/>
              </w:rPr>
              <w:t>6.采用静态IP地址设计，当网络发生改变时地址不会丢失，可以保障工作稳定运行；</w:t>
            </w:r>
          </w:p>
          <w:p w14:paraId="189C4AE4">
            <w:pPr>
              <w:widowControl/>
              <w:snapToGrid w:val="0"/>
              <w:jc w:val="left"/>
              <w:rPr>
                <w:rFonts w:hint="eastAsia" w:ascii="仿宋" w:hAnsi="仿宋" w:eastAsia="仿宋"/>
                <w:color w:val="auto"/>
              </w:rPr>
            </w:pPr>
            <w:r>
              <w:rPr>
                <w:rFonts w:hint="eastAsia" w:ascii="仿宋" w:hAnsi="仿宋" w:eastAsia="仿宋"/>
                <w:color w:val="auto"/>
              </w:rPr>
              <w:t>7.音频格式：MP3，音频输入灵敏度：775±50mV；</w:t>
            </w:r>
          </w:p>
          <w:p w14:paraId="7B9525AA">
            <w:pPr>
              <w:widowControl/>
              <w:snapToGrid w:val="0"/>
              <w:jc w:val="left"/>
              <w:rPr>
                <w:rFonts w:hint="eastAsia" w:ascii="仿宋" w:hAnsi="仿宋" w:eastAsia="仿宋"/>
                <w:color w:val="auto"/>
              </w:rPr>
            </w:pPr>
            <w:r>
              <w:rPr>
                <w:rFonts w:hint="eastAsia" w:ascii="仿宋" w:hAnsi="仿宋" w:eastAsia="仿宋"/>
                <w:color w:val="auto"/>
              </w:rPr>
              <w:t>8.通道增益差：≤0.5dB；</w:t>
            </w:r>
          </w:p>
          <w:p w14:paraId="57F8692A">
            <w:pPr>
              <w:widowControl/>
              <w:snapToGrid w:val="0"/>
              <w:jc w:val="left"/>
              <w:rPr>
                <w:rFonts w:hint="eastAsia" w:ascii="仿宋" w:hAnsi="仿宋" w:eastAsia="仿宋"/>
                <w:color w:val="auto"/>
              </w:rPr>
            </w:pPr>
            <w:r>
              <w:rPr>
                <w:rFonts w:hint="eastAsia" w:ascii="仿宋" w:hAnsi="仿宋" w:eastAsia="仿宋"/>
                <w:color w:val="auto"/>
              </w:rPr>
              <w:t>9.信噪比：＞93dB。</w:t>
            </w:r>
          </w:p>
        </w:tc>
        <w:tc>
          <w:tcPr>
            <w:tcW w:w="0" w:type="auto"/>
            <w:vAlign w:val="center"/>
          </w:tcPr>
          <w:p w14:paraId="15294D48">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3AE4742D">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5F4E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A018EEB">
            <w:pPr>
              <w:widowControl/>
              <w:snapToGrid w:val="0"/>
              <w:jc w:val="center"/>
              <w:rPr>
                <w:rFonts w:hint="eastAsia" w:ascii="仿宋" w:hAnsi="仿宋" w:eastAsia="仿宋"/>
                <w:color w:val="auto"/>
                <w:kern w:val="0"/>
              </w:rPr>
            </w:pPr>
            <w:r>
              <w:rPr>
                <w:rFonts w:hint="eastAsia" w:ascii="仿宋" w:hAnsi="仿宋" w:eastAsia="仿宋"/>
                <w:color w:val="auto"/>
                <w:kern w:val="0"/>
              </w:rPr>
              <w:t>4</w:t>
            </w:r>
          </w:p>
        </w:tc>
        <w:tc>
          <w:tcPr>
            <w:tcW w:w="996" w:type="dxa"/>
            <w:vAlign w:val="center"/>
          </w:tcPr>
          <w:p w14:paraId="15F2DADD">
            <w:pPr>
              <w:widowControl/>
              <w:snapToGrid w:val="0"/>
              <w:jc w:val="center"/>
              <w:rPr>
                <w:rFonts w:hint="eastAsia" w:ascii="仿宋" w:hAnsi="仿宋" w:eastAsia="仿宋"/>
                <w:color w:val="auto"/>
              </w:rPr>
            </w:pPr>
            <w:r>
              <w:rPr>
                <w:rFonts w:hint="eastAsia" w:ascii="仿宋" w:hAnsi="仿宋" w:eastAsia="仿宋"/>
                <w:color w:val="auto"/>
              </w:rPr>
              <w:t>真分集可调频无线咪 双手持(一拖二)</w:t>
            </w:r>
          </w:p>
        </w:tc>
        <w:tc>
          <w:tcPr>
            <w:tcW w:w="6650" w:type="dxa"/>
            <w:vAlign w:val="center"/>
          </w:tcPr>
          <w:p w14:paraId="1AC150DE">
            <w:pPr>
              <w:widowControl/>
              <w:snapToGrid w:val="0"/>
              <w:jc w:val="left"/>
              <w:rPr>
                <w:rFonts w:hint="eastAsia" w:ascii="仿宋" w:hAnsi="仿宋" w:eastAsia="仿宋"/>
                <w:color w:val="auto"/>
              </w:rPr>
            </w:pPr>
            <w:r>
              <w:rPr>
                <w:rFonts w:hint="eastAsia" w:ascii="仿宋" w:hAnsi="仿宋" w:eastAsia="仿宋"/>
                <w:color w:val="auto"/>
              </w:rPr>
              <w:t>1.采用独有的ID码导频技术，彻底解决同频、串频现象，有效阻隔使用环境中信号干扰；</w:t>
            </w:r>
          </w:p>
          <w:p w14:paraId="67868350">
            <w:pPr>
              <w:widowControl/>
              <w:snapToGrid w:val="0"/>
              <w:jc w:val="left"/>
              <w:rPr>
                <w:rFonts w:hint="eastAsia" w:ascii="仿宋" w:hAnsi="仿宋" w:eastAsia="仿宋"/>
                <w:color w:val="auto"/>
              </w:rPr>
            </w:pPr>
            <w:r>
              <w:rPr>
                <w:rFonts w:hint="eastAsia" w:ascii="仿宋" w:hAnsi="仿宋" w:eastAsia="仿宋"/>
                <w:color w:val="auto"/>
              </w:rPr>
              <w:t>2.接收机采用全金属机身，标准1U高度，配置挂耳可安装于标准机柜；</w:t>
            </w:r>
          </w:p>
          <w:p w14:paraId="2ACAE3AD">
            <w:pPr>
              <w:widowControl/>
              <w:snapToGrid w:val="0"/>
              <w:jc w:val="left"/>
              <w:rPr>
                <w:rFonts w:hint="eastAsia" w:ascii="仿宋" w:hAnsi="仿宋" w:eastAsia="仿宋"/>
                <w:color w:val="auto"/>
              </w:rPr>
            </w:pPr>
            <w:r>
              <w:rPr>
                <w:rFonts w:hint="eastAsia" w:ascii="仿宋" w:hAnsi="仿宋" w:eastAsia="仿宋"/>
                <w:color w:val="auto"/>
              </w:rPr>
              <w:t>3.接收机采用双通道UHF无线通信，640-690MHz频率范围，每个通道≥500个频点可选，可切换频点总数≥500个；</w:t>
            </w:r>
          </w:p>
          <w:p w14:paraId="444E56EF">
            <w:pPr>
              <w:widowControl/>
              <w:snapToGrid w:val="0"/>
              <w:jc w:val="left"/>
              <w:rPr>
                <w:rFonts w:hint="eastAsia" w:ascii="仿宋" w:hAnsi="仿宋" w:eastAsia="仿宋"/>
                <w:color w:val="auto"/>
              </w:rPr>
            </w:pPr>
            <w:r>
              <w:rPr>
                <w:rFonts w:hint="eastAsia" w:ascii="仿宋" w:hAnsi="仿宋" w:eastAsia="仿宋"/>
                <w:color w:val="auto"/>
              </w:rPr>
              <w:t>4.可通过麦克风拨码开关切换麦克风工作频率，满足不同场景需求；</w:t>
            </w:r>
          </w:p>
          <w:p w14:paraId="4209467D">
            <w:pPr>
              <w:widowControl/>
              <w:snapToGrid w:val="0"/>
              <w:jc w:val="left"/>
              <w:rPr>
                <w:rFonts w:hint="eastAsia" w:ascii="仿宋" w:hAnsi="仿宋" w:eastAsia="仿宋"/>
                <w:color w:val="auto"/>
              </w:rPr>
            </w:pPr>
            <w:r>
              <w:rPr>
                <w:rFonts w:hint="eastAsia" w:ascii="仿宋" w:hAnsi="仿宋" w:eastAsia="仿宋"/>
                <w:color w:val="auto"/>
              </w:rPr>
              <w:t>5.主机、麦克风均配备液晶屏幕，可实时反馈系统工作状态，可显示电池电量、信号强度、工作频率；</w:t>
            </w:r>
          </w:p>
          <w:p w14:paraId="4E749144">
            <w:pPr>
              <w:widowControl/>
              <w:snapToGrid w:val="0"/>
              <w:jc w:val="left"/>
              <w:rPr>
                <w:rFonts w:hint="eastAsia" w:ascii="仿宋" w:hAnsi="仿宋" w:eastAsia="仿宋"/>
                <w:color w:val="auto"/>
              </w:rPr>
            </w:pPr>
            <w:r>
              <w:rPr>
                <w:rFonts w:hint="eastAsia" w:ascii="仿宋" w:hAnsi="仿宋" w:eastAsia="仿宋"/>
                <w:color w:val="auto"/>
              </w:rPr>
              <w:t>6.标配不少于：主机*1+手持麦克风*2。</w:t>
            </w:r>
          </w:p>
          <w:p w14:paraId="480E1602">
            <w:pPr>
              <w:widowControl/>
              <w:snapToGrid w:val="0"/>
              <w:jc w:val="left"/>
              <w:rPr>
                <w:rFonts w:hint="eastAsia" w:ascii="仿宋" w:hAnsi="仿宋" w:eastAsia="仿宋"/>
                <w:color w:val="auto"/>
              </w:rPr>
            </w:pPr>
            <w:r>
              <w:rPr>
                <w:rFonts w:hint="eastAsia" w:ascii="仿宋" w:hAnsi="仿宋" w:eastAsia="仿宋"/>
                <w:color w:val="auto"/>
              </w:rPr>
              <w:t xml:space="preserve">无线手持麦克风：                      </w:t>
            </w:r>
          </w:p>
          <w:p w14:paraId="06B9F6DF">
            <w:pPr>
              <w:widowControl/>
              <w:snapToGrid w:val="0"/>
              <w:jc w:val="left"/>
              <w:rPr>
                <w:rFonts w:hint="eastAsia" w:ascii="仿宋" w:hAnsi="仿宋" w:eastAsia="仿宋"/>
                <w:color w:val="auto"/>
              </w:rPr>
            </w:pPr>
            <w:r>
              <w:rPr>
                <w:rFonts w:hint="eastAsia" w:ascii="仿宋" w:hAnsi="仿宋" w:eastAsia="仿宋"/>
                <w:color w:val="auto"/>
              </w:rPr>
              <w:t>1.发射功率≥30mW</w:t>
            </w:r>
          </w:p>
          <w:p w14:paraId="6F9BB90F">
            <w:pPr>
              <w:widowControl/>
              <w:snapToGrid w:val="0"/>
              <w:jc w:val="left"/>
              <w:rPr>
                <w:rFonts w:hint="eastAsia" w:ascii="仿宋" w:hAnsi="仿宋" w:eastAsia="仿宋"/>
                <w:color w:val="auto"/>
              </w:rPr>
            </w:pPr>
            <w:r>
              <w:rPr>
                <w:rFonts w:hint="eastAsia" w:ascii="仿宋" w:hAnsi="仿宋" w:eastAsia="仿宋"/>
                <w:color w:val="auto"/>
              </w:rPr>
              <w:t>2.调制方式：FM</w:t>
            </w:r>
          </w:p>
          <w:p w14:paraId="54B7BDD3">
            <w:pPr>
              <w:widowControl/>
              <w:snapToGrid w:val="0"/>
              <w:jc w:val="left"/>
              <w:rPr>
                <w:rFonts w:hint="eastAsia" w:ascii="仿宋" w:hAnsi="仿宋" w:eastAsia="仿宋"/>
                <w:color w:val="auto"/>
              </w:rPr>
            </w:pPr>
            <w:r>
              <w:rPr>
                <w:rFonts w:hint="eastAsia" w:ascii="仿宋" w:hAnsi="仿宋" w:eastAsia="仿宋"/>
                <w:color w:val="auto"/>
              </w:rPr>
              <w:t>3.最大调制度≥40KHz</w:t>
            </w:r>
          </w:p>
          <w:p w14:paraId="43A05337">
            <w:pPr>
              <w:widowControl/>
              <w:snapToGrid w:val="0"/>
              <w:jc w:val="left"/>
              <w:rPr>
                <w:rFonts w:hint="eastAsia" w:ascii="仿宋" w:hAnsi="仿宋" w:eastAsia="仿宋"/>
                <w:color w:val="auto"/>
              </w:rPr>
            </w:pPr>
            <w:r>
              <w:rPr>
                <w:rFonts w:hint="eastAsia" w:ascii="仿宋" w:hAnsi="仿宋" w:eastAsia="仿宋"/>
                <w:color w:val="auto"/>
              </w:rPr>
              <w:t>4.高次谐波＜-60dB</w:t>
            </w:r>
          </w:p>
          <w:p w14:paraId="6B545B08">
            <w:pPr>
              <w:widowControl/>
              <w:snapToGrid w:val="0"/>
              <w:jc w:val="left"/>
              <w:rPr>
                <w:rFonts w:hint="eastAsia" w:ascii="仿宋" w:hAnsi="仿宋" w:eastAsia="仿宋"/>
                <w:color w:val="auto"/>
              </w:rPr>
            </w:pPr>
            <w:r>
              <w:rPr>
                <w:rFonts w:hint="eastAsia" w:ascii="仿宋" w:hAnsi="仿宋" w:eastAsia="仿宋"/>
                <w:color w:val="auto"/>
              </w:rPr>
              <w:t>5.供电电压不劣于：1.5V AA电池2节</w:t>
            </w:r>
          </w:p>
          <w:p w14:paraId="4C999556">
            <w:pPr>
              <w:widowControl/>
              <w:snapToGrid w:val="0"/>
              <w:jc w:val="left"/>
              <w:rPr>
                <w:rFonts w:hint="eastAsia" w:ascii="仿宋" w:hAnsi="仿宋" w:eastAsia="仿宋"/>
                <w:color w:val="auto"/>
              </w:rPr>
            </w:pPr>
            <w:r>
              <w:rPr>
                <w:rFonts w:hint="eastAsia" w:ascii="仿宋" w:hAnsi="仿宋" w:eastAsia="仿宋"/>
                <w:color w:val="auto"/>
              </w:rPr>
              <w:t>6.持续使用时间＞8小时</w:t>
            </w:r>
          </w:p>
        </w:tc>
        <w:tc>
          <w:tcPr>
            <w:tcW w:w="0" w:type="auto"/>
            <w:vAlign w:val="center"/>
          </w:tcPr>
          <w:p w14:paraId="516D69B6">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14BA3B27">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7E212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6BF9454">
            <w:pPr>
              <w:widowControl/>
              <w:snapToGrid w:val="0"/>
              <w:jc w:val="center"/>
              <w:rPr>
                <w:rFonts w:hint="eastAsia" w:ascii="仿宋" w:hAnsi="仿宋" w:eastAsia="仿宋"/>
                <w:color w:val="auto"/>
                <w:kern w:val="0"/>
              </w:rPr>
            </w:pPr>
            <w:r>
              <w:rPr>
                <w:rFonts w:hint="eastAsia" w:ascii="仿宋" w:hAnsi="仿宋" w:eastAsia="仿宋"/>
                <w:color w:val="auto"/>
                <w:kern w:val="0"/>
              </w:rPr>
              <w:t>5</w:t>
            </w:r>
          </w:p>
        </w:tc>
        <w:tc>
          <w:tcPr>
            <w:tcW w:w="996" w:type="dxa"/>
            <w:vAlign w:val="center"/>
          </w:tcPr>
          <w:p w14:paraId="6F349438">
            <w:pPr>
              <w:widowControl/>
              <w:snapToGrid w:val="0"/>
              <w:jc w:val="center"/>
              <w:rPr>
                <w:rFonts w:hint="eastAsia" w:ascii="仿宋" w:hAnsi="仿宋" w:eastAsia="仿宋"/>
                <w:color w:val="auto"/>
              </w:rPr>
            </w:pPr>
            <w:r>
              <w:rPr>
                <w:rFonts w:hint="eastAsia" w:ascii="仿宋" w:hAnsi="仿宋" w:eastAsia="仿宋"/>
                <w:color w:val="auto"/>
              </w:rPr>
              <w:t>指向性天线放大套器</w:t>
            </w:r>
          </w:p>
        </w:tc>
        <w:tc>
          <w:tcPr>
            <w:tcW w:w="6650" w:type="dxa"/>
            <w:vAlign w:val="center"/>
          </w:tcPr>
          <w:p w14:paraId="4CCBDAA8">
            <w:pPr>
              <w:widowControl/>
              <w:snapToGrid w:val="0"/>
              <w:jc w:val="left"/>
              <w:rPr>
                <w:rFonts w:hint="eastAsia" w:ascii="仿宋" w:hAnsi="仿宋" w:eastAsia="仿宋"/>
                <w:color w:val="auto"/>
              </w:rPr>
            </w:pPr>
            <w:r>
              <w:rPr>
                <w:rFonts w:hint="eastAsia" w:ascii="仿宋" w:hAnsi="仿宋" w:eastAsia="仿宋"/>
                <w:color w:val="auto"/>
              </w:rPr>
              <w:t xml:space="preserve">1.天线分配器：适用于450-1000MHz的频率范围；     </w:t>
            </w:r>
          </w:p>
          <w:p w14:paraId="07C27843">
            <w:pPr>
              <w:widowControl/>
              <w:snapToGrid w:val="0"/>
              <w:jc w:val="left"/>
              <w:rPr>
                <w:rFonts w:hint="eastAsia" w:ascii="仿宋" w:hAnsi="仿宋" w:eastAsia="仿宋"/>
                <w:color w:val="auto"/>
              </w:rPr>
            </w:pPr>
            <w:r>
              <w:rPr>
                <w:rFonts w:hint="eastAsia" w:ascii="仿宋" w:hAnsi="仿宋" w:eastAsia="仿宋"/>
                <w:color w:val="auto"/>
              </w:rPr>
              <w:t>2.指向性天线：具有4-6dBi的高指向特性；</w:t>
            </w:r>
          </w:p>
          <w:p w14:paraId="374D1461">
            <w:pPr>
              <w:widowControl/>
              <w:snapToGrid w:val="0"/>
              <w:jc w:val="left"/>
              <w:rPr>
                <w:rFonts w:hint="eastAsia" w:ascii="仿宋" w:hAnsi="仿宋" w:eastAsia="仿宋"/>
                <w:color w:val="auto"/>
              </w:rPr>
            </w:pPr>
            <w:r>
              <w:rPr>
                <w:rFonts w:hint="eastAsia" w:ascii="仿宋" w:hAnsi="仿宋" w:eastAsia="仿宋"/>
                <w:color w:val="auto"/>
              </w:rPr>
              <w:t>3.专供接收机作长距离接收使用，可以补偿连接到接收机的同轴电缆线所造成的信号损失；</w:t>
            </w:r>
          </w:p>
          <w:p w14:paraId="7D1C7BAA">
            <w:pPr>
              <w:widowControl/>
              <w:snapToGrid w:val="0"/>
              <w:jc w:val="left"/>
              <w:rPr>
                <w:rFonts w:hint="eastAsia" w:ascii="仿宋" w:hAnsi="仿宋" w:eastAsia="仿宋"/>
                <w:color w:val="auto"/>
              </w:rPr>
            </w:pPr>
            <w:r>
              <w:rPr>
                <w:rFonts w:hint="eastAsia" w:ascii="仿宋" w:hAnsi="仿宋" w:eastAsia="仿宋"/>
                <w:color w:val="auto"/>
              </w:rPr>
              <w:t>4.天线分配系统由不少于一台天线分配器和2个定向天线组成，可供多台接收机使用；</w:t>
            </w:r>
          </w:p>
          <w:p w14:paraId="18CE724B">
            <w:pPr>
              <w:widowControl/>
              <w:snapToGrid w:val="0"/>
              <w:jc w:val="left"/>
              <w:rPr>
                <w:rFonts w:hint="eastAsia" w:ascii="仿宋" w:hAnsi="仿宋" w:eastAsia="仿宋"/>
                <w:color w:val="auto"/>
              </w:rPr>
            </w:pPr>
            <w:r>
              <w:rPr>
                <w:rFonts w:hint="eastAsia" w:ascii="仿宋" w:hAnsi="仿宋" w:eastAsia="仿宋"/>
                <w:color w:val="auto"/>
              </w:rPr>
              <w:t>5.波束宽度：垂直方向≥75°，水平方向≥130°；</w:t>
            </w:r>
          </w:p>
          <w:p w14:paraId="1865B54B">
            <w:pPr>
              <w:widowControl/>
              <w:snapToGrid w:val="0"/>
              <w:jc w:val="left"/>
              <w:rPr>
                <w:rFonts w:hint="eastAsia" w:ascii="仿宋" w:hAnsi="仿宋" w:eastAsia="仿宋"/>
                <w:color w:val="auto"/>
              </w:rPr>
            </w:pPr>
            <w:r>
              <w:rPr>
                <w:rFonts w:hint="eastAsia" w:ascii="仿宋" w:hAnsi="仿宋" w:eastAsia="仿宋"/>
                <w:color w:val="auto"/>
              </w:rPr>
              <w:t>6.TNC插座连接头，输入/输出阻抗≥50Ω。</w:t>
            </w:r>
          </w:p>
        </w:tc>
        <w:tc>
          <w:tcPr>
            <w:tcW w:w="0" w:type="auto"/>
            <w:vAlign w:val="center"/>
          </w:tcPr>
          <w:p w14:paraId="731756BB">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79B91FED">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7036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886FFDB">
            <w:pPr>
              <w:widowControl/>
              <w:snapToGrid w:val="0"/>
              <w:jc w:val="center"/>
              <w:rPr>
                <w:rFonts w:hint="eastAsia" w:ascii="仿宋" w:hAnsi="仿宋" w:eastAsia="仿宋"/>
                <w:color w:val="auto"/>
                <w:kern w:val="0"/>
              </w:rPr>
            </w:pPr>
            <w:r>
              <w:rPr>
                <w:rFonts w:hint="eastAsia" w:ascii="仿宋" w:hAnsi="仿宋" w:eastAsia="仿宋"/>
                <w:color w:val="auto"/>
                <w:kern w:val="0"/>
              </w:rPr>
              <w:t>6</w:t>
            </w:r>
          </w:p>
        </w:tc>
        <w:tc>
          <w:tcPr>
            <w:tcW w:w="996" w:type="dxa"/>
            <w:vAlign w:val="center"/>
          </w:tcPr>
          <w:p w14:paraId="4E93C23B">
            <w:pPr>
              <w:widowControl/>
              <w:snapToGrid w:val="0"/>
              <w:jc w:val="center"/>
              <w:rPr>
                <w:rFonts w:hint="eastAsia" w:ascii="仿宋" w:hAnsi="仿宋" w:eastAsia="仿宋"/>
                <w:color w:val="auto"/>
              </w:rPr>
            </w:pPr>
            <w:r>
              <w:rPr>
                <w:rFonts w:hint="eastAsia" w:ascii="仿宋" w:hAnsi="仿宋" w:eastAsia="仿宋"/>
                <w:color w:val="auto"/>
              </w:rPr>
              <w:t>互联网云广播网络无线遥控终端</w:t>
            </w:r>
          </w:p>
        </w:tc>
        <w:tc>
          <w:tcPr>
            <w:tcW w:w="6650" w:type="dxa"/>
            <w:vAlign w:val="center"/>
          </w:tcPr>
          <w:p w14:paraId="53A98527">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1.网络遥控器，支持预设任务的管理，支持预设不少于10个任务键和5个功能键；</w:t>
            </w:r>
          </w:p>
          <w:p w14:paraId="4F5C4C51">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2.任务键支持设置任意时间、任意数量终端、任意音量的任意音乐播放；</w:t>
            </w:r>
          </w:p>
          <w:p w14:paraId="4648ECFB">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3.功能键支持对当前任务进行停止/播放、上一曲、下一曲、音量加、音量减等操作；</w:t>
            </w:r>
          </w:p>
          <w:p w14:paraId="0128128D">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4.远程控制最大有效距离不少于500米。</w:t>
            </w:r>
          </w:p>
        </w:tc>
        <w:tc>
          <w:tcPr>
            <w:tcW w:w="0" w:type="auto"/>
            <w:vAlign w:val="center"/>
          </w:tcPr>
          <w:p w14:paraId="569BB935">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2A1ED36D">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4E55E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75B4DFC">
            <w:pPr>
              <w:widowControl/>
              <w:snapToGrid w:val="0"/>
              <w:jc w:val="center"/>
              <w:rPr>
                <w:rFonts w:hint="eastAsia" w:ascii="仿宋" w:hAnsi="仿宋" w:eastAsia="仿宋"/>
                <w:color w:val="auto"/>
                <w:kern w:val="0"/>
              </w:rPr>
            </w:pPr>
            <w:r>
              <w:rPr>
                <w:rFonts w:hint="eastAsia" w:ascii="仿宋" w:hAnsi="仿宋" w:eastAsia="仿宋"/>
                <w:color w:val="auto"/>
                <w:kern w:val="0"/>
              </w:rPr>
              <w:t>7</w:t>
            </w:r>
          </w:p>
        </w:tc>
        <w:tc>
          <w:tcPr>
            <w:tcW w:w="996" w:type="dxa"/>
            <w:vAlign w:val="center"/>
          </w:tcPr>
          <w:p w14:paraId="014822AF">
            <w:pPr>
              <w:widowControl/>
              <w:snapToGrid w:val="0"/>
              <w:jc w:val="center"/>
              <w:rPr>
                <w:rFonts w:hint="eastAsia" w:ascii="仿宋" w:hAnsi="仿宋" w:eastAsia="仿宋"/>
                <w:color w:val="auto"/>
              </w:rPr>
            </w:pPr>
            <w:r>
              <w:rPr>
                <w:rFonts w:hint="eastAsia" w:ascii="仿宋" w:hAnsi="仿宋" w:eastAsia="仿宋"/>
                <w:color w:val="auto"/>
              </w:rPr>
              <w:t>广播避雷器</w:t>
            </w:r>
          </w:p>
        </w:tc>
        <w:tc>
          <w:tcPr>
            <w:tcW w:w="6650" w:type="dxa"/>
            <w:vAlign w:val="center"/>
          </w:tcPr>
          <w:p w14:paraId="734ACDA0">
            <w:pPr>
              <w:widowControl/>
              <w:snapToGrid w:val="0"/>
              <w:jc w:val="left"/>
              <w:rPr>
                <w:rFonts w:hint="eastAsia" w:ascii="仿宋" w:hAnsi="仿宋" w:eastAsia="仿宋"/>
                <w:color w:val="auto"/>
              </w:rPr>
            </w:pPr>
            <w:r>
              <w:rPr>
                <w:rFonts w:hint="eastAsia" w:ascii="仿宋" w:hAnsi="仿宋" w:eastAsia="仿宋"/>
                <w:color w:val="auto"/>
              </w:rPr>
              <w:t>1.可用于广播系统的雷电保护、过压保护及漏电保护；</w:t>
            </w:r>
          </w:p>
          <w:p w14:paraId="7DE8E369">
            <w:pPr>
              <w:widowControl/>
              <w:snapToGrid w:val="0"/>
              <w:jc w:val="left"/>
              <w:rPr>
                <w:rFonts w:hint="eastAsia" w:ascii="仿宋" w:hAnsi="仿宋" w:eastAsia="仿宋"/>
                <w:color w:val="auto"/>
              </w:rPr>
            </w:pPr>
            <w:r>
              <w:rPr>
                <w:rFonts w:hint="eastAsia" w:ascii="仿宋" w:hAnsi="仿宋" w:eastAsia="仿宋"/>
                <w:color w:val="auto"/>
              </w:rPr>
              <w:t>2.支持≥4通道输入输出通断控制，1-4路可任意选接；</w:t>
            </w:r>
          </w:p>
          <w:p w14:paraId="30DB4F40">
            <w:pPr>
              <w:widowControl/>
              <w:snapToGrid w:val="0"/>
              <w:jc w:val="left"/>
              <w:rPr>
                <w:rFonts w:hint="eastAsia" w:ascii="仿宋" w:hAnsi="仿宋" w:eastAsia="仿宋"/>
                <w:color w:val="auto"/>
              </w:rPr>
            </w:pPr>
            <w:r>
              <w:rPr>
                <w:rFonts w:hint="eastAsia" w:ascii="仿宋" w:hAnsi="仿宋" w:eastAsia="仿宋"/>
                <w:color w:val="auto"/>
              </w:rPr>
              <w:t>3.具有正常运行指示和故障保护指示；</w:t>
            </w:r>
          </w:p>
          <w:p w14:paraId="56A18989">
            <w:pPr>
              <w:widowControl/>
              <w:snapToGrid w:val="0"/>
              <w:jc w:val="left"/>
              <w:rPr>
                <w:rFonts w:hint="eastAsia" w:ascii="仿宋" w:hAnsi="仿宋" w:eastAsia="仿宋"/>
                <w:color w:val="auto"/>
              </w:rPr>
            </w:pPr>
            <w:r>
              <w:rPr>
                <w:rFonts w:hint="eastAsia" w:ascii="仿宋" w:hAnsi="仿宋" w:eastAsia="仿宋"/>
                <w:color w:val="auto"/>
              </w:rPr>
              <w:t>4.输入容量：每个通道70-200V，≥20A（功率输入）；</w:t>
            </w:r>
          </w:p>
          <w:p w14:paraId="52EB9671">
            <w:pPr>
              <w:widowControl/>
              <w:snapToGrid w:val="0"/>
              <w:jc w:val="left"/>
              <w:rPr>
                <w:rFonts w:hint="eastAsia" w:ascii="仿宋" w:hAnsi="仿宋" w:eastAsia="仿宋"/>
                <w:color w:val="auto"/>
              </w:rPr>
            </w:pPr>
            <w:r>
              <w:rPr>
                <w:rFonts w:hint="eastAsia" w:ascii="仿宋" w:hAnsi="仿宋" w:eastAsia="仿宋"/>
                <w:color w:val="auto"/>
              </w:rPr>
              <w:t>5.输出容量：每个通道70-200V，≥20A（功率输入）；</w:t>
            </w:r>
          </w:p>
          <w:p w14:paraId="6ADA0725">
            <w:pPr>
              <w:widowControl/>
              <w:snapToGrid w:val="0"/>
              <w:jc w:val="left"/>
              <w:rPr>
                <w:rFonts w:hint="eastAsia" w:ascii="仿宋" w:hAnsi="仿宋" w:eastAsia="仿宋"/>
                <w:color w:val="auto"/>
              </w:rPr>
            </w:pPr>
            <w:r>
              <w:rPr>
                <w:rFonts w:hint="eastAsia" w:ascii="仿宋" w:hAnsi="仿宋" w:eastAsia="仿宋"/>
                <w:color w:val="auto"/>
              </w:rPr>
              <w:t>6.过压保护阀值电压≥350V；</w:t>
            </w:r>
          </w:p>
          <w:p w14:paraId="7695C5FE">
            <w:pPr>
              <w:widowControl/>
              <w:snapToGrid w:val="0"/>
              <w:jc w:val="left"/>
              <w:rPr>
                <w:rFonts w:hint="eastAsia" w:ascii="仿宋" w:hAnsi="仿宋" w:eastAsia="仿宋"/>
                <w:color w:val="auto"/>
              </w:rPr>
            </w:pPr>
            <w:r>
              <w:rPr>
                <w:rFonts w:hint="eastAsia" w:ascii="仿宋" w:hAnsi="仿宋" w:eastAsia="仿宋"/>
                <w:color w:val="auto"/>
              </w:rPr>
              <w:t>7.漏电保护电流≥10mA；</w:t>
            </w:r>
          </w:p>
          <w:p w14:paraId="6B86592B">
            <w:pPr>
              <w:widowControl/>
              <w:snapToGrid w:val="0"/>
              <w:jc w:val="left"/>
              <w:rPr>
                <w:rFonts w:hint="eastAsia" w:ascii="仿宋" w:hAnsi="仿宋" w:eastAsia="仿宋" w:cs="宋体"/>
                <w:color w:val="auto"/>
                <w:kern w:val="0"/>
              </w:rPr>
            </w:pPr>
            <w:r>
              <w:rPr>
                <w:rFonts w:hint="eastAsia" w:ascii="仿宋" w:hAnsi="仿宋" w:eastAsia="仿宋"/>
                <w:color w:val="auto"/>
              </w:rPr>
              <w:t>8.电源：AC 220-240V/50-60Hz。</w:t>
            </w:r>
          </w:p>
        </w:tc>
        <w:tc>
          <w:tcPr>
            <w:tcW w:w="0" w:type="auto"/>
            <w:vAlign w:val="center"/>
          </w:tcPr>
          <w:p w14:paraId="1C2A81F3">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6B351011">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5DB52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601CEF5">
            <w:pPr>
              <w:widowControl/>
              <w:snapToGrid w:val="0"/>
              <w:jc w:val="center"/>
              <w:rPr>
                <w:rFonts w:hint="eastAsia" w:ascii="仿宋" w:hAnsi="仿宋" w:eastAsia="仿宋"/>
                <w:color w:val="auto"/>
                <w:kern w:val="0"/>
              </w:rPr>
            </w:pPr>
            <w:r>
              <w:rPr>
                <w:rFonts w:hint="eastAsia" w:ascii="仿宋" w:hAnsi="仿宋" w:eastAsia="仿宋"/>
                <w:color w:val="auto"/>
                <w:kern w:val="0"/>
              </w:rPr>
              <w:t>8</w:t>
            </w:r>
          </w:p>
        </w:tc>
        <w:tc>
          <w:tcPr>
            <w:tcW w:w="996" w:type="dxa"/>
            <w:vAlign w:val="center"/>
          </w:tcPr>
          <w:p w14:paraId="5AFA6CAA">
            <w:pPr>
              <w:widowControl/>
              <w:snapToGrid w:val="0"/>
              <w:jc w:val="center"/>
              <w:rPr>
                <w:rFonts w:hint="eastAsia" w:ascii="仿宋" w:hAnsi="仿宋" w:eastAsia="仿宋"/>
                <w:color w:val="auto"/>
              </w:rPr>
            </w:pPr>
            <w:r>
              <w:rPr>
                <w:rFonts w:hint="eastAsia" w:ascii="仿宋" w:hAnsi="仿宋" w:eastAsia="仿宋"/>
                <w:color w:val="auto"/>
              </w:rPr>
              <w:t>大功率电源时序器</w:t>
            </w:r>
          </w:p>
        </w:tc>
        <w:tc>
          <w:tcPr>
            <w:tcW w:w="6650" w:type="dxa"/>
            <w:vAlign w:val="center"/>
          </w:tcPr>
          <w:p w14:paraId="71B5F7B6">
            <w:pPr>
              <w:widowControl/>
              <w:snapToGrid w:val="0"/>
              <w:jc w:val="left"/>
              <w:rPr>
                <w:rFonts w:hint="eastAsia" w:ascii="仿宋" w:hAnsi="仿宋" w:eastAsia="仿宋"/>
                <w:color w:val="auto"/>
              </w:rPr>
            </w:pPr>
            <w:r>
              <w:rPr>
                <w:rFonts w:hint="eastAsia" w:ascii="仿宋" w:hAnsi="仿宋" w:eastAsia="仿宋"/>
                <w:color w:val="auto"/>
              </w:rPr>
              <w:t>1.配置彩屏显示窗口，可以实时显示当前电压、日期时间等信息，内置时钟芯片，可根据日期时间设定，实现定时开关机功能；</w:t>
            </w:r>
          </w:p>
          <w:p w14:paraId="412BBF86">
            <w:pPr>
              <w:widowControl/>
              <w:snapToGrid w:val="0"/>
              <w:jc w:val="left"/>
              <w:rPr>
                <w:rFonts w:hint="eastAsia" w:ascii="仿宋" w:hAnsi="仿宋" w:eastAsia="仿宋"/>
                <w:color w:val="auto"/>
              </w:rPr>
            </w:pPr>
            <w:r>
              <w:rPr>
                <w:rFonts w:hint="eastAsia" w:ascii="仿宋" w:hAnsi="仿宋" w:eastAsia="仿宋"/>
                <w:color w:val="auto"/>
              </w:rPr>
              <w:t>2.支持有效按开机先前及后、关机则先后及前的顺序开关，每路输出带指示灯，开关控制电源；</w:t>
            </w:r>
          </w:p>
          <w:p w14:paraId="71B941BD">
            <w:pPr>
              <w:widowControl/>
              <w:snapToGrid w:val="0"/>
              <w:jc w:val="left"/>
              <w:rPr>
                <w:rFonts w:hint="eastAsia" w:ascii="仿宋" w:hAnsi="仿宋" w:eastAsia="仿宋"/>
                <w:color w:val="auto"/>
              </w:rPr>
            </w:pPr>
            <w:r>
              <w:rPr>
                <w:rFonts w:hint="eastAsia" w:ascii="仿宋" w:hAnsi="仿宋" w:eastAsia="仿宋"/>
                <w:color w:val="auto"/>
              </w:rPr>
              <w:t>3.总共可控制≥8路管理电源，每路延时开启及关闭时间可在0-999秒自定义设置，同时还具有≥2路辅助通道；</w:t>
            </w:r>
          </w:p>
          <w:p w14:paraId="24CE7436">
            <w:pPr>
              <w:widowControl/>
              <w:snapToGrid w:val="0"/>
              <w:jc w:val="left"/>
              <w:rPr>
                <w:rFonts w:hint="eastAsia" w:ascii="仿宋" w:hAnsi="仿宋" w:eastAsia="仿宋"/>
                <w:color w:val="auto"/>
              </w:rPr>
            </w:pPr>
            <w:r>
              <w:rPr>
                <w:rFonts w:hint="eastAsia" w:ascii="仿宋" w:hAnsi="仿宋" w:eastAsia="仿宋"/>
                <w:color w:val="auto"/>
              </w:rPr>
              <w:t>4.单路额定输出电流≥10A，通道开关状态额定输出电流≥30A；</w:t>
            </w:r>
          </w:p>
          <w:p w14:paraId="27434DA5">
            <w:pPr>
              <w:widowControl/>
              <w:snapToGrid w:val="0"/>
              <w:jc w:val="left"/>
              <w:rPr>
                <w:rFonts w:hint="eastAsia" w:ascii="仿宋" w:hAnsi="仿宋" w:eastAsia="仿宋"/>
                <w:color w:val="auto"/>
              </w:rPr>
            </w:pPr>
            <w:r>
              <w:rPr>
                <w:rFonts w:hint="eastAsia" w:ascii="仿宋" w:hAnsi="仿宋" w:eastAsia="仿宋"/>
                <w:color w:val="auto"/>
              </w:rPr>
              <w:t>5.主机配置有一路短路输入和输出口，可实现多台链接使用；</w:t>
            </w:r>
          </w:p>
          <w:p w14:paraId="21262F23">
            <w:pPr>
              <w:widowControl/>
              <w:snapToGrid w:val="0"/>
              <w:jc w:val="left"/>
              <w:rPr>
                <w:rFonts w:hint="eastAsia" w:ascii="仿宋" w:hAnsi="仿宋" w:eastAsia="仿宋"/>
                <w:color w:val="auto"/>
              </w:rPr>
            </w:pPr>
            <w:r>
              <w:rPr>
                <w:rFonts w:hint="eastAsia" w:ascii="仿宋" w:hAnsi="仿宋" w:eastAsia="仿宋"/>
                <w:color w:val="auto"/>
              </w:rPr>
              <w:t>6.配置RS232接口，支持外部中央控制设备控制，≥6种波特率可选择；</w:t>
            </w:r>
          </w:p>
          <w:p w14:paraId="72C092D3">
            <w:pPr>
              <w:widowControl/>
              <w:snapToGrid w:val="0"/>
              <w:jc w:val="left"/>
              <w:rPr>
                <w:rFonts w:hint="eastAsia" w:ascii="仿宋" w:hAnsi="仿宋" w:eastAsia="仿宋"/>
                <w:color w:val="auto"/>
              </w:rPr>
            </w:pPr>
            <w:r>
              <w:rPr>
                <w:rFonts w:hint="eastAsia" w:ascii="仿宋" w:hAnsi="仿宋" w:eastAsia="仿宋"/>
                <w:color w:val="auto"/>
              </w:rPr>
              <w:t>7.支持实现远程集中控制，每台设备自带设备编码ID检测和设置；</w:t>
            </w:r>
          </w:p>
          <w:p w14:paraId="0141F9D9">
            <w:pPr>
              <w:widowControl/>
              <w:snapToGrid w:val="0"/>
              <w:jc w:val="left"/>
              <w:rPr>
                <w:rFonts w:hint="eastAsia" w:ascii="仿宋" w:hAnsi="仿宋" w:eastAsia="仿宋"/>
                <w:color w:val="auto"/>
              </w:rPr>
            </w:pPr>
            <w:r>
              <w:rPr>
                <w:rFonts w:hint="eastAsia" w:ascii="仿宋" w:hAnsi="仿宋" w:eastAsia="仿宋"/>
                <w:color w:val="auto"/>
              </w:rPr>
              <w:t>8.支持面板Lock锁定功能，内置≥8组设备开关场景数据保存/调用。</w:t>
            </w:r>
          </w:p>
        </w:tc>
        <w:tc>
          <w:tcPr>
            <w:tcW w:w="0" w:type="auto"/>
            <w:vAlign w:val="center"/>
          </w:tcPr>
          <w:p w14:paraId="7BB89E8E">
            <w:pPr>
              <w:widowControl/>
              <w:snapToGrid w:val="0"/>
              <w:jc w:val="left"/>
              <w:rPr>
                <w:rFonts w:hint="eastAsia" w:ascii="仿宋" w:hAnsi="仿宋" w:eastAsia="仿宋" w:cs="Calibri"/>
                <w:color w:val="auto"/>
                <w:kern w:val="0"/>
              </w:rPr>
            </w:pPr>
            <w:r>
              <w:rPr>
                <w:rFonts w:hint="eastAsia" w:ascii="仿宋" w:hAnsi="仿宋" w:eastAsia="仿宋"/>
                <w:color w:val="auto"/>
              </w:rPr>
              <w:t>1</w:t>
            </w:r>
          </w:p>
        </w:tc>
        <w:tc>
          <w:tcPr>
            <w:tcW w:w="492" w:type="dxa"/>
            <w:vAlign w:val="center"/>
          </w:tcPr>
          <w:p w14:paraId="232A9BE2">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27C2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76BCE5AA">
            <w:pPr>
              <w:widowControl/>
              <w:snapToGrid w:val="0"/>
              <w:jc w:val="center"/>
              <w:rPr>
                <w:rFonts w:hint="eastAsia" w:ascii="仿宋" w:hAnsi="仿宋" w:eastAsia="仿宋"/>
                <w:color w:val="auto"/>
              </w:rPr>
            </w:pPr>
            <w:r>
              <w:rPr>
                <w:rFonts w:hint="eastAsia" w:ascii="仿宋" w:hAnsi="仿宋" w:eastAsia="仿宋" w:cs="宋体"/>
                <w:b/>
                <w:bCs/>
                <w:color w:val="auto"/>
                <w:kern w:val="0"/>
                <w:sz w:val="24"/>
                <w:szCs w:val="24"/>
              </w:rPr>
              <w:t>前端设备-其他辅助设备</w:t>
            </w:r>
          </w:p>
        </w:tc>
        <w:tc>
          <w:tcPr>
            <w:tcW w:w="0" w:type="auto"/>
            <w:vAlign w:val="center"/>
          </w:tcPr>
          <w:p w14:paraId="64FE2B74">
            <w:pPr>
              <w:widowControl/>
              <w:snapToGrid w:val="0"/>
              <w:jc w:val="center"/>
              <w:rPr>
                <w:rFonts w:hint="eastAsia" w:ascii="仿宋" w:hAnsi="仿宋" w:eastAsia="仿宋"/>
                <w:color w:val="auto"/>
              </w:rPr>
            </w:pPr>
          </w:p>
        </w:tc>
        <w:tc>
          <w:tcPr>
            <w:tcW w:w="492" w:type="dxa"/>
            <w:vAlign w:val="center"/>
          </w:tcPr>
          <w:p w14:paraId="1F12F046">
            <w:pPr>
              <w:widowControl/>
              <w:snapToGrid w:val="0"/>
              <w:jc w:val="center"/>
              <w:rPr>
                <w:rFonts w:hint="eastAsia" w:ascii="仿宋" w:hAnsi="仿宋" w:eastAsia="仿宋" w:cs="Calibri"/>
                <w:color w:val="auto"/>
                <w:kern w:val="0"/>
              </w:rPr>
            </w:pPr>
          </w:p>
        </w:tc>
      </w:tr>
      <w:tr w14:paraId="7AF87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4E1F752">
            <w:pPr>
              <w:widowControl/>
              <w:snapToGrid w:val="0"/>
              <w:jc w:val="center"/>
              <w:rPr>
                <w:rFonts w:hint="eastAsia" w:ascii="仿宋" w:hAnsi="仿宋" w:eastAsia="仿宋"/>
                <w:color w:val="auto"/>
                <w:kern w:val="0"/>
              </w:rPr>
            </w:pPr>
            <w:r>
              <w:rPr>
                <w:rFonts w:hint="eastAsia" w:ascii="仿宋" w:hAnsi="仿宋" w:eastAsia="仿宋"/>
                <w:color w:val="auto"/>
                <w:kern w:val="0"/>
              </w:rPr>
              <w:t>1</w:t>
            </w:r>
          </w:p>
        </w:tc>
        <w:tc>
          <w:tcPr>
            <w:tcW w:w="996" w:type="dxa"/>
            <w:vAlign w:val="center"/>
          </w:tcPr>
          <w:p w14:paraId="0544477D">
            <w:pPr>
              <w:widowControl/>
              <w:snapToGrid w:val="0"/>
              <w:jc w:val="center"/>
              <w:rPr>
                <w:rFonts w:hint="eastAsia" w:ascii="仿宋" w:hAnsi="仿宋" w:eastAsia="仿宋"/>
                <w:color w:val="auto"/>
              </w:rPr>
            </w:pPr>
            <w:r>
              <w:rPr>
                <w:rFonts w:hint="eastAsia" w:ascii="仿宋" w:hAnsi="仿宋" w:eastAsia="仿宋"/>
                <w:color w:val="auto"/>
              </w:rPr>
              <w:t>线材辅材</w:t>
            </w:r>
          </w:p>
        </w:tc>
        <w:tc>
          <w:tcPr>
            <w:tcW w:w="6650" w:type="dxa"/>
            <w:vAlign w:val="center"/>
          </w:tcPr>
          <w:p w14:paraId="269E032E">
            <w:pPr>
              <w:widowControl/>
              <w:snapToGrid w:val="0"/>
              <w:jc w:val="left"/>
              <w:rPr>
                <w:rFonts w:hint="eastAsia" w:ascii="仿宋" w:hAnsi="仿宋" w:eastAsia="仿宋"/>
                <w:b/>
                <w:bCs/>
                <w:color w:val="auto"/>
              </w:rPr>
            </w:pPr>
            <w:r>
              <w:rPr>
                <w:rFonts w:hint="eastAsia" w:ascii="仿宋" w:hAnsi="仿宋" w:eastAsia="仿宋"/>
                <w:b/>
                <w:bCs/>
                <w:color w:val="auto"/>
              </w:rPr>
              <w:t>六类网线：</w:t>
            </w:r>
          </w:p>
          <w:p w14:paraId="08CDA2AB">
            <w:pPr>
              <w:widowControl/>
              <w:snapToGrid w:val="0"/>
              <w:jc w:val="left"/>
              <w:rPr>
                <w:rFonts w:hint="eastAsia" w:ascii="仿宋" w:hAnsi="仿宋" w:eastAsia="仿宋"/>
                <w:color w:val="auto"/>
              </w:rPr>
            </w:pPr>
            <w:r>
              <w:rPr>
                <w:rFonts w:hint="eastAsia" w:ascii="仿宋" w:hAnsi="仿宋" w:eastAsia="仿宋"/>
                <w:color w:val="auto"/>
              </w:rPr>
              <w:t>1.</w:t>
            </w:r>
            <w:r>
              <w:rPr>
                <w:rFonts w:ascii="仿宋" w:hAnsi="仿宋" w:eastAsia="仿宋"/>
                <w:color w:val="auto"/>
              </w:rPr>
              <w:t>结构</w:t>
            </w:r>
            <w:r>
              <w:rPr>
                <w:rFonts w:hint="eastAsia" w:ascii="仿宋" w:hAnsi="仿宋" w:eastAsia="仿宋"/>
                <w:color w:val="auto"/>
              </w:rPr>
              <w:t>：</w:t>
            </w:r>
            <w:r>
              <w:rPr>
                <w:rFonts w:ascii="仿宋" w:hAnsi="仿宋" w:eastAsia="仿宋"/>
                <w:color w:val="auto"/>
              </w:rPr>
              <w:t>4 对双绞</w:t>
            </w:r>
            <w:r>
              <w:rPr>
                <w:rFonts w:hint="eastAsia" w:ascii="仿宋" w:hAnsi="仿宋" w:eastAsia="仿宋"/>
                <w:color w:val="auto"/>
              </w:rPr>
              <w:t>，</w:t>
            </w:r>
            <w:r>
              <w:rPr>
                <w:rFonts w:ascii="仿宋" w:hAnsi="仿宋" w:eastAsia="仿宋"/>
                <w:color w:val="auto"/>
              </w:rPr>
              <w:t>中心十字骨架（隔离对间串扰）</w:t>
            </w:r>
            <w:r>
              <w:rPr>
                <w:rFonts w:hint="eastAsia" w:ascii="仿宋" w:hAnsi="仿宋" w:eastAsia="仿宋"/>
                <w:color w:val="auto"/>
              </w:rPr>
              <w:t>；</w:t>
            </w:r>
          </w:p>
          <w:p w14:paraId="7187E458">
            <w:pPr>
              <w:widowControl/>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标准信道长度：≤100m</w:t>
            </w:r>
            <w:r>
              <w:rPr>
                <w:rFonts w:hint="eastAsia" w:ascii="仿宋" w:hAnsi="仿宋" w:eastAsia="仿宋"/>
                <w:color w:val="auto"/>
              </w:rPr>
              <w:t>，</w:t>
            </w:r>
            <w:r>
              <w:rPr>
                <w:rFonts w:ascii="仿宋" w:hAnsi="仿宋" w:eastAsia="仿宋"/>
                <w:color w:val="auto"/>
              </w:rPr>
              <w:t>适用：千兆网络、机房、楼宇综合布线</w:t>
            </w:r>
            <w:r>
              <w:rPr>
                <w:rFonts w:hint="eastAsia" w:ascii="仿宋" w:hAnsi="仿宋" w:eastAsia="仿宋"/>
                <w:color w:val="auto"/>
              </w:rPr>
              <w:t>；</w:t>
            </w:r>
          </w:p>
          <w:p w14:paraId="324224C8">
            <w:pPr>
              <w:widowControl/>
              <w:snapToGrid w:val="0"/>
              <w:jc w:val="left"/>
              <w:rPr>
                <w:rFonts w:hint="eastAsia" w:ascii="仿宋" w:hAnsi="仿宋" w:eastAsia="仿宋"/>
                <w:color w:val="auto"/>
              </w:rPr>
            </w:pPr>
            <w:r>
              <w:rPr>
                <w:rFonts w:hint="eastAsia" w:ascii="仿宋" w:hAnsi="仿宋" w:eastAsia="仿宋"/>
                <w:color w:val="auto"/>
              </w:rPr>
              <w:t>3.</w:t>
            </w:r>
            <w:r>
              <w:rPr>
                <w:rFonts w:ascii="仿宋" w:hAnsi="仿宋" w:eastAsia="仿宋"/>
                <w:color w:val="auto"/>
              </w:rPr>
              <w:t>最大直流电阻：≤9.38 Ω/100m</w:t>
            </w:r>
            <w:r>
              <w:rPr>
                <w:rFonts w:hint="eastAsia" w:ascii="仿宋" w:hAnsi="仿宋" w:eastAsia="仿宋"/>
                <w:color w:val="auto"/>
              </w:rPr>
              <w:t>；</w:t>
            </w:r>
            <w:r>
              <w:rPr>
                <w:rFonts w:ascii="仿宋" w:hAnsi="仿宋" w:eastAsia="仿宋"/>
                <w:color w:val="auto"/>
              </w:rPr>
              <w:t xml:space="preserve"> </w:t>
            </w:r>
          </w:p>
          <w:p w14:paraId="178E42C4">
            <w:pPr>
              <w:widowControl/>
              <w:snapToGrid w:val="0"/>
              <w:jc w:val="left"/>
              <w:rPr>
                <w:rFonts w:hint="eastAsia" w:ascii="仿宋" w:hAnsi="仿宋" w:eastAsia="仿宋"/>
                <w:color w:val="auto"/>
              </w:rPr>
            </w:pPr>
            <w:r>
              <w:rPr>
                <w:rFonts w:hint="eastAsia" w:ascii="仿宋" w:hAnsi="仿宋" w:eastAsia="仿宋"/>
                <w:color w:val="auto"/>
              </w:rPr>
              <w:t>4.</w:t>
            </w:r>
            <w:r>
              <w:rPr>
                <w:rFonts w:ascii="仿宋" w:hAnsi="仿宋" w:eastAsia="仿宋"/>
                <w:color w:val="auto"/>
              </w:rPr>
              <w:t>近端串扰（NEXT）、衰减（Attenuation）、回波损耗（RL） 满足六类标准</w:t>
            </w:r>
            <w:r>
              <w:rPr>
                <w:rFonts w:hint="eastAsia" w:ascii="仿宋" w:hAnsi="仿宋" w:eastAsia="仿宋"/>
                <w:color w:val="auto"/>
              </w:rPr>
              <w:t>；</w:t>
            </w:r>
            <w:r>
              <w:rPr>
                <w:rFonts w:ascii="仿宋" w:hAnsi="仿宋" w:eastAsia="仿宋"/>
                <w:color w:val="auto"/>
              </w:rPr>
              <w:t xml:space="preserve"> </w:t>
            </w:r>
          </w:p>
          <w:p w14:paraId="07FF1DF4">
            <w:pPr>
              <w:widowControl/>
              <w:snapToGrid w:val="0"/>
              <w:jc w:val="left"/>
              <w:rPr>
                <w:rFonts w:hint="eastAsia" w:ascii="仿宋" w:hAnsi="仿宋" w:eastAsia="仿宋"/>
                <w:color w:val="auto"/>
              </w:rPr>
            </w:pPr>
            <w:r>
              <w:rPr>
                <w:rFonts w:hint="eastAsia" w:ascii="仿宋" w:hAnsi="仿宋" w:eastAsia="仿宋"/>
                <w:color w:val="auto"/>
              </w:rPr>
              <w:t>5.</w:t>
            </w:r>
            <w:r>
              <w:rPr>
                <w:rFonts w:ascii="仿宋" w:hAnsi="仿宋" w:eastAsia="仿宋"/>
                <w:color w:val="auto"/>
              </w:rPr>
              <w:t>工作温度：-20℃～60℃</w:t>
            </w:r>
            <w:r>
              <w:rPr>
                <w:rFonts w:hint="eastAsia" w:ascii="仿宋" w:hAnsi="仿宋" w:eastAsia="仿宋"/>
                <w:color w:val="auto"/>
              </w:rPr>
              <w:t>；</w:t>
            </w:r>
          </w:p>
          <w:p w14:paraId="7B311776">
            <w:pPr>
              <w:widowControl/>
              <w:snapToGrid w:val="0"/>
              <w:jc w:val="left"/>
              <w:rPr>
                <w:rFonts w:hint="eastAsia" w:ascii="仿宋" w:hAnsi="仿宋" w:eastAsia="仿宋"/>
                <w:color w:val="auto"/>
              </w:rPr>
            </w:pPr>
            <w:r>
              <w:rPr>
                <w:rFonts w:hint="eastAsia" w:ascii="仿宋" w:hAnsi="仿宋" w:eastAsia="仿宋"/>
                <w:color w:val="auto"/>
              </w:rPr>
              <w:t>水晶头:</w:t>
            </w:r>
          </w:p>
          <w:p w14:paraId="73E4F2A2">
            <w:pPr>
              <w:widowControl/>
              <w:snapToGrid w:val="0"/>
              <w:jc w:val="left"/>
              <w:rPr>
                <w:rFonts w:hint="eastAsia" w:ascii="仿宋" w:hAnsi="仿宋" w:eastAsia="仿宋"/>
                <w:color w:val="auto"/>
              </w:rPr>
            </w:pPr>
            <w:r>
              <w:rPr>
                <w:rFonts w:hint="eastAsia" w:ascii="仿宋" w:hAnsi="仿宋" w:eastAsia="仿宋"/>
                <w:color w:val="auto"/>
              </w:rPr>
              <w:t>1.</w:t>
            </w:r>
            <w:r>
              <w:rPr>
                <w:rFonts w:ascii="仿宋" w:hAnsi="仿宋" w:eastAsia="仿宋"/>
                <w:color w:val="auto"/>
              </w:rPr>
              <w:t>主体：高韧性环保 PC/ABS/PBT，阻燃等级 UL94 V-0</w:t>
            </w:r>
            <w:r>
              <w:rPr>
                <w:rFonts w:hint="eastAsia" w:ascii="仿宋" w:hAnsi="仿宋" w:eastAsia="仿宋"/>
                <w:color w:val="auto"/>
              </w:rPr>
              <w:t>;</w:t>
            </w:r>
          </w:p>
          <w:p w14:paraId="78BA9831">
            <w:pPr>
              <w:widowControl/>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基材：高弹性磷青铜</w:t>
            </w:r>
            <w:r>
              <w:rPr>
                <w:rFonts w:hint="eastAsia" w:ascii="仿宋" w:hAnsi="仿宋" w:eastAsia="仿宋"/>
                <w:color w:val="auto"/>
              </w:rPr>
              <w:t>/</w:t>
            </w:r>
            <w:r>
              <w:rPr>
                <w:rFonts w:ascii="仿宋" w:hAnsi="仿宋" w:eastAsia="仿宋"/>
                <w:color w:val="auto"/>
              </w:rPr>
              <w:t>黄铜（导电 + 弹性双优）</w:t>
            </w:r>
            <w:r>
              <w:rPr>
                <w:rFonts w:hint="eastAsia" w:ascii="仿宋" w:hAnsi="仿宋" w:eastAsia="仿宋"/>
                <w:color w:val="auto"/>
              </w:rPr>
              <w:t>;</w:t>
            </w:r>
            <w:r>
              <w:rPr>
                <w:rFonts w:ascii="仿宋" w:hAnsi="仿宋" w:eastAsia="仿宋"/>
                <w:color w:val="auto"/>
              </w:rPr>
              <w:t xml:space="preserve"> </w:t>
            </w:r>
          </w:p>
          <w:p w14:paraId="1641F655">
            <w:pPr>
              <w:widowControl/>
              <w:snapToGrid w:val="0"/>
              <w:jc w:val="left"/>
              <w:rPr>
                <w:rFonts w:hint="eastAsia" w:ascii="仿宋" w:hAnsi="仿宋" w:eastAsia="仿宋"/>
                <w:color w:val="auto"/>
              </w:rPr>
            </w:pPr>
            <w:r>
              <w:rPr>
                <w:rFonts w:hint="eastAsia" w:ascii="仿宋" w:hAnsi="仿宋" w:eastAsia="仿宋"/>
                <w:color w:val="auto"/>
              </w:rPr>
              <w:t>3.</w:t>
            </w:r>
            <w:r>
              <w:rPr>
                <w:rFonts w:ascii="仿宋" w:hAnsi="仿宋" w:eastAsia="仿宋"/>
                <w:color w:val="auto"/>
              </w:rPr>
              <w:t>镀层：镍底 + 镀金（防氧化、降阻抗）</w:t>
            </w:r>
            <w:r>
              <w:rPr>
                <w:rFonts w:hint="eastAsia" w:ascii="仿宋" w:hAnsi="仿宋" w:eastAsia="仿宋"/>
                <w:color w:val="auto"/>
              </w:rPr>
              <w:t>;</w:t>
            </w:r>
            <w:r>
              <w:rPr>
                <w:rFonts w:ascii="仿宋" w:hAnsi="仿宋" w:eastAsia="仿宋"/>
                <w:color w:val="auto"/>
              </w:rPr>
              <w:t xml:space="preserve"> </w:t>
            </w:r>
          </w:p>
          <w:p w14:paraId="001648A7">
            <w:pPr>
              <w:widowControl/>
              <w:snapToGrid w:val="0"/>
              <w:jc w:val="left"/>
              <w:rPr>
                <w:rFonts w:hint="eastAsia" w:ascii="仿宋" w:hAnsi="仿宋" w:eastAsia="仿宋"/>
                <w:color w:val="auto"/>
              </w:rPr>
            </w:pPr>
            <w:r>
              <w:rPr>
                <w:rFonts w:hint="eastAsia" w:ascii="仿宋" w:hAnsi="仿宋" w:eastAsia="仿宋"/>
                <w:color w:val="auto"/>
              </w:rPr>
              <w:t>4.</w:t>
            </w:r>
            <w:r>
              <w:rPr>
                <w:rFonts w:ascii="仿宋" w:hAnsi="仿宋" w:eastAsia="仿宋"/>
                <w:color w:val="auto"/>
              </w:rPr>
              <w:t>镀金厚度：≥30μin（Cat5e）/≥50μin（Cat6+）</w:t>
            </w:r>
            <w:r>
              <w:rPr>
                <w:rFonts w:hint="eastAsia" w:ascii="仿宋" w:hAnsi="仿宋" w:eastAsia="仿宋"/>
                <w:color w:val="auto"/>
              </w:rPr>
              <w:t>;</w:t>
            </w:r>
            <w:r>
              <w:rPr>
                <w:rFonts w:ascii="仿宋" w:hAnsi="仿宋" w:eastAsia="仿宋"/>
                <w:color w:val="auto"/>
              </w:rPr>
              <w:t xml:space="preserve"> </w:t>
            </w:r>
          </w:p>
          <w:p w14:paraId="3432DA3D">
            <w:pPr>
              <w:widowControl/>
              <w:snapToGrid w:val="0"/>
              <w:jc w:val="left"/>
              <w:rPr>
                <w:rFonts w:hint="eastAsia" w:ascii="仿宋" w:hAnsi="仿宋" w:eastAsia="仿宋"/>
                <w:color w:val="auto"/>
              </w:rPr>
            </w:pPr>
            <w:r>
              <w:rPr>
                <w:rFonts w:hint="eastAsia" w:ascii="仿宋" w:hAnsi="仿宋" w:eastAsia="仿宋"/>
                <w:color w:val="auto"/>
              </w:rPr>
              <w:t>5.</w:t>
            </w:r>
            <w:r>
              <w:rPr>
                <w:rFonts w:ascii="仿宋" w:hAnsi="仿宋" w:eastAsia="仿宋"/>
                <w:color w:val="auto"/>
              </w:rPr>
              <w:t>结构：单叉 / 三叉弹片（三叉更稳、接触面积更大）</w:t>
            </w:r>
            <w:r>
              <w:rPr>
                <w:rFonts w:hint="eastAsia" w:ascii="仿宋" w:hAnsi="仿宋" w:eastAsia="仿宋"/>
                <w:color w:val="auto"/>
              </w:rPr>
              <w:t>;</w:t>
            </w:r>
          </w:p>
          <w:p w14:paraId="0A4AEB13">
            <w:pPr>
              <w:widowControl/>
              <w:snapToGrid w:val="0"/>
              <w:jc w:val="left"/>
              <w:rPr>
                <w:rFonts w:hint="eastAsia" w:ascii="仿宋" w:hAnsi="仿宋" w:eastAsia="仿宋"/>
                <w:color w:val="auto"/>
              </w:rPr>
            </w:pPr>
            <w:r>
              <w:rPr>
                <w:rFonts w:hint="eastAsia" w:ascii="仿宋" w:hAnsi="仿宋" w:eastAsia="仿宋"/>
                <w:color w:val="auto"/>
              </w:rPr>
              <w:t>喇叭线:</w:t>
            </w:r>
          </w:p>
          <w:p w14:paraId="64775177">
            <w:pPr>
              <w:widowControl/>
              <w:snapToGrid w:val="0"/>
              <w:jc w:val="left"/>
              <w:rPr>
                <w:rFonts w:hint="eastAsia" w:ascii="仿宋" w:hAnsi="仿宋" w:eastAsia="仿宋"/>
                <w:color w:val="auto"/>
              </w:rPr>
            </w:pPr>
            <w:r>
              <w:rPr>
                <w:rFonts w:hint="eastAsia" w:ascii="仿宋" w:hAnsi="仿宋" w:eastAsia="仿宋"/>
                <w:color w:val="auto"/>
              </w:rPr>
              <w:t>1.</w:t>
            </w:r>
            <w:r>
              <w:rPr>
                <w:rFonts w:ascii="仿宋" w:hAnsi="仿宋" w:eastAsia="仿宋"/>
                <w:color w:val="auto"/>
              </w:rPr>
              <w:t xml:space="preserve">优质：无氧铜（OFC） </w:t>
            </w:r>
            <w:r>
              <w:rPr>
                <w:rFonts w:hint="eastAsia" w:ascii="仿宋" w:hAnsi="仿宋" w:eastAsia="仿宋"/>
                <w:color w:val="auto"/>
              </w:rPr>
              <w:t>,</w:t>
            </w:r>
            <w:r>
              <w:rPr>
                <w:rFonts w:ascii="仿宋" w:hAnsi="仿宋" w:eastAsia="仿宋"/>
                <w:color w:val="auto"/>
              </w:rPr>
              <w:t>纯度：≥99.99%</w:t>
            </w:r>
          </w:p>
          <w:p w14:paraId="47656B53">
            <w:pPr>
              <w:widowControl/>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绝缘电阻：≥100MΩ</w:t>
            </w:r>
            <w:r>
              <w:rPr>
                <w:rFonts w:hint="eastAsia" w:ascii="仿宋" w:hAnsi="微软雅黑" w:eastAsia="仿宋" w:cs="微软雅黑"/>
                <w:color w:val="auto"/>
              </w:rPr>
              <w:t>・</w:t>
            </w:r>
            <w:r>
              <w:rPr>
                <w:rFonts w:ascii="仿宋" w:hAnsi="仿宋" w:eastAsia="仿宋"/>
                <w:color w:val="auto"/>
              </w:rPr>
              <w:t>km</w:t>
            </w:r>
          </w:p>
          <w:p w14:paraId="23F43728">
            <w:pPr>
              <w:widowControl/>
              <w:snapToGrid w:val="0"/>
              <w:jc w:val="left"/>
              <w:rPr>
                <w:rFonts w:hint="eastAsia" w:ascii="仿宋" w:hAnsi="仿宋" w:eastAsia="仿宋"/>
                <w:color w:val="auto"/>
              </w:rPr>
            </w:pPr>
            <w:r>
              <w:rPr>
                <w:rFonts w:hint="eastAsia" w:ascii="仿宋" w:hAnsi="仿宋" w:eastAsia="仿宋"/>
                <w:color w:val="auto"/>
              </w:rPr>
              <w:t>3.</w:t>
            </w:r>
            <w:r>
              <w:rPr>
                <w:rFonts w:ascii="仿宋" w:hAnsi="仿宋" w:eastAsia="仿宋"/>
                <w:color w:val="auto"/>
              </w:rPr>
              <w:t>多股精细无氧铜丝绞合，柔软度高，不易折断。</w:t>
            </w:r>
          </w:p>
          <w:p w14:paraId="429AE363">
            <w:pPr>
              <w:widowControl/>
              <w:snapToGrid w:val="0"/>
              <w:jc w:val="left"/>
              <w:rPr>
                <w:rFonts w:hint="eastAsia" w:ascii="仿宋" w:hAnsi="仿宋" w:eastAsia="仿宋"/>
                <w:color w:val="auto"/>
              </w:rPr>
            </w:pPr>
            <w:r>
              <w:rPr>
                <w:rFonts w:hint="eastAsia" w:ascii="仿宋" w:hAnsi="仿宋" w:eastAsia="仿宋"/>
                <w:color w:val="auto"/>
              </w:rPr>
              <w:t>4.</w:t>
            </w:r>
            <w:r>
              <w:rPr>
                <w:rFonts w:ascii="仿宋" w:hAnsi="仿宋" w:eastAsia="仿宋"/>
                <w:color w:val="auto"/>
              </w:rPr>
              <w:t>绝缘层材料：PVC / 低烟无卤（LSZH）</w:t>
            </w:r>
            <w:r>
              <w:rPr>
                <w:rFonts w:hint="eastAsia" w:ascii="仿宋" w:hAnsi="仿宋" w:eastAsia="仿宋"/>
                <w:color w:val="auto"/>
              </w:rPr>
              <w:t>;</w:t>
            </w:r>
            <w:r>
              <w:rPr>
                <w:rFonts w:ascii="仿宋" w:hAnsi="仿宋" w:eastAsia="仿宋"/>
                <w:color w:val="auto"/>
              </w:rPr>
              <w:t>厚度：≥0.4mm</w:t>
            </w:r>
          </w:p>
          <w:p w14:paraId="44424AC2">
            <w:pPr>
              <w:widowControl/>
              <w:snapToGrid w:val="0"/>
              <w:jc w:val="left"/>
              <w:rPr>
                <w:rFonts w:hint="eastAsia" w:ascii="仿宋" w:hAnsi="仿宋" w:eastAsia="仿宋" w:cs="宋体"/>
                <w:color w:val="auto"/>
                <w:kern w:val="0"/>
              </w:rPr>
            </w:pPr>
            <w:r>
              <w:rPr>
                <w:rFonts w:hint="eastAsia" w:ascii="仿宋" w:hAnsi="仿宋" w:eastAsia="仿宋"/>
                <w:color w:val="auto"/>
              </w:rPr>
              <w:t>根据现场需求购买</w:t>
            </w:r>
          </w:p>
        </w:tc>
        <w:tc>
          <w:tcPr>
            <w:tcW w:w="0" w:type="auto"/>
            <w:vAlign w:val="center"/>
          </w:tcPr>
          <w:p w14:paraId="5F980F8B">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1</w:t>
            </w:r>
          </w:p>
        </w:tc>
        <w:tc>
          <w:tcPr>
            <w:tcW w:w="492" w:type="dxa"/>
            <w:vAlign w:val="center"/>
          </w:tcPr>
          <w:p w14:paraId="7AC562CC">
            <w:pPr>
              <w:widowControl/>
              <w:snapToGrid w:val="0"/>
              <w:jc w:val="center"/>
              <w:rPr>
                <w:rFonts w:hint="eastAsia" w:ascii="仿宋" w:hAnsi="仿宋" w:eastAsia="仿宋" w:cs="Calibri"/>
                <w:color w:val="auto"/>
                <w:kern w:val="0"/>
              </w:rPr>
            </w:pPr>
            <w:r>
              <w:rPr>
                <w:rFonts w:hint="eastAsia" w:ascii="仿宋" w:hAnsi="仿宋" w:eastAsia="仿宋"/>
                <w:color w:val="auto"/>
              </w:rPr>
              <w:t>批</w:t>
            </w:r>
          </w:p>
        </w:tc>
      </w:tr>
      <w:tr w14:paraId="363B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1CA6231">
            <w:pPr>
              <w:widowControl/>
              <w:snapToGrid w:val="0"/>
              <w:jc w:val="center"/>
              <w:rPr>
                <w:rFonts w:hint="eastAsia" w:ascii="仿宋" w:hAnsi="仿宋" w:eastAsia="仿宋"/>
                <w:color w:val="auto"/>
                <w:kern w:val="0"/>
              </w:rPr>
            </w:pPr>
            <w:r>
              <w:rPr>
                <w:rFonts w:hint="eastAsia" w:ascii="仿宋" w:hAnsi="仿宋" w:eastAsia="仿宋"/>
                <w:color w:val="auto"/>
                <w:kern w:val="0"/>
              </w:rPr>
              <w:t>2</w:t>
            </w:r>
          </w:p>
        </w:tc>
        <w:tc>
          <w:tcPr>
            <w:tcW w:w="996" w:type="dxa"/>
            <w:vAlign w:val="center"/>
          </w:tcPr>
          <w:p w14:paraId="215C3DF0">
            <w:pPr>
              <w:widowControl/>
              <w:snapToGrid w:val="0"/>
              <w:jc w:val="center"/>
              <w:rPr>
                <w:rFonts w:hint="eastAsia" w:ascii="仿宋" w:hAnsi="仿宋" w:eastAsia="仿宋"/>
                <w:color w:val="auto"/>
              </w:rPr>
            </w:pPr>
            <w:r>
              <w:rPr>
                <w:rFonts w:hint="eastAsia" w:ascii="仿宋" w:hAnsi="仿宋" w:eastAsia="仿宋"/>
                <w:color w:val="auto"/>
              </w:rPr>
              <w:t>项目实施</w:t>
            </w:r>
          </w:p>
        </w:tc>
        <w:tc>
          <w:tcPr>
            <w:tcW w:w="6650" w:type="dxa"/>
            <w:vAlign w:val="center"/>
          </w:tcPr>
          <w:p w14:paraId="5C67AE99">
            <w:pPr>
              <w:widowControl/>
              <w:snapToGrid w:val="0"/>
              <w:jc w:val="left"/>
              <w:rPr>
                <w:rFonts w:hint="eastAsia" w:ascii="仿宋" w:hAnsi="仿宋" w:eastAsia="仿宋" w:cs="宋体"/>
                <w:color w:val="auto"/>
                <w:kern w:val="0"/>
              </w:rPr>
            </w:pPr>
            <w:r>
              <w:rPr>
                <w:rFonts w:hint="eastAsia" w:ascii="仿宋" w:hAnsi="仿宋" w:eastAsia="仿宋"/>
                <w:color w:val="auto"/>
              </w:rPr>
              <w:t>所有设备安装调试，包含现场混泥土开槽恢复，线材穿管等防护措施</w:t>
            </w:r>
          </w:p>
        </w:tc>
        <w:tc>
          <w:tcPr>
            <w:tcW w:w="0" w:type="auto"/>
            <w:vAlign w:val="center"/>
          </w:tcPr>
          <w:p w14:paraId="50E26BAC">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1</w:t>
            </w:r>
          </w:p>
        </w:tc>
        <w:tc>
          <w:tcPr>
            <w:tcW w:w="492" w:type="dxa"/>
            <w:vAlign w:val="center"/>
          </w:tcPr>
          <w:p w14:paraId="5F4D0ADE">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677BF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02EECF2D">
            <w:pPr>
              <w:widowControl/>
              <w:snapToGrid w:val="0"/>
              <w:jc w:val="center"/>
              <w:rPr>
                <w:rFonts w:hint="eastAsia" w:ascii="仿宋" w:hAnsi="仿宋" w:eastAsia="仿宋"/>
                <w:color w:val="auto"/>
              </w:rPr>
            </w:pPr>
            <w:r>
              <w:rPr>
                <w:rFonts w:hint="eastAsia" w:ascii="仿宋" w:hAnsi="仿宋" w:eastAsia="仿宋" w:cs="宋体"/>
                <w:b/>
                <w:bCs/>
                <w:color w:val="auto"/>
                <w:kern w:val="0"/>
                <w:sz w:val="24"/>
                <w:szCs w:val="24"/>
              </w:rPr>
              <w:t>三、班班通设备</w:t>
            </w:r>
          </w:p>
        </w:tc>
        <w:tc>
          <w:tcPr>
            <w:tcW w:w="0" w:type="auto"/>
            <w:vAlign w:val="center"/>
          </w:tcPr>
          <w:p w14:paraId="48D61A5E">
            <w:pPr>
              <w:widowControl/>
              <w:snapToGrid w:val="0"/>
              <w:jc w:val="center"/>
              <w:rPr>
                <w:rFonts w:hint="eastAsia" w:ascii="仿宋" w:hAnsi="仿宋" w:eastAsia="仿宋" w:cs="Calibri"/>
                <w:color w:val="auto"/>
                <w:kern w:val="0"/>
              </w:rPr>
            </w:pPr>
          </w:p>
        </w:tc>
        <w:tc>
          <w:tcPr>
            <w:tcW w:w="492" w:type="dxa"/>
            <w:vAlign w:val="center"/>
          </w:tcPr>
          <w:p w14:paraId="289DD0C0">
            <w:pPr>
              <w:widowControl/>
              <w:snapToGrid w:val="0"/>
              <w:jc w:val="center"/>
              <w:rPr>
                <w:rFonts w:hint="eastAsia" w:ascii="仿宋" w:hAnsi="仿宋" w:eastAsia="仿宋" w:cs="Calibri"/>
                <w:color w:val="auto"/>
                <w:kern w:val="0"/>
              </w:rPr>
            </w:pPr>
          </w:p>
        </w:tc>
      </w:tr>
      <w:tr w14:paraId="36EE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F97F84C">
            <w:pPr>
              <w:widowControl/>
              <w:snapToGrid w:val="0"/>
              <w:jc w:val="center"/>
              <w:rPr>
                <w:rFonts w:hint="eastAsia" w:ascii="仿宋" w:hAnsi="仿宋" w:eastAsia="仿宋"/>
                <w:color w:val="auto"/>
                <w:kern w:val="0"/>
              </w:rPr>
            </w:pPr>
            <w:r>
              <w:rPr>
                <w:rFonts w:hint="eastAsia" w:ascii="仿宋" w:hAnsi="仿宋" w:eastAsia="仿宋"/>
                <w:color w:val="auto"/>
                <w:kern w:val="0"/>
              </w:rPr>
              <w:t>1</w:t>
            </w:r>
          </w:p>
        </w:tc>
        <w:tc>
          <w:tcPr>
            <w:tcW w:w="996" w:type="dxa"/>
            <w:vAlign w:val="center"/>
          </w:tcPr>
          <w:p w14:paraId="29C9D835">
            <w:pPr>
              <w:widowControl/>
              <w:snapToGrid w:val="0"/>
              <w:jc w:val="center"/>
              <w:rPr>
                <w:rFonts w:hint="eastAsia" w:ascii="仿宋" w:hAnsi="仿宋" w:eastAsia="仿宋"/>
                <w:color w:val="auto"/>
              </w:rPr>
            </w:pPr>
            <w:r>
              <w:rPr>
                <w:rFonts w:hint="eastAsia" w:ascii="仿宋" w:hAnsi="仿宋" w:eastAsia="仿宋"/>
                <w:color w:val="auto"/>
              </w:rPr>
              <w:t>智慧互联黑板（核心产品）</w:t>
            </w:r>
          </w:p>
        </w:tc>
        <w:tc>
          <w:tcPr>
            <w:tcW w:w="6650" w:type="dxa"/>
            <w:vAlign w:val="center"/>
          </w:tcPr>
          <w:p w14:paraId="0372BF0A">
            <w:pPr>
              <w:snapToGrid w:val="0"/>
              <w:jc w:val="left"/>
              <w:rPr>
                <w:rFonts w:hint="eastAsia" w:ascii="仿宋" w:hAnsi="仿宋" w:eastAsia="仿宋" w:cs="宋体"/>
                <w:color w:val="auto"/>
              </w:rPr>
            </w:pPr>
            <w:r>
              <w:rPr>
                <w:rFonts w:hint="eastAsia" w:ascii="仿宋" w:hAnsi="仿宋" w:eastAsia="仿宋" w:cs="仿宋"/>
                <w:color w:val="auto"/>
              </w:rPr>
              <w:t>1.整机采用全金属外壳，三拼接平面一体化设计(主副屏过渡平滑并在同一平面，中间无单独边框阻隔)。屏幕边缘采用金属圆角包边防护，整机背板采用金属材质。</w:t>
            </w:r>
          </w:p>
          <w:p w14:paraId="6745C030">
            <w:pPr>
              <w:snapToGrid w:val="0"/>
              <w:jc w:val="left"/>
              <w:rPr>
                <w:rFonts w:ascii="仿宋" w:eastAsia="仿宋"/>
                <w:color w:val="auto"/>
              </w:rPr>
            </w:pPr>
            <w:r>
              <w:rPr>
                <w:rFonts w:hint="eastAsia" w:ascii="仿宋" w:hAnsi="仿宋" w:eastAsia="仿宋" w:cs="宋体"/>
                <w:color w:val="auto"/>
              </w:rPr>
              <w:t>2.整机长≥4200mm,宽≥1183mm，可视角度≥</w:t>
            </w:r>
            <w:r>
              <w:rPr>
                <w:rFonts w:ascii="仿宋" w:hAnsi="仿宋" w:eastAsia="仿宋" w:cs="宋体"/>
                <w:color w:val="auto"/>
              </w:rPr>
              <w:t>178</w:t>
            </w:r>
            <w:r>
              <w:rPr>
                <w:rFonts w:hint="eastAsia" w:ascii="仿宋" w:hAnsi="仿宋" w:eastAsia="仿宋" w:cs="宋体"/>
                <w:color w:val="auto"/>
              </w:rPr>
              <w:t>°</w:t>
            </w:r>
            <w:r>
              <w:rPr>
                <w:rFonts w:ascii="仿宋" w:hAnsi="仿宋" w:eastAsia="仿宋" w:cs="宋体"/>
                <w:color w:val="auto"/>
              </w:rPr>
              <w:t>;</w:t>
            </w:r>
            <w:r>
              <w:rPr>
                <w:rFonts w:hint="eastAsia" w:ascii="仿宋" w:hAnsi="仿宋" w:eastAsia="仿宋" w:cs="宋体"/>
                <w:color w:val="auto"/>
              </w:rPr>
              <w:t>中间显示尺寸≥86英寸，比例</w:t>
            </w:r>
            <w:r>
              <w:rPr>
                <w:rFonts w:ascii="仿宋" w:hAnsi="仿宋" w:eastAsia="仿宋" w:cs="宋体"/>
                <w:color w:val="auto"/>
              </w:rPr>
              <w:t>16:</w:t>
            </w:r>
            <w:r>
              <w:rPr>
                <w:rFonts w:hint="eastAsia" w:ascii="仿宋" w:hAnsi="仿宋" w:eastAsia="仿宋" w:cs="宋体"/>
                <w:color w:val="auto"/>
              </w:rPr>
              <w:t>9，显示分辨率：</w:t>
            </w:r>
            <w:r>
              <w:rPr>
                <w:rFonts w:ascii="仿宋" w:hAnsi="仿宋" w:eastAsia="仿宋" w:cs="宋体"/>
                <w:color w:val="auto"/>
              </w:rPr>
              <w:t>3840</w:t>
            </w:r>
            <w:r>
              <w:rPr>
                <w:rFonts w:hint="eastAsia" w:ascii="仿宋" w:hAnsi="仿宋" w:eastAsia="仿宋" w:cs="宋体"/>
                <w:color w:val="auto"/>
              </w:rPr>
              <w:t>×</w:t>
            </w:r>
            <w:r>
              <w:rPr>
                <w:rFonts w:ascii="仿宋" w:hAnsi="仿宋" w:eastAsia="仿宋" w:cs="宋体"/>
                <w:color w:val="auto"/>
              </w:rPr>
              <w:t>2160</w:t>
            </w:r>
            <w:r>
              <w:rPr>
                <w:rFonts w:hint="eastAsia" w:ascii="仿宋" w:hAnsi="仿宋" w:eastAsia="仿宋" w:cs="宋体"/>
                <w:color w:val="auto"/>
              </w:rPr>
              <w:t>；亮度：≥350cd/m2；对比度:1200:1。色彩覆盖率(色域)NTSC83%。</w:t>
            </w:r>
          </w:p>
          <w:p w14:paraId="52714E8F">
            <w:pPr>
              <w:snapToGrid w:val="0"/>
              <w:jc w:val="left"/>
              <w:rPr>
                <w:rFonts w:ascii="仿宋" w:eastAsia="仿宋"/>
                <w:color w:val="auto"/>
              </w:rPr>
            </w:pPr>
            <w:r>
              <w:rPr>
                <w:rFonts w:hint="eastAsia" w:ascii="仿宋" w:hAnsi="仿宋" w:eastAsia="仿宋" w:cs="宋体"/>
                <w:color w:val="auto"/>
              </w:rPr>
              <w:t>3.整机采用红外触控装置，OPS操作系统下</w:t>
            </w:r>
            <w:r>
              <w:rPr>
                <w:rFonts w:ascii="仿宋" w:hAnsi="仿宋" w:eastAsia="仿宋" w:cs="宋体"/>
                <w:color w:val="auto"/>
              </w:rPr>
              <w:t>触控点数</w:t>
            </w:r>
            <w:r>
              <w:rPr>
                <w:rFonts w:hint="eastAsia" w:ascii="仿宋" w:hAnsi="仿宋" w:eastAsia="仿宋" w:cs="宋体"/>
                <w:color w:val="auto"/>
              </w:rPr>
              <w:t>触摸点数≥40点，整机系统触摸点数≥30点红外触摸。</w:t>
            </w:r>
          </w:p>
          <w:p w14:paraId="2D8A80B2">
            <w:pPr>
              <w:snapToGrid w:val="0"/>
              <w:jc w:val="left"/>
              <w:rPr>
                <w:rFonts w:ascii="仿宋" w:eastAsia="仿宋"/>
                <w:color w:val="auto"/>
              </w:rPr>
            </w:pPr>
            <w:r>
              <w:rPr>
                <w:rFonts w:hint="eastAsia" w:ascii="仿宋" w:hAnsi="仿宋" w:eastAsia="仿宋" w:cs="宋体"/>
                <w:color w:val="auto"/>
              </w:rPr>
              <w:t>4.整机采用防眩光、防爆、钢化玻璃，玻璃面板硬度等级莫氏7级，表面硬度8H。</w:t>
            </w:r>
          </w:p>
          <w:p w14:paraId="34912AD8">
            <w:pPr>
              <w:snapToGrid w:val="0"/>
              <w:jc w:val="left"/>
              <w:rPr>
                <w:rFonts w:hint="eastAsia" w:ascii="仿宋" w:hAnsi="仿宋" w:eastAsia="仿宋" w:cs="宋体"/>
                <w:color w:val="auto"/>
              </w:rPr>
            </w:pPr>
            <w:r>
              <w:rPr>
                <w:rFonts w:hint="eastAsia" w:ascii="仿宋" w:hAnsi="仿宋" w:eastAsia="仿宋"/>
                <w:color w:val="auto"/>
              </w:rPr>
              <w:t>5.整机设备副屏板面采用优质烤漆板，纳米书写涂层，副屏板面支持普通粉笔、液体粉笔、水溶粉笔直接书写。</w:t>
            </w:r>
          </w:p>
          <w:p w14:paraId="20FD9E7C">
            <w:pPr>
              <w:snapToGrid w:val="0"/>
              <w:jc w:val="left"/>
              <w:rPr>
                <w:rFonts w:hint="eastAsia" w:ascii="仿宋" w:hAnsi="仿宋" w:eastAsia="仿宋" w:cs="宋体"/>
                <w:color w:val="auto"/>
              </w:rPr>
            </w:pPr>
            <w:r>
              <w:rPr>
                <w:rFonts w:hint="eastAsia" w:ascii="仿宋" w:hAnsi="仿宋" w:eastAsia="仿宋"/>
                <w:color w:val="auto"/>
              </w:rPr>
              <w:t>6.双侧板面</w:t>
            </w:r>
            <w:r>
              <w:rPr>
                <w:rFonts w:hint="eastAsia" w:ascii="仿宋" w:hAnsi="仿宋" w:eastAsia="仿宋" w:cs="宋体"/>
                <w:color w:val="auto"/>
              </w:rPr>
              <w:t>两侧物理</w:t>
            </w:r>
            <w:r>
              <w:rPr>
                <w:rFonts w:ascii="仿宋" w:hAnsi="仿宋" w:eastAsia="仿宋" w:cs="宋体"/>
                <w:color w:val="auto"/>
              </w:rPr>
              <w:t>快捷键</w:t>
            </w:r>
            <w:r>
              <w:rPr>
                <w:rFonts w:hint="eastAsia" w:ascii="仿宋" w:hAnsi="仿宋" w:eastAsia="仿宋" w:cs="宋体"/>
                <w:color w:val="auto"/>
              </w:rPr>
              <w:t>各</w:t>
            </w:r>
            <w:r>
              <w:rPr>
                <w:rFonts w:ascii="仿宋" w:hAnsi="仿宋" w:eastAsia="仿宋" w:cs="宋体"/>
                <w:color w:val="auto"/>
              </w:rPr>
              <w:t>≥</w:t>
            </w:r>
            <w:r>
              <w:rPr>
                <w:rFonts w:hint="eastAsia" w:ascii="仿宋" w:hAnsi="仿宋" w:eastAsia="仿宋" w:cs="宋体"/>
                <w:color w:val="auto"/>
              </w:rPr>
              <w:t>10个，双系统通用，</w:t>
            </w:r>
            <w:r>
              <w:rPr>
                <w:rFonts w:ascii="仿宋" w:hAnsi="仿宋" w:eastAsia="仿宋" w:cs="宋体"/>
                <w:color w:val="auto"/>
              </w:rPr>
              <w:t>一键记忆</w:t>
            </w:r>
            <w:r>
              <w:rPr>
                <w:rFonts w:hint="eastAsia" w:ascii="仿宋" w:hAnsi="仿宋" w:eastAsia="仿宋" w:cs="宋体"/>
                <w:color w:val="auto"/>
              </w:rPr>
              <w:t>、</w:t>
            </w:r>
            <w:r>
              <w:rPr>
                <w:rFonts w:ascii="仿宋" w:hAnsi="仿宋" w:eastAsia="仿宋" w:cs="宋体"/>
                <w:color w:val="auto"/>
              </w:rPr>
              <w:t>一键分享</w:t>
            </w:r>
            <w:r>
              <w:rPr>
                <w:rFonts w:hint="eastAsia" w:ascii="仿宋" w:hAnsi="仿宋" w:eastAsia="仿宋" w:cs="宋体"/>
                <w:color w:val="auto"/>
              </w:rPr>
              <w:t>。</w:t>
            </w:r>
          </w:p>
          <w:p w14:paraId="5FBA8762">
            <w:pPr>
              <w:snapToGrid w:val="0"/>
              <w:jc w:val="left"/>
              <w:rPr>
                <w:rFonts w:hint="eastAsia" w:ascii="仿宋" w:hAnsi="仿宋" w:eastAsia="仿宋" w:cs="宋体"/>
                <w:color w:val="auto"/>
              </w:rPr>
            </w:pPr>
            <w:r>
              <w:rPr>
                <w:rFonts w:hint="eastAsia" w:ascii="仿宋" w:hAnsi="仿宋" w:eastAsia="仿宋" w:cs="宋体"/>
                <w:color w:val="auto"/>
              </w:rPr>
              <w:t>7.整机自带推拉</w:t>
            </w:r>
            <w:r>
              <w:rPr>
                <w:rFonts w:ascii="仿宋" w:hAnsi="仿宋" w:eastAsia="仿宋" w:cs="宋体"/>
                <w:color w:val="auto"/>
              </w:rPr>
              <w:t>门锁</w:t>
            </w:r>
            <w:r>
              <w:rPr>
                <w:rFonts w:hint="eastAsia" w:ascii="仿宋" w:hAnsi="仿宋" w:eastAsia="仿宋" w:cs="宋体"/>
                <w:color w:val="auto"/>
              </w:rPr>
              <w:t>，</w:t>
            </w:r>
            <w:r>
              <w:rPr>
                <w:rFonts w:ascii="仿宋" w:hAnsi="仿宋" w:eastAsia="仿宋" w:cs="宋体"/>
                <w:color w:val="auto"/>
              </w:rPr>
              <w:t>保护</w:t>
            </w:r>
            <w:r>
              <w:rPr>
                <w:rFonts w:hint="eastAsia" w:ascii="仿宋" w:hAnsi="仿宋" w:eastAsia="仿宋" w:cs="宋体"/>
                <w:color w:val="auto"/>
              </w:rPr>
              <w:t>前置</w:t>
            </w:r>
            <w:r>
              <w:rPr>
                <w:rFonts w:ascii="仿宋" w:hAnsi="仿宋" w:eastAsia="仿宋" w:cs="宋体"/>
                <w:color w:val="auto"/>
              </w:rPr>
              <w:t>接口</w:t>
            </w:r>
            <w:r>
              <w:rPr>
                <w:rFonts w:hint="eastAsia" w:ascii="仿宋" w:hAnsi="仿宋" w:eastAsia="仿宋" w:cs="宋体"/>
                <w:color w:val="auto"/>
              </w:rPr>
              <w:t>及</w:t>
            </w:r>
            <w:r>
              <w:rPr>
                <w:rFonts w:ascii="仿宋" w:hAnsi="仿宋" w:eastAsia="仿宋" w:cs="宋体"/>
                <w:color w:val="auto"/>
              </w:rPr>
              <w:t>物理按键，</w:t>
            </w:r>
            <w:r>
              <w:rPr>
                <w:rFonts w:hint="eastAsia" w:ascii="仿宋" w:hAnsi="仿宋" w:eastAsia="仿宋" w:cs="宋体"/>
                <w:color w:val="auto"/>
              </w:rPr>
              <w:t>左右推拉式设计，带安全小锁，有效保护前置接口按键，安全管理，不影响外观，无明显凸起（拒绝改装）。</w:t>
            </w:r>
          </w:p>
          <w:p w14:paraId="78C4271F">
            <w:pPr>
              <w:snapToGrid w:val="0"/>
              <w:jc w:val="left"/>
              <w:rPr>
                <w:rFonts w:hint="eastAsia" w:ascii="仿宋" w:hAnsi="仿宋" w:eastAsia="仿宋" w:cs="宋体"/>
                <w:color w:val="auto"/>
              </w:rPr>
            </w:pPr>
            <w:r>
              <w:rPr>
                <w:rFonts w:hint="eastAsia" w:ascii="仿宋" w:hAnsi="仿宋" w:eastAsia="仿宋" w:cs="宋体"/>
                <w:color w:val="auto"/>
              </w:rPr>
              <w:t>8.嵌入式音箱2*30W，</w:t>
            </w:r>
            <w:r>
              <w:rPr>
                <w:rFonts w:ascii="仿宋" w:hAnsi="仿宋" w:eastAsia="仿宋" w:cs="宋体"/>
                <w:color w:val="auto"/>
              </w:rPr>
              <w:t>喇叭孔均匀分布，</w:t>
            </w:r>
            <w:r>
              <w:rPr>
                <w:rFonts w:hint="eastAsia" w:ascii="仿宋" w:hAnsi="仿宋" w:eastAsia="仿宋" w:cs="宋体"/>
                <w:color w:val="auto"/>
              </w:rPr>
              <w:t>增加立体感、层次感、声音穿透更均匀更强。</w:t>
            </w:r>
          </w:p>
          <w:p w14:paraId="513C571D">
            <w:pPr>
              <w:snapToGrid w:val="0"/>
              <w:jc w:val="left"/>
              <w:rPr>
                <w:rFonts w:hint="eastAsia" w:ascii="仿宋" w:hAnsi="仿宋" w:eastAsia="仿宋" w:cs="宋体"/>
                <w:color w:val="auto"/>
              </w:rPr>
            </w:pPr>
            <w:r>
              <w:rPr>
                <w:rFonts w:hint="eastAsia" w:ascii="仿宋" w:hAnsi="仿宋" w:eastAsia="仿宋" w:cs="宋体"/>
                <w:color w:val="auto"/>
              </w:rPr>
              <w:t>9.内置非外接4K高清摄像头≥1300万像素，8阵列麦克风，拾音距离≥10米，自动降噪，减滤回声，支持巡课及微课录制。</w:t>
            </w:r>
          </w:p>
          <w:p w14:paraId="64F4FEA3">
            <w:pPr>
              <w:snapToGrid w:val="0"/>
              <w:jc w:val="left"/>
              <w:rPr>
                <w:rFonts w:hint="eastAsia" w:ascii="仿宋" w:hAnsi="仿宋" w:eastAsia="仿宋" w:cs="宋体"/>
                <w:color w:val="auto"/>
              </w:rPr>
            </w:pPr>
            <w:r>
              <w:rPr>
                <w:rFonts w:hint="eastAsia" w:ascii="仿宋" w:hAnsi="仿宋" w:eastAsia="仿宋" w:cs="宋体"/>
                <w:color w:val="auto"/>
              </w:rPr>
              <w:t>10.整机</w:t>
            </w:r>
            <w:r>
              <w:rPr>
                <w:rFonts w:ascii="仿宋" w:hAnsi="仿宋" w:eastAsia="仿宋" w:cs="宋体"/>
                <w:color w:val="auto"/>
              </w:rPr>
              <w:t>具备</w:t>
            </w:r>
            <w:r>
              <w:rPr>
                <w:rFonts w:hint="eastAsia" w:ascii="仿宋" w:hAnsi="仿宋" w:eastAsia="仿宋" w:cs="宋体"/>
                <w:color w:val="auto"/>
              </w:rPr>
              <w:t>至少3路双系统USB 接口，</w:t>
            </w:r>
            <w:r>
              <w:rPr>
                <w:rFonts w:ascii="仿宋" w:hAnsi="仿宋" w:eastAsia="仿宋" w:cs="宋体"/>
                <w:color w:val="auto"/>
              </w:rPr>
              <w:t>支持</w:t>
            </w:r>
            <w:r>
              <w:rPr>
                <w:rFonts w:hint="eastAsia" w:ascii="仿宋" w:hAnsi="仿宋" w:eastAsia="仿宋" w:cs="宋体"/>
                <w:color w:val="auto"/>
              </w:rPr>
              <w:t>A</w:t>
            </w:r>
            <w:r>
              <w:rPr>
                <w:rFonts w:ascii="仿宋" w:hAnsi="仿宋" w:eastAsia="仿宋" w:cs="宋体"/>
                <w:color w:val="auto"/>
              </w:rPr>
              <w:t>ndroid系统和</w:t>
            </w:r>
            <w:r>
              <w:rPr>
                <w:rFonts w:hint="eastAsia" w:ascii="仿宋" w:hAnsi="仿宋" w:eastAsia="仿宋" w:cs="宋体"/>
                <w:color w:val="auto"/>
              </w:rPr>
              <w:t>W</w:t>
            </w:r>
            <w:r>
              <w:rPr>
                <w:rFonts w:ascii="仿宋" w:hAnsi="仿宋" w:eastAsia="仿宋" w:cs="宋体"/>
                <w:color w:val="auto"/>
              </w:rPr>
              <w:t>indows系统识别</w:t>
            </w:r>
            <w:r>
              <w:rPr>
                <w:rFonts w:hint="eastAsia" w:ascii="仿宋" w:hAnsi="仿宋" w:eastAsia="仿宋" w:cs="宋体"/>
                <w:color w:val="auto"/>
              </w:rPr>
              <w:t>，Touch USB≥1路，HDMI≥1路,TYPE-C≥1路；前置按键≥</w:t>
            </w:r>
            <w:r>
              <w:rPr>
                <w:rFonts w:ascii="仿宋" w:hAnsi="仿宋" w:eastAsia="仿宋" w:cs="宋体"/>
                <w:color w:val="auto"/>
              </w:rPr>
              <w:t>8</w:t>
            </w:r>
            <w:r>
              <w:rPr>
                <w:rFonts w:hint="eastAsia" w:ascii="仿宋" w:hAnsi="仿宋" w:eastAsia="仿宋" w:cs="宋体"/>
                <w:color w:val="auto"/>
              </w:rPr>
              <w:t>个，包括三合一开关机键、信号源、菜单、音量+、音量-、一键防蓝光、一键录屏、一键投屏等</w:t>
            </w:r>
          </w:p>
          <w:p w14:paraId="2FAF5AB1">
            <w:pPr>
              <w:snapToGrid w:val="0"/>
              <w:jc w:val="left"/>
              <w:rPr>
                <w:rFonts w:hint="eastAsia" w:ascii="仿宋" w:hAnsi="宋体" w:eastAsia="仿宋" w:cs="宋体"/>
                <w:b/>
                <w:bCs/>
                <w:color w:val="auto"/>
                <w:highlight w:val="cyan"/>
              </w:rPr>
            </w:pPr>
            <w:r>
              <w:rPr>
                <w:rFonts w:hint="eastAsia" w:ascii="仿宋" w:hAnsi="仿宋" w:eastAsia="仿宋" w:cs="宋体"/>
                <w:color w:val="auto"/>
              </w:rPr>
              <w:t>11.整机屏幕具备硬件防蓝光护眼功能，屏幕护眼符合《GB 40070-2021儿童青少年学习用品近视防控卫生要求》。</w:t>
            </w:r>
            <w:r>
              <w:rPr>
                <w:rFonts w:hint="eastAsia" w:ascii="仿宋" w:hAnsi="宋体" w:eastAsia="仿宋" w:cs="宋体"/>
                <w:color w:val="auto"/>
                <w:highlight w:val="cyan"/>
                <w:shd w:val="clear" w:color="auto" w:fill="FFFFFF"/>
              </w:rPr>
              <w:t>‌</w:t>
            </w:r>
          </w:p>
          <w:p w14:paraId="2BCE0FB9">
            <w:pPr>
              <w:snapToGrid w:val="0"/>
              <w:jc w:val="left"/>
              <w:rPr>
                <w:rFonts w:hint="eastAsia" w:ascii="仿宋" w:hAnsi="仿宋" w:eastAsia="仿宋" w:cs="宋体"/>
                <w:color w:val="auto"/>
              </w:rPr>
            </w:pPr>
            <w:r>
              <w:rPr>
                <w:rFonts w:hint="eastAsia" w:ascii="仿宋" w:hAnsi="仿宋" w:eastAsia="仿宋" w:cs="宋体"/>
                <w:color w:val="auto"/>
              </w:rPr>
              <w:t>12.整机接口USB ≥2路,VGA  In≥1路，VGA Audio In≥1路，HDMI In≥2路，HDMI Out≥1路  RJ45 IN≥1路； AV IN ≥1路，AV OUT ≥1路RS232≥1路,TF卡≥1路， OPS Slote≥1路。</w:t>
            </w:r>
          </w:p>
          <w:p w14:paraId="5A35C79E">
            <w:pPr>
              <w:snapToGrid w:val="0"/>
              <w:jc w:val="left"/>
              <w:rPr>
                <w:rFonts w:hint="eastAsia" w:ascii="仿宋" w:hAnsi="仿宋" w:eastAsia="仿宋" w:cs="宋体"/>
                <w:color w:val="auto"/>
              </w:rPr>
            </w:pPr>
            <w:r>
              <w:rPr>
                <w:rFonts w:hint="eastAsia" w:ascii="仿宋" w:hAnsi="仿宋" w:eastAsia="仿宋" w:cs="宋体"/>
                <w:color w:val="auto"/>
              </w:rPr>
              <w:t>13整机具备内置中控菜单，无需实体按键，可实现信号源通道切换、</w:t>
            </w:r>
            <w:r>
              <w:rPr>
                <w:rFonts w:ascii="仿宋" w:hAnsi="仿宋" w:eastAsia="仿宋" w:cs="宋体"/>
                <w:color w:val="auto"/>
              </w:rPr>
              <w:t>一键</w:t>
            </w:r>
            <w:r>
              <w:rPr>
                <w:rFonts w:hint="eastAsia" w:ascii="仿宋" w:hAnsi="仿宋" w:eastAsia="仿宋" w:cs="宋体"/>
                <w:color w:val="auto"/>
              </w:rPr>
              <w:t>主页、</w:t>
            </w:r>
            <w:r>
              <w:rPr>
                <w:rFonts w:ascii="仿宋" w:hAnsi="仿宋" w:eastAsia="仿宋" w:cs="宋体"/>
                <w:color w:val="auto"/>
              </w:rPr>
              <w:t>白板软件、通知</w:t>
            </w:r>
            <w:r>
              <w:rPr>
                <w:rFonts w:hint="eastAsia" w:ascii="仿宋" w:hAnsi="仿宋" w:eastAsia="仿宋" w:cs="宋体"/>
                <w:color w:val="auto"/>
              </w:rPr>
              <w:t>等功能操作；。</w:t>
            </w:r>
          </w:p>
          <w:p w14:paraId="025C4169">
            <w:pPr>
              <w:snapToGrid w:val="0"/>
              <w:jc w:val="left"/>
              <w:rPr>
                <w:rFonts w:hint="eastAsia" w:ascii="仿宋" w:hAnsi="仿宋" w:eastAsia="仿宋" w:cs="宋体"/>
                <w:color w:val="auto"/>
              </w:rPr>
            </w:pPr>
            <w:r>
              <w:rPr>
                <w:rFonts w:hint="eastAsia" w:ascii="仿宋" w:hAnsi="仿宋" w:eastAsia="仿宋" w:cs="宋体"/>
                <w:color w:val="auto"/>
              </w:rPr>
              <w:t>14.支持五指熄屏，实现快捷节能，应用全屏课堂板书教学；唤醒实现教学互动。</w:t>
            </w:r>
          </w:p>
          <w:p w14:paraId="7AE82988">
            <w:pPr>
              <w:snapToGrid w:val="0"/>
              <w:jc w:val="left"/>
              <w:rPr>
                <w:rFonts w:hint="eastAsia" w:ascii="仿宋" w:hAnsi="仿宋" w:eastAsia="仿宋" w:cs="宋体"/>
                <w:color w:val="auto"/>
              </w:rPr>
            </w:pPr>
            <w:r>
              <w:rPr>
                <w:rFonts w:hint="eastAsia" w:ascii="仿宋" w:hAnsi="仿宋" w:eastAsia="仿宋" w:cs="宋体"/>
                <w:color w:val="auto"/>
              </w:rPr>
              <w:t>15.无需借助PC，整机可一键进行硬件自检，包括对触摸框、PC模块、温控、光感系统、内存、CPU等模块进行检测并做状态和故障提示。</w:t>
            </w:r>
          </w:p>
          <w:p w14:paraId="6F2E07E3">
            <w:pPr>
              <w:snapToGrid w:val="0"/>
              <w:jc w:val="left"/>
              <w:rPr>
                <w:rFonts w:hint="eastAsia" w:ascii="仿宋" w:hAnsi="仿宋" w:eastAsia="仿宋" w:cs="宋体"/>
                <w:color w:val="auto"/>
              </w:rPr>
            </w:pPr>
            <w:r>
              <w:rPr>
                <w:rFonts w:hint="eastAsia" w:ascii="仿宋" w:hAnsi="仿宋" w:eastAsia="仿宋" w:cs="宋体"/>
                <w:color w:val="auto"/>
              </w:rPr>
              <w:t>16.板书内容同步记忆，原轨迹显示书写笔迹，同步书写、同步记忆存储，真实</w:t>
            </w:r>
            <w:r>
              <w:rPr>
                <w:rFonts w:ascii="仿宋" w:hAnsi="仿宋" w:eastAsia="仿宋" w:cs="宋体"/>
                <w:color w:val="auto"/>
              </w:rPr>
              <w:t>呈现</w:t>
            </w:r>
            <w:r>
              <w:rPr>
                <w:rFonts w:hint="eastAsia" w:ascii="仿宋" w:hAnsi="仿宋" w:eastAsia="仿宋" w:cs="宋体"/>
                <w:color w:val="auto"/>
              </w:rPr>
              <w:t>、保留课堂</w:t>
            </w:r>
            <w:r>
              <w:rPr>
                <w:rFonts w:ascii="仿宋" w:hAnsi="仿宋" w:eastAsia="仿宋" w:cs="宋体"/>
                <w:color w:val="auto"/>
              </w:rPr>
              <w:t>板书</w:t>
            </w:r>
            <w:r>
              <w:rPr>
                <w:rFonts w:hint="eastAsia" w:ascii="仿宋" w:hAnsi="仿宋" w:eastAsia="仿宋" w:cs="宋体"/>
                <w:color w:val="auto"/>
              </w:rPr>
              <w:t>内容；</w:t>
            </w:r>
            <w:r>
              <w:rPr>
                <w:rFonts w:ascii="仿宋" w:hAnsi="仿宋" w:eastAsia="仿宋" w:cs="宋体"/>
                <w:color w:val="auto"/>
              </w:rPr>
              <w:t>板擦自动识别</w:t>
            </w:r>
            <w:r>
              <w:rPr>
                <w:rFonts w:hint="eastAsia" w:ascii="仿宋" w:hAnsi="仿宋" w:eastAsia="仿宋" w:cs="宋体"/>
                <w:color w:val="auto"/>
              </w:rPr>
              <w:t>，</w:t>
            </w:r>
            <w:r>
              <w:rPr>
                <w:rFonts w:ascii="仿宋" w:hAnsi="仿宋" w:eastAsia="仿宋" w:cs="宋体"/>
                <w:color w:val="auto"/>
              </w:rPr>
              <w:t>同步擦除</w:t>
            </w:r>
            <w:r>
              <w:rPr>
                <w:rFonts w:hint="eastAsia" w:ascii="仿宋" w:hAnsi="仿宋" w:eastAsia="仿宋" w:cs="宋体"/>
                <w:color w:val="auto"/>
              </w:rPr>
              <w:t>。</w:t>
            </w:r>
          </w:p>
          <w:p w14:paraId="0E2A9756">
            <w:pPr>
              <w:snapToGrid w:val="0"/>
              <w:jc w:val="left"/>
              <w:rPr>
                <w:rFonts w:hint="eastAsia" w:ascii="仿宋" w:hAnsi="仿宋" w:eastAsia="仿宋" w:cs="宋体"/>
                <w:color w:val="auto"/>
              </w:rPr>
            </w:pPr>
            <w:r>
              <w:rPr>
                <w:rFonts w:hint="eastAsia" w:ascii="仿宋" w:hAnsi="仿宋" w:eastAsia="仿宋" w:cs="宋体"/>
                <w:color w:val="auto"/>
              </w:rPr>
              <w:t>17.自动识别外接信号源，信号源通道名称可自定义，</w:t>
            </w:r>
            <w:r>
              <w:rPr>
                <w:rFonts w:ascii="仿宋" w:hAnsi="仿宋" w:eastAsia="仿宋" w:cs="宋体"/>
                <w:color w:val="auto"/>
              </w:rPr>
              <w:t>无信号输入时实现智能待机</w:t>
            </w:r>
            <w:r>
              <w:rPr>
                <w:rFonts w:hint="eastAsia" w:ascii="仿宋" w:hAnsi="仿宋" w:eastAsia="仿宋" w:cs="宋体"/>
                <w:color w:val="auto"/>
              </w:rPr>
              <w:t>。智能童锁功能，支持遥控器、密码、U-KEY多方式解锁,有效保护老师教学内容，不被破坏，</w:t>
            </w:r>
            <w:r>
              <w:rPr>
                <w:rFonts w:ascii="仿宋" w:hAnsi="仿宋" w:eastAsia="仿宋" w:cs="宋体"/>
                <w:color w:val="auto"/>
              </w:rPr>
              <w:t>也可防止</w:t>
            </w:r>
            <w:r>
              <w:rPr>
                <w:rFonts w:hint="eastAsia" w:ascii="仿宋" w:hAnsi="仿宋" w:eastAsia="仿宋" w:cs="宋体"/>
                <w:color w:val="auto"/>
              </w:rPr>
              <w:t>老师</w:t>
            </w:r>
            <w:r>
              <w:rPr>
                <w:rFonts w:ascii="仿宋" w:hAnsi="仿宋" w:eastAsia="仿宋" w:cs="宋体"/>
                <w:color w:val="auto"/>
              </w:rPr>
              <w:t>学生误操作</w:t>
            </w:r>
            <w:r>
              <w:rPr>
                <w:rFonts w:hint="eastAsia" w:ascii="仿宋" w:hAnsi="仿宋" w:eastAsia="仿宋" w:cs="宋体"/>
                <w:color w:val="auto"/>
              </w:rPr>
              <w:t>。</w:t>
            </w:r>
          </w:p>
          <w:p w14:paraId="5F55F98B">
            <w:pPr>
              <w:snapToGrid w:val="0"/>
              <w:jc w:val="left"/>
              <w:rPr>
                <w:rFonts w:hint="eastAsia" w:ascii="仿宋" w:hAnsi="仿宋" w:eastAsia="仿宋" w:cs="宋体"/>
                <w:b/>
                <w:bCs/>
                <w:color w:val="auto"/>
              </w:rPr>
            </w:pPr>
            <w:r>
              <w:rPr>
                <w:rFonts w:hint="eastAsia" w:ascii="仿宋" w:hAnsi="仿宋" w:eastAsia="仿宋" w:cs="仿宋"/>
                <w:color w:val="auto"/>
              </w:rPr>
              <w:t>★</w:t>
            </w:r>
            <w:r>
              <w:rPr>
                <w:rFonts w:hint="eastAsia" w:ascii="仿宋" w:hAnsi="仿宋" w:eastAsia="仿宋" w:cs="宋体"/>
                <w:color w:val="auto"/>
              </w:rPr>
              <w:t>18.双系统板书内容可转化为教学资源，存储多样化，课堂板书一键生成二维码</w:t>
            </w:r>
            <w:r>
              <w:rPr>
                <w:rFonts w:ascii="仿宋" w:hAnsi="仿宋" w:eastAsia="仿宋" w:cs="宋体"/>
                <w:color w:val="auto"/>
              </w:rPr>
              <w:t>，</w:t>
            </w:r>
            <w:r>
              <w:rPr>
                <w:rFonts w:hint="eastAsia" w:ascii="仿宋" w:hAnsi="仿宋" w:eastAsia="仿宋" w:cs="宋体"/>
                <w:color w:val="auto"/>
              </w:rPr>
              <w:t>无需</w:t>
            </w:r>
            <w:r>
              <w:rPr>
                <w:rFonts w:ascii="仿宋" w:hAnsi="仿宋" w:eastAsia="仿宋" w:cs="宋体"/>
                <w:color w:val="auto"/>
              </w:rPr>
              <w:t>下载任何</w:t>
            </w:r>
            <w:r>
              <w:rPr>
                <w:rFonts w:hint="eastAsia" w:ascii="仿宋" w:hAnsi="仿宋" w:eastAsia="仿宋" w:cs="宋体"/>
                <w:color w:val="auto"/>
              </w:rPr>
              <w:t>APP，扫码即可带走板书资源。板书内容形成课件上传云端，</w:t>
            </w:r>
            <w:r>
              <w:rPr>
                <w:rFonts w:hint="eastAsia" w:ascii="仿宋" w:hAnsi="仿宋" w:eastAsia="仿宋" w:cs="宋体"/>
                <w:color w:val="auto"/>
                <w:highlight w:val="none"/>
              </w:rPr>
              <w:t>每个老师都有自己的云端账户≥5G，</w:t>
            </w:r>
            <w:r>
              <w:rPr>
                <w:rFonts w:hint="eastAsia" w:ascii="仿宋" w:hAnsi="仿宋" w:eastAsia="仿宋" w:cs="宋体"/>
                <w:color w:val="auto"/>
              </w:rPr>
              <w:t>支持课件上传、下载、分享</w:t>
            </w:r>
            <w:r>
              <w:rPr>
                <w:rFonts w:hint="eastAsia" w:ascii="仿宋" w:hAnsi="仿宋" w:eastAsia="仿宋"/>
                <w:color w:val="auto"/>
              </w:rPr>
              <w:t>。</w:t>
            </w:r>
            <w:bookmarkStart w:id="63" w:name="OLE_LINK36"/>
          </w:p>
          <w:bookmarkEnd w:id="63"/>
          <w:p w14:paraId="74404F91">
            <w:pPr>
              <w:snapToGrid w:val="0"/>
              <w:jc w:val="left"/>
              <w:rPr>
                <w:rFonts w:hint="eastAsia" w:ascii="仿宋" w:hAnsi="仿宋" w:eastAsia="仿宋" w:cs="宋体"/>
                <w:color w:val="auto"/>
              </w:rPr>
            </w:pPr>
            <w:r>
              <w:rPr>
                <w:rFonts w:hint="eastAsia" w:ascii="仿宋" w:hAnsi="仿宋" w:eastAsia="仿宋" w:cs="宋体"/>
                <w:color w:val="auto"/>
              </w:rPr>
              <w:t>19.整机配套</w:t>
            </w:r>
            <w:r>
              <w:rPr>
                <w:rFonts w:ascii="仿宋" w:hAnsi="仿宋" w:eastAsia="仿宋" w:cs="宋体"/>
                <w:color w:val="auto"/>
              </w:rPr>
              <w:t>安卓</w:t>
            </w:r>
            <w:r>
              <w:rPr>
                <w:rFonts w:hint="eastAsia" w:ascii="仿宋" w:hAnsi="仿宋" w:eastAsia="仿宋" w:cs="宋体"/>
                <w:color w:val="auto"/>
              </w:rPr>
              <w:t>14.0或</w:t>
            </w:r>
            <w:r>
              <w:rPr>
                <w:rFonts w:ascii="仿宋" w:hAnsi="仿宋" w:eastAsia="仿宋" w:cs="宋体"/>
                <w:color w:val="auto"/>
              </w:rPr>
              <w:t>以上版本系统，搭载</w:t>
            </w:r>
            <w:r>
              <w:rPr>
                <w:rFonts w:hint="eastAsia" w:ascii="仿宋" w:hAnsi="仿宋" w:eastAsia="仿宋" w:cs="宋体"/>
                <w:color w:val="auto"/>
              </w:rPr>
              <w:t>八核处理器，</w:t>
            </w:r>
            <w:r>
              <w:rPr>
                <w:rFonts w:ascii="仿宋" w:hAnsi="仿宋" w:eastAsia="仿宋" w:cs="宋体"/>
                <w:color w:val="auto"/>
              </w:rPr>
              <w:t>内存</w:t>
            </w:r>
            <w:r>
              <w:rPr>
                <w:rFonts w:hint="eastAsia" w:ascii="仿宋" w:hAnsi="仿宋" w:eastAsia="仿宋" w:cs="宋体"/>
                <w:color w:val="auto"/>
              </w:rPr>
              <w:t>≥4GB,存储</w:t>
            </w:r>
            <w:r>
              <w:rPr>
                <w:rFonts w:ascii="仿宋" w:hAnsi="仿宋" w:eastAsia="仿宋" w:cs="宋体"/>
                <w:color w:val="auto"/>
              </w:rPr>
              <w:t>空间</w:t>
            </w:r>
            <w:r>
              <w:rPr>
                <w:rFonts w:hint="eastAsia" w:ascii="仿宋" w:hAnsi="仿宋" w:eastAsia="仿宋" w:cs="宋体"/>
                <w:color w:val="auto"/>
              </w:rPr>
              <w:t>≥32GB。带温控保护，</w:t>
            </w:r>
            <w:r>
              <w:rPr>
                <w:rFonts w:ascii="仿宋" w:hAnsi="仿宋" w:eastAsia="仿宋" w:cs="宋体"/>
                <w:color w:val="auto"/>
              </w:rPr>
              <w:t>满足教学需求。</w:t>
            </w:r>
          </w:p>
          <w:p w14:paraId="66B04697">
            <w:pPr>
              <w:snapToGrid w:val="0"/>
              <w:jc w:val="left"/>
              <w:rPr>
                <w:rFonts w:ascii="仿宋" w:eastAsia="仿宋"/>
                <w:color w:val="auto"/>
              </w:rPr>
            </w:pPr>
            <w:r>
              <w:rPr>
                <w:rFonts w:hint="eastAsia" w:ascii="仿宋" w:hAnsi="仿宋" w:eastAsia="仿宋" w:cs="宋体"/>
                <w:color w:val="auto"/>
              </w:rPr>
              <w:t>20.整机内置WIFE6无线网卡，支持802.11 a/b/g/n/ax/ac;</w:t>
            </w:r>
          </w:p>
          <w:p w14:paraId="3703169C">
            <w:pPr>
              <w:snapToGrid w:val="0"/>
              <w:jc w:val="left"/>
              <w:rPr>
                <w:rFonts w:hint="eastAsia" w:ascii="仿宋" w:hAnsi="仿宋" w:eastAsia="仿宋"/>
                <w:b/>
                <w:bCs/>
                <w:color w:val="auto"/>
              </w:rPr>
            </w:pPr>
            <w:r>
              <w:rPr>
                <w:rFonts w:hint="eastAsia" w:ascii="仿宋" w:hAnsi="仿宋" w:eastAsia="仿宋"/>
                <w:color w:val="auto"/>
              </w:rPr>
              <w:t>▲</w:t>
            </w:r>
            <w:r>
              <w:rPr>
                <w:rFonts w:hint="eastAsia" w:ascii="仿宋" w:hAnsi="仿宋" w:eastAsia="仿宋" w:cs="宋体"/>
                <w:color w:val="auto"/>
              </w:rPr>
              <w:t>21.整机支持蓝牙Bluetooth 5.4或以上标准</w:t>
            </w:r>
            <w:r>
              <w:rPr>
                <w:rFonts w:hint="eastAsia" w:ascii="仿宋" w:hAnsi="仿宋" w:eastAsia="仿宋"/>
                <w:color w:val="auto"/>
              </w:rPr>
              <w:t>。</w:t>
            </w:r>
            <w:r>
              <w:rPr>
                <w:rFonts w:hint="eastAsia" w:ascii="仿宋" w:hAnsi="仿宋" w:eastAsia="仿宋"/>
                <w:b/>
                <w:bCs/>
                <w:color w:val="auto"/>
              </w:rPr>
              <w:t>须</w:t>
            </w:r>
            <w:bookmarkStart w:id="64" w:name="OLE_LINK37"/>
            <w:r>
              <w:rPr>
                <w:rFonts w:hint="eastAsia" w:ascii="仿宋" w:hAnsi="仿宋" w:eastAsia="仿宋"/>
                <w:b/>
                <w:bCs/>
                <w:color w:val="auto"/>
              </w:rPr>
              <w:t>提供国家认可的第三方检测机构出具的、处于有效期内的、带有CMA或CNAS标识的产品检测报告，且检测参数覆盖采购需求相关技术指标，否则视为无效证明材料。</w:t>
            </w:r>
            <w:bookmarkEnd w:id="64"/>
            <w:r>
              <w:rPr>
                <w:rFonts w:ascii="Courier New" w:hAnsi="Courier New" w:eastAsia="仿宋" w:cs="Courier New"/>
                <w:b/>
                <w:bCs/>
                <w:color w:val="auto"/>
              </w:rPr>
              <w:t>‌</w:t>
            </w:r>
          </w:p>
          <w:p w14:paraId="477620B4">
            <w:pPr>
              <w:snapToGrid w:val="0"/>
              <w:jc w:val="left"/>
              <w:rPr>
                <w:rFonts w:hint="eastAsia" w:ascii="仿宋" w:hAnsi="仿宋" w:eastAsia="仿宋" w:cs="宋体"/>
                <w:color w:val="auto"/>
              </w:rPr>
            </w:pPr>
            <w:r>
              <w:rPr>
                <w:rFonts w:hint="eastAsia" w:ascii="仿宋" w:hAnsi="仿宋" w:eastAsia="仿宋" w:cs="仿宋"/>
                <w:color w:val="auto"/>
              </w:rPr>
              <w:t>★</w:t>
            </w:r>
            <w:r>
              <w:rPr>
                <w:rFonts w:hint="eastAsia" w:ascii="仿宋" w:hAnsi="仿宋" w:eastAsia="仿宋" w:cs="宋体"/>
                <w:color w:val="auto"/>
              </w:rPr>
              <w:t>22.模块化OPS主机采用插拔式结构，内部Intel标准80pin接口，搭载Intel酷睿i5处理器，运行主频2.0GHz，内存≥16G，固态硬盘≥512G SSD。内含接口：VGA/ HDMI≥1路，USB≥4路；RJ45≥1路，无线网络；无任何外接电源线和信号线，方便检测维护；</w:t>
            </w:r>
          </w:p>
          <w:p w14:paraId="58346D6D">
            <w:pPr>
              <w:snapToGrid w:val="0"/>
              <w:jc w:val="left"/>
              <w:rPr>
                <w:rFonts w:hint="eastAsia" w:ascii="仿宋" w:hAnsi="仿宋" w:eastAsia="仿宋" w:cs="宋体"/>
                <w:color w:val="auto"/>
              </w:rPr>
            </w:pPr>
            <w:r>
              <w:rPr>
                <w:rFonts w:hint="eastAsia" w:ascii="仿宋" w:hAnsi="仿宋" w:eastAsia="仿宋" w:cs="仿宋"/>
                <w:color w:val="auto"/>
              </w:rPr>
              <w:t>23.OPS电脑上下插拔式模块化设计，不用拆黑板框和整机对电脑系统进行维护；减少技术人员工作强度，维护产品便捷。</w:t>
            </w:r>
          </w:p>
          <w:p w14:paraId="5D9F8A0A">
            <w:pPr>
              <w:widowControl/>
              <w:adjustRightInd w:val="0"/>
              <w:snapToGrid w:val="0"/>
              <w:jc w:val="left"/>
              <w:rPr>
                <w:rFonts w:hint="eastAsia" w:ascii="仿宋" w:hAnsi="仿宋" w:eastAsia="仿宋" w:cs="宋体"/>
                <w:b/>
                <w:bCs/>
                <w:color w:val="auto"/>
              </w:rPr>
            </w:pPr>
            <w:r>
              <w:rPr>
                <w:rFonts w:ascii="仿宋" w:hAnsi="仿宋" w:eastAsia="仿宋" w:cs="宋体"/>
                <w:b/>
                <w:bCs/>
                <w:color w:val="auto"/>
              </w:rPr>
              <w:t>白板软件</w:t>
            </w:r>
            <w:r>
              <w:rPr>
                <w:rFonts w:hint="eastAsia" w:ascii="仿宋" w:hAnsi="仿宋" w:eastAsia="仿宋" w:cs="宋体"/>
                <w:b/>
                <w:bCs/>
                <w:color w:val="auto"/>
              </w:rPr>
              <w:t>功能</w:t>
            </w:r>
            <w:r>
              <w:rPr>
                <w:rFonts w:ascii="仿宋" w:hAnsi="仿宋" w:eastAsia="仿宋" w:cs="宋体"/>
                <w:b/>
                <w:bCs/>
                <w:color w:val="auto"/>
              </w:rPr>
              <w:t>：</w:t>
            </w:r>
          </w:p>
          <w:p w14:paraId="1245EE71">
            <w:pPr>
              <w:widowControl/>
              <w:adjustRightInd w:val="0"/>
              <w:snapToGrid w:val="0"/>
              <w:jc w:val="left"/>
              <w:rPr>
                <w:rFonts w:hint="eastAsia" w:ascii="仿宋" w:hAnsi="仿宋" w:eastAsia="仿宋" w:cs="宋体"/>
                <w:color w:val="auto"/>
              </w:rPr>
            </w:pPr>
            <w:r>
              <w:rPr>
                <w:rFonts w:hint="eastAsia" w:ascii="仿宋" w:hAnsi="仿宋" w:eastAsia="仿宋" w:cs="宋体"/>
                <w:color w:val="auto"/>
              </w:rPr>
              <w:t>1、电子白板软件为独立开发的板书书写软件，电子白板软件可实现任意板书书写，满足课堂教学的各种要求。</w:t>
            </w:r>
          </w:p>
          <w:p w14:paraId="4EFD2DBA">
            <w:pPr>
              <w:widowControl/>
              <w:adjustRightInd w:val="0"/>
              <w:snapToGrid w:val="0"/>
              <w:jc w:val="left"/>
              <w:rPr>
                <w:rFonts w:hint="eastAsia" w:ascii="仿宋" w:hAnsi="仿宋" w:eastAsia="仿宋" w:cs="宋体"/>
                <w:color w:val="auto"/>
              </w:rPr>
            </w:pPr>
            <w:r>
              <w:rPr>
                <w:rFonts w:hint="eastAsia" w:ascii="仿宋" w:hAnsi="仿宋" w:eastAsia="仿宋" w:cs="宋体"/>
                <w:color w:val="auto"/>
              </w:rPr>
              <w:t>2、</w:t>
            </w:r>
            <w:r>
              <w:rPr>
                <w:rFonts w:ascii="仿宋" w:hAnsi="仿宋" w:eastAsia="仿宋" w:cs="宋体"/>
                <w:color w:val="auto"/>
              </w:rPr>
              <w:t>打开白板软件，</w:t>
            </w:r>
            <w:r>
              <w:rPr>
                <w:rFonts w:hint="eastAsia" w:ascii="仿宋" w:hAnsi="仿宋" w:eastAsia="仿宋" w:cs="宋体"/>
                <w:color w:val="auto"/>
              </w:rPr>
              <w:t>实现</w:t>
            </w:r>
            <w:r>
              <w:rPr>
                <w:rFonts w:ascii="仿宋" w:hAnsi="仿宋" w:eastAsia="仿宋" w:cs="宋体"/>
                <w:color w:val="auto"/>
              </w:rPr>
              <w:t>书写便可自动</w:t>
            </w:r>
            <w:r>
              <w:rPr>
                <w:rFonts w:hint="eastAsia" w:ascii="仿宋" w:hAnsi="仿宋" w:eastAsia="仿宋" w:cs="宋体"/>
                <w:color w:val="auto"/>
              </w:rPr>
              <w:t>同步记录</w:t>
            </w:r>
            <w:r>
              <w:rPr>
                <w:rFonts w:ascii="仿宋" w:hAnsi="仿宋" w:eastAsia="仿宋" w:cs="宋体"/>
                <w:color w:val="auto"/>
              </w:rPr>
              <w:t>所有操作，一键存储</w:t>
            </w:r>
            <w:r>
              <w:rPr>
                <w:rFonts w:hint="eastAsia" w:ascii="仿宋" w:hAnsi="仿宋" w:eastAsia="仿宋" w:cs="宋体"/>
                <w:color w:val="auto"/>
              </w:rPr>
              <w:t>即可</w:t>
            </w:r>
            <w:r>
              <w:rPr>
                <w:rFonts w:ascii="仿宋" w:hAnsi="仿宋" w:eastAsia="仿宋" w:cs="宋体"/>
                <w:color w:val="auto"/>
              </w:rPr>
              <w:t>再现</w:t>
            </w:r>
            <w:r>
              <w:rPr>
                <w:rFonts w:hint="eastAsia" w:ascii="仿宋" w:hAnsi="仿宋" w:eastAsia="仿宋" w:cs="宋体"/>
                <w:color w:val="auto"/>
              </w:rPr>
              <w:t>板书</w:t>
            </w:r>
            <w:r>
              <w:rPr>
                <w:rFonts w:ascii="仿宋" w:hAnsi="仿宋" w:eastAsia="仿宋" w:cs="宋体"/>
                <w:color w:val="auto"/>
              </w:rPr>
              <w:t>过程及全部内容</w:t>
            </w:r>
            <w:r>
              <w:rPr>
                <w:rFonts w:hint="eastAsia" w:ascii="仿宋" w:hAnsi="仿宋" w:eastAsia="仿宋" w:cs="宋体"/>
                <w:color w:val="auto"/>
              </w:rPr>
              <w:t>。</w:t>
            </w:r>
          </w:p>
          <w:p w14:paraId="24C0463D">
            <w:pPr>
              <w:snapToGrid w:val="0"/>
              <w:jc w:val="left"/>
              <w:rPr>
                <w:rFonts w:hint="eastAsia" w:ascii="仿宋" w:hAnsi="仿宋" w:eastAsia="仿宋" w:cs="宋体"/>
                <w:color w:val="auto"/>
              </w:rPr>
            </w:pPr>
            <w:r>
              <w:rPr>
                <w:rFonts w:ascii="仿宋" w:hAnsi="仿宋" w:eastAsia="仿宋" w:cs="宋体"/>
                <w:color w:val="auto"/>
              </w:rPr>
              <w:t>3</w:t>
            </w:r>
            <w:r>
              <w:rPr>
                <w:rFonts w:hint="eastAsia" w:ascii="仿宋" w:hAnsi="仿宋" w:eastAsia="仿宋" w:cs="宋体"/>
                <w:color w:val="auto"/>
              </w:rPr>
              <w:t>、每个用户可设置符合自己使用习惯的页面设置，保存</w:t>
            </w:r>
            <w:r>
              <w:rPr>
                <w:rFonts w:ascii="仿宋" w:hAnsi="仿宋" w:eastAsia="仿宋" w:cs="宋体"/>
                <w:color w:val="auto"/>
              </w:rPr>
              <w:t>为自己的使用风格</w:t>
            </w:r>
            <w:r>
              <w:rPr>
                <w:rFonts w:hint="eastAsia" w:ascii="仿宋" w:hAnsi="仿宋" w:eastAsia="仿宋" w:cs="宋体"/>
                <w:color w:val="auto"/>
              </w:rPr>
              <w:t>，白板</w:t>
            </w:r>
            <w:r>
              <w:rPr>
                <w:rFonts w:ascii="仿宋" w:hAnsi="仿宋" w:eastAsia="仿宋" w:cs="宋体"/>
                <w:color w:val="auto"/>
              </w:rPr>
              <w:t>页面可进行</w:t>
            </w:r>
            <w:r>
              <w:rPr>
                <w:rFonts w:hint="eastAsia" w:ascii="仿宋" w:hAnsi="仿宋" w:eastAsia="仿宋" w:cs="宋体"/>
                <w:color w:val="auto"/>
              </w:rPr>
              <w:t>移动</w:t>
            </w:r>
            <w:r>
              <w:rPr>
                <w:rFonts w:ascii="仿宋" w:hAnsi="仿宋" w:eastAsia="仿宋" w:cs="宋体"/>
                <w:color w:val="auto"/>
              </w:rPr>
              <w:t>，无</w:t>
            </w:r>
            <w:r>
              <w:rPr>
                <w:rFonts w:hint="eastAsia" w:ascii="仿宋" w:hAnsi="仿宋" w:eastAsia="仿宋" w:cs="宋体"/>
                <w:color w:val="auto"/>
              </w:rPr>
              <w:t>限</w:t>
            </w:r>
            <w:r>
              <w:rPr>
                <w:rFonts w:ascii="仿宋" w:hAnsi="仿宋" w:eastAsia="仿宋" w:cs="宋体"/>
                <w:color w:val="auto"/>
              </w:rPr>
              <w:t>漫游，</w:t>
            </w:r>
            <w:r>
              <w:rPr>
                <w:rFonts w:hint="eastAsia" w:ascii="仿宋" w:hAnsi="仿宋" w:eastAsia="仿宋" w:cs="宋体"/>
                <w:color w:val="auto"/>
              </w:rPr>
              <w:t>一个</w:t>
            </w:r>
            <w:r>
              <w:rPr>
                <w:rFonts w:ascii="仿宋" w:hAnsi="仿宋" w:eastAsia="仿宋" w:cs="宋体"/>
                <w:color w:val="auto"/>
              </w:rPr>
              <w:t>页面也可容纳丰富</w:t>
            </w:r>
            <w:r>
              <w:rPr>
                <w:rFonts w:hint="eastAsia" w:ascii="仿宋" w:hAnsi="仿宋" w:eastAsia="仿宋" w:cs="宋体"/>
                <w:color w:val="auto"/>
              </w:rPr>
              <w:t>的板书</w:t>
            </w:r>
            <w:r>
              <w:rPr>
                <w:rFonts w:ascii="仿宋" w:hAnsi="仿宋" w:eastAsia="仿宋" w:cs="宋体"/>
                <w:color w:val="auto"/>
              </w:rPr>
              <w:t>内容</w:t>
            </w:r>
            <w:r>
              <w:rPr>
                <w:rFonts w:hint="eastAsia" w:ascii="仿宋" w:hAnsi="仿宋" w:eastAsia="仿宋" w:cs="宋体"/>
                <w:color w:val="auto"/>
              </w:rPr>
              <w:t>。</w:t>
            </w:r>
          </w:p>
          <w:p w14:paraId="284B0972">
            <w:pPr>
              <w:snapToGrid w:val="0"/>
              <w:jc w:val="left"/>
              <w:rPr>
                <w:rFonts w:hint="eastAsia" w:ascii="仿宋" w:hAnsi="仿宋" w:eastAsia="仿宋" w:cs="宋体"/>
                <w:color w:val="auto"/>
              </w:rPr>
            </w:pPr>
            <w:r>
              <w:rPr>
                <w:rFonts w:ascii="仿宋" w:hAnsi="仿宋" w:eastAsia="仿宋" w:cs="宋体"/>
                <w:color w:val="auto"/>
              </w:rPr>
              <w:t>4</w:t>
            </w:r>
            <w:r>
              <w:rPr>
                <w:rFonts w:hint="eastAsia" w:ascii="仿宋" w:hAnsi="仿宋" w:eastAsia="仿宋" w:cs="宋体"/>
                <w:color w:val="auto"/>
              </w:rPr>
              <w:t>、可建立无限多页的板书页面，每新建</w:t>
            </w:r>
            <w:r>
              <w:rPr>
                <w:rFonts w:ascii="仿宋" w:hAnsi="仿宋" w:eastAsia="仿宋" w:cs="宋体"/>
                <w:color w:val="auto"/>
              </w:rPr>
              <w:t>一页会自动保存在页面栏中，方便板书</w:t>
            </w:r>
            <w:r>
              <w:rPr>
                <w:rFonts w:hint="eastAsia" w:ascii="仿宋" w:hAnsi="仿宋" w:eastAsia="仿宋" w:cs="宋体"/>
                <w:color w:val="auto"/>
              </w:rPr>
              <w:t>来回</w:t>
            </w:r>
            <w:r>
              <w:rPr>
                <w:rFonts w:ascii="仿宋" w:hAnsi="仿宋" w:eastAsia="仿宋" w:cs="宋体"/>
                <w:color w:val="auto"/>
              </w:rPr>
              <w:t>查看</w:t>
            </w:r>
            <w:r>
              <w:rPr>
                <w:rFonts w:hint="eastAsia" w:ascii="仿宋" w:hAnsi="仿宋" w:eastAsia="仿宋" w:cs="宋体"/>
                <w:color w:val="auto"/>
              </w:rPr>
              <w:t>。</w:t>
            </w:r>
          </w:p>
          <w:p w14:paraId="6BA41561">
            <w:pPr>
              <w:snapToGrid w:val="0"/>
              <w:jc w:val="left"/>
              <w:rPr>
                <w:rFonts w:hint="eastAsia" w:ascii="仿宋" w:hAnsi="仿宋" w:eastAsia="仿宋" w:cs="宋体"/>
                <w:color w:val="auto"/>
              </w:rPr>
            </w:pPr>
            <w:r>
              <w:rPr>
                <w:rFonts w:ascii="仿宋" w:hAnsi="仿宋" w:eastAsia="仿宋" w:cs="宋体"/>
                <w:color w:val="auto"/>
              </w:rPr>
              <w:t>5</w:t>
            </w:r>
            <w:r>
              <w:rPr>
                <w:rFonts w:hint="eastAsia" w:ascii="仿宋" w:hAnsi="仿宋" w:eastAsia="仿宋" w:cs="宋体"/>
                <w:color w:val="auto"/>
              </w:rPr>
              <w:t>、有常规白板、黑板、</w:t>
            </w:r>
            <w:r>
              <w:rPr>
                <w:rFonts w:ascii="仿宋" w:hAnsi="仿宋" w:eastAsia="仿宋" w:cs="宋体"/>
                <w:color w:val="auto"/>
              </w:rPr>
              <w:t>绿板以</w:t>
            </w:r>
            <w:r>
              <w:rPr>
                <w:rFonts w:hint="eastAsia" w:ascii="仿宋" w:hAnsi="仿宋" w:eastAsia="仿宋" w:cs="宋体"/>
                <w:color w:val="auto"/>
              </w:rPr>
              <w:t>多</w:t>
            </w:r>
            <w:r>
              <w:rPr>
                <w:rFonts w:ascii="仿宋" w:hAnsi="仿宋" w:eastAsia="仿宋" w:cs="宋体"/>
                <w:color w:val="auto"/>
              </w:rPr>
              <w:t>色板四种模式</w:t>
            </w:r>
            <w:r>
              <w:rPr>
                <w:rFonts w:hint="eastAsia" w:ascii="仿宋" w:hAnsi="仿宋" w:eastAsia="仿宋" w:cs="宋体"/>
                <w:color w:val="auto"/>
              </w:rPr>
              <w:t>，同时提供田字格</w:t>
            </w:r>
            <w:r>
              <w:rPr>
                <w:rFonts w:ascii="仿宋" w:hAnsi="仿宋" w:eastAsia="仿宋" w:cs="宋体"/>
                <w:color w:val="auto"/>
              </w:rPr>
              <w:t>、米字格、拼音格、</w:t>
            </w:r>
            <w:r>
              <w:rPr>
                <w:rFonts w:hint="eastAsia" w:ascii="仿宋" w:hAnsi="仿宋" w:eastAsia="仿宋" w:cs="宋体"/>
                <w:color w:val="auto"/>
              </w:rPr>
              <w:t>五线谱等不同模板，满足不同学科教学需要；也可插入背景图片，制作自定义模板。</w:t>
            </w:r>
          </w:p>
          <w:p w14:paraId="79147DCB">
            <w:pPr>
              <w:snapToGrid w:val="0"/>
              <w:jc w:val="left"/>
              <w:rPr>
                <w:rFonts w:hint="eastAsia" w:ascii="仿宋" w:hAnsi="仿宋" w:eastAsia="仿宋" w:cs="宋体"/>
                <w:color w:val="auto"/>
              </w:rPr>
            </w:pPr>
            <w:r>
              <w:rPr>
                <w:rFonts w:ascii="仿宋" w:hAnsi="仿宋" w:eastAsia="仿宋" w:cs="宋体"/>
                <w:color w:val="auto"/>
              </w:rPr>
              <w:t>6</w:t>
            </w:r>
            <w:r>
              <w:rPr>
                <w:rFonts w:hint="eastAsia" w:ascii="仿宋" w:hAnsi="仿宋" w:eastAsia="仿宋" w:cs="宋体"/>
                <w:color w:val="auto"/>
              </w:rPr>
              <w:t>、具有</w:t>
            </w:r>
            <w:r>
              <w:rPr>
                <w:rFonts w:ascii="仿宋" w:hAnsi="仿宋" w:eastAsia="仿宋" w:cs="宋体"/>
                <w:color w:val="auto"/>
              </w:rPr>
              <w:t>一键切换桌面功能，</w:t>
            </w:r>
            <w:r>
              <w:rPr>
                <w:rFonts w:hint="eastAsia" w:ascii="仿宋" w:hAnsi="仿宋" w:eastAsia="仿宋" w:cs="宋体"/>
                <w:color w:val="auto"/>
              </w:rPr>
              <w:t>方便教学</w:t>
            </w:r>
            <w:r>
              <w:rPr>
                <w:rFonts w:ascii="仿宋" w:hAnsi="仿宋" w:eastAsia="仿宋" w:cs="宋体"/>
                <w:color w:val="auto"/>
              </w:rPr>
              <w:t>期间白板软件与电脑桌面</w:t>
            </w:r>
            <w:r>
              <w:rPr>
                <w:rFonts w:hint="eastAsia" w:ascii="仿宋" w:hAnsi="仿宋" w:eastAsia="仿宋" w:cs="宋体"/>
                <w:color w:val="auto"/>
              </w:rPr>
              <w:t>切换</w:t>
            </w:r>
            <w:r>
              <w:rPr>
                <w:rFonts w:ascii="仿宋" w:hAnsi="仿宋" w:eastAsia="仿宋" w:cs="宋体"/>
                <w:color w:val="auto"/>
              </w:rPr>
              <w:t>，避免重复</w:t>
            </w:r>
            <w:r>
              <w:rPr>
                <w:rFonts w:hint="eastAsia" w:ascii="仿宋" w:hAnsi="仿宋" w:eastAsia="仿宋" w:cs="宋体"/>
                <w:color w:val="auto"/>
              </w:rPr>
              <w:t>关闭/打开</w:t>
            </w:r>
            <w:r>
              <w:rPr>
                <w:rFonts w:ascii="仿宋" w:hAnsi="仿宋" w:eastAsia="仿宋" w:cs="宋体"/>
                <w:color w:val="auto"/>
              </w:rPr>
              <w:t>白板软件造成使用不便或</w:t>
            </w:r>
            <w:r>
              <w:rPr>
                <w:rFonts w:hint="eastAsia" w:ascii="仿宋" w:hAnsi="仿宋" w:eastAsia="仿宋" w:cs="宋体"/>
                <w:color w:val="auto"/>
              </w:rPr>
              <w:t>软件</w:t>
            </w:r>
            <w:r>
              <w:rPr>
                <w:rFonts w:ascii="仿宋" w:hAnsi="仿宋" w:eastAsia="仿宋" w:cs="宋体"/>
                <w:color w:val="auto"/>
              </w:rPr>
              <w:t>问题</w:t>
            </w:r>
            <w:r>
              <w:rPr>
                <w:rFonts w:hint="eastAsia" w:ascii="仿宋" w:hAnsi="仿宋" w:eastAsia="仿宋" w:cs="宋体"/>
                <w:color w:val="auto"/>
              </w:rPr>
              <w:t>。</w:t>
            </w:r>
          </w:p>
          <w:p w14:paraId="43EF0020">
            <w:pPr>
              <w:snapToGrid w:val="0"/>
              <w:jc w:val="left"/>
              <w:rPr>
                <w:rFonts w:hint="eastAsia" w:ascii="仿宋" w:hAnsi="仿宋" w:eastAsia="仿宋" w:cs="宋体"/>
                <w:color w:val="auto"/>
              </w:rPr>
            </w:pPr>
            <w:r>
              <w:rPr>
                <w:rFonts w:ascii="仿宋" w:hAnsi="仿宋" w:eastAsia="仿宋" w:cs="宋体"/>
                <w:color w:val="auto"/>
              </w:rPr>
              <w:t>7</w:t>
            </w:r>
            <w:r>
              <w:rPr>
                <w:rFonts w:hint="eastAsia" w:ascii="仿宋" w:hAnsi="仿宋" w:eastAsia="仿宋" w:cs="宋体"/>
                <w:color w:val="auto"/>
              </w:rPr>
              <w:t>、具备铅笔、毛笔、荧光笔、排笔、纹理笔、其他笔等书写模式，笔迹粗细、颜色可调。支持多种擦除模式，</w:t>
            </w:r>
            <w:r>
              <w:rPr>
                <w:rFonts w:ascii="仿宋" w:hAnsi="仿宋" w:eastAsia="仿宋" w:cs="宋体"/>
                <w:color w:val="auto"/>
              </w:rPr>
              <w:t>滑动清屏</w:t>
            </w:r>
            <w:r>
              <w:rPr>
                <w:rFonts w:hint="eastAsia" w:ascii="仿宋" w:hAnsi="仿宋" w:eastAsia="仿宋" w:cs="宋体"/>
                <w:color w:val="auto"/>
              </w:rPr>
              <w:t>、手势</w:t>
            </w:r>
            <w:r>
              <w:rPr>
                <w:rFonts w:ascii="仿宋" w:hAnsi="仿宋" w:eastAsia="仿宋" w:cs="宋体"/>
                <w:color w:val="auto"/>
              </w:rPr>
              <w:t>擦除，板擦识别擦除</w:t>
            </w:r>
            <w:r>
              <w:rPr>
                <w:rFonts w:hint="eastAsia" w:ascii="仿宋" w:hAnsi="仿宋" w:eastAsia="仿宋" w:cs="宋体"/>
                <w:color w:val="auto"/>
              </w:rPr>
              <w:t>、</w:t>
            </w:r>
            <w:r>
              <w:rPr>
                <w:rFonts w:ascii="仿宋" w:hAnsi="仿宋" w:eastAsia="仿宋" w:cs="宋体"/>
                <w:color w:val="auto"/>
              </w:rPr>
              <w:t>大小面积橡皮擦、</w:t>
            </w:r>
            <w:r>
              <w:rPr>
                <w:rFonts w:hint="eastAsia" w:ascii="仿宋" w:hAnsi="仿宋" w:eastAsia="仿宋" w:cs="宋体"/>
                <w:color w:val="auto"/>
              </w:rPr>
              <w:t>清除</w:t>
            </w:r>
            <w:r>
              <w:rPr>
                <w:rFonts w:ascii="仿宋" w:hAnsi="仿宋" w:eastAsia="仿宋" w:cs="宋体"/>
                <w:color w:val="auto"/>
              </w:rPr>
              <w:t>页面</w:t>
            </w:r>
            <w:r>
              <w:rPr>
                <w:rFonts w:hint="eastAsia" w:ascii="仿宋" w:hAnsi="仿宋" w:eastAsia="仿宋" w:cs="宋体"/>
                <w:color w:val="auto"/>
              </w:rPr>
              <w:t>。</w:t>
            </w:r>
          </w:p>
          <w:p w14:paraId="3C8CD97C">
            <w:pPr>
              <w:snapToGrid w:val="0"/>
              <w:jc w:val="left"/>
              <w:rPr>
                <w:rFonts w:hint="eastAsia" w:ascii="仿宋" w:hAnsi="仿宋" w:eastAsia="仿宋" w:cs="宋体"/>
                <w:color w:val="auto"/>
              </w:rPr>
            </w:pPr>
            <w:r>
              <w:rPr>
                <w:rFonts w:hint="eastAsia" w:ascii="仿宋" w:hAnsi="仿宋" w:eastAsia="仿宋" w:cs="宋体"/>
                <w:color w:val="auto"/>
              </w:rPr>
              <w:t>8、支持软件</w:t>
            </w:r>
            <w:r>
              <w:rPr>
                <w:rFonts w:ascii="仿宋" w:hAnsi="仿宋" w:eastAsia="仿宋" w:cs="宋体"/>
                <w:color w:val="auto"/>
              </w:rPr>
              <w:t>截屏，可全屏截取，也可区域截图，所截</w:t>
            </w:r>
            <w:r>
              <w:rPr>
                <w:rFonts w:hint="eastAsia" w:ascii="仿宋" w:hAnsi="仿宋" w:eastAsia="仿宋" w:cs="宋体"/>
                <w:color w:val="auto"/>
              </w:rPr>
              <w:t>区域自动</w:t>
            </w:r>
            <w:r>
              <w:rPr>
                <w:rFonts w:ascii="仿宋" w:hAnsi="仿宋" w:eastAsia="仿宋" w:cs="宋体"/>
                <w:color w:val="auto"/>
              </w:rPr>
              <w:t>贴在白板软件上，</w:t>
            </w:r>
            <w:r>
              <w:rPr>
                <w:rFonts w:hint="eastAsia" w:ascii="仿宋" w:hAnsi="仿宋" w:eastAsia="仿宋" w:cs="宋体"/>
                <w:color w:val="auto"/>
              </w:rPr>
              <w:t xml:space="preserve"> 并</w:t>
            </w:r>
            <w:r>
              <w:rPr>
                <w:rFonts w:ascii="仿宋" w:hAnsi="仿宋" w:eastAsia="仿宋" w:cs="宋体"/>
                <w:color w:val="auto"/>
              </w:rPr>
              <w:t>可以对图片进行批注，复制，删除等操作</w:t>
            </w:r>
            <w:r>
              <w:rPr>
                <w:rFonts w:hint="eastAsia" w:ascii="仿宋" w:hAnsi="仿宋" w:eastAsia="仿宋" w:cs="宋体"/>
                <w:color w:val="auto"/>
              </w:rPr>
              <w:t>。</w:t>
            </w:r>
          </w:p>
          <w:p w14:paraId="759AE521">
            <w:pPr>
              <w:snapToGrid w:val="0"/>
              <w:jc w:val="left"/>
              <w:rPr>
                <w:rFonts w:hint="eastAsia" w:ascii="仿宋" w:hAnsi="仿宋" w:eastAsia="仿宋" w:cs="宋体"/>
                <w:color w:val="auto"/>
              </w:rPr>
            </w:pPr>
            <w:r>
              <w:rPr>
                <w:rFonts w:hint="eastAsia" w:ascii="仿宋" w:hAnsi="仿宋" w:eastAsia="仿宋" w:cs="宋体"/>
                <w:color w:val="auto"/>
              </w:rPr>
              <w:t>9、工具库：包含常用几何教学工具、</w:t>
            </w:r>
            <w:r>
              <w:rPr>
                <w:rFonts w:ascii="仿宋" w:hAnsi="仿宋" w:eastAsia="仿宋" w:cs="宋体"/>
                <w:color w:val="auto"/>
              </w:rPr>
              <w:t>多屏书写、计算器、二维码分享、放大镜、探照灯</w:t>
            </w:r>
            <w:r>
              <w:rPr>
                <w:rFonts w:hint="eastAsia" w:ascii="仿宋" w:hAnsi="仿宋" w:eastAsia="仿宋" w:cs="宋体"/>
                <w:color w:val="auto"/>
              </w:rPr>
              <w:t>、</w:t>
            </w:r>
            <w:r>
              <w:rPr>
                <w:rFonts w:ascii="仿宋" w:hAnsi="仿宋" w:eastAsia="仿宋" w:cs="宋体"/>
                <w:color w:val="auto"/>
              </w:rPr>
              <w:t>时钟</w:t>
            </w:r>
            <w:r>
              <w:rPr>
                <w:rFonts w:hint="eastAsia" w:ascii="仿宋" w:hAnsi="仿宋" w:eastAsia="仿宋" w:cs="宋体"/>
                <w:color w:val="auto"/>
              </w:rPr>
              <w:t>等</w:t>
            </w:r>
            <w:r>
              <w:rPr>
                <w:rFonts w:ascii="仿宋" w:hAnsi="仿宋" w:eastAsia="仿宋" w:cs="宋体"/>
                <w:color w:val="auto"/>
              </w:rPr>
              <w:t>常用教学工具</w:t>
            </w:r>
            <w:r>
              <w:rPr>
                <w:rFonts w:hint="eastAsia" w:ascii="仿宋" w:hAnsi="仿宋" w:eastAsia="仿宋" w:cs="宋体"/>
                <w:color w:val="auto"/>
              </w:rPr>
              <w:t>；可通过</w:t>
            </w:r>
            <w:r>
              <w:rPr>
                <w:rFonts w:ascii="仿宋" w:hAnsi="仿宋" w:eastAsia="仿宋" w:cs="宋体"/>
                <w:color w:val="auto"/>
              </w:rPr>
              <w:t>教学工具</w:t>
            </w:r>
            <w:r>
              <w:rPr>
                <w:rFonts w:hint="eastAsia" w:ascii="仿宋" w:hAnsi="仿宋" w:eastAsia="仿宋" w:cs="宋体"/>
                <w:color w:val="auto"/>
              </w:rPr>
              <w:t>直接绘制各种几何</w:t>
            </w:r>
            <w:r>
              <w:rPr>
                <w:rFonts w:ascii="仿宋" w:hAnsi="仿宋" w:eastAsia="仿宋" w:cs="宋体"/>
                <w:color w:val="auto"/>
              </w:rPr>
              <w:t>图形</w:t>
            </w:r>
            <w:r>
              <w:rPr>
                <w:rFonts w:hint="eastAsia" w:ascii="仿宋" w:hAnsi="仿宋" w:eastAsia="仿宋" w:cs="宋体"/>
                <w:color w:val="auto"/>
              </w:rPr>
              <w:t>，可调出仿真圆规、三角板、直尺、量角器进行高级图形绘制。圆规可动态绘制圆形、弧形、扇形，支持图形旋转。</w:t>
            </w:r>
          </w:p>
          <w:p w14:paraId="70F58B24">
            <w:pPr>
              <w:snapToGrid w:val="0"/>
              <w:jc w:val="left"/>
              <w:rPr>
                <w:rFonts w:hint="eastAsia" w:ascii="仿宋" w:hAnsi="仿宋" w:eastAsia="仿宋" w:cs="宋体"/>
                <w:color w:val="auto"/>
              </w:rPr>
            </w:pPr>
            <w:r>
              <w:rPr>
                <w:rFonts w:ascii="仿宋" w:hAnsi="仿宋" w:eastAsia="仿宋" w:cs="宋体"/>
                <w:color w:val="auto"/>
              </w:rPr>
              <w:t>1</w:t>
            </w:r>
            <w:r>
              <w:rPr>
                <w:rFonts w:hint="eastAsia" w:ascii="仿宋" w:hAnsi="仿宋" w:eastAsia="仿宋" w:cs="宋体"/>
                <w:color w:val="auto"/>
              </w:rPr>
              <w:t>0、屏幕录制：可自动</w:t>
            </w:r>
            <w:r>
              <w:rPr>
                <w:rFonts w:ascii="仿宋" w:hAnsi="仿宋" w:eastAsia="仿宋" w:cs="宋体"/>
                <w:color w:val="auto"/>
              </w:rPr>
              <w:t>录制当前页面的板书内容，并</w:t>
            </w:r>
            <w:r>
              <w:rPr>
                <w:rFonts w:hint="eastAsia" w:ascii="仿宋" w:hAnsi="仿宋" w:eastAsia="仿宋" w:cs="宋体"/>
                <w:color w:val="auto"/>
              </w:rPr>
              <w:t>在</w:t>
            </w:r>
            <w:r>
              <w:rPr>
                <w:rFonts w:ascii="仿宋" w:hAnsi="仿宋" w:eastAsia="仿宋" w:cs="宋体"/>
                <w:color w:val="auto"/>
              </w:rPr>
              <w:t>工具栏里面</w:t>
            </w:r>
            <w:r>
              <w:rPr>
                <w:rFonts w:hint="eastAsia" w:ascii="仿宋" w:hAnsi="仿宋" w:eastAsia="仿宋" w:cs="宋体"/>
                <w:color w:val="auto"/>
              </w:rPr>
              <w:t>回放中</w:t>
            </w:r>
            <w:r>
              <w:rPr>
                <w:rFonts w:ascii="仿宋" w:hAnsi="仿宋" w:eastAsia="仿宋" w:cs="宋体"/>
                <w:color w:val="auto"/>
              </w:rPr>
              <w:t>回放板书过程，点击开始或结束，全自动录制</w:t>
            </w:r>
            <w:r>
              <w:rPr>
                <w:rFonts w:hint="eastAsia" w:ascii="仿宋" w:hAnsi="仿宋" w:eastAsia="仿宋" w:cs="宋体"/>
                <w:color w:val="auto"/>
              </w:rPr>
              <w:t>。</w:t>
            </w:r>
          </w:p>
          <w:p w14:paraId="4EFCECE1">
            <w:pPr>
              <w:widowControl/>
              <w:adjustRightInd w:val="0"/>
              <w:snapToGrid w:val="0"/>
              <w:jc w:val="left"/>
              <w:rPr>
                <w:rFonts w:hint="eastAsia" w:ascii="仿宋" w:hAnsi="仿宋" w:eastAsia="仿宋" w:cs="宋体"/>
                <w:color w:val="auto"/>
              </w:rPr>
            </w:pPr>
            <w:r>
              <w:rPr>
                <w:rFonts w:ascii="仿宋" w:hAnsi="仿宋" w:eastAsia="仿宋" w:cs="宋体"/>
                <w:color w:val="auto"/>
              </w:rPr>
              <w:t>1</w:t>
            </w:r>
            <w:r>
              <w:rPr>
                <w:rFonts w:hint="eastAsia" w:ascii="仿宋" w:hAnsi="仿宋" w:eastAsia="仿宋" w:cs="宋体"/>
                <w:color w:val="auto"/>
              </w:rPr>
              <w:t>1、可将文件导入到电子白板程序中进行授课。板书内容可导在任意机器上进行观看。</w:t>
            </w:r>
          </w:p>
          <w:p w14:paraId="305BF118">
            <w:pPr>
              <w:snapToGrid w:val="0"/>
              <w:jc w:val="left"/>
              <w:rPr>
                <w:rFonts w:hint="eastAsia" w:ascii="仿宋" w:hAnsi="仿宋" w:eastAsia="仿宋" w:cs="宋体"/>
                <w:color w:val="auto"/>
              </w:rPr>
            </w:pPr>
            <w:r>
              <w:rPr>
                <w:rFonts w:ascii="仿宋" w:hAnsi="仿宋" w:eastAsia="仿宋" w:cs="宋体"/>
                <w:color w:val="auto"/>
              </w:rPr>
              <w:t>1</w:t>
            </w:r>
            <w:r>
              <w:rPr>
                <w:rFonts w:hint="eastAsia" w:ascii="仿宋" w:hAnsi="仿宋" w:eastAsia="仿宋" w:cs="宋体"/>
                <w:color w:val="auto"/>
              </w:rPr>
              <w:t>2、课件制作：可以插入各种元素包括链接、视频等以方便制作内容丰富的课件，支持多种类型教学素材库文件的嵌入与播放，在白板软件运行中可直接打开PPT进行播放,提供PPT批注,擦除,翻页等功能,且可将标注内容直接保存到PPT文件中并可以PPT批注过程中随时调用白板界面进行书写。</w:t>
            </w:r>
          </w:p>
          <w:p w14:paraId="41263FDA">
            <w:pPr>
              <w:widowControl/>
              <w:adjustRightInd w:val="0"/>
              <w:snapToGrid w:val="0"/>
              <w:jc w:val="left"/>
              <w:rPr>
                <w:rFonts w:hint="eastAsia" w:ascii="仿宋" w:hAnsi="仿宋" w:eastAsia="仿宋" w:cs="宋体"/>
                <w:color w:val="auto"/>
              </w:rPr>
            </w:pPr>
            <w:r>
              <w:rPr>
                <w:rFonts w:ascii="仿宋" w:hAnsi="仿宋" w:eastAsia="仿宋" w:cs="宋体"/>
                <w:color w:val="auto"/>
              </w:rPr>
              <w:t>1</w:t>
            </w:r>
            <w:r>
              <w:rPr>
                <w:rFonts w:hint="eastAsia" w:ascii="仿宋" w:hAnsi="仿宋" w:eastAsia="仿宋" w:cs="宋体"/>
                <w:color w:val="auto"/>
              </w:rPr>
              <w:t>3、多个对象可进行组合/分解，组合后，多个对象可作为一个整体对象移动；锁定：选中对象锁定，此对象将不可进行任何操作；对象设置链接：可对选中的任何对象进行设置链接，可设置网页链接、文件链接，以及页链接。将白板上已写内容选中后，选择对齐方式进行快速对齐。</w:t>
            </w:r>
          </w:p>
          <w:p w14:paraId="4BA98F36">
            <w:pPr>
              <w:widowControl/>
              <w:adjustRightInd w:val="0"/>
              <w:snapToGrid w:val="0"/>
              <w:jc w:val="left"/>
              <w:rPr>
                <w:rFonts w:hint="eastAsia" w:ascii="仿宋" w:hAnsi="仿宋" w:eastAsia="仿宋" w:cs="宋体"/>
                <w:color w:val="auto"/>
              </w:rPr>
            </w:pPr>
            <w:r>
              <w:rPr>
                <w:rFonts w:hint="eastAsia" w:ascii="仿宋" w:hAnsi="仿宋" w:eastAsia="仿宋" w:cs="宋体"/>
                <w:color w:val="auto"/>
              </w:rPr>
              <w:t>14、</w:t>
            </w:r>
            <w:r>
              <w:rPr>
                <w:rFonts w:ascii="仿宋" w:hAnsi="仿宋" w:eastAsia="仿宋" w:cs="宋体"/>
                <w:color w:val="auto"/>
              </w:rPr>
              <w:t>白板软件支持</w:t>
            </w:r>
            <w:r>
              <w:rPr>
                <w:rFonts w:hint="eastAsia" w:ascii="仿宋" w:hAnsi="仿宋" w:eastAsia="仿宋" w:cs="宋体"/>
                <w:color w:val="auto"/>
              </w:rPr>
              <w:t>多屏</w:t>
            </w:r>
            <w:r>
              <w:rPr>
                <w:rFonts w:ascii="仿宋" w:hAnsi="仿宋" w:eastAsia="仿宋" w:cs="宋体"/>
                <w:color w:val="auto"/>
              </w:rPr>
              <w:t>书写，支持多人多区域</w:t>
            </w:r>
            <w:r>
              <w:rPr>
                <w:rFonts w:hint="eastAsia" w:ascii="仿宋" w:hAnsi="仿宋" w:eastAsia="仿宋" w:cs="宋体"/>
                <w:color w:val="auto"/>
              </w:rPr>
              <w:t>同时</w:t>
            </w:r>
            <w:r>
              <w:rPr>
                <w:rFonts w:ascii="仿宋" w:hAnsi="仿宋" w:eastAsia="仿宋" w:cs="宋体"/>
                <w:color w:val="auto"/>
              </w:rPr>
              <w:t>书写不影响</w:t>
            </w:r>
            <w:r>
              <w:rPr>
                <w:rFonts w:hint="eastAsia" w:ascii="仿宋" w:hAnsi="仿宋" w:eastAsia="仿宋" w:cs="宋体"/>
                <w:color w:val="auto"/>
              </w:rPr>
              <w:t>。</w:t>
            </w:r>
          </w:p>
          <w:p w14:paraId="461109C3">
            <w:pPr>
              <w:widowControl/>
              <w:adjustRightInd w:val="0"/>
              <w:snapToGrid w:val="0"/>
              <w:jc w:val="left"/>
              <w:rPr>
                <w:rFonts w:hint="eastAsia" w:ascii="仿宋" w:hAnsi="仿宋" w:eastAsia="仿宋" w:cs="宋体"/>
                <w:color w:val="auto"/>
              </w:rPr>
            </w:pPr>
            <w:r>
              <w:rPr>
                <w:rFonts w:hint="eastAsia" w:ascii="仿宋" w:hAnsi="仿宋" w:eastAsia="仿宋" w:cs="宋体"/>
                <w:color w:val="auto"/>
              </w:rPr>
              <w:t>15、</w:t>
            </w:r>
            <w:r>
              <w:rPr>
                <w:rFonts w:ascii="仿宋" w:hAnsi="仿宋" w:eastAsia="仿宋" w:cs="宋体"/>
                <w:color w:val="auto"/>
              </w:rPr>
              <w:t>二维码分享：白板板书内容可通过</w:t>
            </w:r>
            <w:r>
              <w:rPr>
                <w:rFonts w:hint="eastAsia" w:ascii="仿宋" w:hAnsi="仿宋" w:eastAsia="仿宋" w:cs="宋体"/>
                <w:color w:val="auto"/>
              </w:rPr>
              <w:t>生成</w:t>
            </w:r>
            <w:r>
              <w:rPr>
                <w:rFonts w:ascii="仿宋" w:hAnsi="仿宋" w:eastAsia="仿宋" w:cs="宋体"/>
                <w:color w:val="auto"/>
              </w:rPr>
              <w:t>二维码进行分享，扫描二维码</w:t>
            </w:r>
            <w:r>
              <w:rPr>
                <w:rFonts w:hint="eastAsia" w:ascii="仿宋" w:hAnsi="仿宋" w:eastAsia="仿宋" w:cs="宋体"/>
                <w:color w:val="auto"/>
              </w:rPr>
              <w:t>带走</w:t>
            </w:r>
            <w:r>
              <w:rPr>
                <w:rFonts w:ascii="仿宋" w:hAnsi="仿宋" w:eastAsia="仿宋" w:cs="宋体"/>
                <w:color w:val="auto"/>
              </w:rPr>
              <w:t>全部板书内容</w:t>
            </w:r>
            <w:r>
              <w:rPr>
                <w:rFonts w:hint="eastAsia" w:ascii="仿宋" w:hAnsi="仿宋" w:eastAsia="仿宋" w:cs="宋体"/>
                <w:color w:val="auto"/>
              </w:rPr>
              <w:t>。</w:t>
            </w:r>
          </w:p>
        </w:tc>
        <w:tc>
          <w:tcPr>
            <w:tcW w:w="0" w:type="auto"/>
            <w:vAlign w:val="center"/>
          </w:tcPr>
          <w:p w14:paraId="7ED98BA3">
            <w:pPr>
              <w:widowControl/>
              <w:snapToGrid w:val="0"/>
              <w:jc w:val="left"/>
              <w:rPr>
                <w:rFonts w:hint="eastAsia" w:ascii="仿宋" w:hAnsi="仿宋" w:eastAsia="仿宋" w:cs="Calibri"/>
                <w:color w:val="auto"/>
                <w:kern w:val="0"/>
              </w:rPr>
            </w:pPr>
            <w:r>
              <w:rPr>
                <w:rFonts w:hint="eastAsia" w:ascii="仿宋" w:hAnsi="仿宋" w:eastAsia="仿宋" w:cs="Calibri"/>
                <w:color w:val="auto"/>
                <w:kern w:val="0"/>
              </w:rPr>
              <w:t>21</w:t>
            </w:r>
          </w:p>
        </w:tc>
        <w:tc>
          <w:tcPr>
            <w:tcW w:w="492" w:type="dxa"/>
            <w:vAlign w:val="center"/>
          </w:tcPr>
          <w:p w14:paraId="03D236D1">
            <w:pPr>
              <w:widowControl/>
              <w:snapToGrid w:val="0"/>
              <w:jc w:val="center"/>
              <w:rPr>
                <w:rFonts w:hint="eastAsia" w:ascii="仿宋" w:hAnsi="仿宋" w:eastAsia="仿宋" w:cs="Calibri"/>
                <w:color w:val="auto"/>
                <w:kern w:val="0"/>
              </w:rPr>
            </w:pPr>
            <w:r>
              <w:rPr>
                <w:rFonts w:hint="eastAsia" w:ascii="仿宋" w:hAnsi="仿宋" w:eastAsia="仿宋" w:cs="Calibri"/>
                <w:color w:val="auto"/>
                <w:kern w:val="0"/>
              </w:rPr>
              <w:t>台</w:t>
            </w:r>
          </w:p>
        </w:tc>
      </w:tr>
      <w:tr w14:paraId="51DE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41906AB2">
            <w:pPr>
              <w:widowControl/>
              <w:snapToGrid w:val="0"/>
              <w:jc w:val="center"/>
              <w:rPr>
                <w:rFonts w:hint="eastAsia" w:ascii="仿宋" w:hAnsi="仿宋" w:eastAsia="仿宋"/>
                <w:color w:val="auto"/>
              </w:rPr>
            </w:pPr>
            <w:r>
              <w:rPr>
                <w:rFonts w:hint="eastAsia" w:ascii="仿宋" w:hAnsi="仿宋" w:eastAsia="仿宋" w:cs="宋体"/>
                <w:b/>
                <w:bCs/>
                <w:color w:val="auto"/>
                <w:kern w:val="0"/>
                <w:sz w:val="24"/>
                <w:szCs w:val="24"/>
              </w:rPr>
              <w:t>四、校园直播/虚拟电视台</w:t>
            </w:r>
          </w:p>
        </w:tc>
        <w:tc>
          <w:tcPr>
            <w:tcW w:w="0" w:type="auto"/>
            <w:vAlign w:val="center"/>
          </w:tcPr>
          <w:p w14:paraId="65B94ACA">
            <w:pPr>
              <w:widowControl/>
              <w:snapToGrid w:val="0"/>
              <w:jc w:val="center"/>
              <w:rPr>
                <w:rFonts w:hint="eastAsia" w:ascii="仿宋" w:hAnsi="仿宋" w:eastAsia="仿宋" w:cs="Calibri"/>
                <w:color w:val="auto"/>
                <w:kern w:val="0"/>
              </w:rPr>
            </w:pPr>
          </w:p>
        </w:tc>
        <w:tc>
          <w:tcPr>
            <w:tcW w:w="492" w:type="dxa"/>
            <w:vAlign w:val="center"/>
          </w:tcPr>
          <w:p w14:paraId="1D18ECE7">
            <w:pPr>
              <w:widowControl/>
              <w:snapToGrid w:val="0"/>
              <w:jc w:val="center"/>
              <w:rPr>
                <w:rFonts w:hint="eastAsia" w:ascii="仿宋" w:hAnsi="仿宋" w:eastAsia="仿宋" w:cs="Calibri"/>
                <w:color w:val="auto"/>
                <w:kern w:val="0"/>
              </w:rPr>
            </w:pPr>
          </w:p>
        </w:tc>
      </w:tr>
      <w:tr w14:paraId="1849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F0FC41A">
            <w:pPr>
              <w:widowControl/>
              <w:snapToGrid w:val="0"/>
              <w:jc w:val="center"/>
              <w:rPr>
                <w:rFonts w:hint="eastAsia" w:ascii="仿宋" w:hAnsi="仿宋" w:eastAsia="仿宋"/>
                <w:color w:val="auto"/>
                <w:kern w:val="0"/>
              </w:rPr>
            </w:pPr>
            <w:r>
              <w:rPr>
                <w:rFonts w:hint="eastAsia" w:ascii="仿宋" w:hAnsi="仿宋" w:eastAsia="仿宋" w:cs="宋体"/>
                <w:color w:val="auto"/>
                <w:kern w:val="0"/>
              </w:rPr>
              <w:t>1</w:t>
            </w:r>
          </w:p>
        </w:tc>
        <w:tc>
          <w:tcPr>
            <w:tcW w:w="996" w:type="dxa"/>
            <w:vAlign w:val="center"/>
          </w:tcPr>
          <w:p w14:paraId="2E22C015">
            <w:pPr>
              <w:widowControl/>
              <w:snapToGrid w:val="0"/>
              <w:jc w:val="center"/>
              <w:rPr>
                <w:rFonts w:hint="eastAsia" w:ascii="仿宋" w:hAnsi="仿宋" w:eastAsia="仿宋"/>
                <w:color w:val="auto"/>
              </w:rPr>
            </w:pPr>
            <w:r>
              <w:rPr>
                <w:rFonts w:hint="eastAsia" w:ascii="仿宋" w:hAnsi="仿宋" w:eastAsia="仿宋" w:cs="宋体"/>
                <w:color w:val="auto"/>
                <w:kern w:val="0"/>
              </w:rPr>
              <w:t>虚拟互动演录播工作站</w:t>
            </w:r>
          </w:p>
        </w:tc>
        <w:tc>
          <w:tcPr>
            <w:tcW w:w="6650" w:type="dxa"/>
            <w:vAlign w:val="center"/>
          </w:tcPr>
          <w:p w14:paraId="2FDBB7A3">
            <w:pPr>
              <w:widowControl/>
              <w:snapToGrid w:val="0"/>
              <w:jc w:val="left"/>
              <w:rPr>
                <w:rFonts w:hint="eastAsia" w:ascii="仿宋" w:hAnsi="仿宋" w:eastAsia="仿宋"/>
                <w:color w:val="auto"/>
              </w:rPr>
            </w:pPr>
            <w:r>
              <w:rPr>
                <w:rFonts w:hint="eastAsia" w:ascii="仿宋" w:hAnsi="仿宋" w:eastAsia="仿宋"/>
                <w:color w:val="auto"/>
              </w:rPr>
              <w:t>1.视频输入：2路HDMI输入</w:t>
            </w:r>
            <w:r>
              <w:rPr>
                <w:rFonts w:hint="eastAsia" w:ascii="仿宋" w:hAnsi="仿宋" w:eastAsia="仿宋"/>
                <w:color w:val="auto"/>
              </w:rPr>
              <w:br w:type="textWrapping"/>
            </w:r>
            <w:r>
              <w:rPr>
                <w:rFonts w:hint="eastAsia" w:ascii="仿宋" w:hAnsi="仿宋" w:eastAsia="仿宋"/>
                <w:color w:val="auto"/>
              </w:rPr>
              <w:t>2.音频输入：2路HDMI嵌入音频输入</w:t>
            </w:r>
            <w:r>
              <w:rPr>
                <w:rFonts w:hint="eastAsia" w:ascii="仿宋" w:hAnsi="仿宋" w:eastAsia="仿宋"/>
                <w:color w:val="auto"/>
              </w:rPr>
              <w:br w:type="textWrapping"/>
            </w:r>
            <w:r>
              <w:rPr>
                <w:rFonts w:hint="eastAsia" w:ascii="仿宋" w:hAnsi="仿宋" w:eastAsia="仿宋"/>
                <w:color w:val="auto"/>
              </w:rPr>
              <w:t>3.视频捕获：符合DirectShow规范</w:t>
            </w:r>
            <w:r>
              <w:rPr>
                <w:rFonts w:hint="eastAsia" w:ascii="仿宋" w:hAnsi="仿宋" w:eastAsia="仿宋"/>
                <w:color w:val="auto"/>
              </w:rPr>
              <w:br w:type="textWrapping"/>
            </w:r>
            <w:r>
              <w:rPr>
                <w:rFonts w:hint="eastAsia" w:ascii="仿宋" w:hAnsi="仿宋" w:eastAsia="仿宋"/>
                <w:color w:val="auto"/>
              </w:rPr>
              <w:t>4.音频捕获：符合DirectSound规范</w:t>
            </w:r>
            <w:r>
              <w:rPr>
                <w:rFonts w:hint="eastAsia" w:ascii="仿宋" w:hAnsi="仿宋" w:eastAsia="仿宋"/>
                <w:color w:val="auto"/>
              </w:rPr>
              <w:br w:type="textWrapping"/>
            </w:r>
            <w:r>
              <w:rPr>
                <w:rFonts w:hint="eastAsia" w:ascii="仿宋" w:hAnsi="仿宋" w:eastAsia="仿宋"/>
                <w:color w:val="auto"/>
              </w:rPr>
              <w:t>5.输入分辨率：4K60及向下兼容</w:t>
            </w:r>
            <w:r>
              <w:rPr>
                <w:rFonts w:hint="eastAsia" w:ascii="仿宋" w:hAnsi="仿宋" w:eastAsia="仿宋"/>
                <w:color w:val="auto"/>
              </w:rPr>
              <w:br w:type="textWrapping"/>
            </w:r>
            <w:r>
              <w:rPr>
                <w:rFonts w:hint="eastAsia" w:ascii="仿宋" w:hAnsi="仿宋" w:eastAsia="仿宋"/>
                <w:color w:val="auto"/>
              </w:rPr>
              <w:t>6.图形工作站配置：不低于Intel i7-13700，32G，512G SSD，独立显卡8G显存，4K采集卡，无显示器。</w:t>
            </w:r>
          </w:p>
        </w:tc>
        <w:tc>
          <w:tcPr>
            <w:tcW w:w="0" w:type="auto"/>
            <w:vAlign w:val="center"/>
          </w:tcPr>
          <w:p w14:paraId="5E94DF2A">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3B436672">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792B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4E52AD6">
            <w:pPr>
              <w:widowControl/>
              <w:snapToGrid w:val="0"/>
              <w:jc w:val="center"/>
              <w:rPr>
                <w:rFonts w:hint="eastAsia" w:ascii="仿宋" w:hAnsi="仿宋" w:eastAsia="仿宋"/>
                <w:color w:val="auto"/>
                <w:kern w:val="0"/>
              </w:rPr>
            </w:pPr>
            <w:r>
              <w:rPr>
                <w:rFonts w:hint="eastAsia" w:ascii="仿宋" w:hAnsi="仿宋" w:eastAsia="仿宋" w:cs="宋体"/>
                <w:color w:val="auto"/>
                <w:kern w:val="0"/>
              </w:rPr>
              <w:t>2</w:t>
            </w:r>
          </w:p>
        </w:tc>
        <w:tc>
          <w:tcPr>
            <w:tcW w:w="996" w:type="dxa"/>
            <w:vAlign w:val="center"/>
          </w:tcPr>
          <w:p w14:paraId="5E97CE14">
            <w:pPr>
              <w:widowControl/>
              <w:snapToGrid w:val="0"/>
              <w:jc w:val="center"/>
              <w:rPr>
                <w:rFonts w:hint="eastAsia" w:ascii="仿宋" w:hAnsi="仿宋" w:eastAsia="仿宋"/>
                <w:color w:val="auto"/>
              </w:rPr>
            </w:pPr>
            <w:r>
              <w:rPr>
                <w:rFonts w:hint="eastAsia" w:ascii="仿宋" w:hAnsi="仿宋" w:eastAsia="仿宋" w:cs="宋体"/>
                <w:color w:val="auto"/>
                <w:kern w:val="0"/>
              </w:rPr>
              <w:t>真三维虚拟演播系统</w:t>
            </w:r>
          </w:p>
        </w:tc>
        <w:tc>
          <w:tcPr>
            <w:tcW w:w="6650" w:type="dxa"/>
            <w:vAlign w:val="center"/>
          </w:tcPr>
          <w:p w14:paraId="2E77DDBE">
            <w:pPr>
              <w:widowControl/>
              <w:snapToGrid w:val="0"/>
              <w:jc w:val="left"/>
              <w:rPr>
                <w:rFonts w:hint="eastAsia" w:ascii="仿宋" w:hAnsi="仿宋" w:eastAsia="仿宋"/>
                <w:color w:val="auto"/>
              </w:rPr>
            </w:pPr>
            <w:r>
              <w:rPr>
                <w:rFonts w:hint="eastAsia" w:ascii="仿宋" w:hAnsi="仿宋" w:eastAsia="仿宋"/>
                <w:color w:val="auto"/>
              </w:rPr>
              <w:t>1.系统为真三维虚拟演播系统，非2D、2.5D，支持fbx、obj、3mf、gltf、glb、stl、ply格式3D对象的导入。</w:t>
            </w:r>
            <w:r>
              <w:rPr>
                <w:rFonts w:hint="eastAsia" w:ascii="仿宋" w:hAnsi="仿宋" w:eastAsia="仿宋"/>
                <w:color w:val="auto"/>
              </w:rPr>
              <w:br w:type="textWrapping"/>
            </w:r>
            <w:r>
              <w:rPr>
                <w:rFonts w:hint="eastAsia" w:ascii="仿宋" w:hAnsi="仿宋" w:eastAsia="仿宋"/>
                <w:color w:val="auto"/>
              </w:rPr>
              <w:t>2.系统支持实时信号、流信号、本地音视频、图片、文档、IP流等同时输入，支持扩展至16路输入。</w:t>
            </w:r>
            <w:r>
              <w:rPr>
                <w:rFonts w:hint="eastAsia" w:ascii="仿宋" w:hAnsi="仿宋" w:eastAsia="仿宋"/>
                <w:color w:val="auto"/>
              </w:rPr>
              <w:br w:type="textWrapping"/>
            </w:r>
            <w:r>
              <w:rPr>
                <w:rFonts w:hint="eastAsia" w:ascii="仿宋" w:hAnsi="仿宋" w:eastAsia="仿宋"/>
                <w:color w:val="auto"/>
              </w:rPr>
              <w:t>3.系统支持NDI协议的音频信号、视频信号接入，DNI通道支持输出PGM声音、录制，隐藏静音、停止录制4个事件设置。</w:t>
            </w:r>
          </w:p>
          <w:p w14:paraId="0EB8902D">
            <w:pPr>
              <w:widowControl/>
              <w:snapToGrid w:val="0"/>
              <w:jc w:val="left"/>
              <w:rPr>
                <w:rFonts w:hint="eastAsia" w:ascii="仿宋" w:hAnsi="仿宋" w:eastAsia="仿宋"/>
                <w:color w:val="auto"/>
              </w:rPr>
            </w:pPr>
            <w:r>
              <w:rPr>
                <w:rFonts w:hint="eastAsia" w:ascii="仿宋" w:hAnsi="仿宋" w:eastAsia="仿宋"/>
                <w:color w:val="auto"/>
              </w:rPr>
              <w:t>4.系统支持实时抠像技术，可任意从输入源（如摄像机、网络等外部信号）及本地（视频、图片等）选择抠像画面。同时提供蓝、绿两种色键抠像，并支持自定义色键进行背景抠除。还可以对选中区域自由裁剪。</w:t>
            </w:r>
            <w:r>
              <w:rPr>
                <w:rFonts w:hint="eastAsia" w:ascii="仿宋" w:hAnsi="仿宋" w:eastAsia="仿宋"/>
                <w:color w:val="auto"/>
              </w:rPr>
              <w:br w:type="textWrapping"/>
            </w:r>
            <w:r>
              <w:rPr>
                <w:rFonts w:hint="eastAsia" w:ascii="仿宋" w:hAnsi="仿宋" w:eastAsia="仿宋"/>
                <w:color w:val="auto"/>
              </w:rPr>
              <w:t>5.系统须支持抠像切边技术，可实时切除抠像蓝/绿箱外的穿帮镜头，不影响场景和机位完整度，解决环境空间或摄像机广角等问题导致的镜头穿绑问题。</w:t>
            </w:r>
            <w:r>
              <w:rPr>
                <w:rFonts w:hint="eastAsia" w:ascii="仿宋" w:hAnsi="仿宋" w:eastAsia="仿宋"/>
                <w:color w:val="auto"/>
              </w:rPr>
              <w:br w:type="textWrapping"/>
            </w:r>
            <w:r>
              <w:rPr>
                <w:rFonts w:hint="eastAsia" w:ascii="仿宋" w:hAnsi="仿宋" w:eastAsia="仿宋"/>
                <w:color w:val="auto"/>
              </w:rPr>
              <w:t>6.系统支持动态遮罩技术，可在虚拟抠像合成的画面上添加动态遮罩，并可自定义调整遮罩边界及遮罩强度。</w:t>
            </w:r>
            <w:r>
              <w:rPr>
                <w:rFonts w:hint="eastAsia" w:ascii="仿宋" w:hAnsi="仿宋" w:eastAsia="仿宋"/>
                <w:color w:val="auto"/>
              </w:rPr>
              <w:br w:type="textWrapping"/>
            </w:r>
            <w:r>
              <w:rPr>
                <w:rFonts w:hint="eastAsia" w:ascii="仿宋" w:hAnsi="仿宋" w:eastAsia="仿宋"/>
                <w:color w:val="auto"/>
              </w:rPr>
              <w:t>7.系统提供智能抠像功能，能够实现无蓝/绿背景抠像，并支持实时动态抠像，满足复杂场景下抠像合成需求。</w:t>
            </w:r>
            <w:r>
              <w:rPr>
                <w:rFonts w:hint="eastAsia" w:ascii="仿宋" w:hAnsi="仿宋" w:eastAsia="仿宋"/>
                <w:color w:val="auto"/>
              </w:rPr>
              <w:br w:type="textWrapping"/>
            </w:r>
            <w:r>
              <w:rPr>
                <w:rFonts w:hint="eastAsia" w:ascii="仿宋" w:hAnsi="仿宋" w:eastAsia="仿宋"/>
                <w:color w:val="auto"/>
              </w:rPr>
              <w:t>8.系统支持天空盒功能，支持天空盒亮度、角度设置，使三维场景在镜头拉伸展示时更加真实。支持影子功能设置，且影子随主持人运动实时变化；支持镜像功能设置，且镜像随主持人、三维对象运动实时变化。</w:t>
            </w:r>
            <w:r>
              <w:rPr>
                <w:rFonts w:hint="eastAsia" w:ascii="仿宋" w:hAnsi="仿宋" w:eastAsia="仿宋"/>
                <w:color w:val="auto"/>
              </w:rPr>
              <w:br w:type="textWrapping"/>
            </w:r>
            <w:r>
              <w:rPr>
                <w:rFonts w:hint="eastAsia" w:ascii="仿宋" w:hAnsi="仿宋" w:eastAsia="仿宋"/>
                <w:color w:val="auto"/>
              </w:rPr>
              <w:t>9.系统提供通道渲染功能，包括抗锯齿高性能和高质量的选择；环境光反射、遮挡设置；渐晕效果、辉光效果设置；支持≥50种屏幕特效选择。</w:t>
            </w:r>
            <w:r>
              <w:rPr>
                <w:rFonts w:hint="eastAsia" w:ascii="仿宋" w:hAnsi="仿宋" w:eastAsia="仿宋"/>
                <w:color w:val="auto"/>
              </w:rPr>
              <w:br w:type="textWrapping"/>
            </w:r>
            <w:r>
              <w:rPr>
                <w:rFonts w:hint="eastAsia" w:ascii="仿宋" w:hAnsi="仿宋" w:eastAsia="仿宋"/>
                <w:color w:val="auto"/>
              </w:rPr>
              <w:t>10.系统支持不少于100个虚拟机位的添加，并自动生成机位运动轨迹，实现对虚拟机位推、拉、摇、移等效果。</w:t>
            </w:r>
            <w:r>
              <w:rPr>
                <w:rFonts w:hint="eastAsia" w:ascii="仿宋" w:hAnsi="仿宋" w:eastAsia="仿宋"/>
                <w:color w:val="auto"/>
              </w:rPr>
              <w:br w:type="textWrapping"/>
            </w:r>
            <w:r>
              <w:rPr>
                <w:rFonts w:hint="eastAsia" w:ascii="仿宋" w:hAnsi="仿宋" w:eastAsia="仿宋"/>
                <w:color w:val="auto"/>
              </w:rPr>
              <w:t>▲11.系统支持透明视频转换，可将avi、mov、gif等格式转换成WebM格式透明视频，在保证视频效果前提下减少文件大小和码率，提高显示效率，节约内存，降低cpu占用率。同时支持WebM格式视频转场效果。</w:t>
            </w:r>
            <w:r>
              <w:rPr>
                <w:rFonts w:hint="eastAsia" w:ascii="仿宋" w:hAnsi="仿宋" w:eastAsia="仿宋"/>
                <w:b/>
                <w:bCs/>
                <w:color w:val="auto"/>
              </w:rPr>
              <w:t>须提供符合功能要求的系统软件截图。</w:t>
            </w:r>
          </w:p>
          <w:p w14:paraId="25A478D0">
            <w:pPr>
              <w:widowControl/>
              <w:snapToGrid w:val="0"/>
              <w:jc w:val="left"/>
              <w:rPr>
                <w:rFonts w:hint="eastAsia" w:ascii="仿宋" w:hAnsi="仿宋" w:eastAsia="仿宋"/>
                <w:color w:val="auto"/>
              </w:rPr>
            </w:pPr>
            <w:r>
              <w:rPr>
                <w:rFonts w:hint="eastAsia" w:ascii="仿宋" w:hAnsi="仿宋" w:eastAsia="仿宋"/>
                <w:color w:val="auto"/>
              </w:rPr>
              <w:t>12.系统支持文档通道功能，包括word、ppt、xls等格式导入，可通过系统广告牌、溶解、扰动、擦除等数十种自有特效进行切换。</w:t>
            </w:r>
            <w:r>
              <w:rPr>
                <w:rFonts w:hint="eastAsia" w:ascii="仿宋" w:hAnsi="仿宋" w:eastAsia="仿宋"/>
                <w:color w:val="auto"/>
              </w:rPr>
              <w:br w:type="textWrapping"/>
            </w:r>
            <w:r>
              <w:rPr>
                <w:rFonts w:hint="eastAsia" w:ascii="仿宋" w:hAnsi="仿宋" w:eastAsia="仿宋"/>
                <w:color w:val="auto"/>
              </w:rPr>
              <w:t>13.系统支持16路通道同时自定义进行录制、截图、推流，支持多通道输出到监看设备，展示任意通道资源。</w:t>
            </w:r>
            <w:r>
              <w:rPr>
                <w:rFonts w:hint="eastAsia" w:ascii="仿宋" w:hAnsi="仿宋" w:eastAsia="仿宋"/>
                <w:color w:val="auto"/>
              </w:rPr>
              <w:br w:type="textWrapping"/>
            </w:r>
            <w:r>
              <w:rPr>
                <w:rFonts w:hint="eastAsia" w:ascii="仿宋" w:hAnsi="仿宋" w:eastAsia="仿宋"/>
                <w:color w:val="auto"/>
              </w:rPr>
              <w:t>14.系统支持添加场内对象，设置通道数据、透明、阴影、隐藏、位置调整、角度调整、大小调整、显示特效、自定义轨迹动画，可对轨迹进行循环、闭环、镜头跟随等操作。</w:t>
            </w:r>
            <w:r>
              <w:rPr>
                <w:rFonts w:hint="eastAsia" w:ascii="仿宋" w:hAnsi="仿宋" w:eastAsia="仿宋"/>
                <w:color w:val="auto"/>
              </w:rPr>
              <w:br w:type="textWrapping"/>
            </w:r>
            <w:r>
              <w:rPr>
                <w:rFonts w:hint="eastAsia" w:ascii="仿宋" w:hAnsi="仿宋" w:eastAsia="仿宋"/>
                <w:color w:val="auto"/>
              </w:rPr>
              <w:t>15.系统支持视频、图片、实时等素材，通过添加蒙版和边框等操作，生成带透明通道的素材，在场景中进行叠加。</w:t>
            </w:r>
            <w:r>
              <w:rPr>
                <w:rFonts w:hint="eastAsia" w:ascii="仿宋" w:hAnsi="仿宋" w:eastAsia="仿宋"/>
                <w:color w:val="auto"/>
              </w:rPr>
              <w:br w:type="textWrapping"/>
            </w:r>
            <w:r>
              <w:rPr>
                <w:rFonts w:hint="eastAsia" w:ascii="仿宋" w:hAnsi="仿宋" w:eastAsia="仿宋"/>
                <w:color w:val="auto"/>
              </w:rPr>
              <w:t>16.系统支持3D素材添加，物体转盘、摇摆、悬停、旋转跳跃设置，可调节物体动画速度、有骨骼动画选择、按照物体还是相机旋转；支持深度渲染、自动曝光、光晕、渐晕、空间反射设置。</w:t>
            </w:r>
            <w:r>
              <w:rPr>
                <w:rFonts w:hint="eastAsia" w:ascii="仿宋" w:hAnsi="仿宋" w:eastAsia="仿宋"/>
                <w:color w:val="auto"/>
              </w:rPr>
              <w:br w:type="textWrapping"/>
            </w:r>
            <w:r>
              <w:rPr>
                <w:rFonts w:hint="eastAsia" w:ascii="仿宋" w:hAnsi="仿宋" w:eastAsia="仿宋"/>
                <w:color w:val="auto"/>
              </w:rPr>
              <w:t>17.系统支持PVW及PGM画面中虚拟机位的切换，切换模式支持匀速、加减速、定阻尼减速、变阻尼减速、硬切。</w:t>
            </w:r>
            <w:r>
              <w:rPr>
                <w:rFonts w:hint="eastAsia" w:ascii="仿宋" w:hAnsi="仿宋" w:eastAsia="仿宋"/>
                <w:color w:val="auto"/>
              </w:rPr>
              <w:br w:type="textWrapping"/>
            </w:r>
            <w:r>
              <w:rPr>
                <w:rFonts w:hint="eastAsia" w:ascii="仿宋" w:hAnsi="仿宋" w:eastAsia="仿宋"/>
                <w:color w:val="auto"/>
              </w:rPr>
              <w:t>18.系统支持画中画功能，可在PGM中添加画中画，并可更换信号源和调节画面位置及大小。</w:t>
            </w:r>
            <w:r>
              <w:rPr>
                <w:rFonts w:hint="eastAsia" w:ascii="仿宋" w:hAnsi="仿宋" w:eastAsia="仿宋"/>
                <w:color w:val="auto"/>
              </w:rPr>
              <w:br w:type="textWrapping"/>
            </w:r>
            <w:r>
              <w:rPr>
                <w:rFonts w:hint="eastAsia" w:ascii="仿宋" w:hAnsi="仿宋" w:eastAsia="仿宋"/>
                <w:color w:val="auto"/>
              </w:rPr>
              <w:t>19.系统支持IPVGA功能，能过网络进行远程桌面采集，支持多种视频格式和分辨率，并能够当做信号源加视频通道使用。</w:t>
            </w:r>
            <w:r>
              <w:rPr>
                <w:rFonts w:hint="eastAsia" w:ascii="仿宋" w:hAnsi="仿宋" w:eastAsia="仿宋"/>
                <w:color w:val="auto"/>
              </w:rPr>
              <w:br w:type="textWrapping"/>
            </w:r>
            <w:r>
              <w:rPr>
                <w:rFonts w:hint="eastAsia" w:ascii="仿宋" w:hAnsi="仿宋" w:eastAsia="仿宋"/>
                <w:color w:val="auto"/>
              </w:rPr>
              <w:t>20.系统支持窗口采集功能，能够直接抓取当前设备的应用程序窗口界面作为信号源使用，支持将采集内容作为画中画、直播、录制使用。</w:t>
            </w:r>
            <w:r>
              <w:rPr>
                <w:rFonts w:hint="eastAsia" w:ascii="仿宋" w:hAnsi="仿宋" w:eastAsia="仿宋"/>
                <w:color w:val="auto"/>
              </w:rPr>
              <w:br w:type="textWrapping"/>
            </w:r>
            <w:r>
              <w:rPr>
                <w:rFonts w:hint="eastAsia" w:ascii="仿宋" w:hAnsi="仿宋" w:eastAsia="仿宋"/>
                <w:color w:val="auto"/>
              </w:rPr>
              <w:t>21.系统提供虚拟摄像头功能，支持将接入系统的信号、PGM合成信号直接用作会议、视频对话使用，支持多种通讯APP，例如：腾讯会议、QQ、微信、Team、ZOOM等。</w:t>
            </w:r>
          </w:p>
          <w:p w14:paraId="522678F5">
            <w:pPr>
              <w:widowControl/>
              <w:snapToGrid w:val="0"/>
              <w:jc w:val="left"/>
              <w:rPr>
                <w:rFonts w:hint="eastAsia" w:ascii="仿宋" w:hAnsi="仿宋" w:eastAsia="仿宋"/>
                <w:color w:val="auto"/>
              </w:rPr>
            </w:pPr>
            <w:r>
              <w:rPr>
                <w:rFonts w:hint="eastAsia" w:ascii="仿宋" w:hAnsi="仿宋" w:eastAsia="仿宋"/>
                <w:color w:val="auto"/>
              </w:rPr>
              <w:t>22.系统支持在线URL网页、HTML离线网页素材添加到通道中，可将制作好的汇报报表以纹理或者虚拟对象方式添加到虚拟场景中，使得场景内容更丰富。支持独立图表通道功能，可自定义添加“饼状图”“柱状图”“折线图”“金字塔图”类型图表，并可以通过自定义数据生成实时数据图表。</w:t>
            </w:r>
            <w:r>
              <w:rPr>
                <w:rFonts w:hint="eastAsia" w:ascii="仿宋" w:hAnsi="仿宋" w:eastAsia="仿宋"/>
                <w:color w:val="auto"/>
              </w:rPr>
              <w:br w:type="textWrapping"/>
            </w:r>
            <w:r>
              <w:rPr>
                <w:rFonts w:hint="eastAsia" w:ascii="仿宋" w:hAnsi="仿宋" w:eastAsia="仿宋"/>
                <w:color w:val="auto"/>
              </w:rPr>
              <w:t>23.系统提供语音命令功能，直接通过语音命令的方式唤醒（休眠）语音功能、操作预览和输出通道、转场、是否录制、是否推流、台标、时钟是否展示等，实现了系统控制方式的多样化。</w:t>
            </w:r>
            <w:r>
              <w:rPr>
                <w:rFonts w:hint="eastAsia" w:ascii="仿宋" w:hAnsi="仿宋" w:eastAsia="仿宋"/>
                <w:color w:val="auto"/>
              </w:rPr>
              <w:br w:type="textWrapping"/>
            </w:r>
            <w:r>
              <w:rPr>
                <w:rFonts w:hint="eastAsia" w:ascii="仿宋" w:hAnsi="仿宋" w:eastAsia="仿宋"/>
                <w:color w:val="auto"/>
              </w:rPr>
              <w:t>24.系统内置提词器功能，不仅支持输出PGM屏，还支持第三屏、第四屏；支持提词内容不显示在最终录制下来的视频画面中。</w:t>
            </w:r>
          </w:p>
          <w:p w14:paraId="60A412F1">
            <w:pPr>
              <w:widowControl/>
              <w:snapToGrid w:val="0"/>
              <w:jc w:val="left"/>
              <w:rPr>
                <w:rFonts w:hint="eastAsia" w:ascii="仿宋" w:hAnsi="仿宋" w:eastAsia="仿宋"/>
                <w:b/>
                <w:bCs/>
                <w:color w:val="auto"/>
              </w:rPr>
            </w:pPr>
            <w:r>
              <w:rPr>
                <w:rFonts w:hint="eastAsia" w:ascii="仿宋" w:hAnsi="仿宋" w:eastAsia="仿宋"/>
                <w:color w:val="auto"/>
              </w:rPr>
              <w:t>25.系统支持添加3D虚拟主播，3D虚拟主播支持设置其位置、大小、角度、显示特效、快速动画、创建轨迹动画，支持多组服装、发型、鞋子选择，可选择站姿、坐姿等不同姿势，支持是否有凳子选择。支持3D虚拟主播的播报组添加，可调节语速、音量、预调，选择发音不同的男声、女声、童声、方言等数十种，可调节每个播报组的时间间隔。支持3D虚拟主播设置唇音同步，嘴型大小、平滑度设置，可以选择调音台声源同步或者智能播报声源同步。达到虚拟主播更加真实的效果。</w:t>
            </w:r>
          </w:p>
          <w:p w14:paraId="48FC9C1B">
            <w:pPr>
              <w:widowControl/>
              <w:snapToGrid w:val="0"/>
              <w:jc w:val="left"/>
              <w:rPr>
                <w:rFonts w:hint="eastAsia" w:ascii="仿宋" w:hAnsi="仿宋" w:eastAsia="仿宋"/>
                <w:b/>
                <w:bCs/>
                <w:color w:val="auto"/>
              </w:rPr>
            </w:pPr>
            <w:r>
              <w:rPr>
                <w:rFonts w:hint="eastAsia" w:ascii="仿宋" w:hAnsi="仿宋" w:eastAsia="仿宋"/>
                <w:color w:val="auto"/>
              </w:rPr>
              <w:t>▲26.系统提供真三维场景编辑器功能，用户能够通过编辑器设计3D虚拟场景，并直接导入系统使用，无需二次转换。</w:t>
            </w:r>
            <w:r>
              <w:rPr>
                <w:rFonts w:hint="eastAsia" w:ascii="仿宋" w:hAnsi="仿宋" w:eastAsia="仿宋"/>
                <w:b/>
                <w:bCs/>
                <w:color w:val="auto"/>
              </w:rPr>
              <w:t>须提供符合功能要求的系统软件截图。</w:t>
            </w:r>
          </w:p>
          <w:p w14:paraId="2FBD0A61">
            <w:pPr>
              <w:widowControl/>
              <w:snapToGrid w:val="0"/>
              <w:jc w:val="left"/>
              <w:rPr>
                <w:rFonts w:hint="eastAsia" w:ascii="仿宋" w:hAnsi="仿宋" w:eastAsia="仿宋"/>
                <w:b/>
                <w:bCs/>
                <w:color w:val="auto"/>
              </w:rPr>
            </w:pPr>
            <w:r>
              <w:rPr>
                <w:rFonts w:hint="eastAsia" w:ascii="仿宋" w:hAnsi="仿宋" w:eastAsia="仿宋"/>
                <w:color w:val="auto"/>
              </w:rPr>
              <w:t>27.系统支持图文包装功能，图文出入场持续时间和延迟时间可自定义，支持多种动画模式且展示数量不受限，可一键展示与取消。一个场景可添加多个字幕文件进行组合，包括：字幕背景图片、静态或动态字幕头文件等，可制作成专业的图文包装效果。</w:t>
            </w:r>
          </w:p>
          <w:p w14:paraId="5CC49F58">
            <w:pPr>
              <w:widowControl/>
              <w:numPr>
                <w:ilvl w:val="0"/>
                <w:numId w:val="7"/>
              </w:numPr>
              <w:snapToGrid w:val="0"/>
              <w:jc w:val="left"/>
              <w:rPr>
                <w:rFonts w:hint="eastAsia" w:ascii="仿宋" w:hAnsi="仿宋" w:eastAsia="仿宋"/>
                <w:color w:val="auto"/>
              </w:rPr>
            </w:pPr>
            <w:r>
              <w:rPr>
                <w:rFonts w:hint="eastAsia" w:ascii="仿宋" w:hAnsi="仿宋" w:eastAsia="仿宋"/>
                <w:color w:val="auto"/>
              </w:rPr>
              <w:t>系统支持智能语音转写功能，通过智能语音转写技术，将语音转化为文字，实现字幕的自动添加。</w:t>
            </w:r>
            <w:r>
              <w:rPr>
                <w:rFonts w:hint="eastAsia" w:ascii="仿宋" w:hAnsi="仿宋" w:eastAsia="仿宋"/>
                <w:color w:val="auto"/>
              </w:rPr>
              <w:br w:type="textWrapping"/>
            </w:r>
            <w:r>
              <w:rPr>
                <w:rFonts w:hint="eastAsia" w:ascii="仿宋" w:hAnsi="仿宋" w:eastAsia="仿宋"/>
                <w:color w:val="auto"/>
              </w:rPr>
              <w:t>▲29.系统支持大播单功能，将节目制作过程中的操作动作进行编单、编辑、播放、录制；播单列表既支持自动执行，也支持手动执行，完美实现了操作过程的数字化。支持PGM输出、自动时间间隔、PVW输出、特效转场、视频转场、虚拟场景预设、图文显示、前景动画、开始\结束录制、显示\隐藏台标、显示\隐藏时钟、虚拟对象等众多大播单动作。</w:t>
            </w:r>
            <w:r>
              <w:rPr>
                <w:rFonts w:hint="eastAsia" w:ascii="仿宋" w:hAnsi="仿宋" w:eastAsia="仿宋"/>
                <w:b/>
                <w:bCs/>
                <w:color w:val="auto"/>
              </w:rPr>
              <w:t>须提供符合功能要求的系统软件截图。</w:t>
            </w:r>
            <w:r>
              <w:rPr>
                <w:rFonts w:hint="eastAsia" w:ascii="仿宋" w:hAnsi="仿宋" w:eastAsia="仿宋"/>
                <w:color w:val="auto"/>
              </w:rPr>
              <w:br w:type="textWrapping"/>
            </w:r>
            <w:r>
              <w:rPr>
                <w:rFonts w:hint="eastAsia" w:ascii="仿宋" w:hAnsi="仿宋" w:eastAsia="仿宋"/>
                <w:color w:val="auto"/>
              </w:rPr>
              <w:t>30.系统支持将多路画面同时推流直播，支持一个屏幕多个画面同时监看，满足远程监看指导需求。</w:t>
            </w:r>
          </w:p>
          <w:p w14:paraId="30B12CE9">
            <w:pPr>
              <w:pStyle w:val="2"/>
              <w:snapToGrid w:val="0"/>
              <w:jc w:val="left"/>
              <w:rPr>
                <w:rFonts w:hint="eastAsia" w:ascii="仿宋" w:hAnsi="仿宋" w:eastAsia="仿宋"/>
                <w:color w:val="auto"/>
                <w:sz w:val="21"/>
                <w:szCs w:val="21"/>
              </w:rPr>
            </w:pPr>
            <w:r>
              <w:rPr>
                <w:rFonts w:hint="eastAsia" w:ascii="仿宋" w:hAnsi="仿宋" w:eastAsia="仿宋"/>
                <w:color w:val="auto"/>
                <w:sz w:val="21"/>
                <w:szCs w:val="21"/>
              </w:rPr>
              <w:t>1. 所投产品须具有自主知识产权，提供对应产品的计算机软件著作权登记证书。</w:t>
            </w:r>
          </w:p>
          <w:p w14:paraId="22072641">
            <w:pPr>
              <w:pStyle w:val="2"/>
              <w:snapToGrid w:val="0"/>
              <w:jc w:val="left"/>
              <w:rPr>
                <w:rFonts w:hint="eastAsia" w:ascii="仿宋" w:hAnsi="楷体_GB2312" w:eastAsia="仿宋" w:cs="楷体_GB2312"/>
                <w:color w:val="auto"/>
                <w:sz w:val="21"/>
              </w:rPr>
            </w:pPr>
            <w:r>
              <w:rPr>
                <w:rFonts w:hint="eastAsia" w:ascii="仿宋" w:hAnsi="仿宋" w:eastAsia="仿宋"/>
                <w:color w:val="auto"/>
                <w:sz w:val="21"/>
                <w:szCs w:val="21"/>
              </w:rPr>
              <w:t>2. 证书对应的软件功能应能支撑本项目相应设备使用。</w:t>
            </w:r>
          </w:p>
        </w:tc>
        <w:tc>
          <w:tcPr>
            <w:tcW w:w="0" w:type="auto"/>
            <w:vAlign w:val="center"/>
          </w:tcPr>
          <w:p w14:paraId="7D7DD845">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77B03B3A">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56B2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D08355B">
            <w:pPr>
              <w:widowControl/>
              <w:snapToGrid w:val="0"/>
              <w:jc w:val="center"/>
              <w:rPr>
                <w:rFonts w:hint="eastAsia" w:ascii="仿宋" w:hAnsi="仿宋" w:eastAsia="仿宋"/>
                <w:color w:val="auto"/>
                <w:kern w:val="0"/>
              </w:rPr>
            </w:pPr>
            <w:r>
              <w:rPr>
                <w:rFonts w:hint="eastAsia" w:ascii="仿宋" w:hAnsi="仿宋" w:eastAsia="仿宋" w:cs="宋体"/>
                <w:color w:val="auto"/>
                <w:kern w:val="0"/>
              </w:rPr>
              <w:t>3</w:t>
            </w:r>
          </w:p>
        </w:tc>
        <w:tc>
          <w:tcPr>
            <w:tcW w:w="996" w:type="dxa"/>
            <w:vAlign w:val="center"/>
          </w:tcPr>
          <w:p w14:paraId="7FBAB368">
            <w:pPr>
              <w:widowControl/>
              <w:snapToGrid w:val="0"/>
              <w:jc w:val="center"/>
              <w:rPr>
                <w:rFonts w:hint="eastAsia" w:ascii="仿宋" w:hAnsi="仿宋" w:eastAsia="仿宋"/>
                <w:color w:val="auto"/>
              </w:rPr>
            </w:pPr>
            <w:r>
              <w:rPr>
                <w:rFonts w:hint="eastAsia" w:ascii="仿宋" w:hAnsi="仿宋" w:eastAsia="仿宋" w:cs="宋体"/>
                <w:color w:val="auto"/>
                <w:kern w:val="0"/>
              </w:rPr>
              <w:t>流媒体系统</w:t>
            </w:r>
          </w:p>
        </w:tc>
        <w:tc>
          <w:tcPr>
            <w:tcW w:w="6650" w:type="dxa"/>
            <w:vAlign w:val="center"/>
          </w:tcPr>
          <w:p w14:paraId="52619453">
            <w:pPr>
              <w:widowControl/>
              <w:snapToGrid w:val="0"/>
              <w:jc w:val="left"/>
              <w:rPr>
                <w:rFonts w:hint="eastAsia" w:ascii="仿宋" w:hAnsi="仿宋" w:eastAsia="仿宋"/>
                <w:color w:val="auto"/>
              </w:rPr>
            </w:pPr>
            <w:r>
              <w:rPr>
                <w:rFonts w:hint="eastAsia" w:ascii="仿宋" w:hAnsi="仿宋" w:eastAsia="仿宋"/>
                <w:color w:val="auto"/>
              </w:rPr>
              <w:t>1.系统支持基于网络底层媒体流传输交换的海量并发技术，采用高性能的流媒体服务器的设置以及高性能节目读取的方法，可极大地提升系统的并发性能。</w:t>
            </w:r>
          </w:p>
          <w:p w14:paraId="7D7D4DD3">
            <w:pPr>
              <w:widowControl/>
              <w:snapToGrid w:val="0"/>
              <w:jc w:val="left"/>
              <w:rPr>
                <w:rFonts w:hint="eastAsia" w:ascii="仿宋" w:hAnsi="仿宋" w:eastAsia="仿宋" w:cs="宋体"/>
                <w:color w:val="auto"/>
              </w:rPr>
            </w:pPr>
            <w:r>
              <w:rPr>
                <w:rFonts w:hint="eastAsia" w:ascii="仿宋" w:hAnsi="仿宋" w:eastAsia="仿宋"/>
                <w:color w:val="auto"/>
              </w:rPr>
              <w:t>2.系统采用关键缓冲技术，可充分保证系统拥有最优秀的同步性和最短的时延性。</w:t>
            </w:r>
            <w:r>
              <w:rPr>
                <w:rFonts w:hint="eastAsia" w:ascii="仿宋" w:hAnsi="仿宋" w:eastAsia="仿宋"/>
                <w:color w:val="auto"/>
              </w:rPr>
              <w:br w:type="textWrapping"/>
            </w:r>
            <w:r>
              <w:rPr>
                <w:rFonts w:hint="eastAsia" w:ascii="仿宋" w:hAnsi="仿宋" w:eastAsia="仿宋"/>
                <w:color w:val="auto"/>
              </w:rPr>
              <w:t>▲3.系统支持集群部署模式，支持主备或2台设备以上的集群部署，保证系统的稳定性和可靠性。</w:t>
            </w:r>
            <w:bookmarkStart w:id="65" w:name="OLE_LINK38"/>
            <w:r>
              <w:rPr>
                <w:rFonts w:hint="eastAsia" w:ascii="仿宋" w:hAnsi="仿宋" w:eastAsia="仿宋"/>
                <w:b/>
                <w:bCs/>
                <w:color w:val="auto"/>
              </w:rPr>
              <w:t>须提供国家认可的第三方检测机构出具的、处于有效期内的、带有CMA或CNAS标识的产品检测报告，且检测参数覆盖采购需求相关技术指标，否则视为无效证明材料。</w:t>
            </w:r>
            <w:bookmarkEnd w:id="65"/>
            <w:r>
              <w:rPr>
                <w:rFonts w:ascii="Courier New" w:hAnsi="Courier New" w:eastAsia="仿宋" w:cs="Courier New"/>
                <w:color w:val="auto"/>
              </w:rPr>
              <w:t>‌</w:t>
            </w:r>
            <w:r>
              <w:rPr>
                <w:rFonts w:hint="eastAsia" w:ascii="仿宋" w:hAnsi="仿宋" w:eastAsia="仿宋"/>
                <w:color w:val="auto"/>
              </w:rPr>
              <w:br w:type="textWrapping"/>
            </w:r>
            <w:r>
              <w:rPr>
                <w:rFonts w:hint="eastAsia" w:ascii="仿宋" w:hAnsi="仿宋" w:eastAsia="仿宋"/>
                <w:color w:val="auto"/>
              </w:rPr>
              <w:t>4.系统支持GB/T28181协议、Onvif协议、RTSP协议、RTMP协议、RTC协议等流媒体信号输入。</w:t>
            </w:r>
            <w:r>
              <w:rPr>
                <w:rFonts w:hint="eastAsia" w:ascii="仿宋" w:hAnsi="仿宋" w:eastAsia="仿宋"/>
                <w:color w:val="auto"/>
              </w:rPr>
              <w:br w:type="textWrapping"/>
            </w:r>
            <w:r>
              <w:rPr>
                <w:rFonts w:hint="eastAsia" w:ascii="仿宋" w:hAnsi="仿宋" w:eastAsia="仿宋"/>
                <w:color w:val="auto"/>
              </w:rPr>
              <w:t>5.系统支持接入GB/T28181平台，支持平台跨域级联管理。</w:t>
            </w:r>
            <w:r>
              <w:rPr>
                <w:rFonts w:hint="eastAsia" w:ascii="仿宋" w:hAnsi="仿宋" w:eastAsia="仿宋"/>
                <w:color w:val="auto"/>
              </w:rPr>
              <w:br w:type="textWrapping"/>
            </w:r>
            <w:r>
              <w:rPr>
                <w:rFonts w:hint="eastAsia" w:ascii="仿宋" w:hAnsi="仿宋" w:eastAsia="仿宋"/>
                <w:color w:val="auto"/>
              </w:rPr>
              <w:t>6.系统采用目录结构模式管理信号源，支持按区域、种类、层级管理，支持关键词搜索。</w:t>
            </w:r>
            <w:r>
              <w:rPr>
                <w:rFonts w:hint="eastAsia" w:ascii="仿宋" w:hAnsi="仿宋" w:eastAsia="仿宋"/>
                <w:color w:val="auto"/>
              </w:rPr>
              <w:br w:type="textWrapping"/>
            </w:r>
            <w:r>
              <w:rPr>
                <w:rFonts w:hint="eastAsia" w:ascii="仿宋" w:hAnsi="仿宋" w:eastAsia="仿宋"/>
                <w:color w:val="auto"/>
              </w:rPr>
              <w:t>7.系统支持接入和转发能力，支持各种直播信号接入。</w:t>
            </w:r>
            <w:r>
              <w:rPr>
                <w:rFonts w:hint="eastAsia" w:ascii="仿宋" w:hAnsi="仿宋" w:eastAsia="仿宋"/>
                <w:color w:val="auto"/>
              </w:rPr>
              <w:br w:type="textWrapping"/>
            </w:r>
            <w:r>
              <w:rPr>
                <w:rFonts w:hint="eastAsia" w:ascii="仿宋" w:hAnsi="仿宋" w:eastAsia="仿宋"/>
                <w:color w:val="auto"/>
              </w:rPr>
              <w:t>▲8.系统支持视频标准：同时支持H.264、H.265视频编码，音频标准：同时支持AAC、G.711、OPUS音频编码。</w:t>
            </w:r>
            <w:r>
              <w:rPr>
                <w:rFonts w:hint="eastAsia" w:ascii="仿宋" w:hAnsi="仿宋" w:eastAsia="仿宋" w:cs="宋体"/>
                <w:b/>
                <w:bCs/>
                <w:color w:val="auto"/>
              </w:rPr>
              <w:t>须提供国家认可的第三方检测机构出具的、处于有效期内的、带有CMA或CNAS标识的产品检测报告，且检测参数覆盖采购需求相关技术指标，否则视为无效证明材料。</w:t>
            </w:r>
          </w:p>
          <w:p w14:paraId="70B4EC96">
            <w:pPr>
              <w:widowControl/>
              <w:snapToGrid w:val="0"/>
              <w:jc w:val="left"/>
              <w:rPr>
                <w:rFonts w:hint="eastAsia" w:ascii="仿宋" w:hAnsi="仿宋" w:eastAsia="仿宋"/>
                <w:color w:val="auto"/>
              </w:rPr>
            </w:pPr>
            <w:r>
              <w:rPr>
                <w:rFonts w:hint="eastAsia" w:ascii="仿宋" w:hAnsi="仿宋" w:eastAsia="仿宋"/>
                <w:color w:val="auto"/>
              </w:rPr>
              <w:t>9.系统支持音视频、协议全适配，支持不同速率、不同编码协议、不同分辨率的终端混合接入。</w:t>
            </w:r>
            <w:r>
              <w:rPr>
                <w:rFonts w:hint="eastAsia" w:ascii="仿宋" w:hAnsi="仿宋" w:eastAsia="仿宋"/>
                <w:color w:val="auto"/>
              </w:rPr>
              <w:br w:type="textWrapping"/>
            </w:r>
            <w:r>
              <w:rPr>
                <w:rFonts w:hint="eastAsia" w:ascii="仿宋" w:hAnsi="仿宋" w:eastAsia="仿宋"/>
                <w:color w:val="auto"/>
              </w:rPr>
              <w:t>10.系统支持直播信号在PC、移动端等多终端适配，流畅播放。</w:t>
            </w:r>
            <w:r>
              <w:rPr>
                <w:rFonts w:hint="eastAsia" w:ascii="仿宋" w:hAnsi="仿宋" w:eastAsia="仿宋"/>
                <w:color w:val="auto"/>
              </w:rPr>
              <w:br w:type="textWrapping"/>
            </w:r>
            <w:r>
              <w:rPr>
                <w:rFonts w:hint="eastAsia" w:ascii="仿宋" w:hAnsi="仿宋" w:eastAsia="仿宋"/>
                <w:color w:val="auto"/>
              </w:rPr>
              <w:t>11.系统支持多画面通道输出，多画面显示个数≥25；支持视频巡视，可按预定时间巡视。</w:t>
            </w:r>
          </w:p>
          <w:p w14:paraId="02D766F8">
            <w:pPr>
              <w:widowControl/>
              <w:snapToGrid w:val="0"/>
              <w:jc w:val="left"/>
              <w:rPr>
                <w:rFonts w:hint="eastAsia" w:ascii="仿宋" w:hAnsi="仿宋" w:eastAsia="仿宋" w:cs="宋体"/>
                <w:color w:val="auto"/>
              </w:rPr>
            </w:pPr>
            <w:r>
              <w:rPr>
                <w:rFonts w:hint="eastAsia" w:ascii="仿宋" w:hAnsi="仿宋" w:eastAsia="仿宋"/>
                <w:color w:val="auto"/>
              </w:rPr>
              <w:t>12.系统具备高效的播放性能，在线视频播放无缓冲、卡顿；网络点播节目拖拽响应≤100ms，直播延时≤2s。</w:t>
            </w:r>
            <w:r>
              <w:rPr>
                <w:rFonts w:hint="eastAsia" w:ascii="仿宋" w:hAnsi="仿宋" w:eastAsia="仿宋"/>
                <w:color w:val="auto"/>
              </w:rPr>
              <w:br w:type="textWrapping"/>
            </w:r>
            <w:r>
              <w:rPr>
                <w:rFonts w:hint="eastAsia" w:ascii="仿宋" w:hAnsi="仿宋" w:eastAsia="仿宋"/>
                <w:color w:val="auto"/>
              </w:rPr>
              <w:t>13.系统支持HTML5播放方式，视频流传输协议支持RTMP、FLV over HTTP、TS和HLS协议。</w:t>
            </w:r>
            <w:r>
              <w:rPr>
                <w:rFonts w:hint="eastAsia" w:ascii="仿宋" w:hAnsi="仿宋" w:eastAsia="仿宋"/>
                <w:color w:val="auto"/>
              </w:rPr>
              <w:br w:type="textWrapping"/>
            </w:r>
            <w:r>
              <w:rPr>
                <w:rFonts w:hint="eastAsia" w:ascii="仿宋" w:hAnsi="仿宋" w:eastAsia="仿宋"/>
                <w:color w:val="auto"/>
              </w:rPr>
              <w:t>▲14.系统支持20GB以上超大文件上传、多文件同时上传、断点续传、断网重联、暂停等功能，能显示进度等信息。</w:t>
            </w:r>
            <w:r>
              <w:rPr>
                <w:rFonts w:hint="eastAsia" w:ascii="仿宋" w:hAnsi="仿宋" w:eastAsia="仿宋"/>
                <w:b/>
                <w:bCs/>
                <w:color w:val="auto"/>
              </w:rPr>
              <w:t>须提供国家认可的第三方检测机构出具的、处于有效期内的、带有CMA或CNAS标识的产品检测报告，且检测参数覆盖采购需求相关技术指标，否则视为无效证明材料。</w:t>
            </w:r>
          </w:p>
          <w:p w14:paraId="1CF36BF9">
            <w:pPr>
              <w:widowControl/>
              <w:snapToGrid w:val="0"/>
              <w:jc w:val="left"/>
              <w:rPr>
                <w:rFonts w:hint="eastAsia" w:ascii="仿宋" w:hAnsi="仿宋" w:eastAsia="仿宋"/>
                <w:color w:val="auto"/>
              </w:rPr>
            </w:pPr>
            <w:r>
              <w:rPr>
                <w:rFonts w:hint="eastAsia" w:ascii="仿宋" w:hAnsi="仿宋" w:eastAsia="仿宋"/>
                <w:color w:val="auto"/>
              </w:rPr>
              <w:t>15.系统支持广播级格式（如QuickTime、MPEG-2 TS等）及MPEG-1/2（mpg、dat、mp3、vob）、MPEG-4（avi、asf、wmv、flv）、Real（rm、rmvb）、FlashVideo（flv、f4v）、3gp、mp4、MKV等各种媒体格式。</w:t>
            </w:r>
            <w:r>
              <w:rPr>
                <w:rFonts w:hint="eastAsia" w:ascii="仿宋" w:hAnsi="仿宋" w:eastAsia="仿宋"/>
                <w:color w:val="auto"/>
              </w:rPr>
              <w:br w:type="textWrapping"/>
            </w:r>
            <w:r>
              <w:rPr>
                <w:rFonts w:hint="eastAsia" w:ascii="仿宋" w:hAnsi="仿宋" w:eastAsia="仿宋"/>
                <w:color w:val="auto"/>
              </w:rPr>
              <w:t>16.系统支持720P、1080P、2K、4K等多种分辨率进行转码。支持手工转码、自动转码，支持离线转码。</w:t>
            </w:r>
            <w:r>
              <w:rPr>
                <w:rFonts w:hint="eastAsia" w:ascii="仿宋" w:hAnsi="仿宋" w:eastAsia="仿宋"/>
                <w:color w:val="auto"/>
              </w:rPr>
              <w:br w:type="textWrapping"/>
            </w:r>
            <w:r>
              <w:rPr>
                <w:rFonts w:hint="eastAsia" w:ascii="仿宋" w:hAnsi="仿宋" w:eastAsia="仿宋"/>
                <w:color w:val="auto"/>
              </w:rPr>
              <w:t>17.系统支持2Pass转码方式，可使得更小的文件，获得更清晰的画质；采用单个转码组件实现对所有文件实时转码，转码时长与文件时长比小于1:1，管理员无需预转码或重复转码。</w:t>
            </w:r>
            <w:r>
              <w:rPr>
                <w:rFonts w:hint="eastAsia" w:ascii="仿宋" w:hAnsi="仿宋" w:eastAsia="仿宋"/>
                <w:color w:val="auto"/>
              </w:rPr>
              <w:br w:type="textWrapping"/>
            </w:r>
            <w:r>
              <w:rPr>
                <w:rFonts w:hint="eastAsia" w:ascii="仿宋" w:hAnsi="仿宋" w:eastAsia="仿宋"/>
                <w:color w:val="auto"/>
              </w:rPr>
              <w:t>18.系统支持打点、拆条功能，可在视频文件重点内容处打点标记，点播时可在进度条快速定位观看；可将节目拆分为若干个虚拟节目，支持在不损坏源文件的基础上将完整视频文件虚拟拆解成若干关键要点的视频列表。</w:t>
            </w:r>
          </w:p>
          <w:p w14:paraId="3D100D72">
            <w:pPr>
              <w:widowControl/>
              <w:snapToGrid w:val="0"/>
              <w:jc w:val="left"/>
              <w:rPr>
                <w:rFonts w:hint="eastAsia" w:ascii="仿宋" w:hAnsi="仿宋" w:eastAsia="仿宋"/>
                <w:color w:val="auto"/>
              </w:rPr>
            </w:pPr>
            <w:r>
              <w:rPr>
                <w:rFonts w:hint="eastAsia" w:ascii="仿宋" w:hAnsi="仿宋" w:eastAsia="仿宋"/>
                <w:color w:val="auto"/>
              </w:rPr>
              <w:t>19.系统提供标签管理功能，支持默认标签和自定义标签，能快速方便的检索和浏览相关资源。</w:t>
            </w:r>
            <w:r>
              <w:rPr>
                <w:rFonts w:hint="eastAsia" w:ascii="仿宋" w:hAnsi="仿宋" w:eastAsia="仿宋"/>
                <w:color w:val="auto"/>
              </w:rPr>
              <w:br w:type="textWrapping"/>
            </w:r>
            <w:r>
              <w:rPr>
                <w:rFonts w:hint="eastAsia" w:ascii="仿宋" w:hAnsi="仿宋" w:eastAsia="仿宋"/>
                <w:color w:val="auto"/>
              </w:rPr>
              <w:t>20.系统提供多种内容模板，可根据资源类型结合预制模板快速发布视频、图文内容。</w:t>
            </w:r>
            <w:r>
              <w:rPr>
                <w:rFonts w:hint="eastAsia" w:ascii="仿宋" w:hAnsi="仿宋" w:eastAsia="仿宋"/>
                <w:color w:val="auto"/>
              </w:rPr>
              <w:br w:type="textWrapping"/>
            </w:r>
            <w:r>
              <w:rPr>
                <w:rFonts w:hint="eastAsia" w:ascii="仿宋" w:hAnsi="仿宋" w:eastAsia="仿宋"/>
                <w:color w:val="auto"/>
              </w:rPr>
              <w:t>21.系统支持直播时移功能，时移时间范围用户可在授权范围内调整，客户端可在时移范围内任意回看时移直播节目，支持精确到秒的逐秒拖拽，并可随时切换至实时直播状态。支持时移直播内容存储无碎片化：时移文件不以切片方式存到磁盘，减少磁盘文件碎片，减少了磁盘的I/O次数，延长了服务器磁盘的使用寿命，提高服务器运行的稳定性。</w:t>
            </w:r>
          </w:p>
          <w:p w14:paraId="55947BCF">
            <w:pPr>
              <w:widowControl/>
              <w:snapToGrid w:val="0"/>
              <w:jc w:val="left"/>
              <w:rPr>
                <w:rFonts w:hint="eastAsia" w:ascii="仿宋" w:hAnsi="仿宋" w:eastAsia="仿宋"/>
                <w:color w:val="auto"/>
              </w:rPr>
            </w:pPr>
            <w:r>
              <w:rPr>
                <w:rFonts w:hint="eastAsia" w:ascii="仿宋" w:hAnsi="仿宋" w:eastAsia="仿宋"/>
                <w:color w:val="auto"/>
              </w:rPr>
              <w:t>22.系统支持将直播流自动录制为音视频资源，并可自动发布到指定目录。</w:t>
            </w:r>
            <w:r>
              <w:rPr>
                <w:rFonts w:hint="eastAsia" w:ascii="仿宋" w:hAnsi="仿宋" w:eastAsia="仿宋"/>
                <w:color w:val="auto"/>
              </w:rPr>
              <w:br w:type="textWrapping"/>
            </w:r>
            <w:r>
              <w:rPr>
                <w:rFonts w:hint="eastAsia" w:ascii="仿宋" w:hAnsi="仿宋" w:eastAsia="仿宋"/>
                <w:color w:val="auto"/>
              </w:rPr>
              <w:t>23.系统支持轮播功能。支持自定义节目列表、播放顺序、垫播资源的设定。</w:t>
            </w:r>
          </w:p>
          <w:p w14:paraId="7926E56B">
            <w:pPr>
              <w:widowControl/>
              <w:snapToGrid w:val="0"/>
              <w:jc w:val="left"/>
              <w:rPr>
                <w:rFonts w:hint="eastAsia" w:ascii="仿宋" w:hAnsi="仿宋" w:eastAsia="仿宋"/>
                <w:color w:val="auto"/>
              </w:rPr>
            </w:pPr>
            <w:r>
              <w:rPr>
                <w:rFonts w:hint="eastAsia" w:ascii="仿宋" w:hAnsi="仿宋" w:eastAsia="仿宋"/>
                <w:color w:val="auto"/>
              </w:rPr>
              <w:t>24.系统支持多媒体文库管理功能，支持PDF、Word、Excel、PowerPoint、TXT、JPG等文件在服务器端自动转换，客户端无需安装Office软件，即可直接通过浏览器进行相关文档的查看。</w:t>
            </w:r>
            <w:r>
              <w:rPr>
                <w:rFonts w:hint="eastAsia" w:ascii="仿宋" w:hAnsi="仿宋" w:eastAsia="仿宋"/>
                <w:color w:val="auto"/>
              </w:rPr>
              <w:br w:type="textWrapping"/>
            </w:r>
            <w:r>
              <w:rPr>
                <w:rFonts w:hint="eastAsia" w:ascii="仿宋" w:hAnsi="仿宋" w:eastAsia="仿宋"/>
                <w:color w:val="auto"/>
              </w:rPr>
              <w:t>25.系统支持HTTPS身份认证的网络协议，支持ssl认证证书导入，保证平台的安全性。</w:t>
            </w:r>
            <w:r>
              <w:rPr>
                <w:rFonts w:hint="eastAsia" w:ascii="仿宋" w:hAnsi="仿宋" w:eastAsia="仿宋"/>
                <w:color w:val="auto"/>
              </w:rPr>
              <w:br w:type="textWrapping"/>
            </w:r>
            <w:r>
              <w:rPr>
                <w:rFonts w:hint="eastAsia" w:ascii="仿宋" w:hAnsi="仿宋" w:eastAsia="仿宋"/>
                <w:color w:val="auto"/>
              </w:rPr>
              <w:t>26.支持自定义元数据管理，可自定义节目信息字段以及字段属性。27.系统门户模板要求：管理员可根据需要修改网站logo、首页轮播图片、页脚信息；支持自动截图，可作为节目海报或内容预览显示。</w:t>
            </w:r>
            <w:r>
              <w:rPr>
                <w:rFonts w:hint="eastAsia" w:ascii="仿宋" w:hAnsi="仿宋" w:eastAsia="仿宋"/>
                <w:color w:val="auto"/>
              </w:rPr>
              <w:br w:type="textWrapping"/>
            </w:r>
            <w:r>
              <w:rPr>
                <w:rFonts w:hint="eastAsia" w:ascii="仿宋" w:hAnsi="仿宋" w:eastAsia="仿宋"/>
                <w:color w:val="auto"/>
              </w:rPr>
              <w:t>28.系统支持组织架构管理，组织架构的树形结构管理（增、删、改功能），用户与组织架构的隶属关系管理（多对多）。</w:t>
            </w:r>
            <w:r>
              <w:rPr>
                <w:rFonts w:hint="eastAsia" w:ascii="仿宋" w:hAnsi="仿宋" w:eastAsia="仿宋"/>
                <w:color w:val="auto"/>
              </w:rPr>
              <w:br w:type="textWrapping"/>
            </w:r>
            <w:r>
              <w:rPr>
                <w:rFonts w:hint="eastAsia" w:ascii="仿宋" w:hAnsi="仿宋" w:eastAsia="仿宋"/>
                <w:color w:val="auto"/>
              </w:rPr>
              <w:t>29.系统支持用户角色和权限管理，分配角色属性、权限、级别。可设置用户、组织的系统功能权限、资源浏览、管理权限。</w:t>
            </w:r>
          </w:p>
          <w:p w14:paraId="59225A04">
            <w:pPr>
              <w:widowControl/>
              <w:snapToGrid w:val="0"/>
              <w:jc w:val="left"/>
              <w:rPr>
                <w:rFonts w:hint="eastAsia" w:ascii="仿宋" w:hAnsi="仿宋" w:eastAsia="仿宋"/>
                <w:color w:val="auto"/>
              </w:rPr>
            </w:pPr>
            <w:r>
              <w:rPr>
                <w:rFonts w:hint="eastAsia" w:ascii="仿宋" w:hAnsi="仿宋" w:eastAsia="仿宋"/>
                <w:color w:val="auto"/>
              </w:rPr>
              <w:t>30.系统提供完善的数据报表统计功能，能够提供用户数量统计、在线用户统计、访问统计、资源统计统计功能。</w:t>
            </w:r>
            <w:r>
              <w:rPr>
                <w:rFonts w:hint="eastAsia" w:ascii="仿宋" w:hAnsi="仿宋" w:eastAsia="仿宋"/>
                <w:color w:val="auto"/>
              </w:rPr>
              <w:br w:type="textWrapping"/>
            </w:r>
            <w:r>
              <w:rPr>
                <w:rFonts w:hint="eastAsia" w:ascii="仿宋" w:hAnsi="仿宋" w:eastAsia="仿宋"/>
                <w:color w:val="auto"/>
              </w:rPr>
              <w:t>31.系统支持远程升级功能，可通过SSH和WEB远程登陆，进行日志访问、远程调试、远程配置、远程升级等维护操作。</w:t>
            </w:r>
            <w:r>
              <w:rPr>
                <w:rFonts w:hint="eastAsia" w:ascii="仿宋" w:hAnsi="仿宋" w:eastAsia="仿宋"/>
                <w:color w:val="auto"/>
              </w:rPr>
              <w:br w:type="textWrapping"/>
            </w:r>
            <w:r>
              <w:rPr>
                <w:rFonts w:hint="eastAsia" w:ascii="仿宋" w:hAnsi="仿宋" w:eastAsia="仿宋"/>
                <w:color w:val="auto"/>
              </w:rPr>
              <w:t>32.授权许可：1通道，50并发，PC端。</w:t>
            </w:r>
            <w:r>
              <w:rPr>
                <w:rFonts w:hint="eastAsia" w:ascii="仿宋" w:hAnsi="仿宋" w:eastAsia="仿宋"/>
                <w:color w:val="auto"/>
              </w:rPr>
              <w:br w:type="textWrapping"/>
            </w:r>
            <w:r>
              <w:rPr>
                <w:rFonts w:hint="eastAsia" w:ascii="仿宋" w:hAnsi="仿宋" w:eastAsia="仿宋"/>
                <w:color w:val="auto"/>
              </w:rPr>
              <w:t>33.为确保系统兼容性与稳定性，要求本系统软件与“虚拟演播系统软件”为同一品牌。</w:t>
            </w:r>
            <w:r>
              <w:rPr>
                <w:rFonts w:hint="eastAsia" w:ascii="仿宋" w:hAnsi="仿宋" w:eastAsia="仿宋"/>
                <w:color w:val="auto"/>
              </w:rPr>
              <w:br w:type="textWrapping"/>
            </w:r>
            <w:r>
              <w:rPr>
                <w:rFonts w:hint="eastAsia" w:ascii="仿宋" w:hAnsi="仿宋" w:eastAsia="仿宋"/>
                <w:color w:val="auto"/>
              </w:rPr>
              <w:t>34.工作站配置：不低于I7-12700/16G/1T固态盘/集显/无显示器。</w:t>
            </w:r>
          </w:p>
          <w:p w14:paraId="43E324C2">
            <w:pPr>
              <w:widowControl/>
              <w:snapToGrid w:val="0"/>
              <w:jc w:val="left"/>
              <w:rPr>
                <w:rFonts w:hint="eastAsia" w:ascii="仿宋" w:hAnsi="仿宋" w:eastAsia="仿宋"/>
                <w:color w:val="auto"/>
              </w:rPr>
            </w:pPr>
            <w:r>
              <w:rPr>
                <w:rFonts w:hint="eastAsia" w:ascii="仿宋" w:hAnsi="仿宋" w:eastAsia="仿宋"/>
                <w:color w:val="auto"/>
              </w:rPr>
              <w:t>1.所投产品须具有自主知识产权，提供对应产品的计算机软件著作权登记证</w:t>
            </w:r>
          </w:p>
          <w:p w14:paraId="682670E6">
            <w:pPr>
              <w:widowControl/>
              <w:snapToGrid w:val="0"/>
              <w:jc w:val="left"/>
              <w:rPr>
                <w:rFonts w:hint="eastAsia" w:ascii="仿宋" w:hAnsi="仿宋" w:eastAsia="仿宋" w:cs="仿宋"/>
                <w:b/>
                <w:bCs/>
                <w:color w:val="auto"/>
                <w:highlight w:val="yellow"/>
              </w:rPr>
            </w:pPr>
            <w:r>
              <w:rPr>
                <w:rFonts w:hint="eastAsia" w:ascii="仿宋" w:hAnsi="仿宋" w:eastAsia="仿宋"/>
                <w:color w:val="auto"/>
              </w:rPr>
              <w:t>2.证书对应的软件功能应能支撑本项目相应设备使用。</w:t>
            </w:r>
          </w:p>
        </w:tc>
        <w:tc>
          <w:tcPr>
            <w:tcW w:w="0" w:type="auto"/>
            <w:vAlign w:val="center"/>
          </w:tcPr>
          <w:p w14:paraId="344432ED">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3E854F26">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67A0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640B076">
            <w:pPr>
              <w:widowControl/>
              <w:snapToGrid w:val="0"/>
              <w:jc w:val="center"/>
              <w:rPr>
                <w:rFonts w:hint="eastAsia" w:ascii="仿宋" w:hAnsi="仿宋" w:eastAsia="仿宋"/>
                <w:color w:val="auto"/>
                <w:kern w:val="0"/>
              </w:rPr>
            </w:pPr>
            <w:r>
              <w:rPr>
                <w:rFonts w:hint="eastAsia" w:ascii="仿宋" w:hAnsi="仿宋" w:eastAsia="仿宋" w:cs="宋体"/>
                <w:color w:val="auto"/>
                <w:kern w:val="0"/>
              </w:rPr>
              <w:t>4</w:t>
            </w:r>
          </w:p>
        </w:tc>
        <w:tc>
          <w:tcPr>
            <w:tcW w:w="996" w:type="dxa"/>
            <w:vAlign w:val="center"/>
          </w:tcPr>
          <w:p w14:paraId="229DDFD3">
            <w:pPr>
              <w:widowControl/>
              <w:snapToGrid w:val="0"/>
              <w:jc w:val="center"/>
              <w:rPr>
                <w:rFonts w:hint="eastAsia" w:ascii="仿宋" w:hAnsi="仿宋" w:eastAsia="仿宋"/>
                <w:color w:val="auto"/>
              </w:rPr>
            </w:pPr>
            <w:r>
              <w:rPr>
                <w:rFonts w:hint="eastAsia" w:ascii="仿宋" w:hAnsi="仿宋" w:eastAsia="仿宋" w:cs="宋体"/>
                <w:color w:val="auto"/>
                <w:kern w:val="0"/>
              </w:rPr>
              <w:t>非线性编辑系统</w:t>
            </w:r>
          </w:p>
        </w:tc>
        <w:tc>
          <w:tcPr>
            <w:tcW w:w="6650" w:type="dxa"/>
            <w:vAlign w:val="center"/>
          </w:tcPr>
          <w:p w14:paraId="4422BA09">
            <w:pPr>
              <w:widowControl/>
              <w:snapToGrid w:val="0"/>
              <w:jc w:val="left"/>
              <w:rPr>
                <w:rFonts w:hint="eastAsia" w:ascii="仿宋" w:hAnsi="仿宋" w:eastAsia="仿宋"/>
                <w:color w:val="auto"/>
              </w:rPr>
            </w:pPr>
            <w:r>
              <w:rPr>
                <w:rFonts w:hint="eastAsia" w:ascii="仿宋" w:hAnsi="仿宋" w:eastAsia="仿宋"/>
                <w:color w:val="auto"/>
              </w:rPr>
              <w:t>1.系统支持软件界面调整，可依据自己操作习惯，调整界面布局；系统支持多主题切换，具有弹性的主题引擎，支持亮色和暗色主题。</w:t>
            </w:r>
          </w:p>
          <w:p w14:paraId="2638F2B9">
            <w:pPr>
              <w:widowControl/>
              <w:snapToGrid w:val="0"/>
              <w:jc w:val="left"/>
              <w:rPr>
                <w:rFonts w:hint="eastAsia" w:ascii="仿宋" w:hAnsi="仿宋" w:eastAsia="仿宋"/>
                <w:color w:val="auto"/>
              </w:rPr>
            </w:pPr>
            <w:r>
              <w:rPr>
                <w:rFonts w:hint="eastAsia" w:ascii="仿宋" w:hAnsi="仿宋" w:eastAsia="仿宋"/>
                <w:color w:val="auto"/>
              </w:rPr>
              <w:t>2.系统支持不同分辨率，如1920x1080,1440x1080,1280x720, 720x576/480，支持高达4K、2K，低至24x24素材之间的实时编辑和转换。</w:t>
            </w:r>
          </w:p>
          <w:p w14:paraId="405B10DC">
            <w:pPr>
              <w:widowControl/>
              <w:snapToGrid w:val="0"/>
              <w:jc w:val="left"/>
              <w:rPr>
                <w:rFonts w:hint="eastAsia" w:ascii="仿宋" w:hAnsi="仿宋" w:eastAsia="仿宋"/>
                <w:color w:val="auto"/>
              </w:rPr>
            </w:pPr>
            <w:r>
              <w:rPr>
                <w:rFonts w:hint="eastAsia" w:ascii="仿宋" w:hAnsi="仿宋" w:eastAsia="仿宋"/>
                <w:color w:val="auto"/>
              </w:rPr>
              <w:t>3.系统支持不同帧速率，如：1080/60p/50p、1080/60i/50i、24p 素材之间的实时编辑和转换。</w:t>
            </w:r>
            <w:r>
              <w:rPr>
                <w:rFonts w:hint="eastAsia" w:ascii="仿宋" w:hAnsi="仿宋" w:eastAsia="仿宋"/>
                <w:color w:val="auto"/>
              </w:rPr>
              <w:br w:type="textWrapping"/>
            </w:r>
            <w:r>
              <w:rPr>
                <w:rFonts w:hint="eastAsia" w:ascii="仿宋" w:hAnsi="仿宋" w:eastAsia="仿宋"/>
                <w:color w:val="auto"/>
              </w:rPr>
              <w:t>4.系统支持任意格式音频、视频，无需对剪辑进行事先转码。</w:t>
            </w:r>
            <w:r>
              <w:rPr>
                <w:rFonts w:hint="eastAsia" w:ascii="仿宋" w:hAnsi="仿宋" w:eastAsia="仿宋"/>
                <w:color w:val="auto"/>
              </w:rPr>
              <w:br w:type="textWrapping"/>
            </w:r>
            <w:r>
              <w:rPr>
                <w:rFonts w:hint="eastAsia" w:ascii="仿宋" w:hAnsi="仿宋" w:eastAsia="仿宋"/>
                <w:color w:val="auto"/>
              </w:rPr>
              <w:t>5.系统支持多轨道音视频编辑，自定义创建多个轨道，且支持对轨道进行单独锁定、静音灯操作。</w:t>
            </w:r>
            <w:r>
              <w:rPr>
                <w:rFonts w:hint="eastAsia" w:ascii="仿宋" w:hAnsi="仿宋" w:eastAsia="仿宋"/>
                <w:color w:val="auto"/>
              </w:rPr>
              <w:br w:type="textWrapping"/>
            </w:r>
            <w:r>
              <w:rPr>
                <w:rFonts w:hint="eastAsia" w:ascii="仿宋" w:hAnsi="仿宋" w:eastAsia="仿宋"/>
                <w:color w:val="auto"/>
              </w:rPr>
              <w:t>6.系统支持多样化素材导入，以及在线资源库，满足用户对素材类型、数量的需求。</w:t>
            </w:r>
            <w:r>
              <w:rPr>
                <w:rFonts w:hint="eastAsia" w:ascii="仿宋" w:hAnsi="仿宋" w:eastAsia="仿宋"/>
                <w:color w:val="auto"/>
              </w:rPr>
              <w:br w:type="textWrapping"/>
            </w:r>
            <w:r>
              <w:rPr>
                <w:rFonts w:hint="eastAsia" w:ascii="仿宋" w:hAnsi="仿宋" w:eastAsia="仿宋"/>
                <w:color w:val="auto"/>
              </w:rPr>
              <w:t>7.系统支持创建平面字幕，可以设置对齐和分布，字符间距和行间距调整，系统字体选择器，支持字体集合。</w:t>
            </w:r>
            <w:r>
              <w:rPr>
                <w:rFonts w:hint="eastAsia" w:ascii="仿宋" w:hAnsi="仿宋" w:eastAsia="仿宋"/>
                <w:color w:val="auto"/>
              </w:rPr>
              <w:br w:type="textWrapping"/>
            </w:r>
            <w:r>
              <w:rPr>
                <w:rFonts w:hint="eastAsia" w:ascii="仿宋" w:hAnsi="仿宋" w:eastAsia="仿宋"/>
                <w:color w:val="auto"/>
              </w:rPr>
              <w:t>8.系统支持内建爬行和滚动字幕动画工具，支持Unicode解码器，支持旋转和缩放，支持添加图像、模板等。</w:t>
            </w:r>
            <w:r>
              <w:rPr>
                <w:rFonts w:hint="eastAsia" w:ascii="仿宋" w:hAnsi="仿宋" w:eastAsia="仿宋"/>
                <w:color w:val="auto"/>
              </w:rPr>
              <w:br w:type="textWrapping"/>
            </w:r>
            <w:r>
              <w:rPr>
                <w:rFonts w:hint="eastAsia" w:ascii="仿宋" w:hAnsi="仿宋" w:eastAsia="仿宋"/>
                <w:color w:val="auto"/>
              </w:rPr>
              <w:t>9.系统支持多种效果和转场，提供数十种效果可供选择，从颜色校正到音频调整，以及常规变形选项等。</w:t>
            </w:r>
            <w:r>
              <w:rPr>
                <w:rFonts w:hint="eastAsia" w:ascii="仿宋" w:hAnsi="仿宋" w:eastAsia="仿宋"/>
                <w:color w:val="auto"/>
              </w:rPr>
              <w:br w:type="textWrapping"/>
            </w:r>
            <w:r>
              <w:rPr>
                <w:rFonts w:hint="eastAsia" w:ascii="仿宋" w:hAnsi="仿宋" w:eastAsia="仿宋"/>
                <w:color w:val="auto"/>
              </w:rPr>
              <w:t>10.系统支持实时滤镜、键、转场、字幕，并具有特效滤镜、画面稳定器和VST音频滤镜等多种插件。</w:t>
            </w:r>
            <w:r>
              <w:rPr>
                <w:rFonts w:hint="eastAsia" w:ascii="仿宋" w:hAnsi="仿宋" w:eastAsia="仿宋"/>
                <w:color w:val="auto"/>
              </w:rPr>
              <w:br w:type="textWrapping"/>
            </w:r>
            <w:r>
              <w:rPr>
                <w:rFonts w:hint="eastAsia" w:ascii="仿宋" w:hAnsi="仿宋" w:eastAsia="仿宋"/>
                <w:color w:val="auto"/>
              </w:rPr>
              <w:t>11.系统支持高码率素材自动创建低分辨率副本，在配置较低的计算机上可以进行流畅编辑，输出时自动生成完全分辨率的高码率视频。</w:t>
            </w:r>
            <w:r>
              <w:rPr>
                <w:rFonts w:hint="eastAsia" w:ascii="仿宋" w:hAnsi="仿宋" w:eastAsia="仿宋"/>
                <w:color w:val="auto"/>
              </w:rPr>
              <w:br w:type="textWrapping"/>
            </w:r>
            <w:r>
              <w:rPr>
                <w:rFonts w:hint="eastAsia" w:ascii="仿宋" w:hAnsi="仿宋" w:eastAsia="仿宋"/>
                <w:color w:val="auto"/>
              </w:rPr>
              <w:t>12.系统支持在代理码率和高分辨率模式之间快速切换时间线内容，以便更加高效的进行新闻编辑。</w:t>
            </w:r>
            <w:r>
              <w:rPr>
                <w:rFonts w:hint="eastAsia" w:ascii="仿宋" w:hAnsi="仿宋" w:eastAsia="仿宋"/>
                <w:color w:val="auto"/>
              </w:rPr>
              <w:br w:type="textWrapping"/>
            </w:r>
            <w:r>
              <w:rPr>
                <w:rFonts w:hint="eastAsia" w:ascii="仿宋" w:hAnsi="仿宋" w:eastAsia="仿宋"/>
                <w:color w:val="auto"/>
              </w:rPr>
              <w:t>13.系统支持项目文件每隔几分钟就会自动备份。前一次保存的项目会自动备份以防需要恢复到旧版文件使用。</w:t>
            </w:r>
            <w:r>
              <w:rPr>
                <w:rFonts w:hint="eastAsia" w:ascii="仿宋" w:hAnsi="仿宋" w:eastAsia="仿宋"/>
                <w:color w:val="auto"/>
              </w:rPr>
              <w:br w:type="textWrapping"/>
            </w:r>
            <w:r>
              <w:rPr>
                <w:rFonts w:hint="eastAsia" w:ascii="仿宋" w:hAnsi="仿宋" w:eastAsia="仿宋"/>
                <w:color w:val="auto"/>
              </w:rPr>
              <w:t>14.系统支持时间轴预览。高分辨率且带有复杂效果的项目有时无法进行实时回放，而时间轴预览可以对时间轴的部分区段进行预渲染，来得到平滑的播放效果。</w:t>
            </w:r>
            <w:r>
              <w:rPr>
                <w:rFonts w:hint="eastAsia" w:ascii="仿宋" w:hAnsi="仿宋" w:eastAsia="仿宋"/>
                <w:color w:val="auto"/>
              </w:rPr>
              <w:br w:type="textWrapping"/>
            </w:r>
            <w:r>
              <w:rPr>
                <w:rFonts w:hint="eastAsia" w:ascii="仿宋" w:hAnsi="仿宋" w:eastAsia="仿宋"/>
                <w:color w:val="auto"/>
              </w:rPr>
              <w:t>15.系统支持通过关键帧调整效果。大多数效果可以通过关键帧调整，可以按照时间更改参数，使用线性或者平滑曲线以实现目标效果。</w:t>
            </w:r>
            <w:r>
              <w:rPr>
                <w:rFonts w:hint="eastAsia" w:ascii="仿宋" w:hAnsi="仿宋" w:eastAsia="仿宋"/>
                <w:color w:val="auto"/>
              </w:rPr>
              <w:br w:type="textWrapping"/>
            </w:r>
            <w:r>
              <w:rPr>
                <w:rFonts w:hint="eastAsia" w:ascii="仿宋" w:hAnsi="仿宋" w:eastAsia="仿宋"/>
                <w:color w:val="auto"/>
              </w:rPr>
              <w:t>16.系统支持监控音频的音量水平，检查颜色示波器信息以确保输出效果保持正确的平衡。</w:t>
            </w:r>
            <w:r>
              <w:rPr>
                <w:rFonts w:hint="eastAsia" w:ascii="仿宋" w:hAnsi="仿宋" w:eastAsia="仿宋"/>
                <w:color w:val="auto"/>
              </w:rPr>
              <w:br w:type="textWrapping"/>
            </w:r>
            <w:r>
              <w:rPr>
                <w:rFonts w:hint="eastAsia" w:ascii="仿宋" w:hAnsi="仿宋" w:eastAsia="仿宋"/>
                <w:color w:val="auto"/>
              </w:rPr>
              <w:t>17.系统支持音量计、直方图、波形图、示波器、RGB Parade 颜色分量直方图等多种属性查看。</w:t>
            </w:r>
            <w:r>
              <w:rPr>
                <w:rFonts w:hint="eastAsia" w:ascii="仿宋" w:hAnsi="仿宋" w:eastAsia="仿宋"/>
                <w:color w:val="auto"/>
              </w:rPr>
              <w:br w:type="textWrapping"/>
            </w:r>
            <w:r>
              <w:rPr>
                <w:rFonts w:hint="eastAsia" w:ascii="仿宋" w:hAnsi="仿宋" w:eastAsia="仿宋"/>
                <w:color w:val="auto"/>
              </w:rPr>
              <w:t>18.系统支持音视频预览时，示波器有颜色区分。</w:t>
            </w:r>
            <w:r>
              <w:rPr>
                <w:rFonts w:hint="eastAsia" w:ascii="仿宋" w:hAnsi="仿宋" w:eastAsia="仿宋"/>
                <w:color w:val="auto"/>
              </w:rPr>
              <w:br w:type="textWrapping"/>
            </w:r>
            <w:r>
              <w:rPr>
                <w:rFonts w:hint="eastAsia" w:ascii="仿宋" w:hAnsi="仿宋" w:eastAsia="仿宋"/>
                <w:color w:val="auto"/>
              </w:rPr>
              <w:t>19.系统支持转场和字幕模板下载，可方便获取素材。</w:t>
            </w:r>
            <w:r>
              <w:rPr>
                <w:rFonts w:hint="eastAsia" w:ascii="仿宋" w:hAnsi="仿宋" w:eastAsia="仿宋"/>
                <w:color w:val="auto"/>
              </w:rPr>
              <w:br w:type="textWrapping"/>
            </w:r>
            <w:r>
              <w:rPr>
                <w:rFonts w:hint="eastAsia" w:ascii="仿宋" w:hAnsi="仿宋" w:eastAsia="仿宋"/>
                <w:color w:val="auto"/>
              </w:rPr>
              <w:t>20.系统支持支持轨道上视频的编辑，包括拆分、删除、拼接、插入其他视频，去掉音频灯操作。</w:t>
            </w:r>
            <w:r>
              <w:rPr>
                <w:rFonts w:hint="eastAsia" w:ascii="仿宋" w:hAnsi="仿宋" w:eastAsia="仿宋"/>
                <w:color w:val="auto"/>
              </w:rPr>
              <w:br w:type="textWrapping"/>
            </w:r>
            <w:r>
              <w:rPr>
                <w:rFonts w:hint="eastAsia" w:ascii="仿宋" w:hAnsi="仿宋" w:eastAsia="仿宋"/>
                <w:color w:val="auto"/>
              </w:rPr>
              <w:t>21.为确保系统兼容性与稳定性，要求本系统软件与“虚拟演播系统软件”为同一品牌。</w:t>
            </w:r>
            <w:r>
              <w:rPr>
                <w:rFonts w:hint="eastAsia" w:ascii="仿宋" w:hAnsi="仿宋" w:eastAsia="仿宋"/>
                <w:color w:val="auto"/>
              </w:rPr>
              <w:br w:type="textWrapping"/>
            </w:r>
            <w:r>
              <w:rPr>
                <w:rFonts w:hint="eastAsia" w:ascii="仿宋" w:hAnsi="仿宋" w:eastAsia="仿宋"/>
                <w:color w:val="auto"/>
              </w:rPr>
              <w:t>22.非编工作站配置：不低于I7-12700/16G/1T固态盘/6G独立显卡/27英寸高清显示器/键鼠。</w:t>
            </w:r>
          </w:p>
          <w:p w14:paraId="1E7DB7F0">
            <w:pPr>
              <w:widowControl/>
              <w:snapToGrid w:val="0"/>
              <w:jc w:val="left"/>
              <w:rPr>
                <w:rFonts w:hint="eastAsia" w:ascii="仿宋" w:hAnsi="仿宋" w:eastAsia="仿宋"/>
                <w:color w:val="auto"/>
              </w:rPr>
            </w:pPr>
            <w:r>
              <w:rPr>
                <w:rFonts w:hint="eastAsia" w:ascii="仿宋" w:hAnsi="仿宋" w:eastAsia="仿宋"/>
                <w:color w:val="auto"/>
              </w:rPr>
              <w:t>1. 所投产品须具有自主知识产权，提供对应产品的计算机软件著作权登记证</w:t>
            </w:r>
          </w:p>
          <w:p w14:paraId="3A83462F">
            <w:pPr>
              <w:pStyle w:val="2"/>
              <w:snapToGrid w:val="0"/>
              <w:jc w:val="left"/>
              <w:rPr>
                <w:rFonts w:ascii="仿宋" w:eastAsia="仿宋"/>
                <w:color w:val="auto"/>
                <w:sz w:val="21"/>
              </w:rPr>
            </w:pPr>
            <w:r>
              <w:rPr>
                <w:rFonts w:hint="eastAsia" w:ascii="仿宋" w:hAnsi="仿宋" w:eastAsia="仿宋"/>
                <w:color w:val="auto"/>
                <w:sz w:val="21"/>
                <w:szCs w:val="21"/>
              </w:rPr>
              <w:t>2. 证书对应的软件功能应能支撑本项目相应设备使用。</w:t>
            </w:r>
          </w:p>
        </w:tc>
        <w:tc>
          <w:tcPr>
            <w:tcW w:w="0" w:type="auto"/>
            <w:vAlign w:val="center"/>
          </w:tcPr>
          <w:p w14:paraId="0E066671">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43526D3F">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0CDB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A8D5C33">
            <w:pPr>
              <w:widowControl/>
              <w:snapToGrid w:val="0"/>
              <w:jc w:val="center"/>
              <w:rPr>
                <w:rFonts w:hint="eastAsia" w:ascii="仿宋" w:hAnsi="仿宋" w:eastAsia="仿宋"/>
                <w:color w:val="auto"/>
                <w:kern w:val="0"/>
              </w:rPr>
            </w:pPr>
            <w:r>
              <w:rPr>
                <w:rFonts w:ascii="仿宋" w:hAnsi="仿宋" w:eastAsia="仿宋" w:cs="宋体"/>
                <w:color w:val="auto"/>
                <w:kern w:val="0"/>
              </w:rPr>
              <w:t>5</w:t>
            </w:r>
          </w:p>
        </w:tc>
        <w:tc>
          <w:tcPr>
            <w:tcW w:w="996" w:type="dxa"/>
            <w:vAlign w:val="center"/>
          </w:tcPr>
          <w:p w14:paraId="24347E46">
            <w:pPr>
              <w:widowControl/>
              <w:snapToGrid w:val="0"/>
              <w:jc w:val="center"/>
              <w:rPr>
                <w:rFonts w:hint="eastAsia" w:ascii="仿宋" w:hAnsi="仿宋" w:eastAsia="仿宋"/>
                <w:color w:val="auto"/>
              </w:rPr>
            </w:pPr>
            <w:r>
              <w:rPr>
                <w:rFonts w:hint="eastAsia" w:ascii="仿宋" w:hAnsi="仿宋" w:eastAsia="仿宋" w:cs="宋体"/>
                <w:color w:val="auto"/>
                <w:kern w:val="0"/>
              </w:rPr>
              <w:t>专业高清摄像机</w:t>
            </w:r>
          </w:p>
        </w:tc>
        <w:tc>
          <w:tcPr>
            <w:tcW w:w="6650" w:type="dxa"/>
            <w:vAlign w:val="center"/>
          </w:tcPr>
          <w:p w14:paraId="1B11229F">
            <w:pPr>
              <w:widowControl/>
              <w:snapToGrid w:val="0"/>
              <w:jc w:val="left"/>
              <w:rPr>
                <w:rFonts w:hint="eastAsia" w:ascii="仿宋" w:hAnsi="仿宋" w:eastAsia="仿宋"/>
                <w:color w:val="auto"/>
              </w:rPr>
            </w:pPr>
            <w:r>
              <w:rPr>
                <w:rFonts w:hint="eastAsia" w:ascii="仿宋" w:hAnsi="仿宋" w:eastAsia="仿宋"/>
                <w:color w:val="auto"/>
              </w:rPr>
              <w:t>·  传感器：≥1 英寸 CMOS 传感器，有效像素≥1200 万</w:t>
            </w:r>
          </w:p>
          <w:p w14:paraId="4D653C70">
            <w:pPr>
              <w:widowControl/>
              <w:snapToGrid w:val="0"/>
              <w:jc w:val="left"/>
              <w:rPr>
                <w:rFonts w:hint="eastAsia" w:ascii="仿宋" w:hAnsi="仿宋" w:eastAsia="仿宋"/>
                <w:color w:val="auto"/>
              </w:rPr>
            </w:pPr>
            <w:r>
              <w:rPr>
                <w:rFonts w:hint="eastAsia" w:ascii="仿宋" w:hAnsi="仿宋" w:eastAsia="仿宋"/>
                <w:color w:val="auto"/>
              </w:rPr>
              <w:t>·  影像处理器：高性能专业影像处理器（删除 BIONZ XR）</w:t>
            </w:r>
          </w:p>
          <w:p w14:paraId="17081A8C">
            <w:pPr>
              <w:widowControl/>
              <w:snapToGrid w:val="0"/>
              <w:jc w:val="left"/>
              <w:rPr>
                <w:rFonts w:hint="eastAsia" w:ascii="仿宋" w:hAnsi="仿宋" w:eastAsia="仿宋"/>
                <w:color w:val="auto"/>
              </w:rPr>
            </w:pPr>
            <w:r>
              <w:rPr>
                <w:rFonts w:hint="eastAsia" w:ascii="仿宋" w:hAnsi="仿宋" w:eastAsia="仿宋"/>
                <w:color w:val="auto"/>
              </w:rPr>
              <w:t>·  镜头：光学变焦≥20 倍，等效 35mm 焦距≥24-480mm，最大光圈≤F2.8-F4.5，滤镜直径≥72mm</w:t>
            </w:r>
          </w:p>
          <w:p w14:paraId="4A6A4F1D">
            <w:pPr>
              <w:widowControl/>
              <w:snapToGrid w:val="0"/>
              <w:jc w:val="left"/>
              <w:rPr>
                <w:rFonts w:hint="eastAsia" w:ascii="仿宋" w:hAnsi="仿宋" w:eastAsia="仿宋"/>
                <w:color w:val="auto"/>
              </w:rPr>
            </w:pPr>
            <w:r>
              <w:rPr>
                <w:rFonts w:hint="eastAsia" w:ascii="仿宋" w:hAnsi="仿宋" w:eastAsia="仿宋"/>
                <w:color w:val="auto"/>
              </w:rPr>
              <w:t>·  显示：≥3.5 英寸 LCD 触摸屏，取景器为 OLED 电子取景器</w:t>
            </w:r>
          </w:p>
          <w:p w14:paraId="3BFD2FDC">
            <w:pPr>
              <w:widowControl/>
              <w:snapToGrid w:val="0"/>
              <w:jc w:val="left"/>
              <w:rPr>
                <w:rFonts w:hint="eastAsia" w:ascii="仿宋" w:hAnsi="仿宋" w:eastAsia="仿宋"/>
                <w:color w:val="auto"/>
              </w:rPr>
            </w:pPr>
            <w:r>
              <w:rPr>
                <w:rFonts w:hint="eastAsia" w:ascii="仿宋" w:hAnsi="仿宋" w:eastAsia="仿宋"/>
                <w:color w:val="auto"/>
              </w:rPr>
              <w:t>·  拍摄：支持 4K@60p 录制，支持 HDR，快门速度≥64F～1/8000s，最低照度≤1.2 lx</w:t>
            </w:r>
          </w:p>
          <w:p w14:paraId="13CEAE21">
            <w:pPr>
              <w:widowControl/>
              <w:snapToGrid w:val="0"/>
              <w:jc w:val="left"/>
              <w:rPr>
                <w:rFonts w:hint="eastAsia" w:ascii="仿宋" w:hAnsi="仿宋" w:eastAsia="仿宋"/>
                <w:color w:val="auto"/>
              </w:rPr>
            </w:pPr>
            <w:r>
              <w:rPr>
                <w:rFonts w:hint="eastAsia" w:ascii="仿宋" w:hAnsi="仿宋" w:eastAsia="仿宋"/>
                <w:color w:val="auto"/>
              </w:rPr>
              <w:t>·  对焦：支持自动 / 手动对焦，最近对焦≤1cm</w:t>
            </w:r>
          </w:p>
          <w:p w14:paraId="4FF316AE">
            <w:pPr>
              <w:widowControl/>
              <w:snapToGrid w:val="0"/>
              <w:jc w:val="left"/>
              <w:rPr>
                <w:rFonts w:hint="eastAsia" w:ascii="仿宋" w:hAnsi="仿宋" w:eastAsia="仿宋"/>
                <w:color w:val="auto"/>
              </w:rPr>
            </w:pPr>
            <w:r>
              <w:rPr>
                <w:rFonts w:hint="eastAsia" w:ascii="仿宋" w:hAnsi="仿宋" w:eastAsia="仿宋"/>
                <w:color w:val="auto"/>
              </w:rPr>
              <w:t>·  录制格式：支持 XAVC S / HS 或同等专业编码，兼容 H.264 / H.265</w:t>
            </w:r>
          </w:p>
          <w:p w14:paraId="4F9DCCF2">
            <w:pPr>
              <w:widowControl/>
              <w:snapToGrid w:val="0"/>
              <w:jc w:val="left"/>
              <w:rPr>
                <w:rFonts w:hint="eastAsia" w:ascii="仿宋" w:hAnsi="仿宋" w:eastAsia="仿宋"/>
                <w:color w:val="auto"/>
              </w:rPr>
            </w:pPr>
            <w:r>
              <w:rPr>
                <w:rFonts w:hint="eastAsia" w:ascii="仿宋" w:hAnsi="仿宋" w:eastAsia="仿宋"/>
                <w:color w:val="auto"/>
              </w:rPr>
              <w:t>·  音频：双 XLR 音频接口，支持≥4 声道录音</w:t>
            </w:r>
          </w:p>
          <w:p w14:paraId="6429CE9B">
            <w:pPr>
              <w:widowControl/>
              <w:snapToGrid w:val="0"/>
              <w:jc w:val="left"/>
              <w:rPr>
                <w:rFonts w:hint="eastAsia" w:ascii="仿宋" w:hAnsi="仿宋" w:eastAsia="仿宋"/>
                <w:color w:val="auto"/>
              </w:rPr>
            </w:pPr>
            <w:r>
              <w:rPr>
                <w:rFonts w:hint="eastAsia" w:ascii="仿宋" w:hAnsi="仿宋" w:eastAsia="仿宋"/>
                <w:color w:val="auto"/>
              </w:rPr>
              <w:t>·  存储：双 SD 卡槽，支持同步 / 备份录制</w:t>
            </w:r>
          </w:p>
          <w:p w14:paraId="1889D337">
            <w:pPr>
              <w:widowControl/>
              <w:snapToGrid w:val="0"/>
              <w:jc w:val="left"/>
              <w:rPr>
                <w:rFonts w:hint="eastAsia" w:ascii="仿宋" w:hAnsi="仿宋" w:eastAsia="仿宋"/>
                <w:color w:val="auto"/>
              </w:rPr>
            </w:pPr>
            <w:r>
              <w:rPr>
                <w:rFonts w:hint="eastAsia" w:ascii="仿宋" w:hAnsi="仿宋" w:eastAsia="仿宋"/>
                <w:color w:val="auto"/>
              </w:rPr>
              <w:t>·  电池：专用锂电池，续航≥6 小时</w:t>
            </w:r>
          </w:p>
          <w:p w14:paraId="39100D05">
            <w:pPr>
              <w:widowControl/>
              <w:snapToGrid w:val="0"/>
              <w:jc w:val="left"/>
              <w:rPr>
                <w:rFonts w:hint="eastAsia" w:ascii="仿宋" w:hAnsi="仿宋" w:eastAsia="仿宋"/>
                <w:color w:val="auto"/>
              </w:rPr>
            </w:pPr>
            <w:r>
              <w:rPr>
                <w:rFonts w:hint="eastAsia" w:ascii="仿宋" w:hAnsi="仿宋" w:eastAsia="仿宋"/>
                <w:color w:val="auto"/>
              </w:rPr>
              <w:t>·  外观：重量≤3.5kg，人体工学设计</w:t>
            </w:r>
          </w:p>
        </w:tc>
        <w:tc>
          <w:tcPr>
            <w:tcW w:w="0" w:type="auto"/>
            <w:vAlign w:val="center"/>
          </w:tcPr>
          <w:p w14:paraId="46388C21">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w:t>
            </w:r>
          </w:p>
        </w:tc>
        <w:tc>
          <w:tcPr>
            <w:tcW w:w="492" w:type="dxa"/>
            <w:vAlign w:val="center"/>
          </w:tcPr>
          <w:p w14:paraId="299ECC04">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584D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537F987">
            <w:pPr>
              <w:widowControl/>
              <w:snapToGrid w:val="0"/>
              <w:jc w:val="center"/>
              <w:rPr>
                <w:rFonts w:hint="eastAsia" w:ascii="仿宋" w:hAnsi="仿宋" w:eastAsia="仿宋"/>
                <w:color w:val="auto"/>
                <w:kern w:val="0"/>
              </w:rPr>
            </w:pPr>
            <w:r>
              <w:rPr>
                <w:rFonts w:hint="eastAsia" w:ascii="仿宋" w:hAnsi="仿宋" w:eastAsia="仿宋" w:cs="宋体"/>
                <w:color w:val="auto"/>
                <w:kern w:val="0"/>
              </w:rPr>
              <w:t>6</w:t>
            </w:r>
          </w:p>
        </w:tc>
        <w:tc>
          <w:tcPr>
            <w:tcW w:w="996" w:type="dxa"/>
            <w:vAlign w:val="center"/>
          </w:tcPr>
          <w:p w14:paraId="76EBF5D1">
            <w:pPr>
              <w:widowControl/>
              <w:snapToGrid w:val="0"/>
              <w:jc w:val="center"/>
              <w:rPr>
                <w:rFonts w:hint="eastAsia" w:ascii="仿宋" w:hAnsi="仿宋" w:eastAsia="仿宋"/>
                <w:color w:val="auto"/>
              </w:rPr>
            </w:pPr>
            <w:r>
              <w:rPr>
                <w:rFonts w:hint="eastAsia" w:ascii="仿宋" w:hAnsi="仿宋" w:eastAsia="仿宋" w:cs="宋体"/>
                <w:color w:val="auto"/>
                <w:kern w:val="0"/>
              </w:rPr>
              <w:t>高速存储卡</w:t>
            </w:r>
          </w:p>
        </w:tc>
        <w:tc>
          <w:tcPr>
            <w:tcW w:w="6650" w:type="dxa"/>
            <w:vAlign w:val="center"/>
          </w:tcPr>
          <w:p w14:paraId="51781976">
            <w:pPr>
              <w:widowControl/>
              <w:snapToGrid w:val="0"/>
              <w:jc w:val="left"/>
              <w:rPr>
                <w:rFonts w:hint="eastAsia" w:ascii="仿宋" w:hAnsi="仿宋" w:eastAsia="仿宋"/>
                <w:color w:val="auto"/>
              </w:rPr>
            </w:pPr>
            <w:r>
              <w:rPr>
                <w:rFonts w:hint="eastAsia" w:ascii="仿宋" w:hAnsi="仿宋" w:eastAsia="仿宋"/>
                <w:color w:val="auto"/>
              </w:rPr>
              <w:t>·  类型：SDXC 存储卡</w:t>
            </w:r>
          </w:p>
          <w:p w14:paraId="0677DCD1">
            <w:pPr>
              <w:widowControl/>
              <w:snapToGrid w:val="0"/>
              <w:jc w:val="left"/>
              <w:rPr>
                <w:rFonts w:hint="eastAsia" w:ascii="仿宋" w:hAnsi="仿宋" w:eastAsia="仿宋"/>
                <w:color w:val="auto"/>
              </w:rPr>
            </w:pPr>
            <w:r>
              <w:rPr>
                <w:rFonts w:hint="eastAsia" w:ascii="仿宋" w:hAnsi="仿宋" w:eastAsia="仿宋"/>
                <w:color w:val="auto"/>
              </w:rPr>
              <w:t>·  容量：≥128GB</w:t>
            </w:r>
          </w:p>
          <w:p w14:paraId="6CF925F7">
            <w:pPr>
              <w:widowControl/>
              <w:snapToGrid w:val="0"/>
              <w:jc w:val="left"/>
              <w:rPr>
                <w:rFonts w:hint="eastAsia" w:ascii="仿宋" w:hAnsi="仿宋" w:eastAsia="仿宋"/>
                <w:color w:val="auto"/>
              </w:rPr>
            </w:pPr>
            <w:r>
              <w:rPr>
                <w:rFonts w:hint="eastAsia" w:ascii="仿宋" w:hAnsi="仿宋" w:eastAsia="仿宋"/>
                <w:color w:val="auto"/>
              </w:rPr>
              <w:t>·  读取速度：≥200MB/s</w:t>
            </w:r>
          </w:p>
          <w:p w14:paraId="41CF3D38">
            <w:pPr>
              <w:widowControl/>
              <w:snapToGrid w:val="0"/>
              <w:jc w:val="left"/>
              <w:rPr>
                <w:rFonts w:hint="eastAsia" w:ascii="仿宋" w:hAnsi="仿宋" w:eastAsia="仿宋"/>
                <w:color w:val="auto"/>
              </w:rPr>
            </w:pPr>
            <w:r>
              <w:rPr>
                <w:rFonts w:hint="eastAsia" w:ascii="仿宋" w:hAnsi="仿宋" w:eastAsia="仿宋"/>
                <w:color w:val="auto"/>
              </w:rPr>
              <w:t>·  写入速度：≥90MB/s</w:t>
            </w:r>
          </w:p>
          <w:p w14:paraId="775C75D2">
            <w:pPr>
              <w:widowControl/>
              <w:snapToGrid w:val="0"/>
              <w:jc w:val="left"/>
              <w:rPr>
                <w:rFonts w:hint="eastAsia" w:ascii="仿宋" w:hAnsi="仿宋" w:eastAsia="仿宋"/>
                <w:color w:val="auto"/>
              </w:rPr>
            </w:pPr>
            <w:r>
              <w:rPr>
                <w:rFonts w:hint="eastAsia" w:ascii="仿宋" w:hAnsi="仿宋" w:eastAsia="仿宋"/>
                <w:color w:val="auto"/>
              </w:rPr>
              <w:t>·  性能等级：支持 4K 视频录制，U3、V30 及以上</w:t>
            </w:r>
          </w:p>
          <w:p w14:paraId="50679A93">
            <w:pPr>
              <w:widowControl/>
              <w:snapToGrid w:val="0"/>
              <w:jc w:val="left"/>
              <w:rPr>
                <w:rFonts w:hint="eastAsia" w:ascii="仿宋" w:hAnsi="仿宋" w:eastAsia="仿宋"/>
                <w:color w:val="auto"/>
              </w:rPr>
            </w:pPr>
            <w:r>
              <w:rPr>
                <w:rFonts w:hint="eastAsia" w:ascii="仿宋" w:hAnsi="仿宋" w:eastAsia="仿宋"/>
                <w:color w:val="auto"/>
              </w:rPr>
              <w:t>·  兼容性：兼容专业摄像机 / 相机 UHS-I 接口</w:t>
            </w:r>
          </w:p>
        </w:tc>
        <w:tc>
          <w:tcPr>
            <w:tcW w:w="0" w:type="auto"/>
            <w:vAlign w:val="center"/>
          </w:tcPr>
          <w:p w14:paraId="536C55B7">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w:t>
            </w:r>
          </w:p>
        </w:tc>
        <w:tc>
          <w:tcPr>
            <w:tcW w:w="492" w:type="dxa"/>
            <w:vAlign w:val="center"/>
          </w:tcPr>
          <w:p w14:paraId="69F86450">
            <w:pPr>
              <w:widowControl/>
              <w:snapToGrid w:val="0"/>
              <w:jc w:val="center"/>
              <w:rPr>
                <w:rFonts w:hint="eastAsia" w:ascii="仿宋" w:hAnsi="仿宋" w:eastAsia="仿宋" w:cs="Calibri"/>
                <w:color w:val="auto"/>
                <w:kern w:val="0"/>
              </w:rPr>
            </w:pPr>
            <w:r>
              <w:rPr>
                <w:rFonts w:hint="eastAsia" w:ascii="仿宋" w:hAnsi="仿宋" w:eastAsia="仿宋"/>
                <w:color w:val="auto"/>
              </w:rPr>
              <w:t>块</w:t>
            </w:r>
          </w:p>
        </w:tc>
      </w:tr>
      <w:tr w14:paraId="3442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8008C94">
            <w:pPr>
              <w:widowControl/>
              <w:snapToGrid w:val="0"/>
              <w:jc w:val="center"/>
              <w:rPr>
                <w:rFonts w:hint="eastAsia" w:ascii="仿宋" w:hAnsi="仿宋" w:eastAsia="仿宋"/>
                <w:color w:val="auto"/>
                <w:kern w:val="0"/>
              </w:rPr>
            </w:pPr>
            <w:r>
              <w:rPr>
                <w:rFonts w:hint="eastAsia" w:ascii="仿宋" w:hAnsi="仿宋" w:eastAsia="仿宋" w:cs="宋体"/>
                <w:color w:val="auto"/>
                <w:kern w:val="0"/>
              </w:rPr>
              <w:t>7</w:t>
            </w:r>
          </w:p>
        </w:tc>
        <w:tc>
          <w:tcPr>
            <w:tcW w:w="996" w:type="dxa"/>
            <w:vAlign w:val="center"/>
          </w:tcPr>
          <w:p w14:paraId="186D6522">
            <w:pPr>
              <w:widowControl/>
              <w:snapToGrid w:val="0"/>
              <w:jc w:val="center"/>
              <w:rPr>
                <w:rFonts w:hint="eastAsia" w:ascii="仿宋" w:hAnsi="仿宋" w:eastAsia="仿宋"/>
                <w:color w:val="auto"/>
              </w:rPr>
            </w:pPr>
            <w:r>
              <w:rPr>
                <w:rFonts w:hint="eastAsia" w:ascii="仿宋" w:hAnsi="仿宋" w:eastAsia="仿宋" w:cs="宋体"/>
                <w:color w:val="auto"/>
                <w:kern w:val="0"/>
              </w:rPr>
              <w:t>三角架</w:t>
            </w:r>
          </w:p>
        </w:tc>
        <w:tc>
          <w:tcPr>
            <w:tcW w:w="6650" w:type="dxa"/>
            <w:vAlign w:val="center"/>
          </w:tcPr>
          <w:p w14:paraId="635746AF">
            <w:pPr>
              <w:widowControl/>
              <w:snapToGrid w:val="0"/>
              <w:jc w:val="left"/>
              <w:rPr>
                <w:rFonts w:hint="eastAsia" w:ascii="仿宋" w:hAnsi="仿宋" w:eastAsia="仿宋"/>
                <w:color w:val="auto"/>
              </w:rPr>
            </w:pPr>
            <w:r>
              <w:rPr>
                <w:rFonts w:hint="eastAsia" w:ascii="仿宋" w:hAnsi="仿宋" w:eastAsia="仿宋"/>
                <w:color w:val="auto"/>
              </w:rPr>
              <w:t>专业三脚架（含脚轮 / 滑轮）</w:t>
            </w:r>
          </w:p>
          <w:p w14:paraId="2F7996CA">
            <w:pPr>
              <w:widowControl/>
              <w:snapToGrid w:val="0"/>
              <w:jc w:val="left"/>
              <w:rPr>
                <w:rFonts w:hint="eastAsia" w:ascii="仿宋" w:hAnsi="仿宋" w:eastAsia="仿宋"/>
                <w:color w:val="auto"/>
              </w:rPr>
            </w:pPr>
            <w:r>
              <w:rPr>
                <w:rFonts w:hint="eastAsia" w:ascii="仿宋" w:hAnsi="仿宋" w:eastAsia="仿宋"/>
                <w:color w:val="auto"/>
              </w:rPr>
              <w:t>云台类型：液压阻尼云台（带手柄，360° 旋转，俯仰可调）</w:t>
            </w:r>
          </w:p>
          <w:p w14:paraId="1E4ACDFC">
            <w:pPr>
              <w:widowControl/>
              <w:snapToGrid w:val="0"/>
              <w:jc w:val="left"/>
              <w:rPr>
                <w:rFonts w:hint="eastAsia" w:ascii="仿宋" w:hAnsi="仿宋" w:eastAsia="仿宋"/>
                <w:color w:val="auto"/>
              </w:rPr>
            </w:pPr>
            <w:r>
              <w:rPr>
                <w:rFonts w:hint="eastAsia" w:ascii="仿宋" w:hAnsi="仿宋" w:eastAsia="仿宋"/>
                <w:color w:val="auto"/>
              </w:rPr>
              <w:t>接口：标配 1/4"+ 3/8" 通用螺丝</w:t>
            </w:r>
          </w:p>
          <w:p w14:paraId="24766672">
            <w:pPr>
              <w:widowControl/>
              <w:snapToGrid w:val="0"/>
              <w:jc w:val="left"/>
              <w:rPr>
                <w:rFonts w:hint="eastAsia" w:ascii="仿宋" w:hAnsi="仿宋" w:eastAsia="仿宋"/>
                <w:color w:val="auto"/>
              </w:rPr>
            </w:pPr>
            <w:r>
              <w:rPr>
                <w:rFonts w:hint="eastAsia" w:ascii="仿宋" w:hAnsi="仿宋" w:eastAsia="仿宋"/>
                <w:color w:val="auto"/>
              </w:rPr>
              <w:t>材质：高强度铝合金</w:t>
            </w:r>
          </w:p>
          <w:p w14:paraId="7B6A44B3">
            <w:pPr>
              <w:widowControl/>
              <w:snapToGrid w:val="0"/>
              <w:jc w:val="left"/>
              <w:rPr>
                <w:rFonts w:hint="eastAsia" w:ascii="仿宋" w:hAnsi="仿宋" w:eastAsia="仿宋"/>
                <w:color w:val="auto"/>
              </w:rPr>
            </w:pPr>
            <w:r>
              <w:rPr>
                <w:rFonts w:hint="eastAsia" w:ascii="仿宋" w:hAnsi="仿宋" w:eastAsia="仿宋"/>
                <w:color w:val="auto"/>
              </w:rPr>
              <w:t>节数：3 节</w:t>
            </w:r>
          </w:p>
          <w:p w14:paraId="63F9D3FB">
            <w:pPr>
              <w:widowControl/>
              <w:snapToGrid w:val="0"/>
              <w:jc w:val="left"/>
              <w:rPr>
                <w:rFonts w:hint="eastAsia" w:ascii="仿宋" w:hAnsi="仿宋" w:eastAsia="仿宋"/>
                <w:color w:val="auto"/>
              </w:rPr>
            </w:pPr>
            <w:r>
              <w:rPr>
                <w:rFonts w:hint="eastAsia" w:ascii="仿宋" w:hAnsi="仿宋" w:eastAsia="仿宋"/>
                <w:color w:val="auto"/>
              </w:rPr>
              <w:t>自重：≤4.5kg</w:t>
            </w:r>
          </w:p>
          <w:p w14:paraId="3EE56BEC">
            <w:pPr>
              <w:widowControl/>
              <w:snapToGrid w:val="0"/>
              <w:jc w:val="left"/>
              <w:rPr>
                <w:rFonts w:hint="eastAsia" w:ascii="仿宋" w:hAnsi="仿宋" w:eastAsia="仿宋"/>
                <w:color w:val="auto"/>
              </w:rPr>
            </w:pPr>
            <w:r>
              <w:rPr>
                <w:rFonts w:hint="eastAsia" w:ascii="仿宋" w:hAnsi="仿宋" w:eastAsia="仿宋"/>
                <w:color w:val="auto"/>
              </w:rPr>
              <w:t>最大承重：≥8kg</w:t>
            </w:r>
          </w:p>
          <w:p w14:paraId="11D53286">
            <w:pPr>
              <w:widowControl/>
              <w:snapToGrid w:val="0"/>
              <w:jc w:val="left"/>
              <w:rPr>
                <w:rFonts w:hint="eastAsia" w:ascii="仿宋" w:hAnsi="仿宋" w:eastAsia="仿宋"/>
                <w:color w:val="auto"/>
              </w:rPr>
            </w:pPr>
            <w:r>
              <w:rPr>
                <w:rFonts w:hint="eastAsia" w:ascii="仿宋" w:hAnsi="仿宋" w:eastAsia="仿宋"/>
                <w:color w:val="auto"/>
              </w:rPr>
              <w:t>高度范围：最低≤0.86m，最高≥1.89m</w:t>
            </w:r>
          </w:p>
          <w:p w14:paraId="36BC7315">
            <w:pPr>
              <w:widowControl/>
              <w:snapToGrid w:val="0"/>
              <w:jc w:val="left"/>
              <w:rPr>
                <w:rFonts w:hint="eastAsia" w:ascii="仿宋" w:hAnsi="仿宋" w:eastAsia="仿宋"/>
                <w:color w:val="auto"/>
              </w:rPr>
            </w:pPr>
            <w:r>
              <w:rPr>
                <w:rFonts w:hint="eastAsia" w:ascii="仿宋" w:hAnsi="仿宋" w:eastAsia="仿宋"/>
                <w:color w:val="auto"/>
              </w:rPr>
              <w:t>脚管锁：旋钮式锁紧</w:t>
            </w:r>
          </w:p>
          <w:p w14:paraId="1831CD2E">
            <w:pPr>
              <w:widowControl/>
              <w:snapToGrid w:val="0"/>
              <w:jc w:val="left"/>
              <w:rPr>
                <w:rFonts w:hint="eastAsia" w:ascii="仿宋" w:hAnsi="仿宋" w:eastAsia="仿宋"/>
                <w:color w:val="auto"/>
              </w:rPr>
            </w:pPr>
            <w:r>
              <w:rPr>
                <w:rFonts w:hint="eastAsia" w:ascii="仿宋" w:hAnsi="仿宋" w:eastAsia="仿宋"/>
                <w:color w:val="auto"/>
              </w:rPr>
              <w:t>折叠高度：≤830mm</w:t>
            </w:r>
          </w:p>
          <w:p w14:paraId="5D570003">
            <w:pPr>
              <w:widowControl/>
              <w:snapToGrid w:val="0"/>
              <w:jc w:val="left"/>
              <w:rPr>
                <w:rFonts w:hint="eastAsia" w:ascii="仿宋" w:hAnsi="仿宋" w:eastAsia="仿宋"/>
                <w:color w:val="auto"/>
              </w:rPr>
            </w:pPr>
            <w:r>
              <w:rPr>
                <w:rFonts w:hint="eastAsia" w:ascii="仿宋" w:hAnsi="仿宋" w:eastAsia="仿宋"/>
                <w:color w:val="auto"/>
              </w:rPr>
              <w:t>配件：含脚轮（滑轮）、脚架包</w:t>
            </w:r>
          </w:p>
        </w:tc>
        <w:tc>
          <w:tcPr>
            <w:tcW w:w="0" w:type="auto"/>
            <w:vAlign w:val="center"/>
          </w:tcPr>
          <w:p w14:paraId="74D05199">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53127A06">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0E0DE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8B74665">
            <w:pPr>
              <w:widowControl/>
              <w:snapToGrid w:val="0"/>
              <w:jc w:val="center"/>
              <w:rPr>
                <w:rFonts w:hint="eastAsia" w:ascii="仿宋" w:hAnsi="仿宋" w:eastAsia="仿宋"/>
                <w:color w:val="auto"/>
                <w:kern w:val="0"/>
              </w:rPr>
            </w:pPr>
            <w:r>
              <w:rPr>
                <w:rFonts w:hint="eastAsia" w:ascii="仿宋" w:hAnsi="仿宋" w:eastAsia="仿宋"/>
                <w:color w:val="auto"/>
                <w:kern w:val="0"/>
              </w:rPr>
              <w:t>8</w:t>
            </w:r>
          </w:p>
        </w:tc>
        <w:tc>
          <w:tcPr>
            <w:tcW w:w="996" w:type="dxa"/>
            <w:vAlign w:val="center"/>
          </w:tcPr>
          <w:p w14:paraId="024E93CD">
            <w:pPr>
              <w:widowControl/>
              <w:snapToGrid w:val="0"/>
              <w:jc w:val="center"/>
              <w:rPr>
                <w:rFonts w:hint="eastAsia" w:ascii="仿宋" w:hAnsi="仿宋" w:eastAsia="仿宋"/>
                <w:color w:val="auto"/>
              </w:rPr>
            </w:pPr>
            <w:r>
              <w:rPr>
                <w:rFonts w:hint="eastAsia" w:ascii="仿宋" w:hAnsi="仿宋" w:eastAsia="仿宋" w:cs="宋体"/>
                <w:color w:val="auto"/>
                <w:kern w:val="0"/>
              </w:rPr>
              <w:t>4K显示器</w:t>
            </w:r>
          </w:p>
        </w:tc>
        <w:tc>
          <w:tcPr>
            <w:tcW w:w="6650" w:type="dxa"/>
            <w:vAlign w:val="center"/>
          </w:tcPr>
          <w:p w14:paraId="37E71D9C">
            <w:pPr>
              <w:widowControl/>
              <w:snapToGrid w:val="0"/>
              <w:jc w:val="left"/>
              <w:rPr>
                <w:rFonts w:hint="eastAsia" w:ascii="仿宋" w:hAnsi="仿宋" w:eastAsia="仿宋"/>
                <w:color w:val="auto"/>
              </w:rPr>
            </w:pPr>
            <w:r>
              <w:rPr>
                <w:rFonts w:hint="eastAsia" w:ascii="仿宋" w:hAnsi="仿宋" w:eastAsia="仿宋"/>
                <w:color w:val="auto"/>
              </w:rPr>
              <w:t>国产品牌27英寸，支持4K分辨率:</w:t>
            </w:r>
          </w:p>
          <w:p w14:paraId="6A82934A">
            <w:pPr>
              <w:widowControl/>
              <w:snapToGrid w:val="0"/>
              <w:jc w:val="left"/>
              <w:rPr>
                <w:rFonts w:hint="eastAsia" w:ascii="仿宋" w:hAnsi="仿宋" w:eastAsia="仿宋"/>
                <w:color w:val="auto"/>
              </w:rPr>
            </w:pPr>
            <w:r>
              <w:rPr>
                <w:rFonts w:hint="eastAsia" w:ascii="仿宋" w:hAnsi="仿宋" w:eastAsia="仿宋"/>
                <w:color w:val="auto"/>
              </w:rPr>
              <w:t>1.</w:t>
            </w:r>
            <w:r>
              <w:rPr>
                <w:rFonts w:ascii="仿宋" w:hAnsi="仿宋" w:eastAsia="仿宋"/>
                <w:color w:val="auto"/>
              </w:rPr>
              <w:t xml:space="preserve">屏幕尺寸：27 英寸（68.58cm） </w:t>
            </w:r>
          </w:p>
          <w:p w14:paraId="6C11E7C4">
            <w:pPr>
              <w:widowControl/>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 xml:space="preserve">分辨率：3840×2160（4K UHD） </w:t>
            </w:r>
          </w:p>
          <w:p w14:paraId="248F9E24">
            <w:pPr>
              <w:widowControl/>
              <w:snapToGrid w:val="0"/>
              <w:jc w:val="left"/>
              <w:rPr>
                <w:rFonts w:hint="eastAsia" w:ascii="仿宋" w:hAnsi="仿宋" w:eastAsia="仿宋"/>
                <w:color w:val="auto"/>
              </w:rPr>
            </w:pPr>
            <w:r>
              <w:rPr>
                <w:rFonts w:hint="eastAsia" w:ascii="仿宋" w:hAnsi="仿宋" w:eastAsia="仿宋"/>
                <w:color w:val="auto"/>
              </w:rPr>
              <w:t>3.</w:t>
            </w:r>
            <w:r>
              <w:rPr>
                <w:rFonts w:ascii="仿宋" w:hAnsi="仿宋" w:eastAsia="仿宋"/>
                <w:color w:val="auto"/>
              </w:rPr>
              <w:t xml:space="preserve">宽高比：16:9 </w:t>
            </w:r>
          </w:p>
          <w:p w14:paraId="1803E02C">
            <w:pPr>
              <w:widowControl/>
              <w:snapToGrid w:val="0"/>
              <w:jc w:val="left"/>
              <w:rPr>
                <w:rFonts w:hint="eastAsia" w:ascii="仿宋" w:hAnsi="仿宋" w:eastAsia="仿宋"/>
                <w:color w:val="auto"/>
              </w:rPr>
            </w:pPr>
            <w:r>
              <w:rPr>
                <w:rFonts w:hint="eastAsia" w:ascii="仿宋" w:hAnsi="仿宋" w:eastAsia="仿宋"/>
                <w:color w:val="auto"/>
              </w:rPr>
              <w:t>4.</w:t>
            </w:r>
            <w:r>
              <w:rPr>
                <w:rFonts w:ascii="仿宋" w:hAnsi="仿宋" w:eastAsia="仿宋"/>
                <w:color w:val="auto"/>
              </w:rPr>
              <w:t xml:space="preserve">像素密度：163 PPI </w:t>
            </w:r>
          </w:p>
          <w:p w14:paraId="7B4D093F">
            <w:pPr>
              <w:widowControl/>
              <w:snapToGrid w:val="0"/>
              <w:jc w:val="left"/>
              <w:rPr>
                <w:rFonts w:hint="eastAsia" w:ascii="仿宋" w:hAnsi="仿宋" w:eastAsia="仿宋"/>
                <w:color w:val="auto"/>
              </w:rPr>
            </w:pPr>
            <w:r>
              <w:rPr>
                <w:rFonts w:hint="eastAsia" w:ascii="仿宋" w:hAnsi="仿宋" w:eastAsia="仿宋"/>
                <w:color w:val="auto"/>
              </w:rPr>
              <w:t>5.</w:t>
            </w:r>
            <w:r>
              <w:rPr>
                <w:rFonts w:ascii="仿宋" w:hAnsi="仿宋" w:eastAsia="仿宋"/>
                <w:color w:val="auto"/>
              </w:rPr>
              <w:t xml:space="preserve">面板类型：IPS（主流）、VA、MiniLED（高端）、QD-MiniLED（量子点） </w:t>
            </w:r>
          </w:p>
          <w:p w14:paraId="7C565567">
            <w:pPr>
              <w:widowControl/>
              <w:snapToGrid w:val="0"/>
              <w:jc w:val="left"/>
              <w:rPr>
                <w:rFonts w:hint="eastAsia" w:ascii="仿宋" w:hAnsi="仿宋" w:eastAsia="仿宋"/>
                <w:color w:val="auto"/>
              </w:rPr>
            </w:pPr>
            <w:r>
              <w:rPr>
                <w:rFonts w:hint="eastAsia" w:ascii="仿宋" w:hAnsi="仿宋" w:eastAsia="仿宋"/>
                <w:color w:val="auto"/>
              </w:rPr>
              <w:t>6.</w:t>
            </w:r>
            <w:r>
              <w:rPr>
                <w:rFonts w:ascii="仿宋" w:hAnsi="仿宋" w:eastAsia="仿宋"/>
                <w:color w:val="auto"/>
              </w:rPr>
              <w:t xml:space="preserve">点距：0.1554×0.1554mm </w:t>
            </w:r>
          </w:p>
          <w:p w14:paraId="07D96A5B">
            <w:pPr>
              <w:widowControl/>
              <w:snapToGrid w:val="0"/>
              <w:jc w:val="left"/>
              <w:rPr>
                <w:rFonts w:ascii="仿宋" w:eastAsia="仿宋"/>
                <w:color w:val="auto"/>
                <w:highlight w:val="yellow"/>
              </w:rPr>
            </w:pPr>
            <w:r>
              <w:rPr>
                <w:rFonts w:hint="eastAsia" w:ascii="仿宋" w:hAnsi="仿宋" w:eastAsia="仿宋"/>
                <w:color w:val="auto"/>
              </w:rPr>
              <w:t>7.</w:t>
            </w:r>
            <w:r>
              <w:rPr>
                <w:rFonts w:ascii="仿宋" w:hAnsi="仿宋" w:eastAsia="仿宋"/>
                <w:color w:val="auto"/>
              </w:rPr>
              <w:t>可视角度：178°(H)/178°(V)（IPS）</w:t>
            </w:r>
          </w:p>
        </w:tc>
        <w:tc>
          <w:tcPr>
            <w:tcW w:w="0" w:type="auto"/>
            <w:vAlign w:val="center"/>
          </w:tcPr>
          <w:p w14:paraId="060F0604">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5</w:t>
            </w:r>
          </w:p>
        </w:tc>
        <w:tc>
          <w:tcPr>
            <w:tcW w:w="492" w:type="dxa"/>
            <w:vAlign w:val="center"/>
          </w:tcPr>
          <w:p w14:paraId="650A2967">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1A63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0276596">
            <w:pPr>
              <w:widowControl/>
              <w:snapToGrid w:val="0"/>
              <w:jc w:val="center"/>
              <w:rPr>
                <w:rFonts w:hint="eastAsia" w:ascii="仿宋" w:hAnsi="仿宋" w:eastAsia="仿宋"/>
                <w:color w:val="auto"/>
                <w:kern w:val="0"/>
              </w:rPr>
            </w:pPr>
            <w:r>
              <w:rPr>
                <w:rFonts w:hint="eastAsia" w:ascii="仿宋" w:hAnsi="仿宋" w:eastAsia="仿宋"/>
                <w:color w:val="auto"/>
                <w:kern w:val="0"/>
              </w:rPr>
              <w:t>9</w:t>
            </w:r>
          </w:p>
        </w:tc>
        <w:tc>
          <w:tcPr>
            <w:tcW w:w="996" w:type="dxa"/>
            <w:vAlign w:val="center"/>
          </w:tcPr>
          <w:p w14:paraId="1FFD28C3">
            <w:pPr>
              <w:widowControl/>
              <w:snapToGrid w:val="0"/>
              <w:jc w:val="center"/>
              <w:rPr>
                <w:rFonts w:hint="eastAsia" w:ascii="仿宋" w:hAnsi="仿宋" w:eastAsia="仿宋"/>
                <w:color w:val="auto"/>
              </w:rPr>
            </w:pPr>
            <w:r>
              <w:rPr>
                <w:rFonts w:hint="eastAsia" w:ascii="仿宋" w:hAnsi="仿宋" w:eastAsia="仿宋" w:cs="宋体"/>
                <w:color w:val="auto"/>
                <w:kern w:val="0"/>
              </w:rPr>
              <w:t>无线麦克风</w:t>
            </w:r>
          </w:p>
        </w:tc>
        <w:tc>
          <w:tcPr>
            <w:tcW w:w="6650" w:type="dxa"/>
            <w:vAlign w:val="center"/>
          </w:tcPr>
          <w:p w14:paraId="22841174">
            <w:pPr>
              <w:widowControl/>
              <w:snapToGrid w:val="0"/>
              <w:jc w:val="left"/>
              <w:rPr>
                <w:rFonts w:hint="eastAsia" w:ascii="仿宋" w:hAnsi="仿宋" w:eastAsia="仿宋"/>
                <w:color w:val="auto"/>
              </w:rPr>
            </w:pPr>
            <w:r>
              <w:rPr>
                <w:rFonts w:hint="eastAsia" w:ascii="仿宋" w:hAnsi="仿宋" w:eastAsia="仿宋"/>
                <w:color w:val="auto"/>
              </w:rPr>
              <w:t>双通道紧凑型无线麦克风系统</w:t>
            </w:r>
          </w:p>
          <w:p w14:paraId="270E9123">
            <w:pPr>
              <w:widowControl/>
              <w:snapToGrid w:val="0"/>
              <w:jc w:val="left"/>
              <w:rPr>
                <w:rFonts w:hint="eastAsia" w:ascii="仿宋" w:hAnsi="仿宋" w:eastAsia="仿宋"/>
                <w:color w:val="auto"/>
              </w:rPr>
            </w:pPr>
            <w:r>
              <w:rPr>
                <w:rFonts w:hint="eastAsia" w:ascii="仿宋" w:hAnsi="仿宋" w:eastAsia="仿宋"/>
                <w:color w:val="auto"/>
              </w:rPr>
              <w:t>通道与类型：双通道（一拖二），紧凑型设计</w:t>
            </w:r>
          </w:p>
          <w:p w14:paraId="6C6DB571">
            <w:pPr>
              <w:widowControl/>
              <w:snapToGrid w:val="0"/>
              <w:jc w:val="left"/>
              <w:rPr>
                <w:rFonts w:hint="eastAsia" w:ascii="仿宋" w:hAnsi="仿宋" w:eastAsia="仿宋"/>
                <w:color w:val="auto"/>
              </w:rPr>
            </w:pPr>
            <w:r>
              <w:rPr>
                <w:rFonts w:hint="eastAsia" w:ascii="仿宋" w:hAnsi="仿宋" w:eastAsia="仿宋"/>
                <w:color w:val="auto"/>
              </w:rPr>
              <w:t>传输技术：2.4GHz 数字无线传输，支持 AES-128 级加密，稳定传输距离 ≥200 米（视距）</w:t>
            </w:r>
          </w:p>
          <w:p w14:paraId="23CAF7CE">
            <w:pPr>
              <w:widowControl/>
              <w:snapToGrid w:val="0"/>
              <w:jc w:val="left"/>
              <w:rPr>
                <w:rFonts w:hint="eastAsia" w:ascii="仿宋" w:hAnsi="仿宋" w:eastAsia="仿宋"/>
                <w:color w:val="auto"/>
              </w:rPr>
            </w:pPr>
            <w:r>
              <w:rPr>
                <w:rFonts w:hint="eastAsia" w:ascii="仿宋" w:hAnsi="仿宋" w:eastAsia="仿宋"/>
                <w:color w:val="auto"/>
              </w:rPr>
              <w:t>录音功能：支持 32 位浮点 板载录音；单发射器存储 ≥32GB，续航 / 录音时长 ≥40 小时；可恢复削波 / 音量过低音频</w:t>
            </w:r>
          </w:p>
          <w:p w14:paraId="1A0E31CA">
            <w:pPr>
              <w:widowControl/>
              <w:snapToGrid w:val="0"/>
              <w:jc w:val="left"/>
              <w:rPr>
                <w:rFonts w:hint="eastAsia" w:ascii="仿宋" w:hAnsi="仿宋" w:eastAsia="仿宋"/>
                <w:color w:val="auto"/>
              </w:rPr>
            </w:pPr>
            <w:r>
              <w:rPr>
                <w:rFonts w:hint="eastAsia" w:ascii="仿宋" w:hAnsi="仿宋" w:eastAsia="仿宋"/>
                <w:color w:val="auto"/>
              </w:rPr>
              <w:t>音频控制：具备 智能增益辅助技术、输出增益可调、安全音轨功能</w:t>
            </w:r>
          </w:p>
          <w:p w14:paraId="0FC49F7F">
            <w:pPr>
              <w:widowControl/>
              <w:snapToGrid w:val="0"/>
              <w:jc w:val="left"/>
              <w:rPr>
                <w:rFonts w:hint="eastAsia" w:ascii="仿宋" w:hAnsi="仿宋" w:eastAsia="仿宋"/>
                <w:color w:val="auto"/>
              </w:rPr>
            </w:pPr>
            <w:r>
              <w:rPr>
                <w:rFonts w:hint="eastAsia" w:ascii="仿宋" w:hAnsi="仿宋" w:eastAsia="仿宋"/>
                <w:color w:val="auto"/>
              </w:rPr>
              <w:t>连接与兼容性：</w:t>
            </w:r>
          </w:p>
          <w:p w14:paraId="57957B52">
            <w:pPr>
              <w:widowControl/>
              <w:snapToGrid w:val="0"/>
              <w:jc w:val="left"/>
              <w:rPr>
                <w:rFonts w:hint="eastAsia" w:ascii="仿宋" w:hAnsi="仿宋" w:eastAsia="仿宋"/>
                <w:color w:val="auto"/>
              </w:rPr>
            </w:pPr>
            <w:r>
              <w:rPr>
                <w:rFonts w:hint="eastAsia" w:ascii="仿宋" w:hAnsi="仿宋" w:eastAsia="仿宋"/>
                <w:color w:val="auto"/>
              </w:rPr>
              <w:t>发射器：锁定式 3.5mm 接口，可外接领夹麦</w:t>
            </w:r>
          </w:p>
          <w:p w14:paraId="43F9DDB0">
            <w:pPr>
              <w:widowControl/>
              <w:snapToGrid w:val="0"/>
              <w:jc w:val="left"/>
              <w:rPr>
                <w:rFonts w:hint="eastAsia" w:ascii="仿宋" w:hAnsi="仿宋" w:eastAsia="仿宋"/>
                <w:color w:val="auto"/>
              </w:rPr>
            </w:pPr>
            <w:r>
              <w:rPr>
                <w:rFonts w:hint="eastAsia" w:ascii="仿宋" w:hAnsi="仿宋" w:eastAsia="仿宋"/>
                <w:color w:val="auto"/>
              </w:rPr>
              <w:t>接收器：兼容 相机、智能手机、电脑</w:t>
            </w:r>
          </w:p>
          <w:p w14:paraId="59B17960">
            <w:pPr>
              <w:widowControl/>
              <w:snapToGrid w:val="0"/>
              <w:jc w:val="left"/>
              <w:rPr>
                <w:rFonts w:hint="eastAsia" w:ascii="仿宋" w:hAnsi="仿宋" w:eastAsia="仿宋"/>
                <w:color w:val="auto"/>
              </w:rPr>
            </w:pPr>
            <w:r>
              <w:rPr>
                <w:rFonts w:hint="eastAsia" w:ascii="仿宋" w:hAnsi="仿宋" w:eastAsia="仿宋"/>
                <w:color w:val="auto"/>
              </w:rPr>
              <w:t>功能与续航：</w:t>
            </w:r>
          </w:p>
          <w:p w14:paraId="032FB64E">
            <w:pPr>
              <w:widowControl/>
              <w:snapToGrid w:val="0"/>
              <w:jc w:val="left"/>
              <w:rPr>
                <w:rFonts w:hint="eastAsia" w:ascii="仿宋" w:hAnsi="仿宋" w:eastAsia="仿宋"/>
                <w:color w:val="auto"/>
              </w:rPr>
            </w:pPr>
            <w:r>
              <w:rPr>
                <w:rFonts w:hint="eastAsia" w:ascii="仿宋" w:hAnsi="仿宋" w:eastAsia="仿宋"/>
                <w:color w:val="auto"/>
              </w:rPr>
              <w:t>接收器带 LCD 显示屏、耳机监听接口及音量控制</w:t>
            </w:r>
          </w:p>
          <w:p w14:paraId="4A74D02F">
            <w:pPr>
              <w:widowControl/>
              <w:snapToGrid w:val="0"/>
              <w:jc w:val="left"/>
              <w:rPr>
                <w:rFonts w:hint="eastAsia" w:ascii="仿宋" w:hAnsi="仿宋" w:eastAsia="仿宋"/>
                <w:color w:val="auto"/>
              </w:rPr>
            </w:pPr>
            <w:r>
              <w:rPr>
                <w:rFonts w:hint="eastAsia" w:ascii="仿宋" w:hAnsi="仿宋" w:eastAsia="仿宋"/>
                <w:color w:val="auto"/>
              </w:rPr>
              <w:t>支持 自动开关机检测</w:t>
            </w:r>
          </w:p>
          <w:p w14:paraId="5BFAE1BB">
            <w:pPr>
              <w:widowControl/>
              <w:snapToGrid w:val="0"/>
              <w:jc w:val="left"/>
              <w:rPr>
                <w:rFonts w:hint="eastAsia" w:ascii="仿宋" w:hAnsi="仿宋" w:eastAsia="仿宋"/>
                <w:color w:val="auto"/>
              </w:rPr>
            </w:pPr>
            <w:r>
              <w:rPr>
                <w:rFonts w:hint="eastAsia" w:ascii="仿宋" w:hAnsi="仿宋" w:eastAsia="仿宋"/>
                <w:color w:val="auto"/>
              </w:rPr>
              <w:t>可通过 电脑 / 手机 APP 进行参数配置</w:t>
            </w:r>
          </w:p>
        </w:tc>
        <w:tc>
          <w:tcPr>
            <w:tcW w:w="0" w:type="auto"/>
            <w:vAlign w:val="center"/>
          </w:tcPr>
          <w:p w14:paraId="5FA69145">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27241ADD">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0799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D54661A">
            <w:pPr>
              <w:widowControl/>
              <w:snapToGrid w:val="0"/>
              <w:jc w:val="center"/>
              <w:rPr>
                <w:rFonts w:hint="eastAsia" w:ascii="仿宋" w:hAnsi="仿宋" w:eastAsia="仿宋"/>
                <w:color w:val="auto"/>
                <w:kern w:val="0"/>
              </w:rPr>
            </w:pPr>
            <w:r>
              <w:rPr>
                <w:rFonts w:hint="eastAsia" w:ascii="仿宋" w:hAnsi="仿宋" w:eastAsia="仿宋" w:cs="宋体"/>
                <w:color w:val="auto"/>
                <w:kern w:val="0"/>
              </w:rPr>
              <w:t>10</w:t>
            </w:r>
          </w:p>
        </w:tc>
        <w:tc>
          <w:tcPr>
            <w:tcW w:w="996" w:type="dxa"/>
            <w:vAlign w:val="center"/>
          </w:tcPr>
          <w:p w14:paraId="022696EF">
            <w:pPr>
              <w:widowControl/>
              <w:snapToGrid w:val="0"/>
              <w:jc w:val="center"/>
              <w:rPr>
                <w:rFonts w:hint="eastAsia" w:ascii="仿宋" w:hAnsi="仿宋" w:eastAsia="仿宋"/>
                <w:color w:val="auto"/>
              </w:rPr>
            </w:pPr>
            <w:r>
              <w:rPr>
                <w:rFonts w:hint="eastAsia" w:ascii="仿宋" w:hAnsi="仿宋" w:eastAsia="仿宋" w:cs="宋体"/>
                <w:color w:val="auto"/>
                <w:kern w:val="0"/>
              </w:rPr>
              <w:t>调音台</w:t>
            </w:r>
          </w:p>
        </w:tc>
        <w:tc>
          <w:tcPr>
            <w:tcW w:w="6650" w:type="dxa"/>
            <w:vAlign w:val="center"/>
          </w:tcPr>
          <w:p w14:paraId="50643B25">
            <w:pPr>
              <w:widowControl/>
              <w:snapToGrid w:val="0"/>
              <w:jc w:val="left"/>
              <w:rPr>
                <w:rFonts w:hint="eastAsia" w:ascii="仿宋" w:hAnsi="仿宋" w:eastAsia="仿宋"/>
                <w:color w:val="auto"/>
              </w:rPr>
            </w:pPr>
            <w:r>
              <w:rPr>
                <w:rFonts w:hint="eastAsia" w:ascii="仿宋" w:hAnsi="仿宋" w:eastAsia="仿宋"/>
                <w:color w:val="auto"/>
              </w:rPr>
              <w:t>12 通道模拟调音台</w:t>
            </w:r>
          </w:p>
          <w:p w14:paraId="3E07D385">
            <w:pPr>
              <w:widowControl/>
              <w:snapToGrid w:val="0"/>
              <w:jc w:val="left"/>
              <w:rPr>
                <w:rFonts w:hint="eastAsia" w:ascii="仿宋" w:hAnsi="仿宋" w:eastAsia="仿宋"/>
                <w:color w:val="auto"/>
              </w:rPr>
            </w:pPr>
            <w:r>
              <w:rPr>
                <w:rFonts w:hint="eastAsia" w:ascii="仿宋" w:hAnsi="仿宋" w:eastAsia="仿宋"/>
                <w:color w:val="auto"/>
              </w:rPr>
              <w:t>输入配置：≥6 路话筒输入，≥12 路线路输入（含 **≥4 个单声道、≥4 组立体声 ）</w:t>
            </w:r>
          </w:p>
          <w:p w14:paraId="06169FD2">
            <w:pPr>
              <w:widowControl/>
              <w:snapToGrid w:val="0"/>
              <w:jc w:val="left"/>
              <w:rPr>
                <w:rFonts w:hint="eastAsia" w:ascii="仿宋" w:hAnsi="仿宋" w:eastAsia="仿宋"/>
                <w:color w:val="auto"/>
              </w:rPr>
            </w:pPr>
            <w:r>
              <w:rPr>
                <w:rFonts w:hint="eastAsia" w:ascii="仿宋" w:hAnsi="仿宋" w:eastAsia="仿宋"/>
                <w:color w:val="auto"/>
              </w:rPr>
              <w:t>母线结构：≥2 组编组母线 + 1 组立体声主母线</w:t>
            </w:r>
          </w:p>
          <w:p w14:paraId="08DE9297">
            <w:pPr>
              <w:widowControl/>
              <w:snapToGrid w:val="0"/>
              <w:jc w:val="left"/>
              <w:rPr>
                <w:rFonts w:hint="eastAsia" w:ascii="仿宋" w:hAnsi="仿宋" w:eastAsia="仿宋"/>
                <w:color w:val="auto"/>
              </w:rPr>
            </w:pPr>
            <w:r>
              <w:rPr>
                <w:rFonts w:hint="eastAsia" w:ascii="仿宋" w:hAnsi="仿宋" w:eastAsia="仿宋"/>
                <w:color w:val="auto"/>
              </w:rPr>
              <w:t>辅助发送：≥2 路 AUX 辅助发送（含 1 路效果发送 FX）</w:t>
            </w:r>
          </w:p>
          <w:p w14:paraId="2797246A">
            <w:pPr>
              <w:widowControl/>
              <w:snapToGrid w:val="0"/>
              <w:jc w:val="left"/>
              <w:rPr>
                <w:rFonts w:hint="eastAsia" w:ascii="仿宋" w:hAnsi="仿宋" w:eastAsia="仿宋"/>
                <w:color w:val="auto"/>
              </w:rPr>
            </w:pPr>
            <w:r>
              <w:rPr>
                <w:rFonts w:hint="eastAsia" w:ascii="仿宋" w:hAnsi="仿宋" w:eastAsia="仿宋"/>
                <w:color w:val="auto"/>
              </w:rPr>
              <w:t>话放：低噪声前置话放，支持 **+48V 幻象供电 **</w:t>
            </w:r>
          </w:p>
          <w:p w14:paraId="4BDEED2F">
            <w:pPr>
              <w:widowControl/>
              <w:snapToGrid w:val="0"/>
              <w:jc w:val="left"/>
              <w:rPr>
                <w:rFonts w:hint="eastAsia" w:ascii="仿宋" w:hAnsi="仿宋" w:eastAsia="仿宋"/>
                <w:color w:val="auto"/>
              </w:rPr>
            </w:pPr>
            <w:r>
              <w:rPr>
                <w:rFonts w:hint="eastAsia" w:ascii="仿宋" w:hAnsi="仿宋" w:eastAsia="仿宋"/>
                <w:color w:val="auto"/>
              </w:rPr>
              <w:t>通道处理：每通道配备单旋钮压缩器、3 段均衡、高通滤波器、PAD 衰减开关</w:t>
            </w:r>
          </w:p>
          <w:p w14:paraId="635A309F">
            <w:pPr>
              <w:widowControl/>
              <w:snapToGrid w:val="0"/>
              <w:jc w:val="left"/>
              <w:rPr>
                <w:rFonts w:hint="eastAsia" w:ascii="仿宋" w:hAnsi="仿宋" w:eastAsia="仿宋"/>
                <w:color w:val="auto"/>
              </w:rPr>
            </w:pPr>
            <w:r>
              <w:rPr>
                <w:rFonts w:hint="eastAsia" w:ascii="仿宋" w:hAnsi="仿宋" w:eastAsia="仿宋"/>
                <w:color w:val="auto"/>
              </w:rPr>
              <w:t>效果器：内置高品质数字效果器，≥24 种预置效果（混响、延迟、合唱等）</w:t>
            </w:r>
          </w:p>
          <w:p w14:paraId="17819223">
            <w:pPr>
              <w:widowControl/>
              <w:snapToGrid w:val="0"/>
              <w:jc w:val="left"/>
              <w:rPr>
                <w:rFonts w:hint="eastAsia" w:ascii="仿宋" w:hAnsi="仿宋" w:eastAsia="仿宋"/>
                <w:color w:val="auto"/>
              </w:rPr>
            </w:pPr>
            <w:r>
              <w:rPr>
                <w:rFonts w:hint="eastAsia" w:ascii="仿宋" w:hAnsi="仿宋" w:eastAsia="仿宋"/>
                <w:color w:val="auto"/>
              </w:rPr>
              <w:t>输出接口：主输出支持 XLR 平衡接口，配备6.35mm 监听 / 耳机接口</w:t>
            </w:r>
          </w:p>
          <w:p w14:paraId="5745925F">
            <w:pPr>
              <w:widowControl/>
              <w:snapToGrid w:val="0"/>
              <w:jc w:val="left"/>
              <w:rPr>
                <w:rFonts w:hint="eastAsia" w:ascii="仿宋" w:hAnsi="仿宋" w:eastAsia="仿宋"/>
                <w:color w:val="auto"/>
              </w:rPr>
            </w:pPr>
            <w:r>
              <w:rPr>
                <w:rFonts w:hint="eastAsia" w:ascii="仿宋" w:hAnsi="仿宋" w:eastAsia="仿宋"/>
                <w:color w:val="auto"/>
              </w:rPr>
              <w:t>其他：金属机身，全球通用电源（100-240V）</w:t>
            </w:r>
          </w:p>
        </w:tc>
        <w:tc>
          <w:tcPr>
            <w:tcW w:w="0" w:type="auto"/>
            <w:vAlign w:val="center"/>
          </w:tcPr>
          <w:p w14:paraId="269FB923">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30B5322F">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7C6D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F4684B8">
            <w:pPr>
              <w:widowControl/>
              <w:snapToGrid w:val="0"/>
              <w:jc w:val="center"/>
              <w:rPr>
                <w:rFonts w:hint="eastAsia" w:ascii="仿宋" w:hAnsi="仿宋" w:eastAsia="仿宋"/>
                <w:color w:val="auto"/>
                <w:kern w:val="0"/>
              </w:rPr>
            </w:pPr>
            <w:r>
              <w:rPr>
                <w:rFonts w:hint="eastAsia" w:ascii="仿宋" w:hAnsi="仿宋" w:eastAsia="仿宋" w:cs="宋体"/>
                <w:color w:val="auto"/>
                <w:kern w:val="0"/>
              </w:rPr>
              <w:t>11</w:t>
            </w:r>
          </w:p>
        </w:tc>
        <w:tc>
          <w:tcPr>
            <w:tcW w:w="996" w:type="dxa"/>
            <w:vAlign w:val="center"/>
          </w:tcPr>
          <w:p w14:paraId="6898CC52">
            <w:pPr>
              <w:widowControl/>
              <w:snapToGrid w:val="0"/>
              <w:jc w:val="center"/>
              <w:rPr>
                <w:rFonts w:hint="eastAsia" w:ascii="仿宋" w:hAnsi="仿宋" w:eastAsia="仿宋"/>
                <w:color w:val="auto"/>
              </w:rPr>
            </w:pPr>
            <w:r>
              <w:rPr>
                <w:rFonts w:hint="eastAsia" w:ascii="仿宋" w:hAnsi="仿宋" w:eastAsia="仿宋" w:cs="宋体"/>
                <w:color w:val="auto"/>
                <w:kern w:val="0"/>
              </w:rPr>
              <w:t>监听耳机</w:t>
            </w:r>
          </w:p>
        </w:tc>
        <w:tc>
          <w:tcPr>
            <w:tcW w:w="6650" w:type="dxa"/>
            <w:vAlign w:val="center"/>
          </w:tcPr>
          <w:p w14:paraId="6E50F2F6">
            <w:pPr>
              <w:widowControl/>
              <w:snapToGrid w:val="0"/>
              <w:jc w:val="left"/>
              <w:rPr>
                <w:rFonts w:hint="eastAsia" w:ascii="仿宋" w:hAnsi="仿宋" w:eastAsia="仿宋"/>
                <w:color w:val="auto"/>
              </w:rPr>
            </w:pPr>
            <w:r>
              <w:rPr>
                <w:rFonts w:hint="eastAsia" w:ascii="仿宋" w:hAnsi="仿宋" w:eastAsia="仿宋"/>
                <w:color w:val="auto"/>
              </w:rPr>
              <w:t>头戴式专业监听耳机</w:t>
            </w:r>
          </w:p>
          <w:p w14:paraId="62FE5176">
            <w:pPr>
              <w:widowControl/>
              <w:snapToGrid w:val="0"/>
              <w:jc w:val="left"/>
              <w:rPr>
                <w:rFonts w:hint="eastAsia" w:ascii="仿宋" w:hAnsi="仿宋" w:eastAsia="仿宋"/>
                <w:color w:val="auto"/>
              </w:rPr>
            </w:pPr>
            <w:r>
              <w:rPr>
                <w:rFonts w:hint="eastAsia" w:ascii="仿宋" w:hAnsi="仿宋" w:eastAsia="仿宋"/>
                <w:color w:val="auto"/>
              </w:rPr>
              <w:t>类型：封闭式，头戴式，动圈发声</w:t>
            </w:r>
          </w:p>
          <w:p w14:paraId="73422F56">
            <w:pPr>
              <w:widowControl/>
              <w:snapToGrid w:val="0"/>
              <w:jc w:val="left"/>
              <w:rPr>
                <w:rFonts w:hint="eastAsia" w:ascii="仿宋" w:hAnsi="仿宋" w:eastAsia="仿宋"/>
                <w:color w:val="auto"/>
              </w:rPr>
            </w:pPr>
            <w:r>
              <w:rPr>
                <w:rFonts w:hint="eastAsia" w:ascii="仿宋" w:hAnsi="仿宋" w:eastAsia="仿宋"/>
                <w:color w:val="auto"/>
              </w:rPr>
              <w:t>单元：≥40mm 高保真动圈驱动单元</w:t>
            </w:r>
          </w:p>
          <w:p w14:paraId="624F73B1">
            <w:pPr>
              <w:widowControl/>
              <w:snapToGrid w:val="0"/>
              <w:jc w:val="left"/>
              <w:rPr>
                <w:rFonts w:hint="eastAsia" w:ascii="仿宋" w:hAnsi="仿宋" w:eastAsia="仿宋"/>
                <w:color w:val="auto"/>
              </w:rPr>
            </w:pPr>
            <w:r>
              <w:rPr>
                <w:rFonts w:hint="eastAsia" w:ascii="仿宋" w:hAnsi="仿宋" w:eastAsia="仿宋"/>
                <w:color w:val="auto"/>
              </w:rPr>
              <w:t>频响：15Hz–22kHz 或更宽</w:t>
            </w:r>
          </w:p>
          <w:p w14:paraId="6704431D">
            <w:pPr>
              <w:widowControl/>
              <w:snapToGrid w:val="0"/>
              <w:jc w:val="left"/>
              <w:rPr>
                <w:rFonts w:hint="eastAsia" w:ascii="仿宋" w:hAnsi="仿宋" w:eastAsia="仿宋"/>
                <w:color w:val="auto"/>
              </w:rPr>
            </w:pPr>
            <w:r>
              <w:rPr>
                <w:rFonts w:hint="eastAsia" w:ascii="仿宋" w:hAnsi="仿宋" w:eastAsia="仿宋"/>
                <w:color w:val="auto"/>
              </w:rPr>
              <w:t>阻抗：32–64Ω（适配广泛设备）</w:t>
            </w:r>
          </w:p>
          <w:p w14:paraId="40C64A2F">
            <w:pPr>
              <w:widowControl/>
              <w:snapToGrid w:val="0"/>
              <w:jc w:val="left"/>
              <w:rPr>
                <w:rFonts w:hint="eastAsia" w:ascii="仿宋" w:hAnsi="仿宋" w:eastAsia="仿宋"/>
                <w:color w:val="auto"/>
              </w:rPr>
            </w:pPr>
            <w:r>
              <w:rPr>
                <w:rFonts w:hint="eastAsia" w:ascii="仿宋" w:hAnsi="仿宋" w:eastAsia="仿宋"/>
                <w:color w:val="auto"/>
              </w:rPr>
              <w:t>灵敏度：≥96dB/mW</w:t>
            </w:r>
          </w:p>
          <w:p w14:paraId="2F09C61E">
            <w:pPr>
              <w:widowControl/>
              <w:snapToGrid w:val="0"/>
              <w:jc w:val="left"/>
              <w:rPr>
                <w:rFonts w:hint="eastAsia" w:ascii="仿宋" w:hAnsi="仿宋" w:eastAsia="仿宋"/>
                <w:color w:val="auto"/>
              </w:rPr>
            </w:pPr>
            <w:r>
              <w:rPr>
                <w:rFonts w:hint="eastAsia" w:ascii="仿宋" w:hAnsi="仿宋" w:eastAsia="仿宋"/>
                <w:color w:val="auto"/>
              </w:rPr>
              <w:t>功率：最大输入 ≥1000mW</w:t>
            </w:r>
          </w:p>
          <w:p w14:paraId="5A27B215">
            <w:pPr>
              <w:widowControl/>
              <w:snapToGrid w:val="0"/>
              <w:jc w:val="left"/>
              <w:rPr>
                <w:rFonts w:hint="eastAsia" w:ascii="仿宋" w:hAnsi="仿宋" w:eastAsia="仿宋"/>
                <w:color w:val="auto"/>
              </w:rPr>
            </w:pPr>
            <w:r>
              <w:rPr>
                <w:rFonts w:hint="eastAsia" w:ascii="仿宋" w:hAnsi="仿宋" w:eastAsia="仿宋"/>
                <w:color w:val="auto"/>
              </w:rPr>
              <w:t>接口：3.5mm 镀金插头（含 6.3mm 转换头）</w:t>
            </w:r>
          </w:p>
          <w:p w14:paraId="151727D6">
            <w:pPr>
              <w:widowControl/>
              <w:snapToGrid w:val="0"/>
              <w:jc w:val="left"/>
              <w:rPr>
                <w:rFonts w:hint="eastAsia" w:ascii="仿宋" w:hAnsi="仿宋" w:eastAsia="仿宋"/>
                <w:color w:val="auto"/>
              </w:rPr>
            </w:pPr>
            <w:r>
              <w:rPr>
                <w:rFonts w:hint="eastAsia" w:ascii="仿宋" w:hAnsi="仿宋" w:eastAsia="仿宋"/>
                <w:color w:val="auto"/>
              </w:rPr>
              <w:t>特性：可折叠便携、单边可拆卸线材、良好隔音</w:t>
            </w:r>
          </w:p>
        </w:tc>
        <w:tc>
          <w:tcPr>
            <w:tcW w:w="0" w:type="auto"/>
            <w:vAlign w:val="center"/>
          </w:tcPr>
          <w:p w14:paraId="051F5994">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22244F33">
            <w:pPr>
              <w:widowControl/>
              <w:snapToGrid w:val="0"/>
              <w:jc w:val="center"/>
              <w:rPr>
                <w:rFonts w:hint="eastAsia" w:ascii="仿宋" w:hAnsi="仿宋" w:eastAsia="仿宋" w:cs="Calibri"/>
                <w:color w:val="auto"/>
                <w:kern w:val="0"/>
              </w:rPr>
            </w:pPr>
            <w:r>
              <w:rPr>
                <w:rFonts w:hint="eastAsia" w:ascii="仿宋" w:hAnsi="仿宋" w:eastAsia="仿宋"/>
                <w:color w:val="auto"/>
              </w:rPr>
              <w:t>副</w:t>
            </w:r>
          </w:p>
        </w:tc>
      </w:tr>
      <w:tr w14:paraId="60EC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C930721">
            <w:pPr>
              <w:widowControl/>
              <w:snapToGrid w:val="0"/>
              <w:jc w:val="center"/>
              <w:rPr>
                <w:rFonts w:hint="eastAsia" w:ascii="仿宋" w:hAnsi="仿宋" w:eastAsia="仿宋"/>
                <w:color w:val="auto"/>
                <w:kern w:val="0"/>
              </w:rPr>
            </w:pPr>
            <w:r>
              <w:rPr>
                <w:rFonts w:hint="eastAsia" w:ascii="仿宋" w:hAnsi="仿宋" w:eastAsia="仿宋" w:cs="宋体"/>
                <w:color w:val="auto"/>
                <w:kern w:val="0"/>
              </w:rPr>
              <w:t>12</w:t>
            </w:r>
          </w:p>
        </w:tc>
        <w:tc>
          <w:tcPr>
            <w:tcW w:w="996" w:type="dxa"/>
            <w:vAlign w:val="center"/>
          </w:tcPr>
          <w:p w14:paraId="4FD696E7">
            <w:pPr>
              <w:widowControl/>
              <w:snapToGrid w:val="0"/>
              <w:jc w:val="center"/>
              <w:rPr>
                <w:rFonts w:hint="eastAsia" w:ascii="仿宋" w:hAnsi="仿宋" w:eastAsia="仿宋"/>
                <w:color w:val="auto"/>
              </w:rPr>
            </w:pPr>
            <w:r>
              <w:rPr>
                <w:rFonts w:hint="eastAsia" w:ascii="仿宋" w:hAnsi="仿宋" w:eastAsia="仿宋" w:cs="宋体"/>
                <w:color w:val="auto"/>
                <w:kern w:val="0"/>
              </w:rPr>
              <w:t>音箱</w:t>
            </w:r>
          </w:p>
        </w:tc>
        <w:tc>
          <w:tcPr>
            <w:tcW w:w="6650" w:type="dxa"/>
            <w:vAlign w:val="center"/>
          </w:tcPr>
          <w:p w14:paraId="6728E3C8">
            <w:pPr>
              <w:widowControl/>
              <w:snapToGrid w:val="0"/>
              <w:jc w:val="left"/>
              <w:rPr>
                <w:rFonts w:hint="eastAsia" w:ascii="仿宋" w:hAnsi="仿宋" w:eastAsia="仿宋"/>
                <w:color w:val="auto"/>
              </w:rPr>
            </w:pPr>
            <w:r>
              <w:rPr>
                <w:rFonts w:hint="eastAsia" w:ascii="仿宋" w:hAnsi="仿宋" w:eastAsia="仿宋"/>
                <w:color w:val="auto"/>
              </w:rPr>
              <w:t>2.0 声道有源监听音箱</w:t>
            </w:r>
          </w:p>
          <w:p w14:paraId="6A69F5B4">
            <w:pPr>
              <w:widowControl/>
              <w:snapToGrid w:val="0"/>
              <w:jc w:val="left"/>
              <w:rPr>
                <w:rFonts w:hint="eastAsia" w:ascii="仿宋" w:hAnsi="仿宋" w:eastAsia="仿宋"/>
                <w:color w:val="auto"/>
              </w:rPr>
            </w:pPr>
            <w:r>
              <w:rPr>
                <w:rFonts w:hint="eastAsia" w:ascii="仿宋" w:hAnsi="仿宋" w:eastAsia="仿宋"/>
                <w:color w:val="auto"/>
              </w:rPr>
              <w:t>声道：2.0 声道，有源设计</w:t>
            </w:r>
          </w:p>
          <w:p w14:paraId="1C84BAB4">
            <w:pPr>
              <w:widowControl/>
              <w:snapToGrid w:val="0"/>
              <w:jc w:val="left"/>
              <w:rPr>
                <w:rFonts w:hint="eastAsia" w:ascii="仿宋" w:hAnsi="仿宋" w:eastAsia="仿宋"/>
                <w:color w:val="auto"/>
              </w:rPr>
            </w:pPr>
            <w:r>
              <w:rPr>
                <w:rFonts w:hint="eastAsia" w:ascii="仿宋" w:hAnsi="仿宋" w:eastAsia="仿宋"/>
                <w:color w:val="auto"/>
              </w:rPr>
              <w:t>箱体：** 木质（MDF）** 结构，黑色外观</w:t>
            </w:r>
          </w:p>
          <w:p w14:paraId="0C8AF2D8">
            <w:pPr>
              <w:widowControl/>
              <w:snapToGrid w:val="0"/>
              <w:jc w:val="left"/>
              <w:rPr>
                <w:rFonts w:hint="eastAsia" w:ascii="仿宋" w:hAnsi="仿宋" w:eastAsia="仿宋"/>
                <w:color w:val="auto"/>
              </w:rPr>
            </w:pPr>
            <w:r>
              <w:rPr>
                <w:rFonts w:hint="eastAsia" w:ascii="仿宋" w:hAnsi="仿宋" w:eastAsia="仿宋"/>
                <w:color w:val="auto"/>
              </w:rPr>
              <w:t>尺寸：单箱尺寸约 140×228×197.5mm，总重约 4.5kg</w:t>
            </w:r>
          </w:p>
          <w:p w14:paraId="2CDDD679">
            <w:pPr>
              <w:widowControl/>
              <w:snapToGrid w:val="0"/>
              <w:jc w:val="left"/>
              <w:rPr>
                <w:rFonts w:hint="eastAsia" w:ascii="仿宋" w:hAnsi="仿宋" w:eastAsia="仿宋"/>
                <w:color w:val="auto"/>
              </w:rPr>
            </w:pPr>
            <w:r>
              <w:rPr>
                <w:rFonts w:hint="eastAsia" w:ascii="仿宋" w:hAnsi="仿宋" w:eastAsia="仿宋"/>
                <w:color w:val="auto"/>
              </w:rPr>
              <w:t>音质：信噪比 ≥ 96dB，频响范围 60Hz-20kHz</w:t>
            </w:r>
          </w:p>
          <w:p w14:paraId="2DF575C5">
            <w:pPr>
              <w:widowControl/>
              <w:snapToGrid w:val="0"/>
              <w:jc w:val="left"/>
              <w:rPr>
                <w:rFonts w:hint="eastAsia" w:ascii="仿宋" w:hAnsi="仿宋" w:eastAsia="仿宋"/>
                <w:color w:val="auto"/>
              </w:rPr>
            </w:pPr>
            <w:r>
              <w:rPr>
                <w:rFonts w:hint="eastAsia" w:ascii="仿宋" w:hAnsi="仿宋" w:eastAsia="仿宋"/>
                <w:color w:val="auto"/>
              </w:rPr>
              <w:t>输入接口：</w:t>
            </w:r>
          </w:p>
          <w:p w14:paraId="00B36885">
            <w:pPr>
              <w:widowControl/>
              <w:snapToGrid w:val="0"/>
              <w:jc w:val="left"/>
              <w:rPr>
                <w:rFonts w:hint="eastAsia" w:ascii="仿宋" w:hAnsi="仿宋" w:eastAsia="仿宋"/>
                <w:color w:val="auto"/>
              </w:rPr>
            </w:pPr>
            <w:r>
              <w:rPr>
                <w:rFonts w:hint="eastAsia" w:ascii="仿宋" w:hAnsi="仿宋" w:eastAsia="仿宋"/>
                <w:color w:val="auto"/>
              </w:rPr>
              <w:t>1 路 6.35mm TRS 平衡输入</w:t>
            </w:r>
          </w:p>
          <w:p w14:paraId="1FB85DD8">
            <w:pPr>
              <w:widowControl/>
              <w:snapToGrid w:val="0"/>
              <w:jc w:val="left"/>
              <w:rPr>
                <w:rFonts w:hint="eastAsia" w:ascii="仿宋" w:hAnsi="仿宋" w:eastAsia="仿宋"/>
                <w:color w:val="auto"/>
              </w:rPr>
            </w:pPr>
            <w:r>
              <w:rPr>
                <w:rFonts w:hint="eastAsia" w:ascii="仿宋" w:hAnsi="仿宋" w:eastAsia="仿宋"/>
                <w:color w:val="auto"/>
              </w:rPr>
              <w:t>1 路 RCA 非平衡输入</w:t>
            </w:r>
          </w:p>
          <w:p w14:paraId="77042BA2">
            <w:pPr>
              <w:widowControl/>
              <w:snapToGrid w:val="0"/>
              <w:jc w:val="left"/>
              <w:rPr>
                <w:rFonts w:hint="eastAsia" w:ascii="仿宋" w:hAnsi="仿宋" w:eastAsia="仿宋"/>
                <w:color w:val="auto"/>
              </w:rPr>
            </w:pPr>
            <w:r>
              <w:rPr>
                <w:rFonts w:hint="eastAsia" w:ascii="仿宋" w:hAnsi="仿宋" w:eastAsia="仿宋"/>
                <w:color w:val="auto"/>
              </w:rPr>
              <w:t>1 路 3.5mm AUX 输入</w:t>
            </w:r>
          </w:p>
          <w:p w14:paraId="2CAB21D2">
            <w:pPr>
              <w:widowControl/>
              <w:snapToGrid w:val="0"/>
              <w:jc w:val="left"/>
              <w:rPr>
                <w:rFonts w:hint="eastAsia" w:ascii="仿宋" w:hAnsi="仿宋" w:eastAsia="仿宋"/>
                <w:color w:val="auto"/>
              </w:rPr>
            </w:pPr>
            <w:r>
              <w:rPr>
                <w:rFonts w:hint="eastAsia" w:ascii="仿宋" w:hAnsi="仿宋" w:eastAsia="仿宋"/>
                <w:color w:val="auto"/>
              </w:rPr>
              <w:t>功能：支持监听 / 音乐双模式切换，高低音独立调节</w:t>
            </w:r>
          </w:p>
          <w:p w14:paraId="799C1261">
            <w:pPr>
              <w:widowControl/>
              <w:snapToGrid w:val="0"/>
              <w:jc w:val="left"/>
              <w:rPr>
                <w:rFonts w:hint="eastAsia" w:ascii="仿宋" w:hAnsi="仿宋" w:eastAsia="仿宋"/>
                <w:color w:val="auto"/>
              </w:rPr>
            </w:pPr>
            <w:r>
              <w:rPr>
                <w:rFonts w:hint="eastAsia" w:ascii="仿宋" w:hAnsi="仿宋" w:eastAsia="仿宋"/>
                <w:color w:val="auto"/>
              </w:rPr>
              <w:t>单元：4 英寸中低音 + 1 英寸丝绢膜高音</w:t>
            </w:r>
          </w:p>
        </w:tc>
        <w:tc>
          <w:tcPr>
            <w:tcW w:w="0" w:type="auto"/>
            <w:vAlign w:val="center"/>
          </w:tcPr>
          <w:p w14:paraId="2BEE5B07">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w:t>
            </w:r>
          </w:p>
        </w:tc>
        <w:tc>
          <w:tcPr>
            <w:tcW w:w="492" w:type="dxa"/>
            <w:vAlign w:val="center"/>
          </w:tcPr>
          <w:p w14:paraId="785B72F0">
            <w:pPr>
              <w:widowControl/>
              <w:snapToGrid w:val="0"/>
              <w:jc w:val="center"/>
              <w:rPr>
                <w:rFonts w:hint="eastAsia" w:ascii="仿宋" w:hAnsi="仿宋" w:eastAsia="仿宋" w:cs="Calibri"/>
                <w:color w:val="auto"/>
                <w:kern w:val="0"/>
              </w:rPr>
            </w:pPr>
            <w:r>
              <w:rPr>
                <w:rFonts w:hint="eastAsia" w:ascii="仿宋" w:hAnsi="仿宋" w:eastAsia="仿宋"/>
                <w:color w:val="auto"/>
              </w:rPr>
              <w:t>只</w:t>
            </w:r>
          </w:p>
        </w:tc>
      </w:tr>
      <w:tr w14:paraId="4ACA0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C969C2B">
            <w:pPr>
              <w:widowControl/>
              <w:snapToGrid w:val="0"/>
              <w:jc w:val="center"/>
              <w:rPr>
                <w:rFonts w:hint="eastAsia" w:ascii="仿宋" w:hAnsi="仿宋" w:eastAsia="仿宋"/>
                <w:color w:val="auto"/>
                <w:kern w:val="0"/>
              </w:rPr>
            </w:pPr>
            <w:r>
              <w:rPr>
                <w:rFonts w:hint="eastAsia" w:ascii="仿宋" w:hAnsi="仿宋" w:eastAsia="仿宋" w:cs="宋体"/>
                <w:color w:val="auto"/>
                <w:kern w:val="0"/>
              </w:rPr>
              <w:t>13</w:t>
            </w:r>
          </w:p>
        </w:tc>
        <w:tc>
          <w:tcPr>
            <w:tcW w:w="996" w:type="dxa"/>
            <w:vAlign w:val="center"/>
          </w:tcPr>
          <w:p w14:paraId="1EA410B3">
            <w:pPr>
              <w:widowControl/>
              <w:snapToGrid w:val="0"/>
              <w:jc w:val="center"/>
              <w:rPr>
                <w:rFonts w:hint="eastAsia" w:ascii="仿宋" w:hAnsi="仿宋" w:eastAsia="仿宋"/>
                <w:color w:val="auto"/>
              </w:rPr>
            </w:pPr>
            <w:r>
              <w:rPr>
                <w:rFonts w:hint="eastAsia" w:ascii="仿宋" w:hAnsi="仿宋" w:eastAsia="仿宋" w:cs="宋体"/>
                <w:color w:val="auto"/>
                <w:kern w:val="0"/>
              </w:rPr>
              <w:t>提词器</w:t>
            </w:r>
          </w:p>
        </w:tc>
        <w:tc>
          <w:tcPr>
            <w:tcW w:w="6650" w:type="dxa"/>
            <w:vAlign w:val="center"/>
          </w:tcPr>
          <w:p w14:paraId="54FC254F">
            <w:pPr>
              <w:widowControl/>
              <w:snapToGrid w:val="0"/>
              <w:jc w:val="left"/>
              <w:rPr>
                <w:rFonts w:hint="eastAsia" w:ascii="仿宋" w:hAnsi="仿宋" w:eastAsia="仿宋"/>
                <w:color w:val="auto"/>
              </w:rPr>
            </w:pPr>
            <w:r>
              <w:rPr>
                <w:rFonts w:hint="eastAsia" w:ascii="仿宋" w:hAnsi="仿宋" w:eastAsia="仿宋"/>
                <w:color w:val="auto"/>
              </w:rPr>
              <w:t>24英寸专业提词器</w:t>
            </w:r>
            <w:r>
              <w:rPr>
                <w:rFonts w:hint="eastAsia" w:ascii="仿宋" w:hAnsi="仿宋" w:eastAsia="仿宋"/>
                <w:color w:val="auto"/>
              </w:rPr>
              <w:br w:type="textWrapping"/>
            </w:r>
            <w:r>
              <w:rPr>
                <w:rFonts w:hint="eastAsia" w:ascii="仿宋" w:hAnsi="仿宋" w:eastAsia="仿宋"/>
                <w:color w:val="auto"/>
              </w:rPr>
              <w:t>1.系统支持Windows 7、Windows 8、Windows 10及Windows11系统。</w:t>
            </w:r>
            <w:r>
              <w:rPr>
                <w:rFonts w:hint="eastAsia" w:ascii="仿宋" w:hAnsi="仿宋" w:eastAsia="仿宋"/>
                <w:color w:val="auto"/>
              </w:rPr>
              <w:br w:type="textWrapping"/>
            </w:r>
            <w:r>
              <w:rPr>
                <w:rFonts w:hint="eastAsia" w:ascii="仿宋" w:hAnsi="仿宋" w:eastAsia="仿宋"/>
                <w:color w:val="auto"/>
              </w:rPr>
              <w:t>2.系统要求字色、底色256色任意搭配，男女播音员可分别选择不同的字色，方便男女播音员选择自己的播音词,字体和字的大小任意选择，可选多种角色，以区分男角女角或更多播音角色。</w:t>
            </w:r>
            <w:r>
              <w:rPr>
                <w:rFonts w:hint="eastAsia" w:ascii="仿宋" w:hAnsi="仿宋" w:eastAsia="仿宋"/>
                <w:color w:val="auto"/>
              </w:rPr>
              <w:br w:type="textWrapping"/>
            </w:r>
            <w:r>
              <w:rPr>
                <w:rFonts w:hint="eastAsia" w:ascii="仿宋" w:hAnsi="仿宋" w:eastAsia="仿宋"/>
                <w:color w:val="auto"/>
              </w:rPr>
              <w:t>3.系统可设置主屏及扩展屏提词内容不显示、水平翻转及垂直翻转（180度镜像）。</w:t>
            </w:r>
            <w:r>
              <w:rPr>
                <w:rFonts w:hint="eastAsia" w:ascii="仿宋" w:hAnsi="仿宋" w:eastAsia="仿宋"/>
                <w:color w:val="auto"/>
              </w:rPr>
              <w:br w:type="textWrapping"/>
            </w:r>
            <w:r>
              <w:rPr>
                <w:rFonts w:hint="eastAsia" w:ascii="仿宋" w:hAnsi="仿宋" w:eastAsia="仿宋"/>
                <w:color w:val="auto"/>
              </w:rPr>
              <w:t>4.可自由调整字幕滚动速度、滚动位置。文稿字迹明亮清晰支持自定义不同角色的字号、字体、字体大小、颜色显示。</w:t>
            </w:r>
            <w:r>
              <w:rPr>
                <w:rFonts w:hint="eastAsia" w:ascii="仿宋" w:hAnsi="仿宋" w:eastAsia="仿宋"/>
                <w:color w:val="auto"/>
              </w:rPr>
              <w:br w:type="textWrapping"/>
            </w:r>
            <w:r>
              <w:rPr>
                <w:rFonts w:hint="eastAsia" w:ascii="仿宋" w:hAnsi="仿宋" w:eastAsia="仿宋"/>
                <w:color w:val="auto"/>
              </w:rPr>
              <w:t>5.可调整屏幕显示大小、字幕和背景颜色、可在编辑页面自行编辑文字，可粘贴文字导入（Ctrl+V粘贴文字），可设置计时开关，可调整字幕显示范围，可调整高亮显示范围。</w:t>
            </w:r>
            <w:r>
              <w:rPr>
                <w:rFonts w:hint="eastAsia" w:ascii="仿宋" w:hAnsi="仿宋" w:eastAsia="仿宋"/>
                <w:color w:val="auto"/>
              </w:rPr>
              <w:br w:type="textWrapping"/>
            </w:r>
            <w:r>
              <w:rPr>
                <w:rFonts w:hint="eastAsia" w:ascii="仿宋" w:hAnsi="仿宋" w:eastAsia="仿宋"/>
                <w:color w:val="auto"/>
              </w:rPr>
              <w:t>6.文稿录入、编辑方便，操作简单，自动完成排版, 可导入HTML文档，并支持直接打开图片，word，PPT，视频等文件。</w:t>
            </w:r>
            <w:r>
              <w:rPr>
                <w:rFonts w:hint="eastAsia" w:ascii="仿宋" w:hAnsi="仿宋" w:eastAsia="仿宋"/>
                <w:color w:val="auto"/>
              </w:rPr>
              <w:br w:type="textWrapping"/>
            </w:r>
            <w:r>
              <w:rPr>
                <w:rFonts w:hint="eastAsia" w:ascii="仿宋" w:hAnsi="仿宋" w:eastAsia="仿宋"/>
                <w:color w:val="auto"/>
              </w:rPr>
              <w:t>7.分别采用监视器和高分辨率的彩显，清晰度高，字迹清晰。可与文稿摄像方式联用，组成二合一型。适用于各电视台演播室的录、直播节目需要。</w:t>
            </w:r>
            <w:r>
              <w:rPr>
                <w:rFonts w:hint="eastAsia" w:ascii="仿宋" w:hAnsi="仿宋" w:eastAsia="仿宋"/>
                <w:color w:val="auto"/>
              </w:rPr>
              <w:br w:type="textWrapping"/>
            </w:r>
            <w:r>
              <w:rPr>
                <w:rFonts w:hint="eastAsia" w:ascii="仿宋" w:hAnsi="仿宋" w:eastAsia="仿宋"/>
                <w:color w:val="auto"/>
              </w:rPr>
              <w:t>8.段落格式，项目符号，缩进，行间距都可以设置。日期时间随时插入演播稿。支持富文本编辑。</w:t>
            </w:r>
            <w:r>
              <w:rPr>
                <w:rFonts w:hint="eastAsia" w:ascii="仿宋" w:hAnsi="仿宋" w:eastAsia="仿宋"/>
                <w:color w:val="auto"/>
              </w:rPr>
              <w:br w:type="textWrapping"/>
            </w:r>
            <w:r>
              <w:rPr>
                <w:rFonts w:hint="eastAsia" w:ascii="仿宋" w:hAnsi="仿宋" w:eastAsia="仿宋"/>
                <w:color w:val="auto"/>
              </w:rPr>
              <w:t>9.软件支持汉、藏、蒙、傣、维、朝鲜等少数民族语言。而且还支持国外的一些语言英、日、韩、德、俄、法、阿拉伯文等国家语言。</w:t>
            </w:r>
            <w:r>
              <w:rPr>
                <w:rFonts w:hint="eastAsia" w:ascii="仿宋" w:hAnsi="仿宋" w:eastAsia="仿宋"/>
                <w:color w:val="auto"/>
              </w:rPr>
              <w:br w:type="textWrapping"/>
            </w:r>
            <w:r>
              <w:rPr>
                <w:rFonts w:hint="eastAsia" w:ascii="仿宋" w:hAnsi="仿宋" w:eastAsia="仿宋"/>
                <w:color w:val="auto"/>
              </w:rPr>
              <w:t>10.系统支持重点语句可通过颜色标明更加细致，信息栏、更新时间、演播速度等方便实用。</w:t>
            </w:r>
            <w:r>
              <w:rPr>
                <w:rFonts w:hint="eastAsia" w:ascii="仿宋" w:hAnsi="仿宋" w:eastAsia="仿宋"/>
                <w:color w:val="auto"/>
              </w:rPr>
              <w:br w:type="textWrapping"/>
            </w:r>
            <w:r>
              <w:rPr>
                <w:rFonts w:hint="eastAsia" w:ascii="仿宋" w:hAnsi="仿宋" w:eastAsia="仿宋"/>
                <w:color w:val="auto"/>
              </w:rPr>
              <w:t>11.内容实时更新，更新过程播出不中断、不闪烁，更新速度快。</w:t>
            </w:r>
            <w:r>
              <w:rPr>
                <w:rFonts w:hint="eastAsia" w:ascii="仿宋" w:hAnsi="仿宋" w:eastAsia="仿宋"/>
                <w:color w:val="auto"/>
              </w:rPr>
              <w:br w:type="textWrapping"/>
            </w:r>
            <w:r>
              <w:rPr>
                <w:rFonts w:hint="eastAsia" w:ascii="仿宋" w:hAnsi="仿宋" w:eastAsia="仿宋"/>
                <w:color w:val="auto"/>
              </w:rPr>
              <w:t>12.控制方式灵活多样，键盘、鼠标、控制手柄、手持和脚踏遥控器控制均可，字幕速度变化范围可随意调节，前后跳段翻页方便自如；播音稿的行进速度可由播音员自己通过手柄控制，可单、双人控制，方便自如。</w:t>
            </w:r>
            <w:r>
              <w:rPr>
                <w:rFonts w:hint="eastAsia" w:ascii="仿宋" w:hAnsi="仿宋" w:eastAsia="仿宋"/>
                <w:color w:val="auto"/>
              </w:rPr>
              <w:br w:type="textWrapping"/>
            </w:r>
            <w:r>
              <w:rPr>
                <w:rFonts w:hint="eastAsia" w:ascii="仿宋" w:hAnsi="仿宋" w:eastAsia="仿宋"/>
                <w:color w:val="auto"/>
              </w:rPr>
              <w:t>13.采用进口多层宽带介质分光膜（硬膜）玻璃，厚度仅为2mm，光损失率在3%以下。</w:t>
            </w:r>
            <w:r>
              <w:rPr>
                <w:rFonts w:hint="eastAsia" w:ascii="仿宋" w:hAnsi="仿宋" w:eastAsia="仿宋"/>
                <w:color w:val="auto"/>
              </w:rPr>
              <w:br w:type="textWrapping"/>
            </w:r>
            <w:r>
              <w:rPr>
                <w:rFonts w:hint="eastAsia" w:ascii="仿宋" w:hAnsi="仿宋" w:eastAsia="仿宋"/>
                <w:color w:val="auto"/>
              </w:rPr>
              <w:t>14.定制型彩色液晶平板显示器，清晰度高，配套24英寸显示器。</w:t>
            </w:r>
            <w:r>
              <w:rPr>
                <w:rFonts w:hint="eastAsia" w:ascii="仿宋" w:hAnsi="仿宋" w:eastAsia="仿宋"/>
                <w:color w:val="auto"/>
              </w:rPr>
              <w:br w:type="textWrapping"/>
            </w:r>
            <w:r>
              <w:rPr>
                <w:rFonts w:hint="eastAsia" w:ascii="仿宋" w:hAnsi="仿宋" w:eastAsia="仿宋"/>
                <w:color w:val="auto"/>
              </w:rPr>
              <w:t>15.定制脚架：专业冷轧钢材质制成，专业的黑色亮面处理，折叠快速简易，可与提词器托板很好的配合使用。收纳高度：90cm，展开高度：90cm～180cm，云台：水平360°，垂直不可调。承重：50kg。</w:t>
            </w:r>
            <w:r>
              <w:rPr>
                <w:rFonts w:hint="eastAsia" w:ascii="仿宋" w:hAnsi="仿宋" w:eastAsia="仿宋"/>
                <w:color w:val="auto"/>
              </w:rPr>
              <w:br w:type="textWrapping"/>
            </w:r>
            <w:r>
              <w:rPr>
                <w:rFonts w:hint="eastAsia" w:ascii="仿宋" w:hAnsi="仿宋" w:eastAsia="仿宋"/>
                <w:color w:val="auto"/>
              </w:rPr>
              <w:t>16.含提词器遥控器。</w:t>
            </w:r>
            <w:r>
              <w:rPr>
                <w:rFonts w:hint="eastAsia" w:ascii="仿宋" w:hAnsi="仿宋" w:eastAsia="仿宋"/>
                <w:color w:val="auto"/>
              </w:rPr>
              <w:br w:type="textWrapping"/>
            </w:r>
            <w:r>
              <w:rPr>
                <w:rFonts w:hint="eastAsia" w:ascii="仿宋" w:hAnsi="仿宋" w:eastAsia="仿宋"/>
                <w:color w:val="auto"/>
              </w:rPr>
              <w:t>17.含提词器主机：不低于N2930（单网口）/4G/32G/WIFI。</w:t>
            </w:r>
          </w:p>
        </w:tc>
        <w:tc>
          <w:tcPr>
            <w:tcW w:w="0" w:type="auto"/>
            <w:vAlign w:val="center"/>
          </w:tcPr>
          <w:p w14:paraId="563D0F8C">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071D967B">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37C2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E50105E">
            <w:pPr>
              <w:widowControl/>
              <w:snapToGrid w:val="0"/>
              <w:jc w:val="center"/>
              <w:rPr>
                <w:rFonts w:hint="eastAsia" w:ascii="仿宋" w:hAnsi="仿宋" w:eastAsia="仿宋"/>
                <w:color w:val="auto"/>
                <w:kern w:val="0"/>
              </w:rPr>
            </w:pPr>
            <w:r>
              <w:rPr>
                <w:rFonts w:hint="eastAsia" w:ascii="仿宋" w:hAnsi="仿宋" w:eastAsia="仿宋" w:cs="宋体"/>
                <w:color w:val="auto"/>
                <w:kern w:val="0"/>
              </w:rPr>
              <w:t>14</w:t>
            </w:r>
          </w:p>
        </w:tc>
        <w:tc>
          <w:tcPr>
            <w:tcW w:w="996" w:type="dxa"/>
            <w:vAlign w:val="center"/>
          </w:tcPr>
          <w:p w14:paraId="32EC604C">
            <w:pPr>
              <w:widowControl/>
              <w:snapToGrid w:val="0"/>
              <w:jc w:val="center"/>
              <w:rPr>
                <w:rFonts w:hint="eastAsia" w:ascii="仿宋" w:hAnsi="仿宋" w:eastAsia="仿宋"/>
                <w:color w:val="auto"/>
              </w:rPr>
            </w:pPr>
            <w:r>
              <w:rPr>
                <w:rFonts w:hint="eastAsia" w:ascii="仿宋" w:hAnsi="仿宋" w:eastAsia="仿宋" w:cs="宋体"/>
                <w:color w:val="auto"/>
                <w:kern w:val="0"/>
              </w:rPr>
              <w:t>预览电视机</w:t>
            </w:r>
          </w:p>
        </w:tc>
        <w:tc>
          <w:tcPr>
            <w:tcW w:w="6650" w:type="dxa"/>
            <w:vAlign w:val="center"/>
          </w:tcPr>
          <w:p w14:paraId="69C3F2F3">
            <w:pPr>
              <w:widowControl/>
              <w:snapToGrid w:val="0"/>
              <w:jc w:val="left"/>
              <w:rPr>
                <w:rFonts w:hint="eastAsia" w:ascii="仿宋" w:hAnsi="仿宋" w:eastAsia="仿宋"/>
                <w:color w:val="auto"/>
              </w:rPr>
            </w:pPr>
            <w:r>
              <w:rPr>
                <w:rFonts w:hint="eastAsia" w:ascii="仿宋" w:hAnsi="仿宋" w:eastAsia="仿宋"/>
                <w:color w:val="auto"/>
              </w:rPr>
              <w:t>屏幕尺寸：55英寸</w:t>
            </w:r>
            <w:r>
              <w:rPr>
                <w:rFonts w:hint="eastAsia" w:ascii="仿宋" w:hAnsi="仿宋" w:eastAsia="仿宋"/>
                <w:color w:val="auto"/>
              </w:rPr>
              <w:br w:type="textWrapping"/>
            </w:r>
            <w:r>
              <w:rPr>
                <w:rFonts w:hint="eastAsia" w:ascii="仿宋" w:hAnsi="仿宋" w:eastAsia="仿宋"/>
                <w:color w:val="auto"/>
              </w:rPr>
              <w:t>屏幕分辨率：超高清4K</w:t>
            </w:r>
            <w:r>
              <w:rPr>
                <w:rFonts w:hint="eastAsia" w:ascii="仿宋" w:hAnsi="仿宋" w:eastAsia="仿宋"/>
                <w:color w:val="auto"/>
              </w:rPr>
              <w:br w:type="textWrapping"/>
            </w:r>
            <w:r>
              <w:rPr>
                <w:rFonts w:hint="eastAsia" w:ascii="仿宋" w:hAnsi="仿宋" w:eastAsia="仿宋"/>
                <w:color w:val="auto"/>
              </w:rPr>
              <w:t>屏幕比例：16:9</w:t>
            </w:r>
            <w:r>
              <w:rPr>
                <w:rFonts w:hint="eastAsia" w:ascii="仿宋" w:hAnsi="仿宋" w:eastAsia="仿宋"/>
                <w:color w:val="auto"/>
              </w:rPr>
              <w:br w:type="textWrapping"/>
            </w:r>
            <w:r>
              <w:rPr>
                <w:rFonts w:hint="eastAsia" w:ascii="仿宋" w:hAnsi="仿宋" w:eastAsia="仿宋"/>
                <w:color w:val="auto"/>
              </w:rPr>
              <w:t>刷屏率：144Hz</w:t>
            </w:r>
            <w:r>
              <w:rPr>
                <w:rFonts w:hint="eastAsia" w:ascii="仿宋" w:hAnsi="仿宋" w:eastAsia="仿宋"/>
                <w:color w:val="auto"/>
              </w:rPr>
              <w:br w:type="textWrapping"/>
            </w:r>
            <w:r>
              <w:rPr>
                <w:rFonts w:hint="eastAsia" w:ascii="仿宋" w:hAnsi="仿宋" w:eastAsia="仿宋"/>
                <w:color w:val="auto"/>
              </w:rPr>
              <w:t>能效等级：一级能效</w:t>
            </w:r>
            <w:r>
              <w:rPr>
                <w:rFonts w:hint="eastAsia" w:ascii="仿宋" w:hAnsi="仿宋" w:eastAsia="仿宋"/>
                <w:color w:val="auto"/>
              </w:rPr>
              <w:br w:type="textWrapping"/>
            </w:r>
            <w:r>
              <w:rPr>
                <w:rFonts w:hint="eastAsia" w:ascii="仿宋" w:hAnsi="仿宋" w:eastAsia="仿宋"/>
                <w:color w:val="auto"/>
              </w:rPr>
              <w:t>须附带电视支架</w:t>
            </w:r>
          </w:p>
        </w:tc>
        <w:tc>
          <w:tcPr>
            <w:tcW w:w="0" w:type="auto"/>
            <w:vAlign w:val="center"/>
          </w:tcPr>
          <w:p w14:paraId="2144917D">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w:t>
            </w:r>
          </w:p>
        </w:tc>
        <w:tc>
          <w:tcPr>
            <w:tcW w:w="492" w:type="dxa"/>
            <w:vAlign w:val="center"/>
          </w:tcPr>
          <w:p w14:paraId="5244D3B7">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44FD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B3AB910">
            <w:pPr>
              <w:widowControl/>
              <w:snapToGrid w:val="0"/>
              <w:jc w:val="center"/>
              <w:rPr>
                <w:rFonts w:hint="eastAsia" w:ascii="仿宋" w:hAnsi="仿宋" w:eastAsia="仿宋"/>
                <w:color w:val="auto"/>
                <w:kern w:val="0"/>
              </w:rPr>
            </w:pPr>
            <w:r>
              <w:rPr>
                <w:rFonts w:hint="eastAsia" w:ascii="仿宋" w:hAnsi="仿宋" w:eastAsia="仿宋" w:cs="宋体"/>
                <w:color w:val="auto"/>
                <w:kern w:val="0"/>
              </w:rPr>
              <w:t>15</w:t>
            </w:r>
          </w:p>
        </w:tc>
        <w:tc>
          <w:tcPr>
            <w:tcW w:w="996" w:type="dxa"/>
            <w:vAlign w:val="center"/>
          </w:tcPr>
          <w:p w14:paraId="096B437D">
            <w:pPr>
              <w:widowControl/>
              <w:snapToGrid w:val="0"/>
              <w:jc w:val="center"/>
              <w:rPr>
                <w:rFonts w:hint="eastAsia" w:ascii="仿宋" w:hAnsi="仿宋" w:eastAsia="仿宋"/>
                <w:color w:val="auto"/>
              </w:rPr>
            </w:pPr>
            <w:r>
              <w:rPr>
                <w:rFonts w:hint="eastAsia" w:ascii="仿宋" w:hAnsi="仿宋" w:eastAsia="仿宋" w:cs="宋体"/>
                <w:color w:val="auto"/>
                <w:kern w:val="0"/>
              </w:rPr>
              <w:t>U型蓝箱</w:t>
            </w:r>
          </w:p>
        </w:tc>
        <w:tc>
          <w:tcPr>
            <w:tcW w:w="6650" w:type="dxa"/>
            <w:vAlign w:val="center"/>
          </w:tcPr>
          <w:p w14:paraId="79A01877">
            <w:pPr>
              <w:widowControl/>
              <w:snapToGrid w:val="0"/>
              <w:jc w:val="left"/>
              <w:rPr>
                <w:rFonts w:hint="eastAsia" w:ascii="仿宋" w:hAnsi="仿宋" w:eastAsia="仿宋"/>
                <w:color w:val="auto"/>
              </w:rPr>
            </w:pPr>
            <w:r>
              <w:rPr>
                <w:rFonts w:hint="eastAsia" w:ascii="仿宋" w:hAnsi="仿宋" w:eastAsia="仿宋"/>
                <w:color w:val="auto"/>
              </w:rPr>
              <w:t>1、制作蓝箱结构框架</w:t>
            </w:r>
            <w:r>
              <w:rPr>
                <w:rFonts w:hint="eastAsia" w:ascii="仿宋" w:hAnsi="仿宋" w:eastAsia="仿宋"/>
                <w:color w:val="auto"/>
              </w:rPr>
              <w:br w:type="textWrapping"/>
            </w:r>
            <w:r>
              <w:rPr>
                <w:rFonts w:hint="eastAsia" w:ascii="仿宋" w:hAnsi="仿宋" w:eastAsia="仿宋"/>
                <w:color w:val="auto"/>
              </w:rPr>
              <w:t>2、于结构框架、地面、后墙面、侧主面部分边长为25cm的正方形平板连接，各个拐角面用半径为50cm的弧形板连接，三个平面的交叉处用半径为1m的球形体连接，形成无死角、无灯光阴影的蓝箱结构.</w:t>
            </w:r>
            <w:r>
              <w:rPr>
                <w:rFonts w:hint="eastAsia" w:ascii="仿宋" w:hAnsi="仿宋" w:eastAsia="仿宋"/>
                <w:color w:val="auto"/>
              </w:rPr>
              <w:br w:type="textWrapping"/>
            </w:r>
            <w:r>
              <w:rPr>
                <w:rFonts w:hint="eastAsia" w:ascii="仿宋" w:hAnsi="仿宋" w:eastAsia="仿宋"/>
                <w:color w:val="auto"/>
              </w:rPr>
              <w:t>3、蓝箱高出地面5cm，用斜面专用钢板过渡连接地面，既保护蓝箱立面又美观大方。</w:t>
            </w:r>
            <w:r>
              <w:rPr>
                <w:rFonts w:hint="eastAsia" w:ascii="仿宋" w:hAnsi="仿宋" w:eastAsia="仿宋"/>
                <w:color w:val="auto"/>
              </w:rPr>
              <w:br w:type="textWrapping"/>
            </w:r>
            <w:r>
              <w:rPr>
                <w:rFonts w:hint="eastAsia" w:ascii="仿宋" w:hAnsi="仿宋" w:eastAsia="仿宋"/>
                <w:color w:val="auto"/>
              </w:rPr>
              <w:t>4、用腻子处理个板块连接缝。</w:t>
            </w:r>
            <w:r>
              <w:rPr>
                <w:rFonts w:hint="eastAsia" w:ascii="仿宋" w:hAnsi="仿宋" w:eastAsia="仿宋"/>
                <w:color w:val="auto"/>
              </w:rPr>
              <w:br w:type="textWrapping"/>
            </w:r>
            <w:r>
              <w:rPr>
                <w:rFonts w:hint="eastAsia" w:ascii="仿宋" w:hAnsi="仿宋" w:eastAsia="仿宋"/>
                <w:color w:val="auto"/>
              </w:rPr>
              <w:t>5、刷专业进口蓝抠像漆</w:t>
            </w:r>
          </w:p>
        </w:tc>
        <w:tc>
          <w:tcPr>
            <w:tcW w:w="0" w:type="auto"/>
            <w:vAlign w:val="center"/>
          </w:tcPr>
          <w:p w14:paraId="22BEB716">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38F344C6">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56EE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705FB63">
            <w:pPr>
              <w:widowControl/>
              <w:snapToGrid w:val="0"/>
              <w:jc w:val="center"/>
              <w:rPr>
                <w:rFonts w:hint="eastAsia" w:ascii="仿宋" w:hAnsi="仿宋" w:eastAsia="仿宋"/>
                <w:color w:val="auto"/>
                <w:kern w:val="0"/>
              </w:rPr>
            </w:pPr>
            <w:r>
              <w:rPr>
                <w:rFonts w:hint="eastAsia" w:ascii="仿宋" w:hAnsi="仿宋" w:eastAsia="仿宋" w:cs="宋体"/>
                <w:color w:val="auto"/>
                <w:kern w:val="0"/>
              </w:rPr>
              <w:t>16</w:t>
            </w:r>
          </w:p>
        </w:tc>
        <w:tc>
          <w:tcPr>
            <w:tcW w:w="996" w:type="dxa"/>
            <w:vAlign w:val="center"/>
          </w:tcPr>
          <w:p w14:paraId="5C12C11D">
            <w:pPr>
              <w:widowControl/>
              <w:snapToGrid w:val="0"/>
              <w:jc w:val="center"/>
              <w:rPr>
                <w:rFonts w:hint="eastAsia" w:ascii="仿宋" w:hAnsi="仿宋" w:eastAsia="仿宋"/>
                <w:color w:val="auto"/>
                <w:highlight w:val="yellow"/>
              </w:rPr>
            </w:pPr>
            <w:r>
              <w:rPr>
                <w:rFonts w:hint="eastAsia" w:ascii="仿宋" w:hAnsi="仿宋" w:eastAsia="仿宋" w:cs="宋体"/>
                <w:color w:val="auto"/>
                <w:kern w:val="0"/>
              </w:rPr>
              <w:t>线材</w:t>
            </w:r>
          </w:p>
        </w:tc>
        <w:tc>
          <w:tcPr>
            <w:tcW w:w="6650" w:type="dxa"/>
            <w:vAlign w:val="center"/>
          </w:tcPr>
          <w:p w14:paraId="601BBAD4">
            <w:pPr>
              <w:widowControl/>
              <w:snapToGrid w:val="0"/>
              <w:jc w:val="left"/>
              <w:rPr>
                <w:rFonts w:hint="eastAsia" w:ascii="仿宋" w:hAnsi="仿宋" w:eastAsia="仿宋"/>
                <w:color w:val="auto"/>
              </w:rPr>
            </w:pPr>
            <w:r>
              <w:rPr>
                <w:rFonts w:hint="eastAsia" w:ascii="仿宋" w:hAnsi="仿宋" w:eastAsia="仿宋"/>
                <w:color w:val="auto"/>
              </w:rPr>
              <w:t>所有设备需要</w:t>
            </w:r>
            <w:bookmarkStart w:id="66" w:name="OLE_LINK7"/>
            <w:r>
              <w:rPr>
                <w:rFonts w:hint="eastAsia" w:ascii="仿宋" w:hAnsi="仿宋" w:eastAsia="仿宋"/>
                <w:color w:val="auto"/>
              </w:rPr>
              <w:t>线材HDMI/VGA/音频线/电源线</w:t>
            </w:r>
            <w:bookmarkEnd w:id="66"/>
            <w:r>
              <w:rPr>
                <w:rFonts w:hint="eastAsia" w:ascii="仿宋" w:hAnsi="仿宋" w:eastAsia="仿宋"/>
                <w:color w:val="auto"/>
              </w:rPr>
              <w:t>等.</w:t>
            </w:r>
          </w:p>
          <w:p w14:paraId="4E98EFDE">
            <w:pPr>
              <w:pStyle w:val="2"/>
              <w:snapToGrid w:val="0"/>
              <w:jc w:val="left"/>
              <w:rPr>
                <w:rFonts w:hint="eastAsia" w:ascii="仿宋" w:hAnsi="仿宋" w:eastAsia="仿宋"/>
                <w:color w:val="auto"/>
                <w:sz w:val="21"/>
                <w:szCs w:val="21"/>
              </w:rPr>
            </w:pPr>
            <w:r>
              <w:rPr>
                <w:rFonts w:ascii="仿宋" w:hAnsi="仿宋" w:eastAsia="仿宋"/>
                <w:color w:val="auto"/>
                <w:sz w:val="21"/>
                <w:szCs w:val="21"/>
              </w:rPr>
              <w:t>HDMI 线</w:t>
            </w:r>
            <w:r>
              <w:rPr>
                <w:rFonts w:hint="eastAsia" w:ascii="仿宋" w:hAnsi="仿宋" w:eastAsia="仿宋"/>
                <w:color w:val="auto"/>
                <w:sz w:val="21"/>
                <w:szCs w:val="21"/>
              </w:rPr>
              <w:t>:</w:t>
            </w:r>
            <w:r>
              <w:rPr>
                <w:rFonts w:ascii="仿宋" w:hAnsi="仿宋" w:eastAsia="仿宋"/>
                <w:color w:val="auto"/>
                <w:sz w:val="21"/>
                <w:szCs w:val="21"/>
              </w:rPr>
              <w:t>版本：HDMI 2.0 及以上</w:t>
            </w:r>
            <w:r>
              <w:rPr>
                <w:rFonts w:hint="eastAsia" w:ascii="仿宋" w:hAnsi="仿宋" w:eastAsia="仿宋"/>
                <w:color w:val="auto"/>
                <w:sz w:val="21"/>
                <w:szCs w:val="21"/>
              </w:rPr>
              <w:t>;</w:t>
            </w:r>
            <w:r>
              <w:rPr>
                <w:rFonts w:ascii="仿宋" w:hAnsi="仿宋" w:eastAsia="仿宋"/>
                <w:color w:val="auto"/>
                <w:sz w:val="21"/>
                <w:szCs w:val="21"/>
              </w:rPr>
              <w:t>分辨率：支持 4K@60Hz、1080P</w:t>
            </w:r>
            <w:r>
              <w:rPr>
                <w:rFonts w:hint="eastAsia" w:ascii="仿宋" w:hAnsi="仿宋" w:eastAsia="仿宋"/>
                <w:color w:val="auto"/>
                <w:sz w:val="21"/>
                <w:szCs w:val="21"/>
              </w:rPr>
              <w:t>;</w:t>
            </w:r>
            <w:r>
              <w:rPr>
                <w:rFonts w:ascii="仿宋" w:hAnsi="仿宋" w:eastAsia="仿宋"/>
                <w:color w:val="auto"/>
                <w:sz w:val="21"/>
                <w:szCs w:val="21"/>
              </w:rPr>
              <w:t>接口：标准 HDMI A 公对公</w:t>
            </w:r>
            <w:r>
              <w:rPr>
                <w:rFonts w:hint="eastAsia" w:ascii="仿宋" w:hAnsi="仿宋" w:eastAsia="仿宋"/>
                <w:color w:val="auto"/>
                <w:sz w:val="21"/>
                <w:szCs w:val="21"/>
              </w:rPr>
              <w:t>;</w:t>
            </w:r>
            <w:r>
              <w:rPr>
                <w:rFonts w:ascii="仿宋" w:hAnsi="仿宋" w:eastAsia="仿宋"/>
                <w:color w:val="auto"/>
                <w:sz w:val="21"/>
                <w:szCs w:val="21"/>
              </w:rPr>
              <w:t>导体：纯铜导体，双层屏蔽</w:t>
            </w:r>
            <w:r>
              <w:rPr>
                <w:rFonts w:hint="eastAsia" w:ascii="仿宋" w:hAnsi="仿宋" w:eastAsia="仿宋"/>
                <w:color w:val="auto"/>
                <w:sz w:val="21"/>
                <w:szCs w:val="21"/>
              </w:rPr>
              <w:t>;</w:t>
            </w:r>
            <w:r>
              <w:rPr>
                <w:rFonts w:ascii="仿宋" w:hAnsi="仿宋" w:eastAsia="仿宋"/>
                <w:color w:val="auto"/>
                <w:sz w:val="21"/>
                <w:szCs w:val="21"/>
              </w:rPr>
              <w:t>长度：按需配置（常规 1.5m/2m/3m/5m）</w:t>
            </w:r>
          </w:p>
          <w:p w14:paraId="0F3AE69D">
            <w:pPr>
              <w:pStyle w:val="2"/>
              <w:snapToGrid w:val="0"/>
              <w:jc w:val="left"/>
              <w:rPr>
                <w:rFonts w:hint="eastAsia" w:ascii="仿宋" w:hAnsi="仿宋" w:eastAsia="仿宋"/>
                <w:color w:val="auto"/>
                <w:sz w:val="21"/>
                <w:szCs w:val="21"/>
              </w:rPr>
            </w:pPr>
            <w:r>
              <w:rPr>
                <w:rFonts w:ascii="仿宋" w:hAnsi="仿宋" w:eastAsia="仿宋"/>
                <w:color w:val="auto"/>
                <w:sz w:val="21"/>
                <w:szCs w:val="21"/>
              </w:rPr>
              <w:t>VGA 线</w:t>
            </w:r>
            <w:r>
              <w:rPr>
                <w:rFonts w:hint="eastAsia" w:ascii="仿宋" w:hAnsi="仿宋" w:eastAsia="仿宋"/>
                <w:color w:val="auto"/>
                <w:sz w:val="21"/>
                <w:szCs w:val="21"/>
              </w:rPr>
              <w:t>:</w:t>
            </w:r>
            <w:r>
              <w:rPr>
                <w:rFonts w:ascii="仿宋" w:hAnsi="仿宋" w:eastAsia="仿宋"/>
                <w:color w:val="auto"/>
                <w:sz w:val="21"/>
                <w:szCs w:val="21"/>
              </w:rPr>
              <w:t>接口：VGA 15 针公对公（DB15）</w:t>
            </w:r>
            <w:r>
              <w:rPr>
                <w:rFonts w:hint="eastAsia" w:ascii="仿宋" w:hAnsi="仿宋" w:eastAsia="仿宋"/>
                <w:color w:val="auto"/>
                <w:sz w:val="21"/>
                <w:szCs w:val="21"/>
              </w:rPr>
              <w:t>;</w:t>
            </w:r>
            <w:r>
              <w:rPr>
                <w:rFonts w:ascii="仿宋" w:hAnsi="仿宋" w:eastAsia="仿宋"/>
                <w:color w:val="auto"/>
                <w:sz w:val="21"/>
                <w:szCs w:val="21"/>
              </w:rPr>
              <w:t>分辨率：支持 1080P 及以下</w:t>
            </w:r>
            <w:r>
              <w:rPr>
                <w:rFonts w:hint="eastAsia" w:ascii="仿宋" w:hAnsi="仿宋" w:eastAsia="仿宋"/>
                <w:color w:val="auto"/>
                <w:sz w:val="21"/>
                <w:szCs w:val="21"/>
              </w:rPr>
              <w:t>;</w:t>
            </w:r>
            <w:r>
              <w:rPr>
                <w:rFonts w:ascii="仿宋" w:hAnsi="仿宋" w:eastAsia="仿宋"/>
                <w:color w:val="auto"/>
                <w:sz w:val="21"/>
                <w:szCs w:val="21"/>
              </w:rPr>
              <w:t>导体：多股纯铜，带屏蔽层</w:t>
            </w:r>
            <w:r>
              <w:rPr>
                <w:rFonts w:hint="eastAsia" w:ascii="仿宋" w:hAnsi="仿宋" w:eastAsia="仿宋"/>
                <w:color w:val="auto"/>
                <w:sz w:val="21"/>
                <w:szCs w:val="21"/>
              </w:rPr>
              <w:t>;</w:t>
            </w:r>
            <w:r>
              <w:rPr>
                <w:rFonts w:ascii="仿宋" w:hAnsi="仿宋" w:eastAsia="仿宋"/>
                <w:color w:val="auto"/>
                <w:sz w:val="21"/>
                <w:szCs w:val="21"/>
              </w:rPr>
              <w:t>长度：按需配置</w:t>
            </w:r>
          </w:p>
          <w:p w14:paraId="2D58795C">
            <w:pPr>
              <w:pStyle w:val="2"/>
              <w:snapToGrid w:val="0"/>
              <w:jc w:val="left"/>
              <w:rPr>
                <w:rFonts w:hint="eastAsia" w:ascii="仿宋" w:hAnsi="仿宋" w:eastAsia="仿宋"/>
                <w:color w:val="auto"/>
                <w:sz w:val="21"/>
                <w:szCs w:val="21"/>
              </w:rPr>
            </w:pPr>
            <w:r>
              <w:rPr>
                <w:rFonts w:ascii="仿宋" w:hAnsi="仿宋" w:eastAsia="仿宋"/>
                <w:color w:val="auto"/>
                <w:sz w:val="21"/>
                <w:szCs w:val="21"/>
              </w:rPr>
              <w:t>音频线</w:t>
            </w:r>
            <w:r>
              <w:rPr>
                <w:rFonts w:hint="eastAsia" w:ascii="仿宋" w:hAnsi="仿宋" w:eastAsia="仿宋"/>
                <w:color w:val="auto"/>
                <w:sz w:val="21"/>
                <w:szCs w:val="21"/>
              </w:rPr>
              <w:t>:</w:t>
            </w:r>
            <w:r>
              <w:rPr>
                <w:rFonts w:ascii="仿宋" w:hAnsi="仿宋" w:eastAsia="仿宋"/>
                <w:color w:val="auto"/>
                <w:sz w:val="21"/>
                <w:szCs w:val="21"/>
              </w:rPr>
              <w:t>类型：3.5mm 音频线</w:t>
            </w:r>
            <w:r>
              <w:rPr>
                <w:rFonts w:hint="eastAsia" w:ascii="仿宋" w:hAnsi="仿宋" w:eastAsia="仿宋"/>
                <w:color w:val="auto"/>
                <w:sz w:val="21"/>
                <w:szCs w:val="21"/>
              </w:rPr>
              <w:t>/</w:t>
            </w:r>
            <w:r>
              <w:rPr>
                <w:rFonts w:ascii="仿宋" w:hAnsi="仿宋" w:eastAsia="仿宋"/>
                <w:color w:val="auto"/>
                <w:sz w:val="21"/>
                <w:szCs w:val="21"/>
              </w:rPr>
              <w:t>双莲花 RCA 线</w:t>
            </w:r>
            <w:r>
              <w:rPr>
                <w:rFonts w:hint="eastAsia" w:ascii="仿宋" w:hAnsi="仿宋" w:eastAsia="仿宋"/>
                <w:color w:val="auto"/>
                <w:sz w:val="21"/>
                <w:szCs w:val="21"/>
              </w:rPr>
              <w:t>;</w:t>
            </w:r>
            <w:r>
              <w:rPr>
                <w:rFonts w:ascii="仿宋" w:hAnsi="仿宋" w:eastAsia="仿宋"/>
                <w:color w:val="auto"/>
                <w:sz w:val="21"/>
                <w:szCs w:val="21"/>
              </w:rPr>
              <w:t>结构：纯铜导体，双层屏蔽，抗干扰</w:t>
            </w:r>
            <w:r>
              <w:rPr>
                <w:rFonts w:hint="eastAsia" w:ascii="仿宋" w:hAnsi="仿宋" w:eastAsia="仿宋"/>
                <w:color w:val="auto"/>
                <w:sz w:val="21"/>
                <w:szCs w:val="21"/>
              </w:rPr>
              <w:t>;</w:t>
            </w:r>
            <w:r>
              <w:rPr>
                <w:rFonts w:ascii="仿宋" w:hAnsi="仿宋" w:eastAsia="仿宋"/>
                <w:color w:val="auto"/>
                <w:sz w:val="21"/>
                <w:szCs w:val="21"/>
              </w:rPr>
              <w:t>传输：立体声左右声道，无杂音</w:t>
            </w:r>
            <w:r>
              <w:rPr>
                <w:rFonts w:hint="eastAsia" w:ascii="仿宋" w:hAnsi="仿宋" w:eastAsia="仿宋"/>
                <w:color w:val="auto"/>
                <w:sz w:val="21"/>
                <w:szCs w:val="21"/>
              </w:rPr>
              <w:t>;</w:t>
            </w:r>
            <w:r>
              <w:rPr>
                <w:rFonts w:ascii="仿宋" w:hAnsi="仿宋" w:eastAsia="仿宋"/>
                <w:color w:val="auto"/>
                <w:sz w:val="21"/>
                <w:szCs w:val="21"/>
              </w:rPr>
              <w:t>长度：按需配置</w:t>
            </w:r>
          </w:p>
          <w:p w14:paraId="478050BE">
            <w:pPr>
              <w:pStyle w:val="2"/>
              <w:snapToGrid w:val="0"/>
              <w:jc w:val="left"/>
              <w:rPr>
                <w:rFonts w:hint="eastAsia" w:ascii="仿宋" w:hAnsi="仿宋" w:eastAsia="仿宋"/>
                <w:color w:val="auto"/>
                <w:sz w:val="21"/>
                <w:szCs w:val="21"/>
                <w:highlight w:val="yellow"/>
              </w:rPr>
            </w:pPr>
            <w:r>
              <w:rPr>
                <w:rFonts w:ascii="仿宋" w:hAnsi="仿宋" w:eastAsia="仿宋"/>
                <w:color w:val="auto"/>
                <w:sz w:val="21"/>
                <w:szCs w:val="21"/>
              </w:rPr>
              <w:t>电源线</w:t>
            </w:r>
            <w:r>
              <w:rPr>
                <w:rFonts w:hint="eastAsia" w:ascii="仿宋" w:hAnsi="仿宋" w:eastAsia="仿宋"/>
                <w:color w:val="auto"/>
                <w:sz w:val="21"/>
                <w:szCs w:val="21"/>
              </w:rPr>
              <w:t>:</w:t>
            </w:r>
            <w:r>
              <w:rPr>
                <w:rFonts w:ascii="仿宋" w:hAnsi="仿宋" w:eastAsia="仿宋"/>
                <w:color w:val="auto"/>
                <w:sz w:val="21"/>
                <w:szCs w:val="21"/>
              </w:rPr>
              <w:t>规格：国标三插电源线，10A/250V</w:t>
            </w:r>
            <w:r>
              <w:rPr>
                <w:rFonts w:hint="eastAsia" w:ascii="仿宋" w:hAnsi="仿宋" w:eastAsia="仿宋"/>
                <w:color w:val="auto"/>
                <w:sz w:val="21"/>
                <w:szCs w:val="21"/>
              </w:rPr>
              <w:t>;</w:t>
            </w:r>
            <w:r>
              <w:rPr>
                <w:rFonts w:ascii="仿宋" w:hAnsi="仿宋" w:eastAsia="仿宋"/>
                <w:color w:val="auto"/>
                <w:sz w:val="21"/>
                <w:szCs w:val="21"/>
              </w:rPr>
              <w:t>线芯：3×0.75mm</w:t>
            </w:r>
            <w:r>
              <w:rPr>
                <w:rFonts w:ascii="仿宋" w:hAnsi="Calibri" w:eastAsia="仿宋" w:cs="Calibri"/>
                <w:color w:val="auto"/>
                <w:sz w:val="21"/>
                <w:szCs w:val="21"/>
              </w:rPr>
              <w:t>²</w:t>
            </w:r>
            <w:r>
              <w:rPr>
                <w:rFonts w:ascii="仿宋" w:hAnsi="仿宋" w:eastAsia="仿宋"/>
                <w:color w:val="auto"/>
                <w:sz w:val="21"/>
                <w:szCs w:val="21"/>
              </w:rPr>
              <w:t xml:space="preserve"> 纯铜芯</w:t>
            </w:r>
            <w:r>
              <w:rPr>
                <w:rFonts w:hint="eastAsia" w:ascii="仿宋" w:hAnsi="仿宋" w:eastAsia="仿宋"/>
                <w:color w:val="auto"/>
                <w:sz w:val="21"/>
                <w:szCs w:val="21"/>
              </w:rPr>
              <w:t>;</w:t>
            </w:r>
            <w:r>
              <w:rPr>
                <w:rFonts w:ascii="仿宋" w:hAnsi="仿宋" w:eastAsia="仿宋"/>
                <w:color w:val="auto"/>
                <w:sz w:val="21"/>
                <w:szCs w:val="21"/>
              </w:rPr>
              <w:t>符合国标安全标准</w:t>
            </w:r>
          </w:p>
        </w:tc>
        <w:tc>
          <w:tcPr>
            <w:tcW w:w="0" w:type="auto"/>
            <w:vAlign w:val="center"/>
          </w:tcPr>
          <w:p w14:paraId="411425BA">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715B4969">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22E49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2611490">
            <w:pPr>
              <w:widowControl/>
              <w:snapToGrid w:val="0"/>
              <w:jc w:val="center"/>
              <w:rPr>
                <w:rFonts w:hint="eastAsia" w:ascii="仿宋" w:hAnsi="仿宋" w:eastAsia="仿宋"/>
                <w:color w:val="auto"/>
                <w:kern w:val="0"/>
              </w:rPr>
            </w:pPr>
            <w:r>
              <w:rPr>
                <w:rFonts w:hint="eastAsia" w:ascii="仿宋" w:hAnsi="仿宋" w:eastAsia="仿宋" w:cs="宋体"/>
                <w:color w:val="auto"/>
                <w:kern w:val="0"/>
              </w:rPr>
              <w:t>17</w:t>
            </w:r>
          </w:p>
        </w:tc>
        <w:tc>
          <w:tcPr>
            <w:tcW w:w="996" w:type="dxa"/>
            <w:vAlign w:val="center"/>
          </w:tcPr>
          <w:p w14:paraId="3EBF223B">
            <w:pPr>
              <w:widowControl/>
              <w:snapToGrid w:val="0"/>
              <w:jc w:val="center"/>
              <w:rPr>
                <w:rFonts w:hint="eastAsia" w:ascii="仿宋" w:hAnsi="仿宋" w:eastAsia="仿宋"/>
                <w:color w:val="auto"/>
              </w:rPr>
            </w:pPr>
            <w:r>
              <w:rPr>
                <w:rFonts w:hint="eastAsia" w:ascii="仿宋" w:hAnsi="仿宋" w:eastAsia="仿宋" w:cs="宋体"/>
                <w:color w:val="auto"/>
                <w:kern w:val="0"/>
              </w:rPr>
              <w:t>LED灯</w:t>
            </w:r>
          </w:p>
        </w:tc>
        <w:tc>
          <w:tcPr>
            <w:tcW w:w="6650" w:type="dxa"/>
            <w:vAlign w:val="center"/>
          </w:tcPr>
          <w:p w14:paraId="162FEEE2">
            <w:pPr>
              <w:widowControl/>
              <w:snapToGrid w:val="0"/>
              <w:jc w:val="left"/>
              <w:rPr>
                <w:rFonts w:hint="eastAsia" w:ascii="仿宋" w:hAnsi="仿宋" w:eastAsia="仿宋"/>
                <w:color w:val="auto"/>
              </w:rPr>
            </w:pPr>
            <w:r>
              <w:rPr>
                <w:rFonts w:hint="eastAsia" w:ascii="仿宋" w:hAnsi="仿宋" w:eastAsia="仿宋"/>
                <w:color w:val="auto"/>
              </w:rPr>
              <w:t>额定功率：100W</w:t>
            </w:r>
            <w:r>
              <w:rPr>
                <w:rFonts w:hint="eastAsia" w:ascii="仿宋" w:hAnsi="仿宋" w:eastAsia="仿宋"/>
                <w:color w:val="auto"/>
              </w:rPr>
              <w:br w:type="textWrapping"/>
            </w:r>
            <w:r>
              <w:rPr>
                <w:rFonts w:hint="eastAsia" w:ascii="仿宋" w:hAnsi="仿宋" w:eastAsia="仿宋"/>
                <w:color w:val="auto"/>
              </w:rPr>
              <w:t>供电方式：AC：90-265V，50/60Hz；DC12-24V</w:t>
            </w:r>
            <w:r>
              <w:rPr>
                <w:rFonts w:hint="eastAsia" w:ascii="仿宋" w:hAnsi="仿宋" w:eastAsia="仿宋"/>
                <w:color w:val="auto"/>
              </w:rPr>
              <w:br w:type="textWrapping"/>
            </w:r>
            <w:r>
              <w:rPr>
                <w:rFonts w:hint="eastAsia" w:ascii="仿宋" w:hAnsi="仿宋" w:eastAsia="仿宋"/>
                <w:color w:val="auto"/>
              </w:rPr>
              <w:t>相关色温：5600K（可选3200K）</w:t>
            </w:r>
            <w:r>
              <w:rPr>
                <w:rFonts w:hint="eastAsia" w:ascii="仿宋" w:hAnsi="仿宋" w:eastAsia="仿宋"/>
                <w:color w:val="auto"/>
              </w:rPr>
              <w:br w:type="textWrapping"/>
            </w:r>
            <w:r>
              <w:rPr>
                <w:rFonts w:hint="eastAsia" w:ascii="仿宋" w:hAnsi="仿宋" w:eastAsia="仿宋"/>
                <w:color w:val="auto"/>
              </w:rPr>
              <w:t>LED类型：贴片灯珠</w:t>
            </w:r>
            <w:r>
              <w:rPr>
                <w:rFonts w:hint="eastAsia" w:ascii="仿宋" w:hAnsi="仿宋" w:eastAsia="仿宋"/>
                <w:color w:val="auto"/>
              </w:rPr>
              <w:br w:type="textWrapping"/>
            </w:r>
            <w:r>
              <w:rPr>
                <w:rFonts w:hint="eastAsia" w:ascii="仿宋" w:hAnsi="仿宋" w:eastAsia="仿宋"/>
                <w:color w:val="auto"/>
              </w:rPr>
              <w:t>1.全航空铝材结构，强度高，重量轻。</w:t>
            </w:r>
            <w:r>
              <w:rPr>
                <w:rFonts w:hint="eastAsia" w:ascii="仿宋" w:hAnsi="仿宋" w:eastAsia="仿宋"/>
                <w:color w:val="auto"/>
              </w:rPr>
              <w:br w:type="textWrapping"/>
            </w:r>
            <w:r>
              <w:rPr>
                <w:rFonts w:hint="eastAsia" w:ascii="仿宋" w:hAnsi="仿宋" w:eastAsia="仿宋"/>
                <w:color w:val="auto"/>
              </w:rPr>
              <w:t>2.灯体与光源一体化设计，灯体采用高强航空铝材散热材质，散热好，大幅延长灯珠寿命，质量稳定。</w:t>
            </w:r>
            <w:r>
              <w:rPr>
                <w:rFonts w:hint="eastAsia" w:ascii="仿宋" w:hAnsi="仿宋" w:eastAsia="仿宋"/>
                <w:color w:val="auto"/>
              </w:rPr>
              <w:br w:type="textWrapping"/>
            </w:r>
            <w:r>
              <w:rPr>
                <w:rFonts w:hint="eastAsia" w:ascii="仿宋" w:hAnsi="仿宋" w:eastAsia="仿宋"/>
                <w:color w:val="auto"/>
              </w:rPr>
              <w:t>3.灯具固定转接件，灯具易损耗件采用全高强航空铝材质设计，无故障，耐使用。</w:t>
            </w:r>
            <w:r>
              <w:rPr>
                <w:rFonts w:hint="eastAsia" w:ascii="仿宋" w:hAnsi="仿宋" w:eastAsia="仿宋"/>
                <w:color w:val="auto"/>
              </w:rPr>
              <w:br w:type="textWrapping"/>
            </w:r>
            <w:r>
              <w:rPr>
                <w:rFonts w:hint="eastAsia" w:ascii="仿宋" w:hAnsi="仿宋" w:eastAsia="仿宋"/>
                <w:color w:val="auto"/>
              </w:rPr>
              <w:t>4.高效光源芯片，高亮度，高显色，Ra &gt;95.色温稳定，5600K。</w:t>
            </w:r>
            <w:r>
              <w:rPr>
                <w:rFonts w:hint="eastAsia" w:ascii="仿宋" w:hAnsi="仿宋" w:eastAsia="仿宋"/>
                <w:color w:val="auto"/>
              </w:rPr>
              <w:br w:type="textWrapping"/>
            </w:r>
            <w:r>
              <w:rPr>
                <w:rFonts w:hint="eastAsia" w:ascii="仿宋" w:hAnsi="仿宋" w:eastAsia="仿宋"/>
                <w:color w:val="auto"/>
              </w:rPr>
              <w:t>5.电源控制电路一体化控制盒设计，灯体控制盒分体设计，高强铝材外壳，散热性好，易更换，售后简洁，方便。</w:t>
            </w:r>
            <w:r>
              <w:rPr>
                <w:rFonts w:hint="eastAsia" w:ascii="仿宋" w:hAnsi="仿宋" w:eastAsia="仿宋"/>
                <w:color w:val="auto"/>
              </w:rPr>
              <w:br w:type="textWrapping"/>
            </w:r>
            <w:r>
              <w:rPr>
                <w:rFonts w:hint="eastAsia" w:ascii="仿宋" w:hAnsi="仿宋" w:eastAsia="仿宋"/>
                <w:color w:val="auto"/>
              </w:rPr>
              <w:t>6.调光方式：DMX512信号控制/灯具本地控制/LCD液晶屏遥控功能。</w:t>
            </w:r>
            <w:r>
              <w:rPr>
                <w:rFonts w:hint="eastAsia" w:ascii="仿宋" w:hAnsi="仿宋" w:eastAsia="仿宋"/>
                <w:color w:val="auto"/>
              </w:rPr>
              <w:br w:type="textWrapping"/>
            </w:r>
            <w:r>
              <w:rPr>
                <w:rFonts w:hint="eastAsia" w:ascii="仿宋" w:hAnsi="仿宋" w:eastAsia="仿宋"/>
                <w:color w:val="auto"/>
              </w:rPr>
              <w:t>7.标准国际DMX512信号设计，DMX512/1990数字调光协议，兼容性强，控制精准。</w:t>
            </w:r>
          </w:p>
        </w:tc>
        <w:tc>
          <w:tcPr>
            <w:tcW w:w="0" w:type="auto"/>
            <w:vAlign w:val="center"/>
          </w:tcPr>
          <w:p w14:paraId="61E51FB9">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21</w:t>
            </w:r>
          </w:p>
        </w:tc>
        <w:tc>
          <w:tcPr>
            <w:tcW w:w="492" w:type="dxa"/>
            <w:vAlign w:val="center"/>
          </w:tcPr>
          <w:p w14:paraId="49FAC57A">
            <w:pPr>
              <w:widowControl/>
              <w:snapToGrid w:val="0"/>
              <w:jc w:val="center"/>
              <w:rPr>
                <w:rFonts w:hint="eastAsia" w:ascii="仿宋" w:hAnsi="仿宋" w:eastAsia="仿宋" w:cs="Calibri"/>
                <w:color w:val="auto"/>
                <w:kern w:val="0"/>
              </w:rPr>
            </w:pPr>
            <w:r>
              <w:rPr>
                <w:rFonts w:hint="eastAsia" w:ascii="仿宋" w:hAnsi="仿宋" w:eastAsia="仿宋"/>
                <w:color w:val="auto"/>
              </w:rPr>
              <w:t>盏</w:t>
            </w:r>
          </w:p>
        </w:tc>
      </w:tr>
      <w:tr w14:paraId="3F62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4EA5F37">
            <w:pPr>
              <w:widowControl/>
              <w:snapToGrid w:val="0"/>
              <w:jc w:val="center"/>
              <w:rPr>
                <w:rFonts w:hint="eastAsia" w:ascii="仿宋" w:hAnsi="仿宋" w:eastAsia="仿宋"/>
                <w:color w:val="auto"/>
                <w:kern w:val="0"/>
              </w:rPr>
            </w:pPr>
            <w:r>
              <w:rPr>
                <w:rFonts w:hint="eastAsia" w:ascii="仿宋" w:hAnsi="仿宋" w:eastAsia="仿宋" w:cs="宋体"/>
                <w:color w:val="auto"/>
                <w:kern w:val="0"/>
              </w:rPr>
              <w:t>18</w:t>
            </w:r>
          </w:p>
        </w:tc>
        <w:tc>
          <w:tcPr>
            <w:tcW w:w="996" w:type="dxa"/>
            <w:vAlign w:val="center"/>
          </w:tcPr>
          <w:p w14:paraId="694C347F">
            <w:pPr>
              <w:widowControl/>
              <w:snapToGrid w:val="0"/>
              <w:jc w:val="center"/>
              <w:rPr>
                <w:rFonts w:hint="eastAsia" w:ascii="仿宋" w:hAnsi="仿宋" w:eastAsia="仿宋"/>
                <w:color w:val="auto"/>
              </w:rPr>
            </w:pPr>
            <w:r>
              <w:rPr>
                <w:rFonts w:hint="eastAsia" w:ascii="仿宋" w:hAnsi="仿宋" w:eastAsia="仿宋" w:cs="宋体"/>
                <w:color w:val="auto"/>
                <w:kern w:val="0"/>
              </w:rPr>
              <w:t>LED聚光灯</w:t>
            </w:r>
          </w:p>
        </w:tc>
        <w:tc>
          <w:tcPr>
            <w:tcW w:w="6650" w:type="dxa"/>
            <w:vAlign w:val="center"/>
          </w:tcPr>
          <w:p w14:paraId="5763CB9F">
            <w:pPr>
              <w:widowControl/>
              <w:snapToGrid w:val="0"/>
              <w:jc w:val="left"/>
              <w:rPr>
                <w:rFonts w:hint="eastAsia" w:ascii="仿宋" w:hAnsi="仿宋" w:eastAsia="仿宋"/>
                <w:color w:val="auto"/>
              </w:rPr>
            </w:pPr>
            <w:r>
              <w:rPr>
                <w:rFonts w:hint="eastAsia" w:ascii="仿宋" w:hAnsi="仿宋" w:eastAsia="仿宋"/>
                <w:color w:val="auto"/>
              </w:rPr>
              <w:t>额定功率：100W</w:t>
            </w:r>
            <w:r>
              <w:rPr>
                <w:rFonts w:hint="eastAsia" w:ascii="仿宋" w:hAnsi="仿宋" w:eastAsia="仿宋"/>
                <w:color w:val="auto"/>
              </w:rPr>
              <w:br w:type="textWrapping"/>
            </w:r>
            <w:r>
              <w:rPr>
                <w:rFonts w:hint="eastAsia" w:ascii="仿宋" w:hAnsi="仿宋" w:eastAsia="仿宋"/>
                <w:color w:val="auto"/>
              </w:rPr>
              <w:t>供电方式：90V—265VAC,50/60Hz</w:t>
            </w:r>
            <w:r>
              <w:rPr>
                <w:rFonts w:hint="eastAsia" w:ascii="仿宋" w:hAnsi="仿宋" w:eastAsia="仿宋"/>
                <w:color w:val="auto"/>
              </w:rPr>
              <w:br w:type="textWrapping"/>
            </w:r>
            <w:r>
              <w:rPr>
                <w:rFonts w:hint="eastAsia" w:ascii="仿宋" w:hAnsi="仿宋" w:eastAsia="仿宋"/>
                <w:color w:val="auto"/>
              </w:rPr>
              <w:t>相关色温：5600K（可选3200K）</w:t>
            </w:r>
            <w:r>
              <w:rPr>
                <w:rFonts w:hint="eastAsia" w:ascii="仿宋" w:hAnsi="仿宋" w:eastAsia="仿宋"/>
                <w:color w:val="auto"/>
              </w:rPr>
              <w:br w:type="textWrapping"/>
            </w:r>
            <w:r>
              <w:rPr>
                <w:rFonts w:hint="eastAsia" w:ascii="仿宋" w:hAnsi="仿宋" w:eastAsia="仿宋"/>
                <w:color w:val="auto"/>
              </w:rPr>
              <w:t>光源类型：COB</w:t>
            </w:r>
            <w:r>
              <w:rPr>
                <w:rFonts w:hint="eastAsia" w:ascii="仿宋" w:hAnsi="仿宋" w:eastAsia="仿宋"/>
                <w:color w:val="auto"/>
              </w:rPr>
              <w:br w:type="textWrapping"/>
            </w:r>
            <w:r>
              <w:rPr>
                <w:rFonts w:hint="eastAsia" w:ascii="仿宋" w:hAnsi="仿宋" w:eastAsia="仿宋"/>
                <w:color w:val="auto"/>
              </w:rPr>
              <w:t>1.显色指数：CRI≥95%;TLCI(Qa)：＞95。</w:t>
            </w:r>
            <w:r>
              <w:rPr>
                <w:rFonts w:hint="eastAsia" w:ascii="仿宋" w:hAnsi="仿宋" w:eastAsia="仿宋"/>
                <w:color w:val="auto"/>
              </w:rPr>
              <w:br w:type="textWrapping"/>
            </w:r>
            <w:r>
              <w:rPr>
                <w:rFonts w:hint="eastAsia" w:ascii="仿宋" w:hAnsi="仿宋" w:eastAsia="仿宋"/>
                <w:color w:val="auto"/>
              </w:rPr>
              <w:t>2.光源寿命：＞50000小时。</w:t>
            </w:r>
            <w:r>
              <w:rPr>
                <w:rFonts w:hint="eastAsia" w:ascii="仿宋" w:hAnsi="仿宋" w:eastAsia="仿宋"/>
                <w:color w:val="auto"/>
              </w:rPr>
              <w:br w:type="textWrapping"/>
            </w:r>
            <w:r>
              <w:rPr>
                <w:rFonts w:hint="eastAsia" w:ascii="仿宋" w:hAnsi="仿宋" w:eastAsia="仿宋"/>
                <w:color w:val="auto"/>
              </w:rPr>
              <w:t>3.DMX通道数：1-3通道。</w:t>
            </w:r>
            <w:r>
              <w:rPr>
                <w:rFonts w:hint="eastAsia" w:ascii="仿宋" w:hAnsi="仿宋" w:eastAsia="仿宋"/>
                <w:color w:val="auto"/>
              </w:rPr>
              <w:br w:type="textWrapping"/>
            </w:r>
            <w:r>
              <w:rPr>
                <w:rFonts w:hint="eastAsia" w:ascii="仿宋" w:hAnsi="仿宋" w:eastAsia="仿宋"/>
                <w:color w:val="auto"/>
              </w:rPr>
              <w:t>4.调光频率：16.6KHz;工作频率：660KHz。</w:t>
            </w:r>
            <w:r>
              <w:rPr>
                <w:rFonts w:hint="eastAsia" w:ascii="仿宋" w:hAnsi="仿宋" w:eastAsia="仿宋"/>
                <w:color w:val="auto"/>
              </w:rPr>
              <w:br w:type="textWrapping"/>
            </w:r>
            <w:r>
              <w:rPr>
                <w:rFonts w:hint="eastAsia" w:ascii="仿宋" w:hAnsi="仿宋" w:eastAsia="仿宋"/>
                <w:color w:val="auto"/>
              </w:rPr>
              <w:t>5.灯体温度：≥40℃。</w:t>
            </w:r>
            <w:r>
              <w:rPr>
                <w:rFonts w:hint="eastAsia" w:ascii="仿宋" w:hAnsi="仿宋" w:eastAsia="仿宋"/>
                <w:color w:val="auto"/>
              </w:rPr>
              <w:br w:type="textWrapping"/>
            </w:r>
            <w:r>
              <w:rPr>
                <w:rFonts w:hint="eastAsia" w:ascii="仿宋" w:hAnsi="仿宋" w:eastAsia="仿宋"/>
                <w:color w:val="auto"/>
              </w:rPr>
              <w:t>6.光斑角度：10°～80°。</w:t>
            </w:r>
            <w:r>
              <w:rPr>
                <w:rFonts w:hint="eastAsia" w:ascii="仿宋" w:hAnsi="仿宋" w:eastAsia="仿宋"/>
                <w:color w:val="auto"/>
              </w:rPr>
              <w:br w:type="textWrapping"/>
            </w:r>
            <w:r>
              <w:rPr>
                <w:rFonts w:hint="eastAsia" w:ascii="仿宋" w:hAnsi="仿宋" w:eastAsia="仿宋"/>
                <w:color w:val="auto"/>
              </w:rPr>
              <w:t>7.驱动方式：恒流驱动。</w:t>
            </w:r>
            <w:r>
              <w:rPr>
                <w:rFonts w:hint="eastAsia" w:ascii="仿宋" w:hAnsi="仿宋" w:eastAsia="仿宋"/>
                <w:color w:val="auto"/>
              </w:rPr>
              <w:br w:type="textWrapping"/>
            </w:r>
            <w:r>
              <w:rPr>
                <w:rFonts w:hint="eastAsia" w:ascii="仿宋" w:hAnsi="仿宋" w:eastAsia="仿宋"/>
                <w:color w:val="auto"/>
              </w:rPr>
              <w:t>8.亮度调节:0—100%无极调光。</w:t>
            </w:r>
            <w:r>
              <w:rPr>
                <w:rFonts w:hint="eastAsia" w:ascii="仿宋" w:hAnsi="仿宋" w:eastAsia="仿宋"/>
                <w:color w:val="auto"/>
              </w:rPr>
              <w:br w:type="textWrapping"/>
            </w:r>
            <w:r>
              <w:rPr>
                <w:rFonts w:hint="eastAsia" w:ascii="仿宋" w:hAnsi="仿宋" w:eastAsia="仿宋"/>
                <w:color w:val="auto"/>
              </w:rPr>
              <w:t>9.控制模式：DMX512信号/本地控制/无线遥控。</w:t>
            </w:r>
            <w:r>
              <w:rPr>
                <w:rFonts w:hint="eastAsia" w:ascii="仿宋" w:hAnsi="仿宋" w:eastAsia="仿宋"/>
                <w:color w:val="auto"/>
              </w:rPr>
              <w:br w:type="textWrapping"/>
            </w:r>
            <w:r>
              <w:rPr>
                <w:rFonts w:hint="eastAsia" w:ascii="仿宋" w:hAnsi="仿宋" w:eastAsia="仿宋"/>
                <w:color w:val="auto"/>
              </w:rPr>
              <w:t>10.冷却系统：自然风冷散热，无风机产品。</w:t>
            </w:r>
            <w:r>
              <w:rPr>
                <w:rFonts w:hint="eastAsia" w:ascii="仿宋" w:hAnsi="仿宋" w:eastAsia="仿宋"/>
                <w:color w:val="auto"/>
              </w:rPr>
              <w:br w:type="textWrapping"/>
            </w:r>
            <w:r>
              <w:rPr>
                <w:rFonts w:hint="eastAsia" w:ascii="仿宋" w:hAnsi="仿宋" w:eastAsia="仿宋"/>
                <w:color w:val="auto"/>
              </w:rPr>
              <w:t>11.工作温度：-10°～40°。</w:t>
            </w:r>
          </w:p>
        </w:tc>
        <w:tc>
          <w:tcPr>
            <w:tcW w:w="0" w:type="auto"/>
            <w:vAlign w:val="center"/>
          </w:tcPr>
          <w:p w14:paraId="161505B3">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4</w:t>
            </w:r>
          </w:p>
        </w:tc>
        <w:tc>
          <w:tcPr>
            <w:tcW w:w="492" w:type="dxa"/>
            <w:vAlign w:val="center"/>
          </w:tcPr>
          <w:p w14:paraId="6A0DC63D">
            <w:pPr>
              <w:widowControl/>
              <w:snapToGrid w:val="0"/>
              <w:jc w:val="center"/>
              <w:rPr>
                <w:rFonts w:hint="eastAsia" w:ascii="仿宋" w:hAnsi="仿宋" w:eastAsia="仿宋" w:cs="Calibri"/>
                <w:color w:val="auto"/>
                <w:kern w:val="0"/>
              </w:rPr>
            </w:pPr>
            <w:r>
              <w:rPr>
                <w:rFonts w:hint="eastAsia" w:ascii="仿宋" w:hAnsi="仿宋" w:eastAsia="仿宋"/>
                <w:color w:val="auto"/>
              </w:rPr>
              <w:t>盏</w:t>
            </w:r>
          </w:p>
        </w:tc>
      </w:tr>
      <w:tr w14:paraId="679A0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16A1E10">
            <w:pPr>
              <w:widowControl/>
              <w:snapToGrid w:val="0"/>
              <w:jc w:val="center"/>
              <w:rPr>
                <w:rFonts w:hint="eastAsia" w:ascii="仿宋" w:hAnsi="仿宋" w:eastAsia="仿宋"/>
                <w:color w:val="auto"/>
                <w:kern w:val="0"/>
              </w:rPr>
            </w:pPr>
            <w:r>
              <w:rPr>
                <w:rFonts w:hint="eastAsia" w:ascii="仿宋" w:hAnsi="仿宋" w:eastAsia="仿宋" w:cs="宋体"/>
                <w:color w:val="auto"/>
                <w:kern w:val="0"/>
              </w:rPr>
              <w:t>19</w:t>
            </w:r>
          </w:p>
        </w:tc>
        <w:tc>
          <w:tcPr>
            <w:tcW w:w="996" w:type="dxa"/>
            <w:vAlign w:val="center"/>
          </w:tcPr>
          <w:p w14:paraId="54700FD9">
            <w:pPr>
              <w:widowControl/>
              <w:snapToGrid w:val="0"/>
              <w:jc w:val="center"/>
              <w:rPr>
                <w:rFonts w:hint="eastAsia" w:ascii="仿宋" w:hAnsi="仿宋" w:eastAsia="仿宋"/>
                <w:color w:val="auto"/>
              </w:rPr>
            </w:pPr>
            <w:r>
              <w:rPr>
                <w:rFonts w:hint="eastAsia" w:ascii="仿宋" w:hAnsi="仿宋" w:eastAsia="仿宋" w:cs="宋体"/>
                <w:color w:val="auto"/>
                <w:kern w:val="0"/>
              </w:rPr>
              <w:t>数字调光台</w:t>
            </w:r>
          </w:p>
        </w:tc>
        <w:tc>
          <w:tcPr>
            <w:tcW w:w="6650" w:type="dxa"/>
            <w:vAlign w:val="center"/>
          </w:tcPr>
          <w:p w14:paraId="5F145D1A">
            <w:pPr>
              <w:widowControl/>
              <w:snapToGrid w:val="0"/>
              <w:jc w:val="left"/>
              <w:rPr>
                <w:rFonts w:hint="eastAsia" w:ascii="仿宋" w:hAnsi="仿宋" w:eastAsia="仿宋"/>
                <w:color w:val="auto"/>
              </w:rPr>
            </w:pPr>
            <w:r>
              <w:rPr>
                <w:rFonts w:hint="eastAsia" w:ascii="仿宋" w:hAnsi="仿宋" w:eastAsia="仿宋"/>
                <w:color w:val="auto"/>
              </w:rPr>
              <w:t>24通道的DMX512调光台</w:t>
            </w:r>
            <w:r>
              <w:rPr>
                <w:rFonts w:hint="eastAsia" w:ascii="仿宋" w:hAnsi="仿宋" w:eastAsia="仿宋"/>
                <w:color w:val="auto"/>
              </w:rPr>
              <w:br w:type="textWrapping"/>
            </w:r>
            <w:r>
              <w:rPr>
                <w:rFonts w:hint="eastAsia" w:ascii="仿宋" w:hAnsi="仿宋" w:eastAsia="仿宋"/>
                <w:color w:val="auto"/>
              </w:rPr>
              <w:t>2页48程序运行推杆 可同步运行</w:t>
            </w:r>
            <w:r>
              <w:rPr>
                <w:rFonts w:hint="eastAsia" w:ascii="仿宋" w:hAnsi="仿宋" w:eastAsia="仿宋"/>
                <w:color w:val="auto"/>
              </w:rPr>
              <w:br w:type="textWrapping"/>
            </w:r>
            <w:r>
              <w:rPr>
                <w:rFonts w:hint="eastAsia" w:ascii="仿宋" w:hAnsi="仿宋" w:eastAsia="仿宋"/>
                <w:color w:val="auto"/>
              </w:rPr>
              <w:t>96000个可编辑步</w:t>
            </w:r>
            <w:r>
              <w:rPr>
                <w:rFonts w:hint="eastAsia" w:ascii="仿宋" w:hAnsi="仿宋" w:eastAsia="仿宋"/>
                <w:color w:val="auto"/>
              </w:rPr>
              <w:br w:type="textWrapping"/>
            </w:r>
            <w:r>
              <w:rPr>
                <w:rFonts w:hint="eastAsia" w:ascii="仿宋" w:hAnsi="仿宋" w:eastAsia="仿宋"/>
                <w:color w:val="auto"/>
              </w:rPr>
              <w:t>2个可编辑的辅助键</w:t>
            </w:r>
            <w:r>
              <w:rPr>
                <w:rFonts w:hint="eastAsia" w:ascii="仿宋" w:hAnsi="仿宋" w:eastAsia="仿宋"/>
                <w:color w:val="auto"/>
              </w:rPr>
              <w:br w:type="textWrapping"/>
            </w:r>
            <w:r>
              <w:rPr>
                <w:rFonts w:hint="eastAsia" w:ascii="仿宋" w:hAnsi="仿宋" w:eastAsia="仿宋"/>
                <w:color w:val="auto"/>
              </w:rPr>
              <w:t>程序运行及渐变切换时间可调</w:t>
            </w:r>
            <w:r>
              <w:rPr>
                <w:rFonts w:hint="eastAsia" w:ascii="仿宋" w:hAnsi="仿宋" w:eastAsia="仿宋"/>
                <w:color w:val="auto"/>
              </w:rPr>
              <w:br w:type="textWrapping"/>
            </w:r>
            <w:r>
              <w:rPr>
                <w:rFonts w:hint="eastAsia" w:ascii="仿宋" w:hAnsi="仿宋" w:eastAsia="仿宋"/>
                <w:color w:val="auto"/>
              </w:rPr>
              <w:t>通道可重新配置</w:t>
            </w:r>
            <w:r>
              <w:rPr>
                <w:rFonts w:hint="eastAsia" w:ascii="仿宋" w:hAnsi="仿宋" w:eastAsia="仿宋"/>
                <w:color w:val="auto"/>
              </w:rPr>
              <w:br w:type="textWrapping"/>
            </w:r>
            <w:r>
              <w:rPr>
                <w:rFonts w:hint="eastAsia" w:ascii="仿宋" w:hAnsi="仿宋" w:eastAsia="仿宋"/>
                <w:color w:val="auto"/>
              </w:rPr>
              <w:t>A、B两页,每通道都能调光</w:t>
            </w:r>
          </w:p>
        </w:tc>
        <w:tc>
          <w:tcPr>
            <w:tcW w:w="0" w:type="auto"/>
            <w:vAlign w:val="center"/>
          </w:tcPr>
          <w:p w14:paraId="0A0D6B5B">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35A2AE0C">
            <w:pPr>
              <w:widowControl/>
              <w:snapToGrid w:val="0"/>
              <w:jc w:val="center"/>
              <w:rPr>
                <w:rFonts w:hint="eastAsia" w:ascii="仿宋" w:hAnsi="仿宋" w:eastAsia="仿宋" w:cs="Calibri"/>
                <w:color w:val="auto"/>
                <w:kern w:val="0"/>
              </w:rPr>
            </w:pPr>
            <w:r>
              <w:rPr>
                <w:rFonts w:hint="eastAsia" w:ascii="仿宋" w:hAnsi="仿宋" w:eastAsia="仿宋"/>
                <w:color w:val="auto"/>
              </w:rPr>
              <w:t>只</w:t>
            </w:r>
          </w:p>
        </w:tc>
      </w:tr>
      <w:tr w14:paraId="005C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1AC2A31">
            <w:pPr>
              <w:widowControl/>
              <w:snapToGrid w:val="0"/>
              <w:jc w:val="center"/>
              <w:rPr>
                <w:rFonts w:hint="eastAsia" w:ascii="仿宋" w:hAnsi="仿宋" w:eastAsia="仿宋"/>
                <w:color w:val="auto"/>
                <w:kern w:val="0"/>
              </w:rPr>
            </w:pPr>
            <w:r>
              <w:rPr>
                <w:rFonts w:hint="eastAsia" w:ascii="仿宋" w:hAnsi="仿宋" w:eastAsia="仿宋" w:cs="宋体"/>
                <w:color w:val="auto"/>
                <w:kern w:val="0"/>
              </w:rPr>
              <w:t>20</w:t>
            </w:r>
          </w:p>
        </w:tc>
        <w:tc>
          <w:tcPr>
            <w:tcW w:w="996" w:type="dxa"/>
            <w:vAlign w:val="center"/>
          </w:tcPr>
          <w:p w14:paraId="0C2510DA">
            <w:pPr>
              <w:widowControl/>
              <w:snapToGrid w:val="0"/>
              <w:jc w:val="center"/>
              <w:rPr>
                <w:rFonts w:hint="eastAsia" w:ascii="仿宋" w:hAnsi="仿宋" w:eastAsia="仿宋"/>
                <w:color w:val="auto"/>
              </w:rPr>
            </w:pPr>
            <w:r>
              <w:rPr>
                <w:rFonts w:hint="eastAsia" w:ascii="仿宋" w:hAnsi="仿宋" w:eastAsia="仿宋" w:cs="宋体"/>
                <w:color w:val="auto"/>
                <w:kern w:val="0"/>
              </w:rPr>
              <w:t>阻燃电缆</w:t>
            </w:r>
          </w:p>
        </w:tc>
        <w:tc>
          <w:tcPr>
            <w:tcW w:w="6650" w:type="dxa"/>
            <w:vAlign w:val="center"/>
          </w:tcPr>
          <w:p w14:paraId="798969D9">
            <w:pPr>
              <w:widowControl/>
              <w:snapToGrid w:val="0"/>
              <w:jc w:val="left"/>
              <w:rPr>
                <w:rFonts w:hint="eastAsia" w:ascii="仿宋" w:hAnsi="仿宋" w:eastAsia="仿宋"/>
                <w:color w:val="auto"/>
              </w:rPr>
            </w:pPr>
            <w:r>
              <w:rPr>
                <w:rFonts w:hint="eastAsia" w:ascii="仿宋" w:hAnsi="仿宋" w:eastAsia="仿宋"/>
                <w:color w:val="auto"/>
              </w:rPr>
              <w:t>2X1.5mm</w:t>
            </w:r>
            <w:r>
              <w:rPr>
                <w:rFonts w:ascii="仿宋" w:eastAsia="仿宋" w:cs="Calibri"/>
                <w:color w:val="auto"/>
              </w:rPr>
              <w:t>²</w:t>
            </w:r>
            <w:r>
              <w:rPr>
                <w:rFonts w:hint="eastAsia" w:ascii="仿宋" w:hAnsi="仿宋" w:eastAsia="仿宋"/>
                <w:color w:val="auto"/>
              </w:rPr>
              <w:t>影视电缆线</w:t>
            </w:r>
            <w:r>
              <w:rPr>
                <w:rFonts w:hint="eastAsia" w:ascii="仿宋" w:hAnsi="仿宋" w:eastAsia="仿宋"/>
                <w:color w:val="auto"/>
              </w:rPr>
              <w:br w:type="textWrapping"/>
            </w:r>
            <w:r>
              <w:rPr>
                <w:rFonts w:hint="eastAsia" w:ascii="仿宋" w:hAnsi="仿宋" w:eastAsia="仿宋"/>
                <w:color w:val="auto"/>
              </w:rPr>
              <w:t>导体采用高存度无氧铜制造，线材的绝缘及护套采用进口的塑胶材质</w:t>
            </w:r>
          </w:p>
        </w:tc>
        <w:tc>
          <w:tcPr>
            <w:tcW w:w="0" w:type="auto"/>
            <w:vAlign w:val="center"/>
          </w:tcPr>
          <w:p w14:paraId="025D725F">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200</w:t>
            </w:r>
          </w:p>
        </w:tc>
        <w:tc>
          <w:tcPr>
            <w:tcW w:w="492" w:type="dxa"/>
            <w:vAlign w:val="center"/>
          </w:tcPr>
          <w:p w14:paraId="7B2D6D63">
            <w:pPr>
              <w:widowControl/>
              <w:snapToGrid w:val="0"/>
              <w:jc w:val="center"/>
              <w:rPr>
                <w:rFonts w:hint="eastAsia" w:ascii="仿宋" w:hAnsi="仿宋" w:eastAsia="仿宋" w:cs="Calibri"/>
                <w:color w:val="auto"/>
                <w:kern w:val="0"/>
              </w:rPr>
            </w:pPr>
            <w:r>
              <w:rPr>
                <w:rFonts w:hint="eastAsia" w:ascii="仿宋" w:hAnsi="仿宋" w:eastAsia="仿宋"/>
                <w:color w:val="auto"/>
              </w:rPr>
              <w:t>米</w:t>
            </w:r>
          </w:p>
        </w:tc>
      </w:tr>
      <w:tr w14:paraId="73154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9F5AB65">
            <w:pPr>
              <w:widowControl/>
              <w:snapToGrid w:val="0"/>
              <w:jc w:val="center"/>
              <w:rPr>
                <w:rFonts w:hint="eastAsia" w:ascii="仿宋" w:hAnsi="仿宋" w:eastAsia="仿宋"/>
                <w:color w:val="auto"/>
                <w:kern w:val="0"/>
              </w:rPr>
            </w:pPr>
            <w:r>
              <w:rPr>
                <w:rFonts w:hint="eastAsia" w:ascii="仿宋" w:hAnsi="仿宋" w:eastAsia="仿宋" w:cs="宋体"/>
                <w:color w:val="auto"/>
                <w:kern w:val="0"/>
              </w:rPr>
              <w:t>21</w:t>
            </w:r>
          </w:p>
        </w:tc>
        <w:tc>
          <w:tcPr>
            <w:tcW w:w="996" w:type="dxa"/>
            <w:vAlign w:val="center"/>
          </w:tcPr>
          <w:p w14:paraId="3F8E9D85">
            <w:pPr>
              <w:widowControl/>
              <w:snapToGrid w:val="0"/>
              <w:jc w:val="center"/>
              <w:rPr>
                <w:rFonts w:hint="eastAsia" w:ascii="仿宋" w:hAnsi="仿宋" w:eastAsia="仿宋"/>
                <w:color w:val="auto"/>
              </w:rPr>
            </w:pPr>
            <w:r>
              <w:rPr>
                <w:rFonts w:hint="eastAsia" w:ascii="仿宋" w:hAnsi="仿宋" w:eastAsia="仿宋" w:cs="宋体"/>
                <w:color w:val="auto"/>
                <w:kern w:val="0"/>
              </w:rPr>
              <w:t>灯具号码牌</w:t>
            </w:r>
          </w:p>
        </w:tc>
        <w:tc>
          <w:tcPr>
            <w:tcW w:w="6650" w:type="dxa"/>
            <w:vAlign w:val="center"/>
          </w:tcPr>
          <w:p w14:paraId="69C24AA1">
            <w:pPr>
              <w:widowControl/>
              <w:snapToGrid w:val="0"/>
              <w:jc w:val="left"/>
              <w:rPr>
                <w:rFonts w:hint="eastAsia" w:ascii="仿宋" w:hAnsi="仿宋" w:eastAsia="仿宋"/>
                <w:color w:val="auto"/>
              </w:rPr>
            </w:pPr>
            <w:r>
              <w:rPr>
                <w:rFonts w:hint="eastAsia" w:ascii="仿宋" w:hAnsi="仿宋" w:eastAsia="仿宋"/>
                <w:color w:val="auto"/>
              </w:rPr>
              <w:t xml:space="preserve">10x10cm黑底底板雕刻|字 </w:t>
            </w:r>
            <w:r>
              <w:rPr>
                <w:rFonts w:hint="eastAsia" w:ascii="仿宋" w:hAnsi="仿宋" w:eastAsia="仿宋"/>
                <w:color w:val="auto"/>
              </w:rPr>
              <w:br w:type="textWrapping"/>
            </w:r>
            <w:r>
              <w:rPr>
                <w:rFonts w:hint="eastAsia" w:ascii="仿宋" w:hAnsi="仿宋" w:eastAsia="仿宋"/>
                <w:color w:val="auto"/>
              </w:rPr>
              <w:t>产品规格：演播室灯具专用，纯黑色底漆喷塑，激光雕刻数字；</w:t>
            </w:r>
            <w:r>
              <w:rPr>
                <w:rFonts w:hint="eastAsia" w:ascii="仿宋" w:hAnsi="仿宋" w:eastAsia="仿宋"/>
                <w:color w:val="auto"/>
              </w:rPr>
              <w:br w:type="textWrapping"/>
            </w:r>
            <w:r>
              <w:rPr>
                <w:rFonts w:hint="eastAsia" w:ascii="仿宋" w:hAnsi="仿宋" w:eastAsia="仿宋"/>
                <w:color w:val="auto"/>
              </w:rPr>
              <w:t>金属正方体，可用尼龙扎带与灯体固定</w:t>
            </w:r>
          </w:p>
        </w:tc>
        <w:tc>
          <w:tcPr>
            <w:tcW w:w="0" w:type="auto"/>
            <w:vAlign w:val="center"/>
          </w:tcPr>
          <w:p w14:paraId="02666BC9">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25</w:t>
            </w:r>
          </w:p>
        </w:tc>
        <w:tc>
          <w:tcPr>
            <w:tcW w:w="492" w:type="dxa"/>
            <w:vAlign w:val="center"/>
          </w:tcPr>
          <w:p w14:paraId="7CAE8E10">
            <w:pPr>
              <w:widowControl/>
              <w:snapToGrid w:val="0"/>
              <w:jc w:val="center"/>
              <w:rPr>
                <w:rFonts w:hint="eastAsia" w:ascii="仿宋" w:hAnsi="仿宋" w:eastAsia="仿宋" w:cs="Calibri"/>
                <w:color w:val="auto"/>
                <w:kern w:val="0"/>
              </w:rPr>
            </w:pPr>
            <w:r>
              <w:rPr>
                <w:rFonts w:hint="eastAsia" w:ascii="仿宋" w:hAnsi="仿宋" w:eastAsia="仿宋"/>
                <w:color w:val="auto"/>
              </w:rPr>
              <w:t>块</w:t>
            </w:r>
          </w:p>
        </w:tc>
      </w:tr>
      <w:tr w14:paraId="10090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B310070">
            <w:pPr>
              <w:widowControl/>
              <w:snapToGrid w:val="0"/>
              <w:jc w:val="center"/>
              <w:rPr>
                <w:rFonts w:hint="eastAsia" w:ascii="仿宋" w:hAnsi="仿宋" w:eastAsia="仿宋"/>
                <w:color w:val="auto"/>
                <w:kern w:val="0"/>
              </w:rPr>
            </w:pPr>
            <w:r>
              <w:rPr>
                <w:rFonts w:hint="eastAsia" w:ascii="仿宋" w:hAnsi="仿宋" w:eastAsia="仿宋" w:cs="宋体"/>
                <w:color w:val="auto"/>
                <w:kern w:val="0"/>
              </w:rPr>
              <w:t>22</w:t>
            </w:r>
          </w:p>
        </w:tc>
        <w:tc>
          <w:tcPr>
            <w:tcW w:w="996" w:type="dxa"/>
            <w:vAlign w:val="center"/>
          </w:tcPr>
          <w:p w14:paraId="78B4B06D">
            <w:pPr>
              <w:widowControl/>
              <w:snapToGrid w:val="0"/>
              <w:jc w:val="center"/>
              <w:rPr>
                <w:rFonts w:hint="eastAsia" w:ascii="仿宋" w:hAnsi="仿宋" w:eastAsia="仿宋"/>
                <w:color w:val="auto"/>
              </w:rPr>
            </w:pPr>
            <w:r>
              <w:rPr>
                <w:rFonts w:hint="eastAsia" w:ascii="仿宋" w:hAnsi="仿宋" w:eastAsia="仿宋" w:cs="宋体"/>
                <w:color w:val="auto"/>
                <w:kern w:val="0"/>
              </w:rPr>
              <w:t>保险链</w:t>
            </w:r>
          </w:p>
        </w:tc>
        <w:tc>
          <w:tcPr>
            <w:tcW w:w="6650" w:type="dxa"/>
            <w:vAlign w:val="center"/>
          </w:tcPr>
          <w:p w14:paraId="7228FEE5">
            <w:pPr>
              <w:widowControl/>
              <w:snapToGrid w:val="0"/>
              <w:jc w:val="left"/>
              <w:rPr>
                <w:rFonts w:hint="eastAsia" w:ascii="仿宋" w:hAnsi="仿宋" w:eastAsia="仿宋"/>
                <w:color w:val="auto"/>
              </w:rPr>
            </w:pPr>
            <w:r>
              <w:rPr>
                <w:rFonts w:hint="eastAsia" w:ascii="仿宋" w:hAnsi="仿宋" w:eastAsia="仿宋"/>
                <w:color w:val="auto"/>
              </w:rPr>
              <w:t xml:space="preserve">承重：15kg </w:t>
            </w:r>
            <w:r>
              <w:rPr>
                <w:rFonts w:hint="eastAsia" w:ascii="仿宋" w:hAnsi="仿宋" w:eastAsia="仿宋"/>
                <w:color w:val="auto"/>
              </w:rPr>
              <w:br w:type="textWrapping"/>
            </w:r>
            <w:r>
              <w:rPr>
                <w:rFonts w:hint="eastAsia" w:ascii="仿宋" w:hAnsi="仿宋" w:eastAsia="仿宋"/>
                <w:color w:val="auto"/>
              </w:rPr>
              <w:t>结构：双捻(多股）</w:t>
            </w:r>
            <w:r>
              <w:rPr>
                <w:rFonts w:hint="eastAsia" w:ascii="仿宋" w:hAnsi="仿宋" w:eastAsia="仿宋"/>
                <w:color w:val="auto"/>
              </w:rPr>
              <w:br w:type="textWrapping"/>
            </w:r>
            <w:r>
              <w:rPr>
                <w:rFonts w:hint="eastAsia" w:ascii="仿宋" w:hAnsi="仿宋" w:eastAsia="仿宋"/>
                <w:color w:val="auto"/>
              </w:rPr>
              <w:t>类型：吊装绳带</w:t>
            </w:r>
            <w:r>
              <w:rPr>
                <w:rFonts w:hint="eastAsia" w:ascii="仿宋" w:hAnsi="仿宋" w:eastAsia="仿宋"/>
                <w:color w:val="auto"/>
              </w:rPr>
              <w:br w:type="textWrapping"/>
            </w:r>
            <w:r>
              <w:rPr>
                <w:rFonts w:hint="eastAsia" w:ascii="仿宋" w:hAnsi="仿宋" w:eastAsia="仿宋"/>
                <w:color w:val="auto"/>
              </w:rPr>
              <w:t>抗拉强度：5000 (MPa)</w:t>
            </w:r>
            <w:r>
              <w:rPr>
                <w:rFonts w:hint="eastAsia" w:ascii="仿宋" w:hAnsi="仿宋" w:eastAsia="仿宋"/>
                <w:color w:val="auto"/>
              </w:rPr>
              <w:br w:type="textWrapping"/>
            </w:r>
            <w:r>
              <w:rPr>
                <w:rFonts w:hint="eastAsia" w:ascii="仿宋" w:hAnsi="仿宋" w:eastAsia="仿宋"/>
                <w:color w:val="auto"/>
              </w:rPr>
              <w:t>用途：灯具保险绳</w:t>
            </w:r>
          </w:p>
        </w:tc>
        <w:tc>
          <w:tcPr>
            <w:tcW w:w="0" w:type="auto"/>
            <w:vAlign w:val="center"/>
          </w:tcPr>
          <w:p w14:paraId="29EC516C">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25</w:t>
            </w:r>
          </w:p>
        </w:tc>
        <w:tc>
          <w:tcPr>
            <w:tcW w:w="492" w:type="dxa"/>
            <w:vAlign w:val="center"/>
          </w:tcPr>
          <w:p w14:paraId="6352633F">
            <w:pPr>
              <w:widowControl/>
              <w:snapToGrid w:val="0"/>
              <w:jc w:val="center"/>
              <w:rPr>
                <w:rFonts w:hint="eastAsia" w:ascii="仿宋" w:hAnsi="仿宋" w:eastAsia="仿宋" w:cs="Calibri"/>
                <w:color w:val="auto"/>
                <w:kern w:val="0"/>
              </w:rPr>
            </w:pPr>
            <w:r>
              <w:rPr>
                <w:rFonts w:hint="eastAsia" w:ascii="仿宋" w:hAnsi="仿宋" w:eastAsia="仿宋"/>
                <w:color w:val="auto"/>
              </w:rPr>
              <w:t>根</w:t>
            </w:r>
          </w:p>
        </w:tc>
      </w:tr>
      <w:tr w14:paraId="03D8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CAC098C">
            <w:pPr>
              <w:widowControl/>
              <w:snapToGrid w:val="0"/>
              <w:jc w:val="center"/>
              <w:rPr>
                <w:rFonts w:hint="eastAsia" w:ascii="仿宋" w:hAnsi="仿宋" w:eastAsia="仿宋"/>
                <w:color w:val="auto"/>
                <w:kern w:val="0"/>
              </w:rPr>
            </w:pPr>
            <w:r>
              <w:rPr>
                <w:rFonts w:hint="eastAsia" w:ascii="仿宋" w:hAnsi="仿宋" w:eastAsia="仿宋" w:cs="宋体"/>
                <w:color w:val="auto"/>
                <w:kern w:val="0"/>
              </w:rPr>
              <w:t>23</w:t>
            </w:r>
          </w:p>
        </w:tc>
        <w:tc>
          <w:tcPr>
            <w:tcW w:w="996" w:type="dxa"/>
            <w:vAlign w:val="center"/>
          </w:tcPr>
          <w:p w14:paraId="5AC282E5">
            <w:pPr>
              <w:widowControl/>
              <w:snapToGrid w:val="0"/>
              <w:jc w:val="center"/>
              <w:rPr>
                <w:rFonts w:hint="eastAsia" w:ascii="仿宋" w:hAnsi="仿宋" w:eastAsia="仿宋"/>
                <w:color w:val="auto"/>
              </w:rPr>
            </w:pPr>
            <w:r>
              <w:rPr>
                <w:rFonts w:hint="eastAsia" w:ascii="仿宋" w:hAnsi="仿宋" w:eastAsia="仿宋" w:cs="宋体"/>
                <w:color w:val="auto"/>
                <w:kern w:val="0"/>
              </w:rPr>
              <w:t>信号线</w:t>
            </w:r>
          </w:p>
        </w:tc>
        <w:tc>
          <w:tcPr>
            <w:tcW w:w="6650" w:type="dxa"/>
            <w:vAlign w:val="center"/>
          </w:tcPr>
          <w:p w14:paraId="1ED1B4A1">
            <w:pPr>
              <w:widowControl/>
              <w:snapToGrid w:val="0"/>
              <w:jc w:val="left"/>
              <w:rPr>
                <w:rFonts w:hint="eastAsia" w:ascii="仿宋" w:hAnsi="仿宋" w:eastAsia="仿宋"/>
                <w:color w:val="auto"/>
              </w:rPr>
            </w:pPr>
            <w:r>
              <w:rPr>
                <w:rFonts w:hint="eastAsia" w:ascii="仿宋" w:hAnsi="仿宋" w:eastAsia="仿宋"/>
                <w:color w:val="auto"/>
              </w:rPr>
              <w:t>2×0.3mm</w:t>
            </w:r>
            <w:r>
              <w:rPr>
                <w:rFonts w:ascii="仿宋" w:hAnsi="Calibri" w:eastAsia="仿宋" w:cs="Calibri"/>
                <w:color w:val="auto"/>
              </w:rPr>
              <w:t>²</w:t>
            </w:r>
            <w:r>
              <w:rPr>
                <w:rFonts w:hint="eastAsia" w:ascii="仿宋" w:hAnsi="仿宋" w:eastAsia="仿宋" w:cs="仿宋"/>
                <w:color w:val="auto"/>
              </w:rPr>
              <w:t>影视信号线。</w:t>
            </w:r>
          </w:p>
          <w:p w14:paraId="7B5AED50">
            <w:pPr>
              <w:widowControl/>
              <w:snapToGrid w:val="0"/>
              <w:jc w:val="left"/>
              <w:rPr>
                <w:rFonts w:hint="eastAsia" w:ascii="仿宋" w:hAnsi="仿宋" w:eastAsia="仿宋"/>
                <w:color w:val="auto"/>
              </w:rPr>
            </w:pPr>
            <w:r>
              <w:rPr>
                <w:rFonts w:hint="eastAsia" w:ascii="仿宋" w:hAnsi="仿宋" w:eastAsia="仿宋"/>
                <w:color w:val="auto"/>
              </w:rPr>
              <w:t>1、导体采用高存度无氧铜制造，带屏蔽型，电阻小传输速率高；</w:t>
            </w:r>
          </w:p>
          <w:p w14:paraId="0EBC2B41">
            <w:pPr>
              <w:widowControl/>
              <w:snapToGrid w:val="0"/>
              <w:jc w:val="left"/>
              <w:rPr>
                <w:rFonts w:hint="eastAsia" w:ascii="仿宋" w:hAnsi="仿宋" w:eastAsia="仿宋"/>
                <w:color w:val="auto"/>
              </w:rPr>
            </w:pPr>
            <w:r>
              <w:rPr>
                <w:rFonts w:hint="eastAsia" w:ascii="仿宋" w:hAnsi="仿宋" w:eastAsia="仿宋"/>
                <w:color w:val="auto"/>
              </w:rPr>
              <w:t>2、线材的绝缘及护套采用进口的塑胶材质，具有耐磨、耐酸碱、耐油使用寿命长等特点；</w:t>
            </w:r>
          </w:p>
        </w:tc>
        <w:tc>
          <w:tcPr>
            <w:tcW w:w="0" w:type="auto"/>
            <w:vAlign w:val="center"/>
          </w:tcPr>
          <w:p w14:paraId="2373FB10">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200</w:t>
            </w:r>
          </w:p>
        </w:tc>
        <w:tc>
          <w:tcPr>
            <w:tcW w:w="492" w:type="dxa"/>
            <w:vAlign w:val="center"/>
          </w:tcPr>
          <w:p w14:paraId="3CD3C713">
            <w:pPr>
              <w:widowControl/>
              <w:snapToGrid w:val="0"/>
              <w:jc w:val="center"/>
              <w:rPr>
                <w:rFonts w:hint="eastAsia" w:ascii="仿宋" w:hAnsi="仿宋" w:eastAsia="仿宋" w:cs="Calibri"/>
                <w:color w:val="auto"/>
                <w:kern w:val="0"/>
              </w:rPr>
            </w:pPr>
            <w:r>
              <w:rPr>
                <w:rFonts w:hint="eastAsia" w:ascii="仿宋" w:hAnsi="仿宋" w:eastAsia="仿宋"/>
                <w:color w:val="auto"/>
              </w:rPr>
              <w:t>米</w:t>
            </w:r>
          </w:p>
        </w:tc>
      </w:tr>
      <w:tr w14:paraId="54B0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604D6AF">
            <w:pPr>
              <w:widowControl/>
              <w:snapToGrid w:val="0"/>
              <w:jc w:val="center"/>
              <w:rPr>
                <w:rFonts w:hint="eastAsia" w:ascii="仿宋" w:hAnsi="仿宋" w:eastAsia="仿宋"/>
                <w:color w:val="auto"/>
                <w:kern w:val="0"/>
              </w:rPr>
            </w:pPr>
            <w:r>
              <w:rPr>
                <w:rFonts w:hint="eastAsia" w:ascii="仿宋" w:hAnsi="仿宋" w:eastAsia="仿宋" w:cs="宋体"/>
                <w:color w:val="auto"/>
                <w:kern w:val="0"/>
              </w:rPr>
              <w:t>24</w:t>
            </w:r>
          </w:p>
        </w:tc>
        <w:tc>
          <w:tcPr>
            <w:tcW w:w="996" w:type="dxa"/>
            <w:vAlign w:val="center"/>
          </w:tcPr>
          <w:p w14:paraId="46F1C7F4">
            <w:pPr>
              <w:widowControl/>
              <w:snapToGrid w:val="0"/>
              <w:jc w:val="center"/>
              <w:rPr>
                <w:rFonts w:hint="eastAsia" w:ascii="仿宋" w:hAnsi="仿宋" w:eastAsia="仿宋"/>
                <w:color w:val="auto"/>
              </w:rPr>
            </w:pPr>
            <w:r>
              <w:rPr>
                <w:rFonts w:hint="eastAsia" w:ascii="仿宋" w:hAnsi="仿宋" w:eastAsia="仿宋" w:cs="宋体"/>
                <w:color w:val="auto"/>
                <w:kern w:val="0"/>
              </w:rPr>
              <w:t>信号放大器</w:t>
            </w:r>
          </w:p>
        </w:tc>
        <w:tc>
          <w:tcPr>
            <w:tcW w:w="6650" w:type="dxa"/>
            <w:vAlign w:val="center"/>
          </w:tcPr>
          <w:p w14:paraId="6845B259">
            <w:pPr>
              <w:widowControl/>
              <w:snapToGrid w:val="0"/>
              <w:jc w:val="left"/>
              <w:rPr>
                <w:rFonts w:hint="eastAsia" w:ascii="仿宋" w:hAnsi="仿宋" w:eastAsia="仿宋"/>
                <w:color w:val="auto"/>
              </w:rPr>
            </w:pPr>
            <w:r>
              <w:rPr>
                <w:rFonts w:hint="eastAsia" w:ascii="仿宋" w:hAnsi="仿宋" w:eastAsia="仿宋"/>
                <w:color w:val="auto"/>
              </w:rPr>
              <w:t>电压：AC90-240V 50HZ；</w:t>
            </w:r>
            <w:r>
              <w:rPr>
                <w:rFonts w:hint="eastAsia" w:ascii="仿宋" w:hAnsi="仿宋" w:eastAsia="仿宋"/>
                <w:color w:val="auto"/>
              </w:rPr>
              <w:br w:type="textWrapping"/>
            </w:r>
            <w:r>
              <w:rPr>
                <w:rFonts w:hint="eastAsia" w:ascii="仿宋" w:hAnsi="仿宋" w:eastAsia="仿宋"/>
                <w:color w:val="auto"/>
              </w:rPr>
              <w:t>信号输入，8路经独立电气隔离的信号分配输出；</w:t>
            </w:r>
            <w:r>
              <w:rPr>
                <w:rFonts w:hint="eastAsia" w:ascii="仿宋" w:hAnsi="仿宋" w:eastAsia="仿宋"/>
                <w:color w:val="auto"/>
              </w:rPr>
              <w:br w:type="textWrapping"/>
            </w:r>
            <w:r>
              <w:rPr>
                <w:rFonts w:hint="eastAsia" w:ascii="仿宋" w:hAnsi="仿宋" w:eastAsia="仿宋"/>
                <w:color w:val="auto"/>
              </w:rPr>
              <w:t>数字信号：DMX512；</w:t>
            </w:r>
            <w:r>
              <w:rPr>
                <w:rFonts w:hint="eastAsia" w:ascii="仿宋" w:hAnsi="仿宋" w:eastAsia="仿宋"/>
                <w:color w:val="auto"/>
              </w:rPr>
              <w:br w:type="textWrapping"/>
            </w:r>
            <w:r>
              <w:rPr>
                <w:rFonts w:hint="eastAsia" w:ascii="仿宋" w:hAnsi="仿宋" w:eastAsia="仿宋"/>
                <w:color w:val="auto"/>
              </w:rPr>
              <w:t>接口类型：RS-485以及采用RS-485接口传输的各种数字信号；</w:t>
            </w:r>
            <w:r>
              <w:rPr>
                <w:rFonts w:hint="eastAsia" w:ascii="仿宋" w:hAnsi="仿宋" w:eastAsia="仿宋"/>
                <w:color w:val="auto"/>
              </w:rPr>
              <w:br w:type="textWrapping"/>
            </w:r>
            <w:r>
              <w:rPr>
                <w:rFonts w:hint="eastAsia" w:ascii="仿宋" w:hAnsi="仿宋" w:eastAsia="仿宋"/>
                <w:color w:val="auto"/>
              </w:rPr>
              <w:t>信号连接插座：三芯</w:t>
            </w:r>
          </w:p>
        </w:tc>
        <w:tc>
          <w:tcPr>
            <w:tcW w:w="0" w:type="auto"/>
            <w:vAlign w:val="center"/>
          </w:tcPr>
          <w:p w14:paraId="51254CF2">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14D2D479">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1EF13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9E1EB11">
            <w:pPr>
              <w:widowControl/>
              <w:snapToGrid w:val="0"/>
              <w:jc w:val="center"/>
              <w:rPr>
                <w:rFonts w:hint="eastAsia" w:ascii="仿宋" w:hAnsi="仿宋" w:eastAsia="仿宋"/>
                <w:color w:val="auto"/>
                <w:kern w:val="0"/>
              </w:rPr>
            </w:pPr>
            <w:r>
              <w:rPr>
                <w:rFonts w:hint="eastAsia" w:ascii="仿宋" w:hAnsi="仿宋" w:eastAsia="仿宋" w:cs="宋体"/>
                <w:color w:val="auto"/>
                <w:kern w:val="0"/>
              </w:rPr>
              <w:t>25</w:t>
            </w:r>
          </w:p>
        </w:tc>
        <w:tc>
          <w:tcPr>
            <w:tcW w:w="996" w:type="dxa"/>
            <w:vAlign w:val="center"/>
          </w:tcPr>
          <w:p w14:paraId="06BCE0B3">
            <w:pPr>
              <w:widowControl/>
              <w:snapToGrid w:val="0"/>
              <w:jc w:val="center"/>
              <w:rPr>
                <w:rFonts w:hint="eastAsia" w:ascii="仿宋" w:hAnsi="仿宋" w:eastAsia="仿宋"/>
                <w:color w:val="auto"/>
              </w:rPr>
            </w:pPr>
            <w:r>
              <w:rPr>
                <w:rFonts w:hint="eastAsia" w:ascii="仿宋" w:hAnsi="仿宋" w:eastAsia="仿宋" w:cs="宋体"/>
                <w:color w:val="auto"/>
                <w:kern w:val="0"/>
              </w:rPr>
              <w:t>恒力铰链</w:t>
            </w:r>
          </w:p>
        </w:tc>
        <w:tc>
          <w:tcPr>
            <w:tcW w:w="6650" w:type="dxa"/>
            <w:vAlign w:val="center"/>
          </w:tcPr>
          <w:p w14:paraId="61EE5023">
            <w:pPr>
              <w:widowControl/>
              <w:snapToGrid w:val="0"/>
              <w:jc w:val="left"/>
              <w:rPr>
                <w:rFonts w:hint="eastAsia" w:ascii="仿宋" w:hAnsi="仿宋" w:eastAsia="仿宋"/>
                <w:color w:val="auto"/>
              </w:rPr>
            </w:pPr>
            <w:r>
              <w:rPr>
                <w:rFonts w:hint="eastAsia" w:ascii="仿宋" w:hAnsi="仿宋" w:eastAsia="仿宋"/>
                <w:color w:val="auto"/>
              </w:rPr>
              <w:t>结构：调簧式设计、准确定位</w:t>
            </w:r>
            <w:r>
              <w:rPr>
                <w:rFonts w:hint="eastAsia" w:ascii="仿宋" w:hAnsi="仿宋" w:eastAsia="仿宋"/>
                <w:color w:val="auto"/>
              </w:rPr>
              <w:br w:type="textWrapping"/>
            </w:r>
            <w:r>
              <w:rPr>
                <w:rFonts w:hint="eastAsia" w:ascii="仿宋" w:hAnsi="仿宋" w:eastAsia="仿宋"/>
                <w:color w:val="auto"/>
              </w:rPr>
              <w:t xml:space="preserve">提升重量：7Kg </w:t>
            </w:r>
            <w:r>
              <w:rPr>
                <w:rFonts w:hint="eastAsia" w:ascii="仿宋" w:hAnsi="仿宋" w:eastAsia="仿宋"/>
                <w:color w:val="auto"/>
              </w:rPr>
              <w:br w:type="textWrapping"/>
            </w:r>
            <w:r>
              <w:rPr>
                <w:rFonts w:hint="eastAsia" w:ascii="仿宋" w:hAnsi="仿宋" w:eastAsia="仿宋"/>
                <w:color w:val="auto"/>
              </w:rPr>
              <w:t>自身重量：3.5kg</w:t>
            </w:r>
          </w:p>
        </w:tc>
        <w:tc>
          <w:tcPr>
            <w:tcW w:w="0" w:type="auto"/>
            <w:vAlign w:val="center"/>
          </w:tcPr>
          <w:p w14:paraId="321D8953">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5</w:t>
            </w:r>
          </w:p>
        </w:tc>
        <w:tc>
          <w:tcPr>
            <w:tcW w:w="492" w:type="dxa"/>
            <w:vAlign w:val="center"/>
          </w:tcPr>
          <w:p w14:paraId="37B22276">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251A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B95ED5E">
            <w:pPr>
              <w:widowControl/>
              <w:snapToGrid w:val="0"/>
              <w:jc w:val="center"/>
              <w:rPr>
                <w:rFonts w:hint="eastAsia" w:ascii="仿宋" w:hAnsi="仿宋" w:eastAsia="仿宋"/>
                <w:color w:val="auto"/>
                <w:kern w:val="0"/>
              </w:rPr>
            </w:pPr>
            <w:r>
              <w:rPr>
                <w:rFonts w:hint="eastAsia" w:ascii="仿宋" w:hAnsi="仿宋" w:eastAsia="仿宋" w:cs="宋体"/>
                <w:color w:val="auto"/>
                <w:kern w:val="0"/>
              </w:rPr>
              <w:t>26</w:t>
            </w:r>
          </w:p>
        </w:tc>
        <w:tc>
          <w:tcPr>
            <w:tcW w:w="996" w:type="dxa"/>
            <w:vAlign w:val="center"/>
          </w:tcPr>
          <w:p w14:paraId="39CAE4A0">
            <w:pPr>
              <w:widowControl/>
              <w:snapToGrid w:val="0"/>
              <w:jc w:val="center"/>
              <w:rPr>
                <w:rFonts w:hint="eastAsia" w:ascii="仿宋" w:hAnsi="仿宋" w:eastAsia="仿宋"/>
                <w:color w:val="auto"/>
              </w:rPr>
            </w:pPr>
            <w:r>
              <w:rPr>
                <w:rFonts w:hint="eastAsia" w:ascii="仿宋" w:hAnsi="仿宋" w:eastAsia="仿宋" w:cs="宋体"/>
                <w:color w:val="auto"/>
                <w:kern w:val="0"/>
              </w:rPr>
              <w:t>灯光</w:t>
            </w:r>
            <w:r>
              <w:rPr>
                <w:rFonts w:ascii="仿宋" w:hAnsi="仿宋" w:eastAsia="仿宋" w:cs="宋体"/>
                <w:color w:val="auto"/>
                <w:kern w:val="0"/>
              </w:rPr>
              <w:t>系统辅材</w:t>
            </w:r>
          </w:p>
        </w:tc>
        <w:tc>
          <w:tcPr>
            <w:tcW w:w="6650" w:type="dxa"/>
            <w:vAlign w:val="center"/>
          </w:tcPr>
          <w:p w14:paraId="3828915A">
            <w:pPr>
              <w:widowControl/>
              <w:snapToGrid w:val="0"/>
              <w:jc w:val="left"/>
              <w:rPr>
                <w:rFonts w:hint="eastAsia" w:ascii="仿宋" w:hAnsi="仿宋" w:eastAsia="仿宋"/>
                <w:color w:val="auto"/>
              </w:rPr>
            </w:pPr>
            <w:r>
              <w:rPr>
                <w:rFonts w:hint="eastAsia" w:ascii="仿宋" w:hAnsi="仿宋" w:eastAsia="仿宋"/>
                <w:color w:val="auto"/>
              </w:rPr>
              <w:t>包含但不限于工字轨道、王字轨道、万向滑车、灯具滑车、线缆滑车、轨道吊架等，具体根据项目现场安装需要</w:t>
            </w:r>
          </w:p>
          <w:p w14:paraId="68F7EE41">
            <w:pPr>
              <w:pStyle w:val="2"/>
              <w:snapToGrid w:val="0"/>
              <w:jc w:val="left"/>
              <w:rPr>
                <w:rFonts w:hint="eastAsia" w:ascii="仿宋" w:hAnsi="仿宋" w:eastAsia="仿宋"/>
                <w:color w:val="auto"/>
                <w:sz w:val="21"/>
                <w:szCs w:val="21"/>
              </w:rPr>
            </w:pPr>
            <w:r>
              <w:rPr>
                <w:rFonts w:ascii="仿宋" w:hAnsi="仿宋" w:eastAsia="仿宋"/>
                <w:color w:val="auto"/>
                <w:sz w:val="21"/>
                <w:szCs w:val="21"/>
              </w:rPr>
              <w:t>1. 工字轨道（灯光轨道）材质：铝合金</w:t>
            </w:r>
            <w:r>
              <w:rPr>
                <w:rFonts w:hint="eastAsia" w:ascii="仿宋" w:hAnsi="仿宋" w:eastAsia="仿宋"/>
                <w:color w:val="auto"/>
                <w:sz w:val="21"/>
                <w:szCs w:val="21"/>
              </w:rPr>
              <w:t>;</w:t>
            </w:r>
            <w:r>
              <w:rPr>
                <w:rFonts w:ascii="仿宋" w:hAnsi="仿宋" w:eastAsia="仿宋"/>
                <w:color w:val="auto"/>
                <w:sz w:val="21"/>
                <w:szCs w:val="21"/>
              </w:rPr>
              <w:t>截面：工字形</w:t>
            </w:r>
            <w:r>
              <w:rPr>
                <w:rFonts w:hint="eastAsia" w:ascii="仿宋" w:hAnsi="仿宋" w:eastAsia="仿宋"/>
                <w:color w:val="auto"/>
                <w:sz w:val="21"/>
                <w:szCs w:val="21"/>
              </w:rPr>
              <w:t>;</w:t>
            </w:r>
            <w:r>
              <w:rPr>
                <w:rFonts w:ascii="仿宋" w:hAnsi="仿宋" w:eastAsia="仿宋"/>
                <w:color w:val="auto"/>
                <w:sz w:val="21"/>
                <w:szCs w:val="21"/>
              </w:rPr>
              <w:t>壁厚：≥1.2mm</w:t>
            </w:r>
            <w:r>
              <w:rPr>
                <w:rFonts w:hint="eastAsia" w:ascii="仿宋" w:hAnsi="仿宋" w:eastAsia="仿宋"/>
                <w:color w:val="auto"/>
                <w:sz w:val="21"/>
                <w:szCs w:val="21"/>
              </w:rPr>
              <w:t>;</w:t>
            </w:r>
            <w:r>
              <w:rPr>
                <w:rFonts w:ascii="仿宋" w:hAnsi="仿宋" w:eastAsia="仿宋"/>
                <w:color w:val="auto"/>
                <w:sz w:val="21"/>
                <w:szCs w:val="21"/>
              </w:rPr>
              <w:t>表面：阳极氧化 / 喷塑，防锈耐磨</w:t>
            </w:r>
            <w:r>
              <w:rPr>
                <w:rFonts w:hint="eastAsia" w:ascii="仿宋" w:hAnsi="仿宋" w:eastAsia="仿宋"/>
                <w:color w:val="auto"/>
                <w:sz w:val="21"/>
                <w:szCs w:val="21"/>
              </w:rPr>
              <w:t>;</w:t>
            </w:r>
            <w:r>
              <w:rPr>
                <w:rFonts w:ascii="仿宋" w:hAnsi="仿宋" w:eastAsia="仿宋"/>
                <w:color w:val="auto"/>
                <w:sz w:val="21"/>
                <w:szCs w:val="21"/>
              </w:rPr>
              <w:t>长度：可拼接，标准 1m/2m/3m</w:t>
            </w:r>
            <w:r>
              <w:rPr>
                <w:rFonts w:hint="eastAsia" w:ascii="仿宋" w:hAnsi="仿宋" w:eastAsia="仿宋"/>
                <w:color w:val="auto"/>
                <w:sz w:val="21"/>
                <w:szCs w:val="21"/>
              </w:rPr>
              <w:t>;</w:t>
            </w:r>
            <w:r>
              <w:rPr>
                <w:rFonts w:ascii="仿宋" w:hAnsi="仿宋" w:eastAsia="仿宋"/>
                <w:color w:val="auto"/>
                <w:sz w:val="21"/>
                <w:szCs w:val="21"/>
              </w:rPr>
              <w:t>承重：单点承重≥50kg</w:t>
            </w:r>
          </w:p>
          <w:p w14:paraId="15813DDA">
            <w:pPr>
              <w:pStyle w:val="2"/>
              <w:snapToGrid w:val="0"/>
              <w:jc w:val="left"/>
              <w:rPr>
                <w:rFonts w:hint="eastAsia" w:ascii="仿宋" w:hAnsi="仿宋" w:eastAsia="仿宋"/>
                <w:color w:val="auto"/>
                <w:sz w:val="21"/>
                <w:szCs w:val="21"/>
              </w:rPr>
            </w:pPr>
            <w:r>
              <w:rPr>
                <w:rFonts w:ascii="仿宋" w:hAnsi="仿宋" w:eastAsia="仿宋"/>
                <w:color w:val="auto"/>
                <w:sz w:val="21"/>
                <w:szCs w:val="21"/>
              </w:rPr>
              <w:t>2. 王字轨道（重型轨道）材质：高强度铝合金</w:t>
            </w:r>
            <w:r>
              <w:rPr>
                <w:rFonts w:hint="eastAsia" w:ascii="仿宋" w:hAnsi="仿宋" w:eastAsia="仿宋"/>
                <w:color w:val="auto"/>
                <w:sz w:val="21"/>
                <w:szCs w:val="21"/>
              </w:rPr>
              <w:t>;</w:t>
            </w:r>
            <w:r>
              <w:rPr>
                <w:rFonts w:ascii="仿宋" w:hAnsi="仿宋" w:eastAsia="仿宋"/>
                <w:color w:val="auto"/>
                <w:sz w:val="21"/>
                <w:szCs w:val="21"/>
              </w:rPr>
              <w:t>截面：王字形（双槽结构）</w:t>
            </w:r>
            <w:r>
              <w:rPr>
                <w:rFonts w:hint="eastAsia" w:ascii="仿宋" w:hAnsi="仿宋" w:eastAsia="仿宋"/>
                <w:color w:val="auto"/>
                <w:sz w:val="21"/>
                <w:szCs w:val="21"/>
              </w:rPr>
              <w:t>;</w:t>
            </w:r>
            <w:r>
              <w:rPr>
                <w:rFonts w:ascii="仿宋" w:hAnsi="仿宋" w:eastAsia="仿宋"/>
                <w:color w:val="auto"/>
                <w:sz w:val="21"/>
                <w:szCs w:val="21"/>
              </w:rPr>
              <w:t>壁厚：≥1.5mm</w:t>
            </w:r>
            <w:r>
              <w:rPr>
                <w:rFonts w:hint="eastAsia" w:ascii="仿宋" w:hAnsi="仿宋" w:eastAsia="仿宋"/>
                <w:color w:val="auto"/>
                <w:sz w:val="21"/>
                <w:szCs w:val="21"/>
              </w:rPr>
              <w:t>;</w:t>
            </w:r>
            <w:r>
              <w:rPr>
                <w:rFonts w:ascii="仿宋" w:hAnsi="仿宋" w:eastAsia="仿宋"/>
                <w:color w:val="auto"/>
                <w:sz w:val="21"/>
                <w:szCs w:val="21"/>
              </w:rPr>
              <w:t>承重：单点承重≥80kg</w:t>
            </w:r>
          </w:p>
          <w:p w14:paraId="6929BFDE">
            <w:pPr>
              <w:pStyle w:val="2"/>
              <w:snapToGrid w:val="0"/>
              <w:jc w:val="left"/>
              <w:rPr>
                <w:rFonts w:hint="eastAsia" w:ascii="仿宋" w:hAnsi="仿宋" w:eastAsia="仿宋"/>
                <w:color w:val="auto"/>
                <w:sz w:val="21"/>
                <w:szCs w:val="21"/>
              </w:rPr>
            </w:pPr>
            <w:r>
              <w:rPr>
                <w:rFonts w:ascii="仿宋" w:hAnsi="仿宋" w:eastAsia="仿宋"/>
                <w:color w:val="auto"/>
                <w:sz w:val="21"/>
                <w:szCs w:val="21"/>
              </w:rPr>
              <w:t>3. 万向滑车（万向接头）材质：铸铁</w:t>
            </w:r>
            <w:r>
              <w:rPr>
                <w:rFonts w:hint="eastAsia" w:ascii="仿宋" w:hAnsi="仿宋" w:eastAsia="仿宋"/>
                <w:color w:val="auto"/>
                <w:sz w:val="21"/>
                <w:szCs w:val="21"/>
              </w:rPr>
              <w:t>/</w:t>
            </w:r>
            <w:r>
              <w:rPr>
                <w:rFonts w:ascii="仿宋" w:hAnsi="仿宋" w:eastAsia="仿宋"/>
                <w:color w:val="auto"/>
                <w:sz w:val="21"/>
                <w:szCs w:val="21"/>
              </w:rPr>
              <w:t>加厚钢板 + 轴承</w:t>
            </w:r>
            <w:r>
              <w:rPr>
                <w:rFonts w:hint="eastAsia" w:ascii="仿宋" w:hAnsi="仿宋" w:eastAsia="仿宋"/>
                <w:color w:val="auto"/>
                <w:sz w:val="21"/>
                <w:szCs w:val="21"/>
              </w:rPr>
              <w:t>;</w:t>
            </w:r>
            <w:r>
              <w:rPr>
                <w:rFonts w:ascii="仿宋" w:hAnsi="仿宋" w:eastAsia="仿宋"/>
                <w:color w:val="auto"/>
                <w:sz w:val="21"/>
                <w:szCs w:val="21"/>
              </w:rPr>
              <w:t xml:space="preserve">结构：360° 旋转，双轮 </w:t>
            </w:r>
            <w:r>
              <w:rPr>
                <w:rFonts w:hint="eastAsia" w:ascii="仿宋" w:hAnsi="仿宋" w:eastAsia="仿宋"/>
                <w:color w:val="auto"/>
                <w:sz w:val="21"/>
                <w:szCs w:val="21"/>
              </w:rPr>
              <w:t>/</w:t>
            </w:r>
            <w:r>
              <w:rPr>
                <w:rFonts w:ascii="仿宋" w:hAnsi="仿宋" w:eastAsia="仿宋"/>
                <w:color w:val="auto"/>
                <w:sz w:val="21"/>
                <w:szCs w:val="21"/>
              </w:rPr>
              <w:t>四轮</w:t>
            </w:r>
            <w:r>
              <w:rPr>
                <w:rFonts w:hint="eastAsia" w:ascii="仿宋" w:hAnsi="仿宋" w:eastAsia="仿宋"/>
                <w:color w:val="auto"/>
                <w:sz w:val="21"/>
                <w:szCs w:val="21"/>
              </w:rPr>
              <w:t>;</w:t>
            </w:r>
            <w:r>
              <w:rPr>
                <w:rFonts w:ascii="仿宋" w:hAnsi="仿宋" w:eastAsia="仿宋"/>
                <w:color w:val="auto"/>
                <w:sz w:val="21"/>
                <w:szCs w:val="21"/>
              </w:rPr>
              <w:t>适配：工字</w:t>
            </w:r>
            <w:r>
              <w:rPr>
                <w:rFonts w:hint="eastAsia" w:ascii="仿宋" w:hAnsi="仿宋" w:eastAsia="仿宋"/>
                <w:color w:val="auto"/>
                <w:sz w:val="21"/>
                <w:szCs w:val="21"/>
              </w:rPr>
              <w:t>/</w:t>
            </w:r>
            <w:r>
              <w:rPr>
                <w:rFonts w:ascii="仿宋" w:hAnsi="仿宋" w:eastAsia="仿宋"/>
                <w:color w:val="auto"/>
                <w:sz w:val="21"/>
                <w:szCs w:val="21"/>
              </w:rPr>
              <w:t>王字轨道</w:t>
            </w:r>
            <w:r>
              <w:rPr>
                <w:rFonts w:hint="eastAsia" w:ascii="仿宋" w:hAnsi="仿宋" w:eastAsia="仿宋"/>
                <w:color w:val="auto"/>
                <w:sz w:val="21"/>
                <w:szCs w:val="21"/>
              </w:rPr>
              <w:t>;</w:t>
            </w:r>
            <w:r>
              <w:rPr>
                <w:rFonts w:ascii="仿宋" w:hAnsi="仿宋" w:eastAsia="仿宋"/>
                <w:color w:val="auto"/>
                <w:sz w:val="21"/>
                <w:szCs w:val="21"/>
              </w:rPr>
              <w:t>承重：≥50kg</w:t>
            </w:r>
          </w:p>
          <w:p w14:paraId="29B4CA2C">
            <w:pPr>
              <w:pStyle w:val="2"/>
              <w:snapToGrid w:val="0"/>
              <w:jc w:val="left"/>
              <w:rPr>
                <w:rFonts w:hint="eastAsia" w:ascii="仿宋" w:hAnsi="仿宋" w:eastAsia="仿宋"/>
                <w:color w:val="auto"/>
                <w:sz w:val="21"/>
                <w:szCs w:val="21"/>
              </w:rPr>
            </w:pPr>
            <w:r>
              <w:rPr>
                <w:rFonts w:ascii="仿宋" w:hAnsi="仿宋" w:eastAsia="仿宋"/>
                <w:color w:val="auto"/>
                <w:sz w:val="21"/>
                <w:szCs w:val="21"/>
              </w:rPr>
              <w:t>4. 灯具滑车（挂灯滑车）材质：铝合金</w:t>
            </w:r>
            <w:r>
              <w:rPr>
                <w:rFonts w:hint="eastAsia" w:ascii="仿宋" w:hAnsi="仿宋" w:eastAsia="仿宋"/>
                <w:color w:val="auto"/>
                <w:sz w:val="21"/>
                <w:szCs w:val="21"/>
              </w:rPr>
              <w:t>/</w:t>
            </w:r>
            <w:r>
              <w:rPr>
                <w:rFonts w:ascii="仿宋" w:hAnsi="仿宋" w:eastAsia="仿宋"/>
                <w:color w:val="auto"/>
                <w:sz w:val="21"/>
                <w:szCs w:val="21"/>
              </w:rPr>
              <w:t>钢制</w:t>
            </w:r>
            <w:r>
              <w:rPr>
                <w:rFonts w:hint="eastAsia" w:ascii="仿宋" w:hAnsi="仿宋" w:eastAsia="仿宋"/>
                <w:color w:val="auto"/>
                <w:sz w:val="21"/>
                <w:szCs w:val="21"/>
              </w:rPr>
              <w:t>;</w:t>
            </w:r>
            <w:r>
              <w:rPr>
                <w:rFonts w:ascii="仿宋" w:hAnsi="仿宋" w:eastAsia="仿宋"/>
                <w:color w:val="auto"/>
                <w:sz w:val="21"/>
                <w:szCs w:val="21"/>
              </w:rPr>
              <w:t>轮数：2 轮</w:t>
            </w:r>
            <w:r>
              <w:rPr>
                <w:rFonts w:hint="eastAsia" w:ascii="仿宋" w:hAnsi="仿宋" w:eastAsia="仿宋"/>
                <w:color w:val="auto"/>
                <w:sz w:val="21"/>
                <w:szCs w:val="21"/>
              </w:rPr>
              <w:t>/</w:t>
            </w:r>
            <w:r>
              <w:rPr>
                <w:rFonts w:ascii="仿宋" w:hAnsi="仿宋" w:eastAsia="仿宋"/>
                <w:color w:val="auto"/>
                <w:sz w:val="21"/>
                <w:szCs w:val="21"/>
              </w:rPr>
              <w:t>4 轮</w:t>
            </w:r>
            <w:r>
              <w:rPr>
                <w:rFonts w:hint="eastAsia" w:ascii="仿宋" w:hAnsi="仿宋" w:eastAsia="仿宋"/>
                <w:color w:val="auto"/>
                <w:sz w:val="21"/>
                <w:szCs w:val="21"/>
              </w:rPr>
              <w:t>;</w:t>
            </w:r>
            <w:r>
              <w:rPr>
                <w:rFonts w:ascii="仿宋" w:hAnsi="仿宋" w:eastAsia="仿宋"/>
                <w:color w:val="auto"/>
                <w:sz w:val="21"/>
                <w:szCs w:val="21"/>
              </w:rPr>
              <w:t>适配：工字轨</w:t>
            </w:r>
            <w:r>
              <w:rPr>
                <w:rFonts w:hint="eastAsia" w:ascii="仿宋" w:hAnsi="仿宋" w:eastAsia="仿宋"/>
                <w:color w:val="auto"/>
                <w:sz w:val="21"/>
                <w:szCs w:val="21"/>
              </w:rPr>
              <w:t>/</w:t>
            </w:r>
            <w:r>
              <w:rPr>
                <w:rFonts w:ascii="仿宋" w:hAnsi="仿宋" w:eastAsia="仿宋"/>
                <w:color w:val="auto"/>
                <w:sz w:val="21"/>
                <w:szCs w:val="21"/>
              </w:rPr>
              <w:t>王字轨</w:t>
            </w:r>
            <w:r>
              <w:rPr>
                <w:rFonts w:hint="eastAsia" w:ascii="仿宋" w:hAnsi="仿宋" w:eastAsia="仿宋"/>
                <w:color w:val="auto"/>
                <w:sz w:val="21"/>
                <w:szCs w:val="21"/>
              </w:rPr>
              <w:t>;</w:t>
            </w:r>
            <w:r>
              <w:rPr>
                <w:rFonts w:ascii="仿宋" w:hAnsi="仿宋" w:eastAsia="仿宋"/>
                <w:color w:val="auto"/>
                <w:sz w:val="21"/>
                <w:szCs w:val="21"/>
              </w:rPr>
              <w:t>承重：≥30–50kg</w:t>
            </w:r>
            <w:r>
              <w:rPr>
                <w:rFonts w:hint="eastAsia" w:ascii="仿宋" w:hAnsi="仿宋" w:eastAsia="仿宋"/>
                <w:color w:val="auto"/>
                <w:sz w:val="21"/>
                <w:szCs w:val="21"/>
              </w:rPr>
              <w:t>;</w:t>
            </w:r>
            <w:r>
              <w:rPr>
                <w:rFonts w:ascii="仿宋" w:hAnsi="仿宋" w:eastAsia="仿宋"/>
                <w:color w:val="auto"/>
                <w:sz w:val="21"/>
                <w:szCs w:val="21"/>
              </w:rPr>
              <w:t>带刹车</w:t>
            </w:r>
            <w:r>
              <w:rPr>
                <w:rFonts w:hint="eastAsia" w:ascii="仿宋" w:hAnsi="仿宋" w:eastAsia="仿宋"/>
                <w:color w:val="auto"/>
                <w:sz w:val="21"/>
                <w:szCs w:val="21"/>
              </w:rPr>
              <w:t>/</w:t>
            </w:r>
            <w:r>
              <w:rPr>
                <w:rFonts w:ascii="仿宋" w:hAnsi="仿宋" w:eastAsia="仿宋"/>
                <w:color w:val="auto"/>
                <w:sz w:val="21"/>
                <w:szCs w:val="21"/>
              </w:rPr>
              <w:t>定位功能，滑动平稳</w:t>
            </w:r>
          </w:p>
          <w:p w14:paraId="21F85600">
            <w:pPr>
              <w:pStyle w:val="2"/>
              <w:snapToGrid w:val="0"/>
              <w:jc w:val="left"/>
              <w:rPr>
                <w:rFonts w:hint="eastAsia" w:ascii="仿宋" w:hAnsi="仿宋" w:eastAsia="仿宋"/>
                <w:color w:val="auto"/>
                <w:sz w:val="21"/>
                <w:szCs w:val="21"/>
              </w:rPr>
            </w:pPr>
            <w:r>
              <w:rPr>
                <w:rFonts w:ascii="仿宋" w:hAnsi="仿宋" w:eastAsia="仿宋"/>
                <w:color w:val="auto"/>
                <w:sz w:val="21"/>
                <w:szCs w:val="21"/>
              </w:rPr>
              <w:t>5. 线缆滑车（电缆滑车）</w:t>
            </w:r>
            <w:r>
              <w:rPr>
                <w:rFonts w:hint="eastAsia" w:ascii="仿宋" w:hAnsi="仿宋" w:eastAsia="仿宋"/>
                <w:color w:val="auto"/>
                <w:sz w:val="21"/>
                <w:szCs w:val="21"/>
              </w:rPr>
              <w:t>;</w:t>
            </w:r>
            <w:r>
              <w:rPr>
                <w:rFonts w:ascii="仿宋" w:hAnsi="仿宋" w:eastAsia="仿宋"/>
                <w:color w:val="auto"/>
                <w:sz w:val="21"/>
                <w:szCs w:val="21"/>
              </w:rPr>
              <w:t>材质：工程塑料 / 铝合金</w:t>
            </w:r>
            <w:r>
              <w:rPr>
                <w:rFonts w:hint="eastAsia" w:ascii="仿宋" w:hAnsi="仿宋" w:eastAsia="仿宋"/>
                <w:color w:val="auto"/>
                <w:sz w:val="21"/>
                <w:szCs w:val="21"/>
              </w:rPr>
              <w:t>;</w:t>
            </w:r>
            <w:r>
              <w:rPr>
                <w:rFonts w:ascii="仿宋" w:hAnsi="仿宋" w:eastAsia="仿宋"/>
                <w:color w:val="auto"/>
                <w:sz w:val="21"/>
                <w:szCs w:val="21"/>
              </w:rPr>
              <w:t>结构：单槽</w:t>
            </w:r>
            <w:r>
              <w:rPr>
                <w:rFonts w:hint="eastAsia" w:ascii="仿宋" w:hAnsi="仿宋" w:eastAsia="仿宋"/>
                <w:color w:val="auto"/>
                <w:sz w:val="21"/>
                <w:szCs w:val="21"/>
              </w:rPr>
              <w:t>/</w:t>
            </w:r>
            <w:r>
              <w:rPr>
                <w:rFonts w:ascii="仿宋" w:hAnsi="仿宋" w:eastAsia="仿宋"/>
                <w:color w:val="auto"/>
                <w:sz w:val="21"/>
                <w:szCs w:val="21"/>
              </w:rPr>
              <w:t>双槽走线</w:t>
            </w:r>
            <w:r>
              <w:rPr>
                <w:rFonts w:hint="eastAsia" w:ascii="仿宋" w:hAnsi="仿宋" w:eastAsia="仿宋"/>
                <w:color w:val="auto"/>
                <w:sz w:val="21"/>
                <w:szCs w:val="21"/>
              </w:rPr>
              <w:t>;</w:t>
            </w:r>
            <w:r>
              <w:rPr>
                <w:rFonts w:ascii="仿宋" w:hAnsi="仿宋" w:eastAsia="仿宋"/>
                <w:color w:val="auto"/>
                <w:sz w:val="21"/>
                <w:szCs w:val="21"/>
              </w:rPr>
              <w:t>功能：随轨道滑动，保护线缆不拉扯</w:t>
            </w:r>
            <w:r>
              <w:rPr>
                <w:rFonts w:hint="eastAsia" w:ascii="仿宋" w:hAnsi="仿宋" w:eastAsia="仿宋"/>
                <w:color w:val="auto"/>
                <w:sz w:val="21"/>
                <w:szCs w:val="21"/>
              </w:rPr>
              <w:t>;</w:t>
            </w:r>
            <w:r>
              <w:rPr>
                <w:rFonts w:ascii="仿宋" w:hAnsi="仿宋" w:eastAsia="仿宋"/>
                <w:color w:val="auto"/>
                <w:sz w:val="21"/>
                <w:szCs w:val="21"/>
              </w:rPr>
              <w:t>适配：工字轨道承重：≥10kg</w:t>
            </w:r>
          </w:p>
          <w:p w14:paraId="59A2E2CA">
            <w:pPr>
              <w:pStyle w:val="2"/>
              <w:snapToGrid w:val="0"/>
              <w:jc w:val="left"/>
              <w:rPr>
                <w:rFonts w:hint="eastAsia" w:ascii="仿宋" w:hAnsi="仿宋" w:eastAsia="仿宋"/>
                <w:color w:val="auto"/>
                <w:sz w:val="21"/>
                <w:szCs w:val="21"/>
                <w:highlight w:val="yellow"/>
              </w:rPr>
            </w:pPr>
            <w:r>
              <w:rPr>
                <w:rFonts w:ascii="仿宋" w:hAnsi="仿宋" w:eastAsia="仿宋"/>
                <w:color w:val="auto"/>
                <w:sz w:val="21"/>
                <w:szCs w:val="21"/>
              </w:rPr>
              <w:t>6. 轨道吊架（轨道吊挂件）材质：钢板</w:t>
            </w:r>
            <w:r>
              <w:rPr>
                <w:rFonts w:hint="eastAsia" w:ascii="仿宋" w:hAnsi="仿宋" w:eastAsia="仿宋"/>
                <w:color w:val="auto"/>
                <w:sz w:val="21"/>
                <w:szCs w:val="21"/>
              </w:rPr>
              <w:t>/</w:t>
            </w:r>
            <w:r>
              <w:rPr>
                <w:rFonts w:ascii="仿宋" w:hAnsi="仿宋" w:eastAsia="仿宋"/>
                <w:color w:val="auto"/>
                <w:sz w:val="21"/>
                <w:szCs w:val="21"/>
              </w:rPr>
              <w:t>镀锌钢</w:t>
            </w:r>
            <w:r>
              <w:rPr>
                <w:rFonts w:hint="eastAsia" w:ascii="仿宋" w:hAnsi="仿宋" w:eastAsia="仿宋"/>
                <w:color w:val="auto"/>
                <w:sz w:val="21"/>
                <w:szCs w:val="21"/>
              </w:rPr>
              <w:t>;</w:t>
            </w:r>
            <w:r>
              <w:rPr>
                <w:rFonts w:ascii="仿宋" w:hAnsi="仿宋" w:eastAsia="仿宋"/>
                <w:color w:val="auto"/>
                <w:sz w:val="21"/>
                <w:szCs w:val="21"/>
              </w:rPr>
              <w:t>结构：抱箍式</w:t>
            </w:r>
            <w:r>
              <w:rPr>
                <w:rFonts w:hint="eastAsia" w:ascii="仿宋" w:hAnsi="仿宋" w:eastAsia="仿宋"/>
                <w:color w:val="auto"/>
                <w:sz w:val="21"/>
                <w:szCs w:val="21"/>
              </w:rPr>
              <w:t>/</w:t>
            </w:r>
            <w:r>
              <w:rPr>
                <w:rFonts w:ascii="仿宋" w:hAnsi="仿宋" w:eastAsia="仿宋"/>
                <w:color w:val="auto"/>
                <w:sz w:val="21"/>
                <w:szCs w:val="21"/>
              </w:rPr>
              <w:t>夹板式</w:t>
            </w:r>
            <w:r>
              <w:rPr>
                <w:rFonts w:hint="eastAsia" w:ascii="仿宋" w:hAnsi="仿宋" w:eastAsia="仿宋"/>
                <w:color w:val="auto"/>
                <w:sz w:val="21"/>
                <w:szCs w:val="21"/>
              </w:rPr>
              <w:t>;</w:t>
            </w:r>
            <w:r>
              <w:rPr>
                <w:rFonts w:ascii="仿宋" w:hAnsi="仿宋" w:eastAsia="仿宋"/>
                <w:color w:val="auto"/>
                <w:sz w:val="21"/>
                <w:szCs w:val="21"/>
              </w:rPr>
              <w:t>适配：工字轨</w:t>
            </w:r>
            <w:r>
              <w:rPr>
                <w:rFonts w:hint="eastAsia" w:ascii="仿宋" w:hAnsi="仿宋" w:eastAsia="仿宋"/>
                <w:color w:val="auto"/>
                <w:sz w:val="21"/>
                <w:szCs w:val="21"/>
              </w:rPr>
              <w:t>/</w:t>
            </w:r>
            <w:r>
              <w:rPr>
                <w:rFonts w:ascii="仿宋" w:hAnsi="仿宋" w:eastAsia="仿宋"/>
                <w:color w:val="auto"/>
                <w:sz w:val="21"/>
                <w:szCs w:val="21"/>
              </w:rPr>
              <w:t>王字轨</w:t>
            </w:r>
            <w:r>
              <w:rPr>
                <w:rFonts w:hint="eastAsia" w:ascii="仿宋" w:hAnsi="仿宋" w:eastAsia="仿宋"/>
                <w:color w:val="auto"/>
                <w:sz w:val="21"/>
                <w:szCs w:val="21"/>
              </w:rPr>
              <w:t>;</w:t>
            </w:r>
            <w:r>
              <w:rPr>
                <w:rFonts w:ascii="仿宋" w:hAnsi="仿宋" w:eastAsia="仿宋"/>
                <w:color w:val="auto"/>
                <w:sz w:val="21"/>
                <w:szCs w:val="21"/>
              </w:rPr>
              <w:t>承重：≥80kg</w:t>
            </w:r>
            <w:r>
              <w:rPr>
                <w:rFonts w:hint="eastAsia" w:ascii="仿宋" w:hAnsi="仿宋" w:eastAsia="仿宋"/>
                <w:color w:val="auto"/>
                <w:sz w:val="21"/>
                <w:szCs w:val="21"/>
              </w:rPr>
              <w:t>;</w:t>
            </w:r>
            <w:r>
              <w:rPr>
                <w:rFonts w:ascii="仿宋" w:hAnsi="仿宋" w:eastAsia="仿宋"/>
                <w:color w:val="auto"/>
                <w:sz w:val="21"/>
                <w:szCs w:val="21"/>
              </w:rPr>
              <w:t>可调节高度，安装牢固</w:t>
            </w:r>
          </w:p>
        </w:tc>
        <w:tc>
          <w:tcPr>
            <w:tcW w:w="0" w:type="auto"/>
            <w:vAlign w:val="center"/>
          </w:tcPr>
          <w:p w14:paraId="5C9C4DA4">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4696D563">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1DDC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5C1EF3E">
            <w:pPr>
              <w:widowControl/>
              <w:snapToGrid w:val="0"/>
              <w:jc w:val="center"/>
              <w:rPr>
                <w:rFonts w:hint="eastAsia" w:ascii="仿宋" w:hAnsi="仿宋" w:eastAsia="仿宋"/>
                <w:color w:val="auto"/>
                <w:kern w:val="0"/>
              </w:rPr>
            </w:pPr>
            <w:r>
              <w:rPr>
                <w:rFonts w:hint="eastAsia" w:ascii="仿宋" w:hAnsi="仿宋" w:eastAsia="仿宋" w:cs="宋体"/>
                <w:color w:val="auto"/>
                <w:kern w:val="0"/>
              </w:rPr>
              <w:t>27</w:t>
            </w:r>
          </w:p>
        </w:tc>
        <w:tc>
          <w:tcPr>
            <w:tcW w:w="996" w:type="dxa"/>
            <w:vAlign w:val="center"/>
          </w:tcPr>
          <w:p w14:paraId="3CDBBC8B">
            <w:pPr>
              <w:widowControl/>
              <w:snapToGrid w:val="0"/>
              <w:jc w:val="center"/>
              <w:rPr>
                <w:rFonts w:hint="eastAsia" w:ascii="仿宋" w:hAnsi="仿宋" w:eastAsia="仿宋"/>
                <w:color w:val="auto"/>
              </w:rPr>
            </w:pPr>
            <w:r>
              <w:rPr>
                <w:rFonts w:hint="eastAsia" w:ascii="仿宋" w:hAnsi="仿宋" w:eastAsia="仿宋" w:cs="宋体"/>
                <w:color w:val="auto"/>
                <w:kern w:val="0"/>
              </w:rPr>
              <w:t>灯光</w:t>
            </w:r>
            <w:r>
              <w:rPr>
                <w:rFonts w:ascii="仿宋" w:hAnsi="仿宋" w:eastAsia="仿宋" w:cs="宋体"/>
                <w:color w:val="auto"/>
                <w:kern w:val="0"/>
              </w:rPr>
              <w:t>系统安装调试</w:t>
            </w:r>
          </w:p>
        </w:tc>
        <w:tc>
          <w:tcPr>
            <w:tcW w:w="6650" w:type="dxa"/>
            <w:vAlign w:val="center"/>
          </w:tcPr>
          <w:p w14:paraId="3B8166D8">
            <w:pPr>
              <w:widowControl/>
              <w:snapToGrid w:val="0"/>
              <w:jc w:val="left"/>
              <w:rPr>
                <w:rFonts w:hint="eastAsia" w:ascii="仿宋" w:hAnsi="仿宋" w:eastAsia="仿宋"/>
                <w:color w:val="auto"/>
              </w:rPr>
            </w:pPr>
            <w:r>
              <w:rPr>
                <w:rFonts w:hint="eastAsia" w:ascii="仿宋" w:hAnsi="仿宋" w:eastAsia="仿宋"/>
                <w:color w:val="auto"/>
              </w:rPr>
              <w:t>项目现场灯光系统安装调试</w:t>
            </w:r>
          </w:p>
        </w:tc>
        <w:tc>
          <w:tcPr>
            <w:tcW w:w="0" w:type="auto"/>
            <w:vAlign w:val="center"/>
          </w:tcPr>
          <w:p w14:paraId="196E46A4">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13696BFE">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3B7F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8" w:type="dxa"/>
            <w:gridSpan w:val="5"/>
            <w:vAlign w:val="center"/>
          </w:tcPr>
          <w:p w14:paraId="4D84ED82">
            <w:pPr>
              <w:widowControl/>
              <w:snapToGrid w:val="0"/>
              <w:jc w:val="center"/>
              <w:rPr>
                <w:rFonts w:hint="eastAsia" w:ascii="仿宋" w:hAnsi="仿宋" w:eastAsia="仿宋"/>
                <w:color w:val="auto"/>
              </w:rPr>
            </w:pPr>
            <w:r>
              <w:rPr>
                <w:rFonts w:hint="eastAsia" w:ascii="仿宋" w:hAnsi="仿宋" w:eastAsia="仿宋" w:cs="宋体"/>
                <w:b/>
                <w:bCs/>
                <w:color w:val="auto"/>
                <w:kern w:val="0"/>
                <w:sz w:val="24"/>
                <w:szCs w:val="24"/>
              </w:rPr>
              <w:t>五、校园电视台环境改造</w:t>
            </w:r>
          </w:p>
        </w:tc>
      </w:tr>
      <w:tr w14:paraId="15CE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0CAA5EBA">
            <w:pPr>
              <w:widowControl/>
              <w:snapToGrid w:val="0"/>
              <w:jc w:val="center"/>
              <w:rPr>
                <w:rFonts w:hint="eastAsia" w:ascii="仿宋" w:hAnsi="仿宋" w:eastAsia="仿宋"/>
                <w:color w:val="auto"/>
                <w:kern w:val="0"/>
                <w:highlight w:val="yellow"/>
              </w:rPr>
            </w:pPr>
            <w:r>
              <w:rPr>
                <w:rFonts w:hint="eastAsia" w:ascii="仿宋" w:hAnsi="仿宋" w:eastAsia="仿宋" w:cs="宋体"/>
                <w:color w:val="auto"/>
                <w:kern w:val="0"/>
              </w:rPr>
              <w:t>1</w:t>
            </w:r>
          </w:p>
        </w:tc>
        <w:tc>
          <w:tcPr>
            <w:tcW w:w="996" w:type="dxa"/>
            <w:vAlign w:val="center"/>
          </w:tcPr>
          <w:p w14:paraId="262DCC39">
            <w:pPr>
              <w:widowControl/>
              <w:snapToGrid w:val="0"/>
              <w:jc w:val="center"/>
              <w:rPr>
                <w:rFonts w:hint="eastAsia" w:ascii="仿宋" w:hAnsi="仿宋" w:eastAsia="仿宋"/>
                <w:color w:val="auto"/>
                <w:highlight w:val="yellow"/>
              </w:rPr>
            </w:pPr>
            <w:r>
              <w:rPr>
                <w:rFonts w:hint="eastAsia" w:ascii="仿宋" w:hAnsi="仿宋" w:eastAsia="仿宋" w:cs="宋体"/>
                <w:color w:val="auto"/>
                <w:kern w:val="0"/>
              </w:rPr>
              <w:t>隔墙</w:t>
            </w:r>
          </w:p>
        </w:tc>
        <w:tc>
          <w:tcPr>
            <w:tcW w:w="6650" w:type="dxa"/>
            <w:vAlign w:val="center"/>
          </w:tcPr>
          <w:p w14:paraId="53A24D0B">
            <w:pPr>
              <w:widowControl/>
              <w:snapToGrid w:val="0"/>
              <w:jc w:val="left"/>
              <w:rPr>
                <w:rFonts w:hint="eastAsia" w:ascii="仿宋" w:hAnsi="仿宋" w:eastAsia="仿宋"/>
                <w:color w:val="auto"/>
              </w:rPr>
            </w:pPr>
            <w:r>
              <w:rPr>
                <w:rFonts w:hint="eastAsia" w:ascii="仿宋" w:hAnsi="仿宋" w:eastAsia="仿宋"/>
                <w:color w:val="auto"/>
              </w:rPr>
              <w:t>一、骨架</w:t>
            </w:r>
          </w:p>
          <w:p w14:paraId="21941093">
            <w:pPr>
              <w:pStyle w:val="2"/>
              <w:snapToGrid w:val="0"/>
              <w:jc w:val="left"/>
              <w:rPr>
                <w:rFonts w:hint="eastAsia" w:ascii="仿宋" w:hAnsi="仿宋" w:eastAsia="仿宋"/>
                <w:color w:val="auto"/>
                <w:sz w:val="21"/>
                <w:szCs w:val="21"/>
              </w:rPr>
            </w:pPr>
            <w:r>
              <w:rPr>
                <w:rFonts w:hint="eastAsia" w:ascii="仿宋" w:hAnsi="仿宋" w:eastAsia="仿宋"/>
                <w:color w:val="auto"/>
                <w:sz w:val="21"/>
                <w:szCs w:val="21"/>
              </w:rPr>
              <w:t>1.</w:t>
            </w:r>
            <w:r>
              <w:rPr>
                <w:rFonts w:ascii="仿宋" w:hAnsi="仿宋" w:eastAsia="仿宋"/>
                <w:color w:val="auto"/>
                <w:sz w:val="21"/>
                <w:szCs w:val="21"/>
              </w:rPr>
              <w:t>主龙骨：75 型轻钢龙骨（国标），厚度≥0.6mm，宽度 75mm，高度≥50mm</w:t>
            </w:r>
            <w:r>
              <w:rPr>
                <w:rFonts w:hint="eastAsia" w:ascii="仿宋" w:hAnsi="仿宋" w:eastAsia="仿宋"/>
                <w:color w:val="auto"/>
                <w:sz w:val="21"/>
                <w:szCs w:val="21"/>
              </w:rPr>
              <w:t>；</w:t>
            </w:r>
            <w:r>
              <w:rPr>
                <w:rFonts w:ascii="仿宋" w:hAnsi="Cambria Math" w:eastAsia="仿宋" w:cs="Cambria Math"/>
                <w:color w:val="auto"/>
                <w:sz w:val="21"/>
                <w:szCs w:val="21"/>
              </w:rPr>
              <w:t>​</w:t>
            </w:r>
          </w:p>
          <w:p w14:paraId="26D1F10F">
            <w:pPr>
              <w:pStyle w:val="2"/>
              <w:snapToGrid w:val="0"/>
              <w:jc w:val="left"/>
              <w:rPr>
                <w:rFonts w:hint="eastAsia" w:ascii="仿宋" w:hAnsi="仿宋" w:eastAsia="仿宋"/>
                <w:color w:val="auto"/>
                <w:sz w:val="21"/>
                <w:szCs w:val="21"/>
              </w:rPr>
            </w:pPr>
            <w:r>
              <w:rPr>
                <w:rFonts w:hint="eastAsia" w:ascii="仿宋" w:hAnsi="仿宋" w:eastAsia="仿宋"/>
                <w:color w:val="auto"/>
                <w:sz w:val="21"/>
                <w:szCs w:val="21"/>
              </w:rPr>
              <w:t>2.</w:t>
            </w:r>
            <w:r>
              <w:rPr>
                <w:rFonts w:ascii="仿宋" w:hAnsi="仿宋" w:eastAsia="仿宋"/>
                <w:color w:val="auto"/>
                <w:sz w:val="21"/>
                <w:szCs w:val="21"/>
              </w:rPr>
              <w:t>副龙骨：配套 75 型轻钢副龙骨，间距≤400mm（中对中），厚度≥0.5mm</w:t>
            </w:r>
            <w:r>
              <w:rPr>
                <w:rFonts w:ascii="仿宋" w:hAnsi="Cambria Math" w:eastAsia="仿宋" w:cs="Cambria Math"/>
                <w:color w:val="auto"/>
                <w:sz w:val="21"/>
                <w:szCs w:val="21"/>
              </w:rPr>
              <w:t>​</w:t>
            </w:r>
            <w:r>
              <w:rPr>
                <w:rFonts w:hint="eastAsia" w:ascii="仿宋" w:hAnsi="仿宋" w:eastAsia="仿宋"/>
                <w:color w:val="auto"/>
                <w:sz w:val="21"/>
                <w:szCs w:val="21"/>
              </w:rPr>
              <w:t>；</w:t>
            </w:r>
          </w:p>
          <w:p w14:paraId="3D8D408E">
            <w:pPr>
              <w:pStyle w:val="2"/>
              <w:snapToGrid w:val="0"/>
              <w:jc w:val="left"/>
              <w:rPr>
                <w:rFonts w:hint="eastAsia" w:ascii="仿宋" w:hAnsi="仿宋" w:eastAsia="仿宋"/>
                <w:color w:val="auto"/>
                <w:sz w:val="21"/>
                <w:szCs w:val="21"/>
              </w:rPr>
            </w:pPr>
            <w:r>
              <w:rPr>
                <w:rFonts w:hint="eastAsia" w:ascii="仿宋" w:hAnsi="仿宋" w:eastAsia="仿宋"/>
                <w:color w:val="auto"/>
                <w:sz w:val="21"/>
                <w:szCs w:val="21"/>
              </w:rPr>
              <w:t>3.</w:t>
            </w:r>
            <w:r>
              <w:rPr>
                <w:rFonts w:ascii="仿宋" w:hAnsi="仿宋" w:eastAsia="仿宋"/>
                <w:color w:val="auto"/>
                <w:sz w:val="21"/>
                <w:szCs w:val="21"/>
              </w:rPr>
              <w:t>穿心龙骨：38 型轻钢穿心龙骨，厚度≥0.5mm，间距≤1200mm，横向贯通固定主龙骨</w:t>
            </w:r>
            <w:r>
              <w:rPr>
                <w:rFonts w:ascii="仿宋" w:hAnsi="Cambria Math" w:eastAsia="仿宋" w:cs="Cambria Math"/>
                <w:color w:val="auto"/>
                <w:sz w:val="21"/>
                <w:szCs w:val="21"/>
              </w:rPr>
              <w:t>​</w:t>
            </w:r>
            <w:r>
              <w:rPr>
                <w:rFonts w:hint="eastAsia" w:ascii="仿宋" w:hAnsi="仿宋" w:eastAsia="仿宋"/>
                <w:color w:val="auto"/>
                <w:sz w:val="21"/>
                <w:szCs w:val="21"/>
              </w:rPr>
              <w:t>；</w:t>
            </w:r>
          </w:p>
          <w:p w14:paraId="52C21D9C">
            <w:pPr>
              <w:pStyle w:val="2"/>
              <w:snapToGrid w:val="0"/>
              <w:jc w:val="left"/>
              <w:rPr>
                <w:rFonts w:hint="eastAsia" w:ascii="仿宋" w:hAnsi="仿宋" w:eastAsia="仿宋"/>
                <w:color w:val="auto"/>
                <w:sz w:val="21"/>
                <w:szCs w:val="21"/>
              </w:rPr>
            </w:pPr>
            <w:r>
              <w:rPr>
                <w:rFonts w:hint="eastAsia" w:ascii="仿宋" w:hAnsi="仿宋" w:eastAsia="仿宋"/>
                <w:color w:val="auto"/>
                <w:sz w:val="21"/>
                <w:szCs w:val="21"/>
              </w:rPr>
              <w:t>4.</w:t>
            </w:r>
            <w:r>
              <w:rPr>
                <w:rFonts w:ascii="仿宋" w:hAnsi="仿宋" w:eastAsia="仿宋"/>
                <w:color w:val="auto"/>
                <w:sz w:val="21"/>
                <w:szCs w:val="21"/>
              </w:rPr>
              <w:t>配件：镀锌膨胀螺栓、自攻螺丝、龙骨连接件（卡扣 / 角码），均为热镀锌防锈处理</w:t>
            </w:r>
            <w:r>
              <w:rPr>
                <w:rFonts w:hint="eastAsia" w:ascii="仿宋" w:hAnsi="仿宋" w:eastAsia="仿宋"/>
                <w:color w:val="auto"/>
                <w:sz w:val="21"/>
                <w:szCs w:val="21"/>
              </w:rPr>
              <w:t>；</w:t>
            </w:r>
          </w:p>
          <w:p w14:paraId="6A67D0B8">
            <w:pPr>
              <w:pStyle w:val="3"/>
              <w:spacing w:line="240" w:lineRule="auto"/>
              <w:ind w:firstLine="0" w:firstLineChars="0"/>
              <w:jc w:val="left"/>
              <w:rPr>
                <w:rFonts w:hint="eastAsia" w:ascii="仿宋" w:hAnsi="仿宋" w:eastAsia="仿宋"/>
                <w:color w:val="auto"/>
                <w:kern w:val="2"/>
                <w:sz w:val="21"/>
                <w:szCs w:val="21"/>
              </w:rPr>
            </w:pPr>
            <w:r>
              <w:rPr>
                <w:rFonts w:hint="eastAsia" w:ascii="仿宋" w:hAnsi="仿宋" w:eastAsia="仿宋"/>
                <w:color w:val="auto"/>
                <w:kern w:val="2"/>
                <w:sz w:val="21"/>
                <w:szCs w:val="21"/>
              </w:rPr>
              <w:t>二、面板</w:t>
            </w:r>
          </w:p>
          <w:p w14:paraId="4FDCC498">
            <w:pPr>
              <w:pStyle w:val="3"/>
              <w:spacing w:line="240" w:lineRule="auto"/>
              <w:ind w:firstLine="0" w:firstLineChars="0"/>
              <w:jc w:val="left"/>
              <w:rPr>
                <w:rFonts w:hint="eastAsia" w:ascii="仿宋" w:hAnsi="仿宋" w:eastAsia="仿宋"/>
                <w:color w:val="auto"/>
                <w:kern w:val="2"/>
                <w:sz w:val="21"/>
                <w:szCs w:val="21"/>
              </w:rPr>
            </w:pPr>
            <w:r>
              <w:rPr>
                <w:rFonts w:hint="eastAsia" w:ascii="仿宋" w:hAnsi="仿宋" w:eastAsia="仿宋"/>
                <w:color w:val="auto"/>
                <w:kern w:val="2"/>
                <w:sz w:val="21"/>
                <w:szCs w:val="21"/>
              </w:rPr>
              <w:t>1.</w:t>
            </w:r>
            <w:r>
              <w:rPr>
                <w:rFonts w:ascii="仿宋" w:hAnsi="仿宋" w:eastAsia="仿宋"/>
                <w:color w:val="auto"/>
                <w:kern w:val="2"/>
                <w:sz w:val="21"/>
                <w:szCs w:val="21"/>
              </w:rPr>
              <w:t>饰面板材：9mm 防火防潮石膏板（国标），密度≥800kg/m</w:t>
            </w:r>
            <w:r>
              <w:rPr>
                <w:rFonts w:ascii="仿宋" w:eastAsia="仿宋" w:cs="Calibri"/>
                <w:color w:val="auto"/>
                <w:kern w:val="2"/>
                <w:sz w:val="21"/>
                <w:szCs w:val="21"/>
              </w:rPr>
              <w:t>³</w:t>
            </w:r>
            <w:r>
              <w:rPr>
                <w:rFonts w:ascii="仿宋" w:hAnsi="Cambria Math" w:eastAsia="仿宋" w:cs="Cambria Math"/>
                <w:color w:val="auto"/>
                <w:kern w:val="2"/>
                <w:sz w:val="21"/>
                <w:szCs w:val="21"/>
              </w:rPr>
              <w:t>​</w:t>
            </w:r>
            <w:r>
              <w:rPr>
                <w:rFonts w:hint="eastAsia" w:ascii="仿宋" w:hAnsi="仿宋" w:eastAsia="仿宋"/>
                <w:color w:val="auto"/>
                <w:kern w:val="2"/>
                <w:sz w:val="21"/>
                <w:szCs w:val="21"/>
              </w:rPr>
              <w:t>；</w:t>
            </w:r>
          </w:p>
          <w:p w14:paraId="2E55ED9F">
            <w:pPr>
              <w:pStyle w:val="3"/>
              <w:spacing w:line="240" w:lineRule="auto"/>
              <w:ind w:firstLine="0" w:firstLineChars="0"/>
              <w:jc w:val="left"/>
              <w:rPr>
                <w:rFonts w:hint="eastAsia" w:ascii="仿宋" w:hAnsi="仿宋" w:eastAsia="仿宋"/>
                <w:color w:val="auto"/>
                <w:kern w:val="2"/>
                <w:sz w:val="21"/>
                <w:szCs w:val="21"/>
              </w:rPr>
            </w:pPr>
            <w:r>
              <w:rPr>
                <w:rFonts w:hint="eastAsia" w:ascii="仿宋" w:hAnsi="仿宋" w:eastAsia="仿宋"/>
                <w:color w:val="auto"/>
                <w:kern w:val="2"/>
                <w:sz w:val="21"/>
                <w:szCs w:val="21"/>
              </w:rPr>
              <w:t>2.</w:t>
            </w:r>
            <w:r>
              <w:rPr>
                <w:rFonts w:ascii="仿宋" w:hAnsi="仿宋" w:eastAsia="仿宋"/>
                <w:color w:val="auto"/>
                <w:kern w:val="2"/>
                <w:sz w:val="21"/>
                <w:szCs w:val="21"/>
              </w:rPr>
              <w:t>安装方式：双面封板，自攻螺丝间距≤200mm，螺丝沉头深度 0.5–1mm，不破坏板面</w:t>
            </w:r>
            <w:r>
              <w:rPr>
                <w:rFonts w:ascii="仿宋" w:hAnsi="Cambria Math" w:eastAsia="仿宋" w:cs="Cambria Math"/>
                <w:color w:val="auto"/>
                <w:kern w:val="2"/>
                <w:sz w:val="21"/>
                <w:szCs w:val="21"/>
              </w:rPr>
              <w:t>​</w:t>
            </w:r>
            <w:r>
              <w:rPr>
                <w:rFonts w:hint="eastAsia" w:ascii="仿宋" w:hAnsi="仿宋" w:eastAsia="仿宋"/>
                <w:color w:val="auto"/>
                <w:kern w:val="2"/>
                <w:sz w:val="21"/>
                <w:szCs w:val="21"/>
              </w:rPr>
              <w:t>；</w:t>
            </w:r>
          </w:p>
          <w:p w14:paraId="424593ED">
            <w:pPr>
              <w:pStyle w:val="3"/>
              <w:spacing w:line="240" w:lineRule="auto"/>
              <w:ind w:firstLine="0" w:firstLineChars="0"/>
              <w:jc w:val="left"/>
              <w:rPr>
                <w:rFonts w:hint="eastAsia" w:ascii="仿宋" w:hAnsi="仿宋" w:eastAsia="仿宋"/>
                <w:color w:val="auto"/>
                <w:kern w:val="2"/>
                <w:sz w:val="21"/>
                <w:szCs w:val="21"/>
              </w:rPr>
            </w:pPr>
            <w:r>
              <w:rPr>
                <w:rFonts w:hint="eastAsia" w:ascii="仿宋" w:hAnsi="仿宋" w:eastAsia="仿宋"/>
                <w:color w:val="auto"/>
                <w:kern w:val="2"/>
                <w:sz w:val="21"/>
                <w:szCs w:val="21"/>
              </w:rPr>
              <w:t>3.</w:t>
            </w:r>
            <w:r>
              <w:rPr>
                <w:rFonts w:ascii="仿宋" w:hAnsi="仿宋" w:eastAsia="仿宋"/>
                <w:color w:val="auto"/>
                <w:kern w:val="2"/>
                <w:sz w:val="21"/>
                <w:szCs w:val="21"/>
              </w:rPr>
              <w:t>接缝处理：板缝预留 3–5mm，采用石膏板专用嵌缝石膏 + 玻纤网格带处理</w:t>
            </w:r>
            <w:r>
              <w:rPr>
                <w:rFonts w:hint="eastAsia" w:ascii="仿宋" w:hAnsi="仿宋" w:eastAsia="仿宋"/>
                <w:color w:val="auto"/>
                <w:kern w:val="2"/>
                <w:sz w:val="21"/>
                <w:szCs w:val="21"/>
              </w:rPr>
              <w:t>；</w:t>
            </w:r>
          </w:p>
          <w:p w14:paraId="4332382A">
            <w:pPr>
              <w:snapToGrid w:val="0"/>
              <w:jc w:val="left"/>
              <w:rPr>
                <w:rFonts w:hint="eastAsia" w:ascii="仿宋" w:hAnsi="仿宋" w:eastAsia="仿宋"/>
                <w:color w:val="auto"/>
              </w:rPr>
            </w:pPr>
            <w:r>
              <w:rPr>
                <w:rFonts w:hint="eastAsia" w:ascii="仿宋" w:hAnsi="仿宋" w:eastAsia="仿宋"/>
                <w:color w:val="auto"/>
              </w:rPr>
              <w:t>三、隔音处理</w:t>
            </w:r>
          </w:p>
          <w:p w14:paraId="5B7396A1">
            <w:pPr>
              <w:pStyle w:val="3"/>
              <w:spacing w:line="240" w:lineRule="auto"/>
              <w:ind w:firstLine="0" w:firstLineChars="0"/>
              <w:jc w:val="left"/>
              <w:rPr>
                <w:rFonts w:hint="eastAsia" w:ascii="仿宋" w:hAnsi="仿宋" w:eastAsia="仿宋"/>
                <w:color w:val="auto"/>
                <w:kern w:val="2"/>
                <w:sz w:val="21"/>
                <w:szCs w:val="21"/>
              </w:rPr>
            </w:pPr>
            <w:r>
              <w:rPr>
                <w:rFonts w:hint="eastAsia" w:ascii="仿宋" w:hAnsi="仿宋" w:eastAsia="仿宋"/>
                <w:color w:val="auto"/>
                <w:kern w:val="2"/>
                <w:sz w:val="21"/>
                <w:szCs w:val="21"/>
              </w:rPr>
              <w:t>1.</w:t>
            </w:r>
            <w:r>
              <w:rPr>
                <w:rFonts w:ascii="仿宋" w:hAnsi="仿宋" w:eastAsia="仿宋"/>
                <w:color w:val="auto"/>
                <w:kern w:val="2"/>
                <w:sz w:val="21"/>
                <w:szCs w:val="21"/>
              </w:rPr>
              <w:t>填充材料：阻燃岩棉，密度≥48kg/m</w:t>
            </w:r>
            <w:r>
              <w:rPr>
                <w:rFonts w:ascii="仿宋" w:eastAsia="仿宋" w:cs="Calibri"/>
                <w:color w:val="auto"/>
                <w:kern w:val="2"/>
                <w:sz w:val="21"/>
                <w:szCs w:val="21"/>
              </w:rPr>
              <w:t>³</w:t>
            </w:r>
            <w:r>
              <w:rPr>
                <w:rFonts w:ascii="仿宋" w:hAnsi="仿宋" w:eastAsia="仿宋"/>
                <w:color w:val="auto"/>
                <w:kern w:val="2"/>
                <w:sz w:val="21"/>
                <w:szCs w:val="21"/>
              </w:rPr>
              <w:t>，厚度 50mm（满填龙骨空腔）</w:t>
            </w:r>
            <w:r>
              <w:rPr>
                <w:rFonts w:ascii="仿宋" w:hAnsi="Cambria Math" w:eastAsia="仿宋" w:cs="Cambria Math"/>
                <w:color w:val="auto"/>
                <w:kern w:val="2"/>
                <w:sz w:val="21"/>
                <w:szCs w:val="21"/>
              </w:rPr>
              <w:t>​</w:t>
            </w:r>
          </w:p>
          <w:p w14:paraId="26930CA7">
            <w:pPr>
              <w:pStyle w:val="3"/>
              <w:spacing w:line="240" w:lineRule="auto"/>
              <w:ind w:firstLine="0" w:firstLineChars="0"/>
              <w:jc w:val="left"/>
              <w:rPr>
                <w:rFonts w:hint="eastAsia" w:ascii="仿宋" w:hAnsi="仿宋" w:eastAsia="仿宋"/>
                <w:color w:val="auto"/>
                <w:kern w:val="2"/>
                <w:sz w:val="21"/>
                <w:szCs w:val="21"/>
              </w:rPr>
            </w:pPr>
            <w:r>
              <w:rPr>
                <w:rFonts w:hint="eastAsia" w:ascii="仿宋" w:hAnsi="仿宋" w:eastAsia="仿宋"/>
                <w:color w:val="auto"/>
                <w:kern w:val="2"/>
                <w:sz w:val="21"/>
                <w:szCs w:val="21"/>
              </w:rPr>
              <w:t>2.</w:t>
            </w:r>
            <w:r>
              <w:rPr>
                <w:rFonts w:ascii="仿宋" w:hAnsi="仿宋" w:eastAsia="仿宋"/>
                <w:color w:val="auto"/>
                <w:kern w:val="2"/>
                <w:sz w:val="21"/>
                <w:szCs w:val="21"/>
              </w:rPr>
              <w:t>环保等级：岩棉燃烧性能达 A 级不燃，甲醛释放量≤0.124mg/m</w:t>
            </w:r>
            <w:r>
              <w:rPr>
                <w:rFonts w:ascii="仿宋" w:eastAsia="仿宋" w:cs="Calibri"/>
                <w:color w:val="auto"/>
                <w:kern w:val="2"/>
                <w:sz w:val="21"/>
                <w:szCs w:val="21"/>
              </w:rPr>
              <w:t>³</w:t>
            </w:r>
            <w:r>
              <w:rPr>
                <w:rFonts w:ascii="仿宋" w:hAnsi="仿宋" w:eastAsia="仿宋"/>
                <w:color w:val="auto"/>
                <w:kern w:val="2"/>
                <w:sz w:val="21"/>
                <w:szCs w:val="21"/>
              </w:rPr>
              <w:t>（E1 级）</w:t>
            </w:r>
            <w:r>
              <w:rPr>
                <w:rFonts w:ascii="仿宋" w:hAnsi="Cambria Math" w:eastAsia="仿宋" w:cs="Cambria Math"/>
                <w:color w:val="auto"/>
                <w:kern w:val="2"/>
                <w:sz w:val="21"/>
                <w:szCs w:val="21"/>
              </w:rPr>
              <w:t>​</w:t>
            </w:r>
          </w:p>
          <w:p w14:paraId="7BFF12D6">
            <w:pPr>
              <w:pStyle w:val="3"/>
              <w:spacing w:line="240" w:lineRule="auto"/>
              <w:ind w:firstLine="0" w:firstLineChars="0"/>
              <w:jc w:val="left"/>
              <w:rPr>
                <w:rFonts w:hint="eastAsia" w:ascii="仿宋" w:hAnsi="仿宋" w:eastAsia="仿宋"/>
                <w:color w:val="auto"/>
                <w:kern w:val="2"/>
                <w:sz w:val="21"/>
                <w:szCs w:val="21"/>
                <w:highlight w:val="yellow"/>
              </w:rPr>
            </w:pPr>
            <w:r>
              <w:rPr>
                <w:rFonts w:hint="eastAsia" w:ascii="仿宋" w:hAnsi="仿宋" w:eastAsia="仿宋"/>
                <w:color w:val="auto"/>
                <w:kern w:val="2"/>
                <w:sz w:val="21"/>
                <w:szCs w:val="21"/>
              </w:rPr>
              <w:t>3.</w:t>
            </w:r>
            <w:r>
              <w:rPr>
                <w:rFonts w:ascii="仿宋" w:hAnsi="仿宋" w:eastAsia="仿宋"/>
                <w:color w:val="auto"/>
                <w:kern w:val="2"/>
                <w:sz w:val="21"/>
                <w:szCs w:val="21"/>
              </w:rPr>
              <w:t>隔音增强：龙骨与墙体</w:t>
            </w:r>
            <w:r>
              <w:rPr>
                <w:rFonts w:hint="eastAsia" w:ascii="仿宋" w:hAnsi="仿宋" w:eastAsia="仿宋"/>
                <w:color w:val="auto"/>
                <w:kern w:val="2"/>
                <w:sz w:val="21"/>
                <w:szCs w:val="21"/>
              </w:rPr>
              <w:t>/</w:t>
            </w:r>
            <w:r>
              <w:rPr>
                <w:rFonts w:ascii="仿宋" w:hAnsi="仿宋" w:eastAsia="仿宋"/>
                <w:color w:val="auto"/>
                <w:kern w:val="2"/>
                <w:sz w:val="21"/>
                <w:szCs w:val="21"/>
              </w:rPr>
              <w:t>地面接触处垫橡胶减震垫（厚度≥5mm），减少声桥传递</w:t>
            </w:r>
            <w:r>
              <w:rPr>
                <w:rFonts w:hint="eastAsia" w:ascii="仿宋" w:hAnsi="仿宋" w:eastAsia="仿宋"/>
                <w:color w:val="auto"/>
                <w:kern w:val="2"/>
                <w:sz w:val="21"/>
                <w:szCs w:val="21"/>
              </w:rPr>
              <w:t>；</w:t>
            </w:r>
          </w:p>
        </w:tc>
        <w:tc>
          <w:tcPr>
            <w:tcW w:w="0" w:type="auto"/>
            <w:vAlign w:val="center"/>
          </w:tcPr>
          <w:p w14:paraId="21E49DC1">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85</w:t>
            </w:r>
          </w:p>
        </w:tc>
        <w:tc>
          <w:tcPr>
            <w:tcW w:w="492" w:type="dxa"/>
            <w:vAlign w:val="center"/>
          </w:tcPr>
          <w:p w14:paraId="7591F010">
            <w:pPr>
              <w:widowControl/>
              <w:snapToGrid w:val="0"/>
              <w:jc w:val="center"/>
              <w:rPr>
                <w:rFonts w:hint="eastAsia" w:ascii="仿宋" w:hAnsi="仿宋" w:eastAsia="仿宋" w:cs="Calibri"/>
                <w:color w:val="auto"/>
                <w:kern w:val="0"/>
              </w:rPr>
            </w:pPr>
            <w:r>
              <w:rPr>
                <w:rFonts w:hint="eastAsia" w:ascii="仿宋" w:hAnsi="仿宋" w:eastAsia="仿宋"/>
                <w:color w:val="auto"/>
              </w:rPr>
              <w:t>平米</w:t>
            </w:r>
          </w:p>
        </w:tc>
      </w:tr>
      <w:tr w14:paraId="37A76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814041B">
            <w:pPr>
              <w:widowControl/>
              <w:snapToGrid w:val="0"/>
              <w:jc w:val="center"/>
              <w:rPr>
                <w:rFonts w:hint="eastAsia" w:ascii="仿宋" w:hAnsi="仿宋" w:eastAsia="仿宋"/>
                <w:color w:val="auto"/>
                <w:kern w:val="0"/>
              </w:rPr>
            </w:pPr>
            <w:r>
              <w:rPr>
                <w:rFonts w:hint="eastAsia" w:ascii="仿宋" w:hAnsi="仿宋" w:eastAsia="仿宋" w:cs="宋体"/>
                <w:color w:val="auto"/>
                <w:kern w:val="0"/>
              </w:rPr>
              <w:t>2</w:t>
            </w:r>
          </w:p>
        </w:tc>
        <w:tc>
          <w:tcPr>
            <w:tcW w:w="996" w:type="dxa"/>
            <w:vAlign w:val="center"/>
          </w:tcPr>
          <w:p w14:paraId="6CA461E6">
            <w:pPr>
              <w:widowControl/>
              <w:snapToGrid w:val="0"/>
              <w:jc w:val="center"/>
              <w:rPr>
                <w:rFonts w:hint="eastAsia" w:ascii="仿宋" w:hAnsi="仿宋" w:eastAsia="仿宋"/>
                <w:color w:val="auto"/>
              </w:rPr>
            </w:pPr>
            <w:r>
              <w:rPr>
                <w:rFonts w:hint="eastAsia" w:ascii="仿宋" w:hAnsi="仿宋" w:eastAsia="仿宋" w:cs="宋体"/>
                <w:color w:val="auto"/>
                <w:kern w:val="0"/>
              </w:rPr>
              <w:t>演播室吸音板</w:t>
            </w:r>
          </w:p>
        </w:tc>
        <w:tc>
          <w:tcPr>
            <w:tcW w:w="6650" w:type="dxa"/>
            <w:vAlign w:val="center"/>
          </w:tcPr>
          <w:p w14:paraId="1FCB4004">
            <w:pPr>
              <w:widowControl/>
              <w:snapToGrid w:val="0"/>
              <w:jc w:val="left"/>
              <w:rPr>
                <w:rFonts w:hint="eastAsia" w:ascii="仿宋" w:hAnsi="仿宋" w:eastAsia="仿宋"/>
                <w:color w:val="auto"/>
              </w:rPr>
            </w:pPr>
            <w:r>
              <w:rPr>
                <w:rFonts w:ascii="仿宋" w:hAnsi="仿宋" w:eastAsia="仿宋"/>
                <w:color w:val="auto"/>
              </w:rPr>
              <w:t>以硬质 PVC 为基材，经冲孔、定型、饰面处理制成的穿孔共振吸声板材，防潮、防霉、阻燃、环保，适用于潮湿环境及对耐候性要求高的室内声学装饰。</w:t>
            </w:r>
            <w:r>
              <w:rPr>
                <w:rFonts w:hint="eastAsia" w:ascii="仿宋" w:hAnsi="仿宋" w:eastAsia="仿宋"/>
                <w:color w:val="auto"/>
              </w:rPr>
              <w:t>安装方便，可以根据演播室的具体需求进行切割和拼接。</w:t>
            </w:r>
          </w:p>
          <w:p w14:paraId="62E8F221">
            <w:pPr>
              <w:widowControl/>
              <w:snapToGrid w:val="0"/>
              <w:jc w:val="left"/>
              <w:rPr>
                <w:rFonts w:hint="eastAsia" w:ascii="仿宋" w:hAnsi="仿宋" w:eastAsia="仿宋"/>
                <w:color w:val="auto"/>
              </w:rPr>
            </w:pPr>
            <w:r>
              <w:rPr>
                <w:rFonts w:ascii="仿宋" w:hAnsi="仿宋" w:eastAsia="仿宋"/>
                <w:color w:val="auto"/>
              </w:rPr>
              <w:t>厚度：</w:t>
            </w:r>
            <w:r>
              <w:rPr>
                <w:rFonts w:hint="eastAsia" w:ascii="仿宋" w:hAnsi="仿宋" w:eastAsia="仿宋"/>
                <w:color w:val="auto"/>
              </w:rPr>
              <w:t>≥</w:t>
            </w:r>
            <w:r>
              <w:rPr>
                <w:rFonts w:ascii="仿宋" w:hAnsi="仿宋" w:eastAsia="仿宋"/>
                <w:color w:val="auto"/>
              </w:rPr>
              <w:t xml:space="preserve">6mm、8mm、10mm </w:t>
            </w:r>
            <w:r>
              <w:rPr>
                <w:rFonts w:hint="eastAsia" w:ascii="仿宋" w:hAnsi="仿宋" w:eastAsia="仿宋"/>
                <w:color w:val="auto"/>
              </w:rPr>
              <w:t>；</w:t>
            </w:r>
            <w:r>
              <w:rPr>
                <w:rFonts w:ascii="仿宋" w:hAnsi="仿宋" w:eastAsia="仿宋"/>
                <w:color w:val="auto"/>
              </w:rPr>
              <w:t>幅面：</w:t>
            </w:r>
            <w:r>
              <w:rPr>
                <w:rFonts w:hint="eastAsia" w:ascii="仿宋" w:hAnsi="仿宋" w:eastAsia="仿宋"/>
                <w:color w:val="auto"/>
              </w:rPr>
              <w:t>≥</w:t>
            </w:r>
            <w:r>
              <w:rPr>
                <w:rFonts w:ascii="仿宋" w:hAnsi="仿宋" w:eastAsia="仿宋"/>
                <w:color w:val="auto"/>
              </w:rPr>
              <w:t>600mm × 1200mm</w:t>
            </w:r>
          </w:p>
          <w:p w14:paraId="1B020145">
            <w:pPr>
              <w:widowControl/>
              <w:snapToGrid w:val="0"/>
              <w:jc w:val="left"/>
              <w:rPr>
                <w:rFonts w:hint="eastAsia" w:ascii="仿宋" w:hAnsi="仿宋" w:eastAsia="仿宋"/>
                <w:color w:val="auto"/>
              </w:rPr>
            </w:pPr>
            <w:r>
              <w:rPr>
                <w:rFonts w:ascii="仿宋" w:hAnsi="仿宋" w:eastAsia="仿宋"/>
                <w:color w:val="auto"/>
              </w:rPr>
              <w:t xml:space="preserve">基材：硬质 PVC 板材（聚氯乙烯） </w:t>
            </w:r>
          </w:p>
          <w:p w14:paraId="62853B9A">
            <w:pPr>
              <w:widowControl/>
              <w:snapToGrid w:val="0"/>
              <w:jc w:val="left"/>
              <w:rPr>
                <w:rFonts w:hint="eastAsia" w:ascii="仿宋" w:hAnsi="仿宋" w:eastAsia="仿宋"/>
                <w:color w:val="auto"/>
              </w:rPr>
            </w:pPr>
            <w:r>
              <w:rPr>
                <w:rFonts w:ascii="仿宋" w:hAnsi="仿宋" w:eastAsia="仿宋"/>
                <w:color w:val="auto"/>
              </w:rPr>
              <w:t xml:space="preserve">环保等级：E0 级 / 无甲醛 </w:t>
            </w:r>
          </w:p>
          <w:p w14:paraId="45705FCE">
            <w:pPr>
              <w:widowControl/>
              <w:snapToGrid w:val="0"/>
              <w:jc w:val="left"/>
              <w:rPr>
                <w:rFonts w:hint="eastAsia" w:ascii="仿宋" w:hAnsi="仿宋" w:eastAsia="仿宋"/>
                <w:color w:val="auto"/>
              </w:rPr>
            </w:pPr>
            <w:r>
              <w:rPr>
                <w:rFonts w:ascii="仿宋" w:hAnsi="仿宋" w:eastAsia="仿宋"/>
                <w:color w:val="auto"/>
              </w:rPr>
              <w:t xml:space="preserve">防火等级：B1 级（难燃，离火自熄） </w:t>
            </w:r>
          </w:p>
          <w:p w14:paraId="2CFA9BD5">
            <w:pPr>
              <w:widowControl/>
              <w:snapToGrid w:val="0"/>
              <w:jc w:val="left"/>
              <w:rPr>
                <w:rFonts w:hint="eastAsia" w:ascii="仿宋" w:hAnsi="仿宋" w:eastAsia="仿宋"/>
                <w:color w:val="auto"/>
              </w:rPr>
            </w:pPr>
            <w:r>
              <w:rPr>
                <w:rFonts w:ascii="仿宋" w:hAnsi="仿宋" w:eastAsia="仿宋"/>
                <w:color w:val="auto"/>
              </w:rPr>
              <w:t>密度：1300～1600 kg/m</w:t>
            </w:r>
            <w:r>
              <w:rPr>
                <w:rFonts w:ascii="仿宋" w:hAnsi="Calibri" w:eastAsia="仿宋" w:cs="Calibri"/>
                <w:color w:val="auto"/>
              </w:rPr>
              <w:t>³</w:t>
            </w:r>
            <w:r>
              <w:rPr>
                <w:rFonts w:ascii="仿宋" w:hAnsi="仿宋" w:eastAsia="仿宋"/>
                <w:color w:val="auto"/>
              </w:rPr>
              <w:t xml:space="preserve"> </w:t>
            </w:r>
          </w:p>
          <w:p w14:paraId="46F5AD1A">
            <w:pPr>
              <w:widowControl/>
              <w:snapToGrid w:val="0"/>
              <w:jc w:val="left"/>
              <w:rPr>
                <w:rFonts w:hint="eastAsia" w:ascii="仿宋" w:hAnsi="仿宋" w:eastAsia="仿宋"/>
                <w:color w:val="auto"/>
              </w:rPr>
            </w:pPr>
            <w:r>
              <w:rPr>
                <w:rFonts w:ascii="仿宋" w:hAnsi="仿宋" w:eastAsia="仿宋"/>
                <w:color w:val="auto"/>
              </w:rPr>
              <w:t xml:space="preserve">含水率：≈0%，不吸水 </w:t>
            </w:r>
          </w:p>
          <w:p w14:paraId="75CCBAF8">
            <w:pPr>
              <w:widowControl/>
              <w:snapToGrid w:val="0"/>
              <w:jc w:val="left"/>
              <w:rPr>
                <w:rFonts w:hint="eastAsia" w:ascii="仿宋" w:hAnsi="仿宋" w:eastAsia="仿宋"/>
                <w:color w:val="auto"/>
              </w:rPr>
            </w:pPr>
            <w:r>
              <w:rPr>
                <w:rFonts w:ascii="仿宋" w:hAnsi="仿宋" w:eastAsia="仿宋"/>
                <w:color w:val="auto"/>
              </w:rPr>
              <w:t xml:space="preserve">防霉等级：0 级（不发霉） </w:t>
            </w:r>
          </w:p>
          <w:p w14:paraId="2C5729BF">
            <w:pPr>
              <w:widowControl/>
              <w:snapToGrid w:val="0"/>
              <w:jc w:val="left"/>
              <w:rPr>
                <w:rFonts w:ascii="仿宋" w:eastAsia="仿宋"/>
                <w:color w:val="auto"/>
                <w:highlight w:val="yellow"/>
              </w:rPr>
            </w:pPr>
            <w:r>
              <w:rPr>
                <w:rFonts w:ascii="仿宋" w:hAnsi="仿宋" w:eastAsia="仿宋"/>
                <w:color w:val="auto"/>
              </w:rPr>
              <w:t>耐水性：防水、防潮、可水洗</w:t>
            </w:r>
          </w:p>
        </w:tc>
        <w:tc>
          <w:tcPr>
            <w:tcW w:w="0" w:type="auto"/>
            <w:vAlign w:val="center"/>
          </w:tcPr>
          <w:p w14:paraId="5AF37EBB">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50</w:t>
            </w:r>
          </w:p>
        </w:tc>
        <w:tc>
          <w:tcPr>
            <w:tcW w:w="492" w:type="dxa"/>
            <w:vAlign w:val="center"/>
          </w:tcPr>
          <w:p w14:paraId="443B6D94">
            <w:pPr>
              <w:widowControl/>
              <w:snapToGrid w:val="0"/>
              <w:jc w:val="center"/>
              <w:rPr>
                <w:rFonts w:hint="eastAsia" w:ascii="仿宋" w:hAnsi="仿宋" w:eastAsia="仿宋" w:cs="Calibri"/>
                <w:color w:val="auto"/>
                <w:kern w:val="0"/>
              </w:rPr>
            </w:pPr>
            <w:r>
              <w:rPr>
                <w:rFonts w:hint="eastAsia" w:ascii="仿宋" w:hAnsi="仿宋" w:eastAsia="仿宋"/>
                <w:color w:val="auto"/>
              </w:rPr>
              <w:t>平米</w:t>
            </w:r>
          </w:p>
        </w:tc>
      </w:tr>
      <w:tr w14:paraId="0341A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8317BDD">
            <w:pPr>
              <w:widowControl/>
              <w:snapToGrid w:val="0"/>
              <w:jc w:val="center"/>
              <w:rPr>
                <w:rFonts w:hint="eastAsia" w:ascii="仿宋" w:hAnsi="仿宋" w:eastAsia="仿宋"/>
                <w:color w:val="auto"/>
                <w:kern w:val="0"/>
                <w:highlight w:val="yellow"/>
              </w:rPr>
            </w:pPr>
            <w:r>
              <w:rPr>
                <w:rFonts w:hint="eastAsia" w:ascii="仿宋" w:hAnsi="仿宋" w:eastAsia="仿宋" w:cs="宋体"/>
                <w:color w:val="auto"/>
                <w:kern w:val="0"/>
              </w:rPr>
              <w:t>3</w:t>
            </w:r>
          </w:p>
        </w:tc>
        <w:tc>
          <w:tcPr>
            <w:tcW w:w="996" w:type="dxa"/>
            <w:vAlign w:val="center"/>
          </w:tcPr>
          <w:p w14:paraId="5A9BEF72">
            <w:pPr>
              <w:widowControl/>
              <w:snapToGrid w:val="0"/>
              <w:jc w:val="center"/>
              <w:rPr>
                <w:rFonts w:hint="eastAsia" w:ascii="仿宋" w:hAnsi="仿宋" w:eastAsia="仿宋"/>
                <w:color w:val="auto"/>
              </w:rPr>
            </w:pPr>
            <w:r>
              <w:rPr>
                <w:rFonts w:hint="eastAsia" w:ascii="仿宋" w:hAnsi="仿宋" w:eastAsia="仿宋" w:cs="宋体"/>
                <w:color w:val="auto"/>
                <w:kern w:val="0"/>
              </w:rPr>
              <w:t>墙顶面</w:t>
            </w:r>
          </w:p>
        </w:tc>
        <w:tc>
          <w:tcPr>
            <w:tcW w:w="6650" w:type="dxa"/>
            <w:vAlign w:val="center"/>
          </w:tcPr>
          <w:p w14:paraId="783914FD">
            <w:pPr>
              <w:widowControl/>
              <w:snapToGrid w:val="0"/>
              <w:jc w:val="left"/>
              <w:rPr>
                <w:rFonts w:hint="eastAsia" w:ascii="仿宋" w:hAnsi="仿宋" w:eastAsia="仿宋"/>
                <w:color w:val="auto"/>
              </w:rPr>
            </w:pPr>
            <w:r>
              <w:rPr>
                <w:rFonts w:hint="eastAsia" w:ascii="仿宋" w:hAnsi="仿宋" w:eastAsia="仿宋"/>
                <w:color w:val="auto"/>
              </w:rPr>
              <w:t>基层处理，喷蓝箱及其他墙顶面漆，顶部吊顶（部分为矿棉板、部分为格栅）具体依据功能需求及设计要求。</w:t>
            </w:r>
          </w:p>
          <w:p w14:paraId="2FCE9325">
            <w:pPr>
              <w:snapToGrid w:val="0"/>
              <w:jc w:val="left"/>
              <w:rPr>
                <w:rFonts w:hint="eastAsia" w:ascii="仿宋" w:hAnsi="仿宋" w:eastAsia="仿宋"/>
                <w:color w:val="auto"/>
              </w:rPr>
            </w:pPr>
            <w:r>
              <w:rPr>
                <w:rFonts w:ascii="仿宋" w:hAnsi="仿宋" w:eastAsia="仿宋"/>
                <w:color w:val="auto"/>
              </w:rPr>
              <w:t>一、基层处理（墙顶面通用）</w:t>
            </w:r>
            <w:r>
              <w:rPr>
                <w:rFonts w:ascii="仿宋" w:hAnsi="Cambria Math" w:eastAsia="仿宋" w:cs="Cambria Math"/>
                <w:color w:val="auto"/>
              </w:rPr>
              <w:t>​</w:t>
            </w:r>
          </w:p>
          <w:p w14:paraId="74B602A9">
            <w:pPr>
              <w:snapToGrid w:val="0"/>
              <w:jc w:val="left"/>
              <w:rPr>
                <w:rFonts w:hint="eastAsia" w:ascii="仿宋" w:hAnsi="仿宋" w:eastAsia="仿宋"/>
                <w:color w:val="auto"/>
              </w:rPr>
            </w:pPr>
            <w:r>
              <w:rPr>
                <w:rFonts w:ascii="仿宋" w:hAnsi="仿宋" w:eastAsia="仿宋"/>
                <w:color w:val="auto"/>
              </w:rPr>
              <w:t>处理范围：所有墙面、顶面基层，含蓝箱区域、普通装饰区域、吊顶基层</w:t>
            </w:r>
            <w:r>
              <w:rPr>
                <w:rFonts w:ascii="仿宋" w:hAnsi="Cambria Math" w:eastAsia="仿宋" w:cs="Cambria Math"/>
                <w:color w:val="auto"/>
              </w:rPr>
              <w:t>​</w:t>
            </w:r>
          </w:p>
          <w:p w14:paraId="4BC2731A">
            <w:pPr>
              <w:snapToGrid w:val="0"/>
              <w:jc w:val="left"/>
              <w:rPr>
                <w:rFonts w:hint="eastAsia" w:ascii="仿宋" w:hAnsi="仿宋" w:eastAsia="仿宋"/>
                <w:color w:val="auto"/>
              </w:rPr>
            </w:pPr>
            <w:r>
              <w:rPr>
                <w:rFonts w:ascii="仿宋" w:hAnsi="仿宋" w:eastAsia="仿宋"/>
                <w:color w:val="auto"/>
              </w:rPr>
              <w:t>基层要求：</w:t>
            </w:r>
            <w:r>
              <w:rPr>
                <w:rFonts w:ascii="仿宋" w:hAnsi="Cambria Math" w:eastAsia="仿宋" w:cs="Cambria Math"/>
                <w:color w:val="auto"/>
              </w:rPr>
              <w:t>​</w:t>
            </w:r>
          </w:p>
          <w:p w14:paraId="63B8A2D9">
            <w:pPr>
              <w:snapToGrid w:val="0"/>
              <w:jc w:val="left"/>
              <w:rPr>
                <w:rFonts w:hint="eastAsia" w:ascii="仿宋" w:hAnsi="仿宋" w:eastAsia="仿宋"/>
                <w:color w:val="auto"/>
              </w:rPr>
            </w:pPr>
            <w:r>
              <w:rPr>
                <w:rFonts w:ascii="仿宋" w:hAnsi="仿宋" w:eastAsia="仿宋"/>
                <w:color w:val="auto"/>
              </w:rPr>
              <w:t>墙面：原基层铲除浮灰、油污、松动层，修补裂缝、孔洞（采用耐水腻子 + 网格布加固），平整度误差≤3mm/2m</w:t>
            </w:r>
            <w:r>
              <w:rPr>
                <w:rFonts w:ascii="仿宋" w:hAnsi="Cambria Math" w:eastAsia="仿宋" w:cs="Cambria Math"/>
                <w:color w:val="auto"/>
              </w:rPr>
              <w:t>​</w:t>
            </w:r>
          </w:p>
          <w:p w14:paraId="145E27A1">
            <w:pPr>
              <w:snapToGrid w:val="0"/>
              <w:jc w:val="left"/>
              <w:rPr>
                <w:rFonts w:hint="eastAsia" w:ascii="仿宋" w:hAnsi="仿宋" w:eastAsia="仿宋"/>
                <w:color w:val="auto"/>
              </w:rPr>
            </w:pPr>
            <w:r>
              <w:rPr>
                <w:rFonts w:ascii="仿宋" w:hAnsi="仿宋" w:eastAsia="仿宋"/>
                <w:color w:val="auto"/>
              </w:rPr>
              <w:t>顶面：楼板基层除尘、除碱，阴阳角找直，外露管线固定牢固、无松动</w:t>
            </w:r>
            <w:r>
              <w:rPr>
                <w:rFonts w:ascii="仿宋" w:hAnsi="Cambria Math" w:eastAsia="仿宋" w:cs="Cambria Math"/>
                <w:color w:val="auto"/>
              </w:rPr>
              <w:t>​</w:t>
            </w:r>
          </w:p>
          <w:p w14:paraId="42ABF8EC">
            <w:pPr>
              <w:snapToGrid w:val="0"/>
              <w:jc w:val="left"/>
              <w:rPr>
                <w:rFonts w:hint="eastAsia" w:ascii="仿宋" w:hAnsi="仿宋" w:eastAsia="仿宋"/>
                <w:color w:val="auto"/>
              </w:rPr>
            </w:pPr>
            <w:r>
              <w:rPr>
                <w:rFonts w:ascii="仿宋" w:hAnsi="仿宋" w:eastAsia="仿宋"/>
                <w:color w:val="auto"/>
              </w:rPr>
              <w:t>二、喷蓝箱及其他墙顶面漆</w:t>
            </w:r>
            <w:r>
              <w:rPr>
                <w:rFonts w:ascii="仿宋" w:hAnsi="Cambria Math" w:eastAsia="仿宋" w:cs="Cambria Math"/>
                <w:color w:val="auto"/>
              </w:rPr>
              <w:t>​</w:t>
            </w:r>
          </w:p>
          <w:p w14:paraId="56630418">
            <w:pPr>
              <w:snapToGrid w:val="0"/>
              <w:jc w:val="left"/>
              <w:rPr>
                <w:rFonts w:hint="eastAsia" w:ascii="仿宋" w:hAnsi="仿宋" w:eastAsia="仿宋"/>
                <w:color w:val="auto"/>
              </w:rPr>
            </w:pPr>
            <w:r>
              <w:rPr>
                <w:rFonts w:ascii="仿宋" w:hAnsi="仿宋" w:eastAsia="仿宋"/>
                <w:color w:val="auto"/>
              </w:rPr>
              <w:t>（一）蓝箱专用喷涂（录播核心区域）</w:t>
            </w:r>
            <w:r>
              <w:rPr>
                <w:rFonts w:ascii="仿宋" w:hAnsi="Cambria Math" w:eastAsia="仿宋" w:cs="Cambria Math"/>
                <w:color w:val="auto"/>
              </w:rPr>
              <w:t>​</w:t>
            </w:r>
          </w:p>
          <w:p w14:paraId="25DA56F4">
            <w:pPr>
              <w:snapToGrid w:val="0"/>
              <w:jc w:val="left"/>
              <w:rPr>
                <w:rFonts w:hint="eastAsia" w:ascii="仿宋" w:hAnsi="仿宋" w:eastAsia="仿宋"/>
                <w:color w:val="auto"/>
              </w:rPr>
            </w:pPr>
            <w:r>
              <w:rPr>
                <w:rFonts w:ascii="仿宋" w:hAnsi="仿宋" w:eastAsia="仿宋"/>
                <w:color w:val="auto"/>
              </w:rPr>
              <w:t>蓝箱材质：</w:t>
            </w:r>
            <w:r>
              <w:rPr>
                <w:rFonts w:ascii="仿宋" w:hAnsi="Cambria Math" w:eastAsia="仿宋" w:cs="Cambria Math"/>
                <w:color w:val="auto"/>
              </w:rPr>
              <w:t>​</w:t>
            </w:r>
          </w:p>
          <w:p w14:paraId="208CCE32">
            <w:pPr>
              <w:snapToGrid w:val="0"/>
              <w:jc w:val="left"/>
              <w:rPr>
                <w:rFonts w:hint="eastAsia" w:ascii="仿宋" w:hAnsi="仿宋" w:eastAsia="仿宋"/>
                <w:color w:val="auto"/>
              </w:rPr>
            </w:pPr>
            <w:r>
              <w:rPr>
                <w:rFonts w:ascii="仿宋" w:hAnsi="仿宋" w:eastAsia="仿宋"/>
                <w:color w:val="auto"/>
              </w:rPr>
              <w:t>基材：墙面基层 + 2 遍耐水腻子找平，蓝箱转角处采用圆弧处理（半径≥50mm），无直角接缝</w:t>
            </w:r>
            <w:r>
              <w:rPr>
                <w:rFonts w:ascii="仿宋" w:hAnsi="Cambria Math" w:eastAsia="仿宋" w:cs="Cambria Math"/>
                <w:color w:val="auto"/>
              </w:rPr>
              <w:t>​</w:t>
            </w:r>
          </w:p>
          <w:p w14:paraId="248A566E">
            <w:pPr>
              <w:snapToGrid w:val="0"/>
              <w:jc w:val="left"/>
              <w:rPr>
                <w:rFonts w:hint="eastAsia" w:ascii="仿宋" w:hAnsi="仿宋" w:eastAsia="仿宋"/>
                <w:color w:val="auto"/>
              </w:rPr>
            </w:pPr>
            <w:r>
              <w:rPr>
                <w:rFonts w:ascii="仿宋" w:hAnsi="仿宋" w:eastAsia="仿宋"/>
                <w:color w:val="auto"/>
              </w:rPr>
              <w:t>涂料：高纯度抠像专用漆，哑光型、无反光</w:t>
            </w:r>
            <w:r>
              <w:rPr>
                <w:rFonts w:ascii="仿宋" w:hAnsi="Cambria Math" w:eastAsia="仿宋" w:cs="Cambria Math"/>
                <w:color w:val="auto"/>
              </w:rPr>
              <w:t>​</w:t>
            </w:r>
          </w:p>
          <w:p w14:paraId="013B69FA">
            <w:pPr>
              <w:snapToGrid w:val="0"/>
              <w:jc w:val="left"/>
              <w:rPr>
                <w:rFonts w:hint="eastAsia" w:ascii="仿宋" w:hAnsi="仿宋" w:eastAsia="仿宋"/>
                <w:color w:val="auto"/>
              </w:rPr>
            </w:pPr>
            <w:r>
              <w:rPr>
                <w:rFonts w:ascii="仿宋" w:hAnsi="仿宋" w:eastAsia="仿宋"/>
                <w:color w:val="auto"/>
              </w:rPr>
              <w:t>喷涂工艺：</w:t>
            </w:r>
            <w:r>
              <w:rPr>
                <w:rFonts w:ascii="仿宋" w:hAnsi="Cambria Math" w:eastAsia="仿宋" w:cs="Cambria Math"/>
                <w:color w:val="auto"/>
              </w:rPr>
              <w:t>​</w:t>
            </w:r>
          </w:p>
          <w:p w14:paraId="3ABB360B">
            <w:pPr>
              <w:snapToGrid w:val="0"/>
              <w:jc w:val="left"/>
              <w:rPr>
                <w:rFonts w:hint="eastAsia" w:ascii="仿宋" w:hAnsi="仿宋" w:eastAsia="仿宋"/>
                <w:color w:val="auto"/>
              </w:rPr>
            </w:pPr>
            <w:r>
              <w:rPr>
                <w:rFonts w:ascii="仿宋" w:hAnsi="仿宋" w:eastAsia="仿宋"/>
                <w:color w:val="auto"/>
              </w:rPr>
              <w:t>底漆：涂刷 1 遍专用抗碱封闭底漆，增强面漆附着力</w:t>
            </w:r>
            <w:r>
              <w:rPr>
                <w:rFonts w:ascii="仿宋" w:hAnsi="Cambria Math" w:eastAsia="仿宋" w:cs="Cambria Math"/>
                <w:color w:val="auto"/>
              </w:rPr>
              <w:t>​</w:t>
            </w:r>
          </w:p>
          <w:p w14:paraId="7B87B519">
            <w:pPr>
              <w:snapToGrid w:val="0"/>
              <w:jc w:val="left"/>
              <w:rPr>
                <w:rFonts w:hint="eastAsia" w:ascii="仿宋" w:hAnsi="仿宋" w:eastAsia="仿宋"/>
                <w:color w:val="auto"/>
              </w:rPr>
            </w:pPr>
            <w:r>
              <w:rPr>
                <w:rFonts w:ascii="仿宋" w:hAnsi="仿宋" w:eastAsia="仿宋"/>
                <w:color w:val="auto"/>
              </w:rPr>
              <w:t>面漆：喷涂 2-3 遍抠像蓝专用漆，薄涂多遍，无流挂、无刷痕，蓝箱区域与普通墙面交界处做清晰收边</w:t>
            </w:r>
            <w:r>
              <w:rPr>
                <w:rFonts w:ascii="仿宋" w:hAnsi="Cambria Math" w:eastAsia="仿宋" w:cs="Cambria Math"/>
                <w:color w:val="auto"/>
              </w:rPr>
              <w:t>​</w:t>
            </w:r>
          </w:p>
          <w:p w14:paraId="0B5A36FB">
            <w:pPr>
              <w:snapToGrid w:val="0"/>
              <w:jc w:val="left"/>
              <w:rPr>
                <w:rFonts w:hint="eastAsia" w:ascii="仿宋" w:hAnsi="仿宋" w:eastAsia="仿宋"/>
                <w:color w:val="auto"/>
              </w:rPr>
            </w:pPr>
            <w:r>
              <w:rPr>
                <w:rFonts w:ascii="仿宋" w:hAnsi="仿宋" w:eastAsia="仿宋"/>
                <w:color w:val="auto"/>
              </w:rPr>
              <w:t>（二）普通墙顶面漆（非蓝箱区域）</w:t>
            </w:r>
            <w:r>
              <w:rPr>
                <w:rFonts w:ascii="仿宋" w:hAnsi="Cambria Math" w:eastAsia="仿宋" w:cs="Cambria Math"/>
                <w:color w:val="auto"/>
              </w:rPr>
              <w:t>​</w:t>
            </w:r>
          </w:p>
          <w:p w14:paraId="65C464CA">
            <w:pPr>
              <w:snapToGrid w:val="0"/>
              <w:jc w:val="left"/>
              <w:rPr>
                <w:rFonts w:hint="eastAsia" w:ascii="仿宋" w:hAnsi="仿宋" w:eastAsia="仿宋"/>
                <w:color w:val="auto"/>
              </w:rPr>
            </w:pPr>
            <w:r>
              <w:rPr>
                <w:rFonts w:ascii="仿宋" w:hAnsi="仿宋" w:eastAsia="仿宋"/>
                <w:color w:val="auto"/>
              </w:rPr>
              <w:t>涂料类型：</w:t>
            </w:r>
            <w:r>
              <w:rPr>
                <w:rFonts w:ascii="仿宋" w:hAnsi="Cambria Math" w:eastAsia="仿宋" w:cs="Cambria Math"/>
                <w:color w:val="auto"/>
              </w:rPr>
              <w:t>​</w:t>
            </w:r>
          </w:p>
          <w:p w14:paraId="2F00CBEB">
            <w:pPr>
              <w:snapToGrid w:val="0"/>
              <w:jc w:val="left"/>
              <w:rPr>
                <w:rFonts w:hint="eastAsia" w:ascii="仿宋" w:hAnsi="仿宋" w:eastAsia="仿宋"/>
                <w:color w:val="auto"/>
              </w:rPr>
            </w:pPr>
            <w:r>
              <w:rPr>
                <w:rFonts w:ascii="仿宋" w:hAnsi="仿宋" w:eastAsia="仿宋"/>
                <w:color w:val="auto"/>
              </w:rPr>
              <w:t>墙面：环保内墙乳胶漆（哑光型），颜色按设计要求（建议浅色系，避免强光反射</w:t>
            </w:r>
          </w:p>
          <w:p w14:paraId="3A82C594">
            <w:pPr>
              <w:snapToGrid w:val="0"/>
              <w:jc w:val="left"/>
              <w:rPr>
                <w:rFonts w:hint="eastAsia" w:ascii="仿宋" w:hAnsi="仿宋" w:eastAsia="仿宋"/>
                <w:color w:val="auto"/>
              </w:rPr>
            </w:pPr>
            <w:r>
              <w:rPr>
                <w:rFonts w:ascii="仿宋" w:hAnsi="仿宋" w:eastAsia="仿宋"/>
                <w:color w:val="auto"/>
              </w:rPr>
              <w:t>顶面：同墙面涂料或配套吊顶专用漆</w:t>
            </w:r>
          </w:p>
          <w:p w14:paraId="7D5D2D5F">
            <w:pPr>
              <w:snapToGrid w:val="0"/>
              <w:jc w:val="left"/>
              <w:rPr>
                <w:rFonts w:hint="eastAsia" w:ascii="仿宋" w:hAnsi="仿宋" w:eastAsia="仿宋"/>
                <w:color w:val="auto"/>
              </w:rPr>
            </w:pPr>
            <w:r>
              <w:rPr>
                <w:rFonts w:ascii="仿宋" w:hAnsi="仿宋" w:eastAsia="仿宋"/>
                <w:color w:val="auto"/>
              </w:rPr>
              <w:t>涂料性能：</w:t>
            </w:r>
            <w:r>
              <w:rPr>
                <w:rFonts w:ascii="仿宋" w:hAnsi="Cambria Math" w:eastAsia="仿宋" w:cs="Cambria Math"/>
                <w:color w:val="auto"/>
              </w:rPr>
              <w:t>​</w:t>
            </w:r>
            <w:r>
              <w:rPr>
                <w:rFonts w:ascii="仿宋" w:hAnsi="仿宋" w:eastAsia="仿宋"/>
                <w:color w:val="auto"/>
              </w:rPr>
              <w:t>环保等级：E0 级，甲醛释放量≤0.124mg/m</w:t>
            </w:r>
            <w:r>
              <w:rPr>
                <w:rFonts w:ascii="仿宋" w:hAnsi="Calibri" w:eastAsia="仿宋" w:cs="Calibri"/>
                <w:color w:val="auto"/>
              </w:rPr>
              <w:t>³</w:t>
            </w:r>
            <w:r>
              <w:rPr>
                <w:rFonts w:ascii="仿宋" w:hAnsi="仿宋" w:eastAsia="仿宋"/>
                <w:color w:val="auto"/>
              </w:rPr>
              <w:t>，VOC 含量≤50g/L</w:t>
            </w:r>
            <w:r>
              <w:rPr>
                <w:rFonts w:ascii="仿宋" w:hAnsi="Cambria Math" w:eastAsia="仿宋" w:cs="Cambria Math"/>
                <w:color w:val="auto"/>
              </w:rPr>
              <w:t>​</w:t>
            </w:r>
          </w:p>
          <w:p w14:paraId="70505FAB">
            <w:pPr>
              <w:snapToGrid w:val="0"/>
              <w:jc w:val="left"/>
              <w:rPr>
                <w:rFonts w:hint="eastAsia" w:ascii="仿宋" w:hAnsi="仿宋" w:eastAsia="仿宋"/>
                <w:color w:val="auto"/>
              </w:rPr>
            </w:pPr>
            <w:r>
              <w:rPr>
                <w:rFonts w:ascii="仿宋" w:hAnsi="仿宋" w:eastAsia="仿宋"/>
                <w:color w:val="auto"/>
              </w:rPr>
              <w:t>施工工艺：</w:t>
            </w:r>
            <w:r>
              <w:rPr>
                <w:rFonts w:ascii="仿宋" w:hAnsi="Cambria Math" w:eastAsia="仿宋" w:cs="Cambria Math"/>
                <w:color w:val="auto"/>
              </w:rPr>
              <w:t>​</w:t>
            </w:r>
            <w:r>
              <w:rPr>
                <w:rFonts w:ascii="仿宋" w:hAnsi="仿宋" w:eastAsia="仿宋"/>
                <w:color w:val="auto"/>
              </w:rPr>
              <w:t>底漆：1 遍抗碱封闭底漆，涂刷均匀无遗漏</w:t>
            </w:r>
            <w:r>
              <w:rPr>
                <w:rFonts w:ascii="仿宋" w:hAnsi="Cambria Math" w:eastAsia="仿宋" w:cs="Cambria Math"/>
                <w:color w:val="auto"/>
              </w:rPr>
              <w:t>​</w:t>
            </w:r>
            <w:r>
              <w:rPr>
                <w:rFonts w:ascii="仿宋" w:hAnsi="仿宋" w:eastAsia="仿宋"/>
                <w:color w:val="auto"/>
              </w:rPr>
              <w:t>面漆：2 遍面漆，滚涂 / 喷涂施工，无流挂、无气泡、无色差</w:t>
            </w:r>
            <w:r>
              <w:rPr>
                <w:rFonts w:ascii="仿宋" w:hAnsi="Cambria Math" w:eastAsia="仿宋" w:cs="Cambria Math"/>
                <w:color w:val="auto"/>
              </w:rPr>
              <w:t>​</w:t>
            </w:r>
          </w:p>
          <w:p w14:paraId="346C65A9">
            <w:pPr>
              <w:snapToGrid w:val="0"/>
              <w:jc w:val="left"/>
              <w:rPr>
                <w:rFonts w:hint="eastAsia" w:ascii="仿宋" w:hAnsi="仿宋" w:eastAsia="仿宋"/>
                <w:color w:val="auto"/>
              </w:rPr>
            </w:pPr>
            <w:r>
              <w:rPr>
                <w:rFonts w:ascii="仿宋" w:hAnsi="仿宋" w:eastAsia="仿宋"/>
                <w:color w:val="auto"/>
              </w:rPr>
              <w:t>三、顶部吊顶（矿棉板 + 格栅分区定制）</w:t>
            </w:r>
            <w:r>
              <w:rPr>
                <w:rFonts w:ascii="仿宋" w:hAnsi="Cambria Math" w:eastAsia="仿宋" w:cs="Cambria Math"/>
                <w:color w:val="auto"/>
              </w:rPr>
              <w:t>​</w:t>
            </w:r>
          </w:p>
          <w:p w14:paraId="63F435FF">
            <w:pPr>
              <w:snapToGrid w:val="0"/>
              <w:jc w:val="left"/>
              <w:rPr>
                <w:rFonts w:hint="eastAsia" w:ascii="仿宋" w:hAnsi="仿宋" w:eastAsia="仿宋"/>
                <w:color w:val="auto"/>
              </w:rPr>
            </w:pPr>
            <w:r>
              <w:rPr>
                <w:rFonts w:hint="eastAsia" w:ascii="仿宋" w:hAnsi="仿宋" w:eastAsia="仿宋"/>
                <w:color w:val="auto"/>
              </w:rPr>
              <w:t>（</w:t>
            </w:r>
            <w:r>
              <w:rPr>
                <w:rFonts w:ascii="仿宋" w:hAnsi="仿宋" w:eastAsia="仿宋"/>
                <w:color w:val="auto"/>
              </w:rPr>
              <w:t>一）吊顶整体要求</w:t>
            </w:r>
            <w:r>
              <w:rPr>
                <w:rFonts w:ascii="仿宋" w:hAnsi="Cambria Math" w:eastAsia="仿宋" w:cs="Cambria Math"/>
                <w:color w:val="auto"/>
              </w:rPr>
              <w:t>​​</w:t>
            </w:r>
          </w:p>
          <w:p w14:paraId="08EFA76F">
            <w:pPr>
              <w:snapToGrid w:val="0"/>
              <w:jc w:val="left"/>
              <w:rPr>
                <w:rFonts w:hint="eastAsia" w:ascii="仿宋" w:hAnsi="仿宋" w:eastAsia="仿宋"/>
                <w:color w:val="auto"/>
              </w:rPr>
            </w:pPr>
            <w:r>
              <w:rPr>
                <w:rFonts w:ascii="仿宋" w:hAnsi="仿宋" w:eastAsia="仿宋"/>
                <w:color w:val="auto"/>
              </w:rPr>
              <w:t>龙骨：轻钢龙骨（主龙骨规格≥U50×19×1.2mm，副龙骨≥U38×12×0.9mm），防锈处理，符合 GB/T 11981-2008 标准</w:t>
            </w:r>
            <w:r>
              <w:rPr>
                <w:rFonts w:ascii="仿宋" w:hAnsi="Cambria Math" w:eastAsia="仿宋" w:cs="Cambria Math"/>
                <w:color w:val="auto"/>
              </w:rPr>
              <w:t>​</w:t>
            </w:r>
          </w:p>
          <w:p w14:paraId="3FF5A901">
            <w:pPr>
              <w:snapToGrid w:val="0"/>
              <w:jc w:val="left"/>
              <w:rPr>
                <w:rFonts w:hint="eastAsia" w:ascii="仿宋" w:hAnsi="仿宋" w:eastAsia="仿宋"/>
                <w:color w:val="auto"/>
              </w:rPr>
            </w:pPr>
            <w:r>
              <w:rPr>
                <w:rFonts w:ascii="仿宋" w:hAnsi="仿宋" w:eastAsia="仿宋"/>
                <w:color w:val="auto"/>
              </w:rPr>
              <w:t>承重：主龙骨间距≤1200mm，副龙骨间距≤600mm，吊顶整体承重≥25kg/㎡（可承载灯具、空调风口、音响等设备）</w:t>
            </w:r>
            <w:r>
              <w:rPr>
                <w:rFonts w:ascii="仿宋" w:hAnsi="Cambria Math" w:eastAsia="仿宋" w:cs="Cambria Math"/>
                <w:color w:val="auto"/>
              </w:rPr>
              <w:t>​</w:t>
            </w:r>
          </w:p>
          <w:p w14:paraId="58CB0C3D">
            <w:pPr>
              <w:snapToGrid w:val="0"/>
              <w:jc w:val="left"/>
              <w:rPr>
                <w:rFonts w:hint="eastAsia" w:ascii="仿宋" w:hAnsi="仿宋" w:eastAsia="仿宋"/>
                <w:color w:val="auto"/>
              </w:rPr>
            </w:pPr>
            <w:r>
              <w:rPr>
                <w:rFonts w:hint="eastAsia" w:ascii="仿宋" w:hAnsi="仿宋" w:eastAsia="仿宋"/>
                <w:color w:val="auto"/>
              </w:rPr>
              <w:t>（</w:t>
            </w:r>
            <w:r>
              <w:rPr>
                <w:rFonts w:ascii="仿宋" w:hAnsi="仿宋" w:eastAsia="仿宋"/>
                <w:color w:val="auto"/>
              </w:rPr>
              <w:t>二）矿棉板吊顶（静音 / 吸音功能区）</w:t>
            </w:r>
            <w:r>
              <w:rPr>
                <w:rFonts w:ascii="仿宋" w:hAnsi="Cambria Math" w:eastAsia="仿宋" w:cs="Cambria Math"/>
                <w:color w:val="auto"/>
              </w:rPr>
              <w:t>​</w:t>
            </w:r>
          </w:p>
          <w:p w14:paraId="58A9C4CE">
            <w:pPr>
              <w:snapToGrid w:val="0"/>
              <w:jc w:val="left"/>
              <w:rPr>
                <w:rFonts w:hint="eastAsia" w:ascii="仿宋" w:hAnsi="仿宋" w:eastAsia="仿宋"/>
                <w:color w:val="auto"/>
              </w:rPr>
            </w:pPr>
            <w:r>
              <w:rPr>
                <w:rFonts w:ascii="仿宋" w:hAnsi="仿宋" w:eastAsia="仿宋"/>
                <w:color w:val="auto"/>
              </w:rPr>
              <w:t>矿棉板参数：</w:t>
            </w:r>
            <w:r>
              <w:rPr>
                <w:rFonts w:ascii="仿宋" w:hAnsi="Cambria Math" w:eastAsia="仿宋" w:cs="Cambria Math"/>
                <w:color w:val="auto"/>
              </w:rPr>
              <w:t>​</w:t>
            </w:r>
          </w:p>
          <w:p w14:paraId="6E1D1D50">
            <w:pPr>
              <w:snapToGrid w:val="0"/>
              <w:jc w:val="left"/>
              <w:rPr>
                <w:rFonts w:hint="eastAsia" w:ascii="仿宋" w:hAnsi="仿宋" w:eastAsia="仿宋"/>
                <w:color w:val="auto"/>
              </w:rPr>
            </w:pPr>
            <w:r>
              <w:rPr>
                <w:rFonts w:ascii="仿宋" w:hAnsi="仿宋" w:eastAsia="仿宋"/>
                <w:color w:val="auto"/>
              </w:rPr>
              <w:t>材质：优质吸音矿棉板，无甲醛、防火阻燃</w:t>
            </w:r>
            <w:r>
              <w:rPr>
                <w:rFonts w:ascii="仿宋" w:hAnsi="Cambria Math" w:eastAsia="仿宋" w:cs="Cambria Math"/>
                <w:color w:val="auto"/>
              </w:rPr>
              <w:t>​</w:t>
            </w:r>
          </w:p>
          <w:p w14:paraId="7B7AE151">
            <w:pPr>
              <w:snapToGrid w:val="0"/>
              <w:jc w:val="left"/>
              <w:rPr>
                <w:rFonts w:hint="eastAsia" w:ascii="仿宋" w:hAnsi="仿宋" w:eastAsia="仿宋"/>
                <w:color w:val="auto"/>
              </w:rPr>
            </w:pPr>
            <w:r>
              <w:rPr>
                <w:rFonts w:ascii="仿宋" w:hAnsi="仿宋" w:eastAsia="仿宋"/>
                <w:color w:val="auto"/>
              </w:rPr>
              <w:t>规格：常规 600×600mm，厚度</w:t>
            </w:r>
            <w:r>
              <w:rPr>
                <w:rFonts w:hint="eastAsia" w:ascii="仿宋" w:hAnsi="仿宋" w:eastAsia="仿宋"/>
                <w:color w:val="auto"/>
              </w:rPr>
              <w:t>≥12</w:t>
            </w:r>
            <w:r>
              <w:rPr>
                <w:rFonts w:ascii="仿宋" w:hAnsi="仿宋" w:eastAsia="仿宋"/>
                <w:color w:val="auto"/>
              </w:rPr>
              <w:t>mm</w:t>
            </w:r>
            <w:r>
              <w:rPr>
                <w:rFonts w:ascii="仿宋" w:hAnsi="Cambria Math" w:eastAsia="仿宋" w:cs="Cambria Math"/>
                <w:color w:val="auto"/>
              </w:rPr>
              <w:t>​</w:t>
            </w:r>
          </w:p>
          <w:p w14:paraId="244D5D8D">
            <w:pPr>
              <w:snapToGrid w:val="0"/>
              <w:jc w:val="left"/>
              <w:rPr>
                <w:rFonts w:hint="eastAsia" w:ascii="仿宋" w:hAnsi="仿宋" w:eastAsia="仿宋"/>
                <w:color w:val="auto"/>
              </w:rPr>
            </w:pPr>
            <w:r>
              <w:rPr>
                <w:rFonts w:ascii="仿宋" w:hAnsi="仿宋" w:eastAsia="仿宋"/>
                <w:color w:val="auto"/>
              </w:rPr>
              <w:t>性能：降噪系数 NRC≥0.6，防火等级 B1 级，防潮、防下陷</w:t>
            </w:r>
            <w:r>
              <w:rPr>
                <w:rFonts w:ascii="仿宋" w:hAnsi="Cambria Math" w:eastAsia="仿宋" w:cs="Cambria Math"/>
                <w:color w:val="auto"/>
              </w:rPr>
              <w:t>​​</w:t>
            </w:r>
          </w:p>
          <w:p w14:paraId="02086A1C">
            <w:pPr>
              <w:snapToGrid w:val="0"/>
              <w:jc w:val="left"/>
              <w:rPr>
                <w:rFonts w:hint="eastAsia" w:ascii="仿宋" w:hAnsi="仿宋" w:eastAsia="仿宋"/>
                <w:color w:val="auto"/>
              </w:rPr>
            </w:pPr>
            <w:r>
              <w:rPr>
                <w:rFonts w:ascii="仿宋" w:hAnsi="仿宋" w:eastAsia="仿宋"/>
                <w:color w:val="auto"/>
              </w:rPr>
              <w:t>（三）格栅吊顶（装饰 / 设备外露区）</w:t>
            </w:r>
            <w:r>
              <w:rPr>
                <w:rFonts w:ascii="仿宋" w:hAnsi="Cambria Math" w:eastAsia="仿宋" w:cs="Cambria Math"/>
                <w:color w:val="auto"/>
              </w:rPr>
              <w:t>​​</w:t>
            </w:r>
          </w:p>
          <w:p w14:paraId="7A160FC9">
            <w:pPr>
              <w:snapToGrid w:val="0"/>
              <w:jc w:val="left"/>
              <w:rPr>
                <w:rFonts w:hint="eastAsia" w:ascii="仿宋" w:hAnsi="仿宋" w:eastAsia="仿宋"/>
                <w:color w:val="auto"/>
              </w:rPr>
            </w:pPr>
            <w:r>
              <w:rPr>
                <w:rFonts w:ascii="仿宋" w:hAnsi="仿宋" w:eastAsia="仿宋"/>
                <w:color w:val="auto"/>
              </w:rPr>
              <w:t>格栅参数：</w:t>
            </w:r>
            <w:r>
              <w:rPr>
                <w:rFonts w:ascii="仿宋" w:hAnsi="Cambria Math" w:eastAsia="仿宋" w:cs="Cambria Math"/>
                <w:color w:val="auto"/>
              </w:rPr>
              <w:t>​</w:t>
            </w:r>
          </w:p>
          <w:p w14:paraId="06AE9EB3">
            <w:pPr>
              <w:snapToGrid w:val="0"/>
              <w:jc w:val="left"/>
              <w:rPr>
                <w:rFonts w:hint="eastAsia" w:ascii="仿宋" w:hAnsi="仿宋" w:eastAsia="仿宋"/>
                <w:color w:val="auto"/>
              </w:rPr>
            </w:pPr>
            <w:r>
              <w:rPr>
                <w:rFonts w:ascii="仿宋" w:hAnsi="仿宋" w:eastAsia="仿宋"/>
                <w:color w:val="auto"/>
              </w:rPr>
              <w:t>材质：</w:t>
            </w:r>
            <w:r>
              <w:rPr>
                <w:rFonts w:hint="eastAsia" w:ascii="仿宋" w:hAnsi="仿宋" w:eastAsia="仿宋"/>
                <w:color w:val="auto"/>
              </w:rPr>
              <w:t>金属</w:t>
            </w:r>
            <w:r>
              <w:rPr>
                <w:rFonts w:ascii="仿宋" w:hAnsi="仿宋" w:eastAsia="仿宋"/>
                <w:color w:val="auto"/>
              </w:rPr>
              <w:t>格栅（阳极氧化 / 喷塑处理），防锈、耐腐蚀</w:t>
            </w:r>
            <w:r>
              <w:rPr>
                <w:rFonts w:ascii="仿宋" w:hAnsi="Cambria Math" w:eastAsia="仿宋" w:cs="Cambria Math"/>
                <w:color w:val="auto"/>
              </w:rPr>
              <w:t>​</w:t>
            </w:r>
          </w:p>
          <w:p w14:paraId="7E468DD7">
            <w:pPr>
              <w:snapToGrid w:val="0"/>
              <w:jc w:val="left"/>
              <w:rPr>
                <w:rFonts w:hint="eastAsia" w:ascii="仿宋" w:hAnsi="仿宋" w:eastAsia="仿宋"/>
                <w:color w:val="auto"/>
              </w:rPr>
            </w:pPr>
            <w:r>
              <w:rPr>
                <w:rFonts w:ascii="仿宋" w:hAnsi="仿宋" w:eastAsia="仿宋"/>
                <w:color w:val="auto"/>
              </w:rPr>
              <w:t>规格：格栅条宽度 20mm～30mm，间距 50mm～100mm（按设计），整体高度 80mm～150mm</w:t>
            </w:r>
            <w:r>
              <w:rPr>
                <w:rFonts w:ascii="仿宋" w:hAnsi="Cambria Math" w:eastAsia="仿宋" w:cs="Cambria Math"/>
                <w:color w:val="auto"/>
              </w:rPr>
              <w:t>​</w:t>
            </w:r>
          </w:p>
          <w:p w14:paraId="3F059F17">
            <w:pPr>
              <w:snapToGrid w:val="0"/>
              <w:jc w:val="left"/>
              <w:rPr>
                <w:rFonts w:hint="eastAsia" w:ascii="仿宋" w:hAnsi="仿宋" w:eastAsia="仿宋"/>
                <w:color w:val="auto"/>
              </w:rPr>
            </w:pPr>
            <w:r>
              <w:rPr>
                <w:rFonts w:ascii="仿宋" w:hAnsi="仿宋" w:eastAsia="仿宋"/>
                <w:color w:val="auto"/>
              </w:rPr>
              <w:t>表面：哑光处理（光泽度≤10°），无反光，颜色按设计（建议黑色 / 深灰色）</w:t>
            </w:r>
            <w:r>
              <w:rPr>
                <w:rFonts w:ascii="仿宋" w:hAnsi="Cambria Math" w:eastAsia="仿宋" w:cs="Cambria Math"/>
                <w:color w:val="auto"/>
              </w:rPr>
              <w:t>​</w:t>
            </w:r>
          </w:p>
          <w:p w14:paraId="4861FED0">
            <w:pPr>
              <w:snapToGrid w:val="0"/>
              <w:jc w:val="left"/>
              <w:rPr>
                <w:rFonts w:hint="eastAsia" w:ascii="仿宋" w:hAnsi="仿宋" w:eastAsia="仿宋"/>
                <w:color w:val="auto"/>
              </w:rPr>
            </w:pPr>
            <w:r>
              <w:rPr>
                <w:rFonts w:ascii="仿宋" w:hAnsi="仿宋" w:eastAsia="仿宋"/>
                <w:color w:val="auto"/>
              </w:rPr>
              <w:t>安装方式：龙骨吊装固定，格栅拼接严密，可拆卸便于设备检修</w:t>
            </w:r>
            <w:r>
              <w:rPr>
                <w:rFonts w:ascii="仿宋" w:hAnsi="Cambria Math" w:eastAsia="仿宋" w:cs="Cambria Math"/>
                <w:color w:val="auto"/>
              </w:rPr>
              <w:t>​</w:t>
            </w:r>
          </w:p>
        </w:tc>
        <w:tc>
          <w:tcPr>
            <w:tcW w:w="0" w:type="auto"/>
            <w:vAlign w:val="center"/>
          </w:tcPr>
          <w:p w14:paraId="3F61A359">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102</w:t>
            </w:r>
          </w:p>
        </w:tc>
        <w:tc>
          <w:tcPr>
            <w:tcW w:w="492" w:type="dxa"/>
            <w:vAlign w:val="center"/>
          </w:tcPr>
          <w:p w14:paraId="079128DE">
            <w:pPr>
              <w:widowControl/>
              <w:snapToGrid w:val="0"/>
              <w:jc w:val="center"/>
              <w:rPr>
                <w:rFonts w:hint="eastAsia" w:ascii="仿宋" w:hAnsi="仿宋" w:eastAsia="仿宋" w:cs="Calibri"/>
                <w:color w:val="auto"/>
                <w:kern w:val="0"/>
              </w:rPr>
            </w:pPr>
            <w:r>
              <w:rPr>
                <w:rFonts w:hint="eastAsia" w:ascii="仿宋" w:hAnsi="仿宋" w:eastAsia="仿宋"/>
                <w:color w:val="auto"/>
              </w:rPr>
              <w:t>平米</w:t>
            </w:r>
          </w:p>
        </w:tc>
      </w:tr>
      <w:tr w14:paraId="6160D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9C5DB6D">
            <w:pPr>
              <w:widowControl/>
              <w:snapToGrid w:val="0"/>
              <w:jc w:val="center"/>
              <w:rPr>
                <w:rFonts w:hint="eastAsia" w:ascii="仿宋" w:hAnsi="仿宋" w:eastAsia="仿宋"/>
                <w:color w:val="auto"/>
                <w:kern w:val="0"/>
              </w:rPr>
            </w:pPr>
            <w:r>
              <w:rPr>
                <w:rFonts w:hint="eastAsia" w:ascii="仿宋" w:hAnsi="仿宋" w:eastAsia="仿宋" w:cs="宋体"/>
                <w:color w:val="auto"/>
                <w:kern w:val="0"/>
              </w:rPr>
              <w:t>4</w:t>
            </w:r>
          </w:p>
        </w:tc>
        <w:tc>
          <w:tcPr>
            <w:tcW w:w="996" w:type="dxa"/>
            <w:vAlign w:val="center"/>
          </w:tcPr>
          <w:p w14:paraId="013A6728">
            <w:pPr>
              <w:widowControl/>
              <w:snapToGrid w:val="0"/>
              <w:jc w:val="center"/>
              <w:rPr>
                <w:rFonts w:hint="eastAsia" w:ascii="仿宋" w:hAnsi="仿宋" w:eastAsia="仿宋"/>
                <w:color w:val="auto"/>
              </w:rPr>
            </w:pPr>
            <w:r>
              <w:rPr>
                <w:rFonts w:hint="eastAsia" w:ascii="仿宋" w:hAnsi="仿宋" w:eastAsia="仿宋" w:cs="宋体"/>
                <w:color w:val="auto"/>
                <w:kern w:val="0"/>
              </w:rPr>
              <w:t>地面</w:t>
            </w:r>
          </w:p>
        </w:tc>
        <w:tc>
          <w:tcPr>
            <w:tcW w:w="6650" w:type="dxa"/>
            <w:vAlign w:val="center"/>
          </w:tcPr>
          <w:p w14:paraId="3BE230A8">
            <w:pPr>
              <w:widowControl/>
              <w:snapToGrid w:val="0"/>
              <w:jc w:val="left"/>
              <w:rPr>
                <w:rFonts w:hint="eastAsia" w:ascii="仿宋" w:hAnsi="仿宋" w:eastAsia="仿宋"/>
                <w:color w:val="auto"/>
              </w:rPr>
            </w:pPr>
            <w:r>
              <w:rPr>
                <w:rFonts w:hint="eastAsia" w:ascii="仿宋" w:hAnsi="仿宋" w:eastAsia="仿宋"/>
                <w:color w:val="auto"/>
              </w:rPr>
              <w:t>一、</w:t>
            </w:r>
            <w:r>
              <w:rPr>
                <w:rFonts w:ascii="仿宋" w:hAnsi="仿宋" w:eastAsia="仿宋"/>
                <w:color w:val="auto"/>
              </w:rPr>
              <w:t>整体要求</w:t>
            </w:r>
          </w:p>
          <w:p w14:paraId="4A522289">
            <w:pPr>
              <w:widowControl/>
              <w:snapToGrid w:val="0"/>
              <w:jc w:val="left"/>
              <w:rPr>
                <w:rFonts w:hint="eastAsia" w:ascii="仿宋" w:hAnsi="仿宋" w:eastAsia="仿宋"/>
                <w:color w:val="auto"/>
              </w:rPr>
            </w:pPr>
            <w:r>
              <w:rPr>
                <w:rFonts w:hint="eastAsia" w:ascii="仿宋" w:hAnsi="仿宋" w:eastAsia="仿宋"/>
                <w:color w:val="auto"/>
              </w:rPr>
              <w:t>1.</w:t>
            </w:r>
            <w:r>
              <w:rPr>
                <w:rFonts w:ascii="仿宋" w:hAnsi="仿宋" w:eastAsia="仿宋"/>
                <w:color w:val="auto"/>
              </w:rPr>
              <w:t>地面基层处理、自流平水泥找平、塑胶地板铺设、踢脚线安装，整体一体化施工。</w:t>
            </w:r>
          </w:p>
          <w:p w14:paraId="29D9E5D6">
            <w:pPr>
              <w:widowControl/>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适用场景：录播教室、演播室、多媒体教室，要求平整、静音、耐磨、易清洁、无明显反光。</w:t>
            </w:r>
          </w:p>
          <w:p w14:paraId="50189AB1">
            <w:pPr>
              <w:widowControl/>
              <w:snapToGrid w:val="0"/>
              <w:jc w:val="left"/>
              <w:rPr>
                <w:rFonts w:hint="eastAsia" w:ascii="仿宋" w:hAnsi="仿宋" w:eastAsia="仿宋"/>
                <w:color w:val="auto"/>
              </w:rPr>
            </w:pPr>
            <w:r>
              <w:rPr>
                <w:rFonts w:hint="eastAsia" w:ascii="仿宋" w:hAnsi="仿宋" w:eastAsia="仿宋"/>
                <w:color w:val="auto"/>
              </w:rPr>
              <w:t>3.技术</w:t>
            </w:r>
            <w:r>
              <w:rPr>
                <w:rFonts w:ascii="仿宋" w:hAnsi="仿宋" w:eastAsia="仿宋"/>
                <w:color w:val="auto"/>
              </w:rPr>
              <w:t>标准：表面平整、无空鼓、无裂缝、无起砂，阴阳角顺直</w:t>
            </w:r>
          </w:p>
          <w:p w14:paraId="69D97901">
            <w:pPr>
              <w:widowControl/>
              <w:snapToGrid w:val="0"/>
              <w:jc w:val="left"/>
              <w:rPr>
                <w:rFonts w:hint="eastAsia" w:ascii="仿宋" w:hAnsi="仿宋" w:eastAsia="仿宋"/>
                <w:color w:val="auto"/>
              </w:rPr>
            </w:pPr>
            <w:r>
              <w:rPr>
                <w:rFonts w:ascii="仿宋" w:hAnsi="仿宋" w:eastAsia="仿宋"/>
                <w:color w:val="auto"/>
              </w:rPr>
              <w:t>二、基层处理与自流平水泥找平</w:t>
            </w:r>
          </w:p>
          <w:p w14:paraId="03C955C8">
            <w:pPr>
              <w:widowControl/>
              <w:snapToGrid w:val="0"/>
              <w:jc w:val="left"/>
              <w:rPr>
                <w:rFonts w:hint="eastAsia" w:ascii="仿宋" w:hAnsi="仿宋" w:eastAsia="仿宋"/>
                <w:color w:val="auto"/>
              </w:rPr>
            </w:pPr>
            <w:r>
              <w:rPr>
                <w:rFonts w:ascii="仿宋" w:hAnsi="仿宋" w:eastAsia="仿宋"/>
                <w:color w:val="auto"/>
              </w:rPr>
              <w:t>基层：原地面清理、除尘、修补，强度达标，无起砂、无油污、无松动。</w:t>
            </w:r>
          </w:p>
          <w:p w14:paraId="6A646278">
            <w:pPr>
              <w:widowControl/>
              <w:snapToGrid w:val="0"/>
              <w:jc w:val="left"/>
              <w:rPr>
                <w:rFonts w:hint="eastAsia" w:ascii="仿宋" w:hAnsi="仿宋" w:eastAsia="仿宋"/>
                <w:color w:val="auto"/>
              </w:rPr>
            </w:pPr>
            <w:r>
              <w:rPr>
                <w:rFonts w:ascii="仿宋" w:hAnsi="仿宋" w:eastAsia="仿宋"/>
                <w:color w:val="auto"/>
              </w:rPr>
              <w:t>界面剂：涂刷水泥基界面剂，增强自流平与基层粘结力。</w:t>
            </w:r>
          </w:p>
          <w:p w14:paraId="40FD0FD3">
            <w:pPr>
              <w:widowControl/>
              <w:snapToGrid w:val="0"/>
              <w:jc w:val="left"/>
              <w:rPr>
                <w:rFonts w:hint="eastAsia" w:ascii="仿宋" w:hAnsi="仿宋" w:eastAsia="仿宋"/>
                <w:color w:val="auto"/>
              </w:rPr>
            </w:pPr>
            <w:r>
              <w:rPr>
                <w:rFonts w:ascii="仿宋" w:hAnsi="仿宋" w:eastAsia="仿宋"/>
                <w:color w:val="auto"/>
              </w:rPr>
              <w:t>自流平</w:t>
            </w:r>
            <w:r>
              <w:rPr>
                <w:rFonts w:hint="eastAsia" w:ascii="仿宋" w:hAnsi="仿宋" w:eastAsia="仿宋"/>
                <w:color w:val="auto"/>
              </w:rPr>
              <w:t>要求：</w:t>
            </w:r>
            <w:r>
              <w:rPr>
                <w:rFonts w:ascii="仿宋" w:hAnsi="仿宋" w:eastAsia="仿宋"/>
                <w:color w:val="auto"/>
              </w:rPr>
              <w:t>厚度：3～5mm（根据现场平整度调整）</w:t>
            </w:r>
            <w:r>
              <w:rPr>
                <w:rFonts w:hint="eastAsia" w:ascii="仿宋" w:hAnsi="仿宋" w:eastAsia="仿宋"/>
                <w:color w:val="auto"/>
              </w:rPr>
              <w:t>；</w:t>
            </w:r>
            <w:r>
              <w:rPr>
                <w:rFonts w:ascii="仿宋" w:hAnsi="仿宋" w:eastAsia="仿宋"/>
                <w:color w:val="auto"/>
              </w:rPr>
              <w:t>性能：强度高、收缩小、不开裂、流动性好、表面细腻</w:t>
            </w:r>
            <w:r>
              <w:rPr>
                <w:rFonts w:hint="eastAsia" w:ascii="仿宋" w:hAnsi="仿宋" w:eastAsia="仿宋"/>
                <w:color w:val="auto"/>
              </w:rPr>
              <w:t>。</w:t>
            </w:r>
            <w:r>
              <w:rPr>
                <w:rFonts w:ascii="仿宋" w:hAnsi="仿宋" w:eastAsia="仿宋"/>
                <w:color w:val="auto"/>
              </w:rPr>
              <w:t>找平精度：2m 靠尺检测，平整度误差≤2mm，满足塑胶地板铺设要求。</w:t>
            </w:r>
          </w:p>
          <w:p w14:paraId="635E4890">
            <w:pPr>
              <w:widowControl/>
              <w:snapToGrid w:val="0"/>
              <w:jc w:val="left"/>
              <w:rPr>
                <w:rFonts w:hint="eastAsia" w:ascii="仿宋" w:hAnsi="仿宋" w:eastAsia="仿宋"/>
                <w:color w:val="auto"/>
              </w:rPr>
            </w:pPr>
            <w:r>
              <w:rPr>
                <w:rFonts w:hint="eastAsia" w:ascii="仿宋" w:hAnsi="仿宋" w:eastAsia="仿宋"/>
                <w:color w:val="auto"/>
              </w:rPr>
              <w:t>三</w:t>
            </w:r>
            <w:r>
              <w:rPr>
                <w:rFonts w:ascii="仿宋" w:hAnsi="仿宋" w:eastAsia="仿宋"/>
                <w:color w:val="auto"/>
              </w:rPr>
              <w:t>、塑胶地板（录播教室专用）</w:t>
            </w:r>
          </w:p>
          <w:p w14:paraId="494032FC">
            <w:pPr>
              <w:widowControl/>
              <w:snapToGrid w:val="0"/>
              <w:jc w:val="left"/>
              <w:rPr>
                <w:rFonts w:hint="eastAsia" w:ascii="仿宋" w:hAnsi="仿宋" w:eastAsia="仿宋"/>
                <w:color w:val="auto"/>
              </w:rPr>
            </w:pPr>
            <w:r>
              <w:rPr>
                <w:rFonts w:ascii="仿宋" w:hAnsi="仿宋" w:eastAsia="仿宋"/>
                <w:color w:val="auto"/>
              </w:rPr>
              <w:t>材质：同质透心或复合多层 PVC 塑胶地板，环保、静音、耐磨。</w:t>
            </w:r>
          </w:p>
          <w:p w14:paraId="620889C6">
            <w:pPr>
              <w:widowControl/>
              <w:snapToGrid w:val="0"/>
              <w:jc w:val="left"/>
              <w:rPr>
                <w:rFonts w:hint="eastAsia" w:ascii="仿宋" w:hAnsi="仿宋" w:eastAsia="仿宋"/>
                <w:color w:val="auto"/>
              </w:rPr>
            </w:pPr>
            <w:r>
              <w:rPr>
                <w:rFonts w:ascii="仿宋" w:hAnsi="仿宋" w:eastAsia="仿宋"/>
                <w:color w:val="auto"/>
              </w:rPr>
              <w:t>厚度：</w:t>
            </w:r>
            <w:r>
              <w:rPr>
                <w:rFonts w:hint="eastAsia" w:ascii="仿宋" w:hAnsi="仿宋" w:eastAsia="仿宋"/>
                <w:color w:val="auto"/>
              </w:rPr>
              <w:t>≥1.5</w:t>
            </w:r>
            <w:r>
              <w:rPr>
                <w:rFonts w:ascii="仿宋" w:hAnsi="仿宋" w:eastAsia="仿宋"/>
                <w:color w:val="auto"/>
              </w:rPr>
              <w:t>mm。</w:t>
            </w:r>
          </w:p>
          <w:p w14:paraId="2D8FF6A1">
            <w:pPr>
              <w:widowControl/>
              <w:snapToGrid w:val="0"/>
              <w:jc w:val="left"/>
              <w:rPr>
                <w:rFonts w:hint="eastAsia" w:ascii="仿宋" w:hAnsi="仿宋" w:eastAsia="仿宋"/>
                <w:color w:val="auto"/>
              </w:rPr>
            </w:pPr>
            <w:r>
              <w:rPr>
                <w:rFonts w:ascii="仿宋" w:hAnsi="仿宋" w:eastAsia="仿宋"/>
                <w:color w:val="auto"/>
              </w:rPr>
              <w:t>耐磨转数：≥6000 转</w:t>
            </w:r>
          </w:p>
          <w:p w14:paraId="44AC5FCA">
            <w:pPr>
              <w:widowControl/>
              <w:snapToGrid w:val="0"/>
              <w:jc w:val="left"/>
              <w:rPr>
                <w:rFonts w:hint="eastAsia" w:ascii="仿宋" w:hAnsi="仿宋" w:eastAsia="仿宋"/>
                <w:color w:val="auto"/>
              </w:rPr>
            </w:pPr>
            <w:r>
              <w:rPr>
                <w:rFonts w:ascii="仿宋" w:hAnsi="仿宋" w:eastAsia="仿宋"/>
                <w:color w:val="auto"/>
              </w:rPr>
              <w:t>环保等级：E0 级，无甲醛、低气味</w:t>
            </w:r>
          </w:p>
          <w:p w14:paraId="59B1533F">
            <w:pPr>
              <w:widowControl/>
              <w:snapToGrid w:val="0"/>
              <w:jc w:val="left"/>
              <w:rPr>
                <w:rFonts w:hint="eastAsia" w:ascii="仿宋" w:hAnsi="仿宋" w:eastAsia="仿宋"/>
                <w:color w:val="auto"/>
              </w:rPr>
            </w:pPr>
            <w:r>
              <w:rPr>
                <w:rFonts w:ascii="仿宋" w:hAnsi="仿宋" w:eastAsia="仿宋"/>
                <w:color w:val="auto"/>
              </w:rPr>
              <w:t>吸音性能：具备静音效果，减少行走脚步声</w:t>
            </w:r>
          </w:p>
          <w:p w14:paraId="3BF44A7D">
            <w:pPr>
              <w:widowControl/>
              <w:snapToGrid w:val="0"/>
              <w:jc w:val="left"/>
              <w:rPr>
                <w:rFonts w:hint="eastAsia" w:ascii="仿宋" w:hAnsi="仿宋" w:eastAsia="仿宋"/>
                <w:color w:val="auto"/>
              </w:rPr>
            </w:pPr>
            <w:r>
              <w:rPr>
                <w:rFonts w:ascii="仿宋" w:hAnsi="仿宋" w:eastAsia="仿宋"/>
                <w:color w:val="auto"/>
              </w:rPr>
              <w:t>表面：哑光处理，不反光，不影响录播灯光拍摄</w:t>
            </w:r>
          </w:p>
          <w:p w14:paraId="26A1A8ED">
            <w:pPr>
              <w:widowControl/>
              <w:snapToGrid w:val="0"/>
              <w:jc w:val="left"/>
              <w:rPr>
                <w:rFonts w:hint="eastAsia" w:ascii="仿宋" w:hAnsi="仿宋" w:eastAsia="仿宋"/>
                <w:color w:val="auto"/>
              </w:rPr>
            </w:pPr>
            <w:r>
              <w:rPr>
                <w:rFonts w:ascii="仿宋" w:hAnsi="仿宋" w:eastAsia="仿宋"/>
                <w:color w:val="auto"/>
              </w:rPr>
              <w:t>防火等级：B1 级难燃</w:t>
            </w:r>
          </w:p>
          <w:p w14:paraId="557EDA38">
            <w:pPr>
              <w:widowControl/>
              <w:snapToGrid w:val="0"/>
              <w:jc w:val="left"/>
              <w:rPr>
                <w:rFonts w:hint="eastAsia" w:ascii="仿宋" w:hAnsi="仿宋" w:eastAsia="仿宋"/>
                <w:color w:val="auto"/>
              </w:rPr>
            </w:pPr>
            <w:r>
              <w:rPr>
                <w:rFonts w:ascii="仿宋" w:hAnsi="仿宋" w:eastAsia="仿宋"/>
                <w:color w:val="auto"/>
              </w:rPr>
              <w:t>铺设要求：采用专用环保胶水满铺</w:t>
            </w:r>
            <w:r>
              <w:rPr>
                <w:rFonts w:hint="eastAsia" w:ascii="仿宋" w:hAnsi="仿宋" w:eastAsia="仿宋"/>
                <w:color w:val="auto"/>
              </w:rPr>
              <w:t>，</w:t>
            </w:r>
            <w:r>
              <w:rPr>
                <w:rFonts w:ascii="仿宋" w:hAnsi="仿宋" w:eastAsia="仿宋"/>
                <w:color w:val="auto"/>
              </w:rPr>
              <w:t>无空鼓、无起翘、无气泡、接缝平整严密</w:t>
            </w:r>
            <w:r>
              <w:rPr>
                <w:rFonts w:hint="eastAsia" w:ascii="仿宋" w:hAnsi="仿宋" w:eastAsia="仿宋"/>
                <w:color w:val="auto"/>
              </w:rPr>
              <w:t>。</w:t>
            </w:r>
          </w:p>
          <w:p w14:paraId="1359B484">
            <w:pPr>
              <w:widowControl/>
              <w:snapToGrid w:val="0"/>
              <w:jc w:val="left"/>
              <w:rPr>
                <w:rFonts w:hint="eastAsia" w:ascii="仿宋" w:hAnsi="仿宋" w:eastAsia="仿宋"/>
                <w:color w:val="auto"/>
              </w:rPr>
            </w:pPr>
            <w:r>
              <w:rPr>
                <w:rFonts w:ascii="仿宋" w:hAnsi="仿宋" w:eastAsia="仿宋"/>
                <w:color w:val="auto"/>
              </w:rPr>
              <w:t>踢脚线安装</w:t>
            </w:r>
          </w:p>
          <w:p w14:paraId="5721C7DB">
            <w:pPr>
              <w:widowControl/>
              <w:snapToGrid w:val="0"/>
              <w:jc w:val="left"/>
              <w:rPr>
                <w:rFonts w:hint="eastAsia" w:ascii="仿宋" w:hAnsi="仿宋" w:eastAsia="仿宋"/>
                <w:color w:val="auto"/>
              </w:rPr>
            </w:pPr>
            <w:r>
              <w:rPr>
                <w:rFonts w:ascii="仿宋" w:hAnsi="仿宋" w:eastAsia="仿宋"/>
                <w:color w:val="auto"/>
              </w:rPr>
              <w:t>材质：PVC 踢脚线 / 木质踢脚线 / 铝合金踢脚线（按设计）。</w:t>
            </w:r>
          </w:p>
          <w:p w14:paraId="5ACE59B3">
            <w:pPr>
              <w:widowControl/>
              <w:snapToGrid w:val="0"/>
              <w:jc w:val="left"/>
              <w:rPr>
                <w:rFonts w:hint="eastAsia" w:ascii="仿宋" w:hAnsi="仿宋" w:eastAsia="仿宋"/>
                <w:color w:val="auto"/>
              </w:rPr>
            </w:pPr>
            <w:r>
              <w:rPr>
                <w:rFonts w:ascii="仿宋" w:hAnsi="仿宋" w:eastAsia="仿宋"/>
                <w:color w:val="auto"/>
              </w:rPr>
              <w:t>高度：80～100mm。</w:t>
            </w:r>
          </w:p>
          <w:p w14:paraId="4EEFCA11">
            <w:pPr>
              <w:widowControl/>
              <w:snapToGrid w:val="0"/>
              <w:jc w:val="left"/>
              <w:rPr>
                <w:rFonts w:hint="eastAsia" w:ascii="仿宋" w:hAnsi="仿宋" w:eastAsia="仿宋"/>
                <w:color w:val="auto"/>
              </w:rPr>
            </w:pPr>
            <w:r>
              <w:rPr>
                <w:rFonts w:ascii="仿宋" w:hAnsi="仿宋" w:eastAsia="仿宋"/>
                <w:color w:val="auto"/>
              </w:rPr>
              <w:t>要求：与墙面、地面结合紧密，顺直平整</w:t>
            </w:r>
            <w:r>
              <w:rPr>
                <w:rFonts w:hint="eastAsia" w:ascii="仿宋" w:hAnsi="仿宋" w:eastAsia="仿宋"/>
                <w:color w:val="auto"/>
              </w:rPr>
              <w:t>，</w:t>
            </w:r>
            <w:r>
              <w:rPr>
                <w:rFonts w:ascii="仿宋" w:hAnsi="仿宋" w:eastAsia="仿宋"/>
                <w:color w:val="auto"/>
              </w:rPr>
              <w:t>接口严密、无裂缝、无松动</w:t>
            </w:r>
            <w:r>
              <w:rPr>
                <w:rFonts w:hint="eastAsia" w:ascii="仿宋" w:hAnsi="仿宋" w:eastAsia="仿宋"/>
                <w:color w:val="auto"/>
              </w:rPr>
              <w:t>，</w:t>
            </w:r>
            <w:r>
              <w:rPr>
                <w:rFonts w:ascii="仿宋" w:hAnsi="仿宋" w:eastAsia="仿宋"/>
                <w:color w:val="auto"/>
              </w:rPr>
              <w:t>颜色与地面 / 墙面协调，整体美观</w:t>
            </w:r>
          </w:p>
        </w:tc>
        <w:tc>
          <w:tcPr>
            <w:tcW w:w="0" w:type="auto"/>
            <w:vAlign w:val="center"/>
          </w:tcPr>
          <w:p w14:paraId="10C0165E">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102</w:t>
            </w:r>
          </w:p>
        </w:tc>
        <w:tc>
          <w:tcPr>
            <w:tcW w:w="492" w:type="dxa"/>
            <w:vAlign w:val="center"/>
          </w:tcPr>
          <w:p w14:paraId="625F54DF">
            <w:pPr>
              <w:widowControl/>
              <w:snapToGrid w:val="0"/>
              <w:jc w:val="center"/>
              <w:rPr>
                <w:rFonts w:hint="eastAsia" w:ascii="仿宋" w:hAnsi="仿宋" w:eastAsia="仿宋" w:cs="Calibri"/>
                <w:color w:val="auto"/>
                <w:kern w:val="0"/>
              </w:rPr>
            </w:pPr>
            <w:r>
              <w:rPr>
                <w:rFonts w:hint="eastAsia" w:ascii="仿宋" w:hAnsi="仿宋" w:eastAsia="仿宋"/>
                <w:color w:val="auto"/>
              </w:rPr>
              <w:t>平米</w:t>
            </w:r>
          </w:p>
        </w:tc>
      </w:tr>
      <w:tr w14:paraId="22CA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01927387">
            <w:pPr>
              <w:widowControl/>
              <w:snapToGrid w:val="0"/>
              <w:jc w:val="center"/>
              <w:rPr>
                <w:rFonts w:hint="eastAsia" w:ascii="仿宋" w:hAnsi="仿宋" w:eastAsia="仿宋"/>
                <w:color w:val="auto"/>
                <w:kern w:val="0"/>
              </w:rPr>
            </w:pPr>
            <w:r>
              <w:rPr>
                <w:rFonts w:hint="eastAsia" w:ascii="仿宋" w:hAnsi="仿宋" w:eastAsia="仿宋" w:cs="宋体"/>
                <w:color w:val="auto"/>
                <w:kern w:val="0"/>
              </w:rPr>
              <w:t>5</w:t>
            </w:r>
          </w:p>
        </w:tc>
        <w:tc>
          <w:tcPr>
            <w:tcW w:w="996" w:type="dxa"/>
            <w:vAlign w:val="center"/>
          </w:tcPr>
          <w:p w14:paraId="46912A15">
            <w:pPr>
              <w:widowControl/>
              <w:snapToGrid w:val="0"/>
              <w:jc w:val="center"/>
              <w:rPr>
                <w:rFonts w:hint="eastAsia" w:ascii="仿宋" w:hAnsi="仿宋" w:eastAsia="仿宋"/>
                <w:color w:val="auto"/>
              </w:rPr>
            </w:pPr>
            <w:r>
              <w:rPr>
                <w:rFonts w:hint="eastAsia" w:ascii="仿宋" w:hAnsi="仿宋" w:eastAsia="仿宋" w:cs="宋体"/>
                <w:color w:val="auto"/>
                <w:kern w:val="0"/>
              </w:rPr>
              <w:t>墙体造型</w:t>
            </w:r>
          </w:p>
        </w:tc>
        <w:tc>
          <w:tcPr>
            <w:tcW w:w="6650" w:type="dxa"/>
            <w:vAlign w:val="center"/>
          </w:tcPr>
          <w:p w14:paraId="5A4D6F64">
            <w:pPr>
              <w:widowControl/>
              <w:snapToGrid w:val="0"/>
              <w:jc w:val="left"/>
              <w:rPr>
                <w:rFonts w:hint="eastAsia" w:ascii="仿宋" w:hAnsi="仿宋" w:eastAsia="仿宋"/>
                <w:color w:val="auto"/>
              </w:rPr>
            </w:pPr>
            <w:r>
              <w:rPr>
                <w:rFonts w:ascii="仿宋" w:hAnsi="仿宋" w:eastAsia="仿宋"/>
                <w:color w:val="auto"/>
              </w:rPr>
              <w:t>一、整体隔墙</w:t>
            </w:r>
          </w:p>
          <w:p w14:paraId="2B02210F">
            <w:pPr>
              <w:widowControl/>
              <w:snapToGrid w:val="0"/>
              <w:jc w:val="left"/>
              <w:rPr>
                <w:rFonts w:hint="eastAsia" w:ascii="仿宋" w:hAnsi="仿宋" w:eastAsia="仿宋"/>
                <w:color w:val="auto"/>
              </w:rPr>
            </w:pPr>
            <w:r>
              <w:rPr>
                <w:rFonts w:ascii="仿宋" w:hAnsi="仿宋" w:eastAsia="仿宋"/>
                <w:color w:val="auto"/>
              </w:rPr>
              <w:t>类型：室内成品隔断墙，整体定制、现场安装</w:t>
            </w:r>
          </w:p>
          <w:p w14:paraId="57885653">
            <w:pPr>
              <w:widowControl/>
              <w:snapToGrid w:val="0"/>
              <w:jc w:val="left"/>
              <w:rPr>
                <w:rFonts w:hint="eastAsia" w:ascii="仿宋" w:hAnsi="仿宋" w:eastAsia="仿宋"/>
                <w:color w:val="auto"/>
              </w:rPr>
            </w:pPr>
            <w:r>
              <w:rPr>
                <w:rFonts w:ascii="仿宋" w:hAnsi="仿宋" w:eastAsia="仿宋"/>
                <w:color w:val="auto"/>
              </w:rPr>
              <w:t>结构：竖向主龙骨 + 横向加固龙骨，整体稳固、垂直平整</w:t>
            </w:r>
          </w:p>
          <w:p w14:paraId="47D80198">
            <w:pPr>
              <w:widowControl/>
              <w:snapToGrid w:val="0"/>
              <w:jc w:val="left"/>
              <w:rPr>
                <w:rFonts w:hint="eastAsia" w:ascii="仿宋" w:hAnsi="仿宋" w:eastAsia="仿宋"/>
                <w:color w:val="auto"/>
              </w:rPr>
            </w:pPr>
            <w:r>
              <w:rPr>
                <w:rFonts w:ascii="仿宋" w:hAnsi="仿宋" w:eastAsia="仿宋"/>
                <w:color w:val="auto"/>
              </w:rPr>
              <w:t>骨架材质：优质轻钢龙骨 / 铝合金型材，防锈、不变形</w:t>
            </w:r>
          </w:p>
          <w:p w14:paraId="60746954">
            <w:pPr>
              <w:widowControl/>
              <w:snapToGrid w:val="0"/>
              <w:jc w:val="left"/>
              <w:rPr>
                <w:rFonts w:hint="eastAsia" w:ascii="仿宋" w:hAnsi="仿宋" w:eastAsia="仿宋"/>
                <w:color w:val="auto"/>
              </w:rPr>
            </w:pPr>
            <w:r>
              <w:rPr>
                <w:rFonts w:ascii="仿宋" w:hAnsi="仿宋" w:eastAsia="仿宋"/>
                <w:color w:val="auto"/>
              </w:rPr>
              <w:t>隔墙厚度：75mm～100mm（可按现场定制）</w:t>
            </w:r>
          </w:p>
          <w:p w14:paraId="08362F79">
            <w:pPr>
              <w:widowControl/>
              <w:snapToGrid w:val="0"/>
              <w:jc w:val="left"/>
              <w:rPr>
                <w:rFonts w:hint="eastAsia" w:ascii="仿宋" w:hAnsi="仿宋" w:eastAsia="仿宋"/>
                <w:color w:val="auto"/>
              </w:rPr>
            </w:pPr>
            <w:r>
              <w:rPr>
                <w:rFonts w:ascii="仿宋" w:hAnsi="仿宋" w:eastAsia="仿宋"/>
                <w:color w:val="auto"/>
              </w:rPr>
              <w:t>表面饰面：双面石膏板 / 硅酸钙板，平整无裂缝</w:t>
            </w:r>
          </w:p>
          <w:p w14:paraId="09CC3CCC">
            <w:pPr>
              <w:widowControl/>
              <w:snapToGrid w:val="0"/>
              <w:jc w:val="left"/>
              <w:rPr>
                <w:rFonts w:hint="eastAsia" w:ascii="仿宋" w:hAnsi="仿宋" w:eastAsia="仿宋"/>
                <w:color w:val="auto"/>
              </w:rPr>
            </w:pPr>
            <w:r>
              <w:rPr>
                <w:rFonts w:ascii="仿宋" w:hAnsi="仿宋" w:eastAsia="仿宋"/>
                <w:color w:val="auto"/>
              </w:rPr>
              <w:t>隔音性能：具备基础隔音效果，无明显透声</w:t>
            </w:r>
          </w:p>
          <w:p w14:paraId="101E474E">
            <w:pPr>
              <w:widowControl/>
              <w:snapToGrid w:val="0"/>
              <w:jc w:val="left"/>
              <w:rPr>
                <w:rFonts w:hint="eastAsia" w:ascii="仿宋" w:hAnsi="仿宋" w:eastAsia="仿宋"/>
                <w:color w:val="auto"/>
              </w:rPr>
            </w:pPr>
            <w:r>
              <w:rPr>
                <w:rFonts w:ascii="仿宋" w:hAnsi="仿宋" w:eastAsia="仿宋"/>
                <w:color w:val="auto"/>
              </w:rPr>
              <w:t>尺寸：按现场实际尺寸定制，整体方正、垂直度≤3mm</w:t>
            </w:r>
          </w:p>
          <w:p w14:paraId="2D4644E6">
            <w:pPr>
              <w:widowControl/>
              <w:snapToGrid w:val="0"/>
              <w:jc w:val="left"/>
              <w:rPr>
                <w:rFonts w:hint="eastAsia" w:ascii="仿宋" w:hAnsi="仿宋" w:eastAsia="仿宋"/>
                <w:color w:val="auto"/>
              </w:rPr>
            </w:pPr>
            <w:r>
              <w:rPr>
                <w:rFonts w:ascii="仿宋" w:hAnsi="仿宋" w:eastAsia="仿宋"/>
                <w:color w:val="auto"/>
              </w:rPr>
              <w:t>二、钢化玻璃</w:t>
            </w:r>
          </w:p>
          <w:p w14:paraId="56ECE3CE">
            <w:pPr>
              <w:widowControl/>
              <w:snapToGrid w:val="0"/>
              <w:jc w:val="left"/>
              <w:rPr>
                <w:rFonts w:hint="eastAsia" w:ascii="仿宋" w:hAnsi="仿宋" w:eastAsia="仿宋"/>
                <w:color w:val="auto"/>
              </w:rPr>
            </w:pPr>
            <w:r>
              <w:rPr>
                <w:rFonts w:ascii="仿宋" w:hAnsi="仿宋" w:eastAsia="仿宋"/>
                <w:color w:val="auto"/>
              </w:rPr>
              <w:t>玻璃类型：3mm 钢化玻璃</w:t>
            </w:r>
          </w:p>
          <w:p w14:paraId="7FE9A6F1">
            <w:pPr>
              <w:widowControl/>
              <w:snapToGrid w:val="0"/>
              <w:jc w:val="left"/>
              <w:rPr>
                <w:rFonts w:hint="eastAsia" w:ascii="仿宋" w:hAnsi="仿宋" w:eastAsia="仿宋"/>
                <w:color w:val="auto"/>
              </w:rPr>
            </w:pPr>
            <w:r>
              <w:rPr>
                <w:rFonts w:ascii="仿宋" w:hAnsi="仿宋" w:eastAsia="仿宋"/>
                <w:color w:val="auto"/>
              </w:rPr>
              <w:t>玻璃面积：</w:t>
            </w:r>
            <w:r>
              <w:rPr>
                <w:rFonts w:hint="eastAsia" w:ascii="仿宋" w:hAnsi="仿宋" w:eastAsia="仿宋"/>
                <w:color w:val="auto"/>
              </w:rPr>
              <w:t>不小于</w:t>
            </w:r>
            <w:r>
              <w:rPr>
                <w:rFonts w:ascii="仿宋" w:hAnsi="仿宋" w:eastAsia="仿宋"/>
                <w:color w:val="auto"/>
              </w:rPr>
              <w:t>3.6 ㎡</w:t>
            </w:r>
          </w:p>
          <w:p w14:paraId="7C7C6628">
            <w:pPr>
              <w:widowControl/>
              <w:snapToGrid w:val="0"/>
              <w:jc w:val="left"/>
              <w:rPr>
                <w:rFonts w:hint="eastAsia" w:ascii="仿宋" w:hAnsi="仿宋" w:eastAsia="仿宋"/>
                <w:color w:val="auto"/>
              </w:rPr>
            </w:pPr>
            <w:r>
              <w:rPr>
                <w:rFonts w:ascii="仿宋" w:hAnsi="仿宋" w:eastAsia="仿宋"/>
                <w:color w:val="auto"/>
              </w:rPr>
              <w:t>玻璃规格：透明钢化玻璃，平整度高，无波纹、无划痕</w:t>
            </w:r>
          </w:p>
          <w:p w14:paraId="164F99C1">
            <w:pPr>
              <w:widowControl/>
              <w:snapToGrid w:val="0"/>
              <w:jc w:val="left"/>
              <w:rPr>
                <w:rFonts w:hint="eastAsia" w:ascii="仿宋" w:hAnsi="仿宋" w:eastAsia="仿宋"/>
                <w:color w:val="auto"/>
              </w:rPr>
            </w:pPr>
            <w:r>
              <w:rPr>
                <w:rFonts w:ascii="仿宋" w:hAnsi="仿宋" w:eastAsia="仿宋"/>
                <w:color w:val="auto"/>
              </w:rPr>
              <w:t>钢化标准：完全钢化处理，符合国家钢化玻璃安全标准</w:t>
            </w:r>
          </w:p>
          <w:p w14:paraId="4A28D62B">
            <w:pPr>
              <w:widowControl/>
              <w:snapToGrid w:val="0"/>
              <w:jc w:val="left"/>
              <w:rPr>
                <w:rFonts w:hint="eastAsia" w:ascii="仿宋" w:hAnsi="仿宋" w:eastAsia="仿宋"/>
                <w:color w:val="auto"/>
              </w:rPr>
            </w:pPr>
            <w:r>
              <w:rPr>
                <w:rFonts w:ascii="仿宋" w:hAnsi="仿宋" w:eastAsia="仿宋"/>
                <w:color w:val="auto"/>
              </w:rPr>
              <w:t>边缘处理：精磨边、倒角处理，无锋利边、无崩边</w:t>
            </w:r>
          </w:p>
          <w:p w14:paraId="049E4BE1">
            <w:pPr>
              <w:widowControl/>
              <w:snapToGrid w:val="0"/>
              <w:jc w:val="left"/>
              <w:rPr>
                <w:rFonts w:hint="eastAsia" w:ascii="仿宋" w:hAnsi="仿宋" w:eastAsia="仿宋"/>
                <w:color w:val="auto"/>
              </w:rPr>
            </w:pPr>
            <w:r>
              <w:rPr>
                <w:rFonts w:ascii="仿宋" w:hAnsi="仿宋" w:eastAsia="仿宋"/>
                <w:color w:val="auto"/>
              </w:rPr>
              <w:t>安装方式：嵌入隔墙预留洞口，打胶固定，密封美观</w:t>
            </w:r>
          </w:p>
          <w:p w14:paraId="3244CFEA">
            <w:pPr>
              <w:widowControl/>
              <w:snapToGrid w:val="0"/>
              <w:jc w:val="left"/>
              <w:rPr>
                <w:rFonts w:hint="eastAsia" w:ascii="仿宋" w:hAnsi="仿宋" w:eastAsia="仿宋"/>
                <w:color w:val="auto"/>
              </w:rPr>
            </w:pPr>
            <w:r>
              <w:rPr>
                <w:rFonts w:ascii="仿宋" w:hAnsi="仿宋" w:eastAsia="仿宋"/>
                <w:color w:val="auto"/>
              </w:rPr>
              <w:t>外观要求：玻璃通透干净，无气泡、无杂质、无自爆隐患</w:t>
            </w:r>
          </w:p>
          <w:p w14:paraId="00238D85">
            <w:pPr>
              <w:widowControl/>
              <w:snapToGrid w:val="0"/>
              <w:jc w:val="left"/>
              <w:rPr>
                <w:rFonts w:hint="eastAsia" w:ascii="仿宋" w:hAnsi="仿宋" w:eastAsia="仿宋"/>
                <w:color w:val="auto"/>
              </w:rPr>
            </w:pPr>
            <w:r>
              <w:rPr>
                <w:rFonts w:ascii="仿宋" w:hAnsi="仿宋" w:eastAsia="仿宋"/>
                <w:color w:val="auto"/>
              </w:rPr>
              <w:t>三、配套及施工</w:t>
            </w:r>
          </w:p>
          <w:p w14:paraId="0A775CA7">
            <w:pPr>
              <w:widowControl/>
              <w:snapToGrid w:val="0"/>
              <w:jc w:val="left"/>
              <w:rPr>
                <w:rFonts w:hint="eastAsia" w:ascii="仿宋" w:hAnsi="仿宋" w:eastAsia="仿宋"/>
                <w:color w:val="auto"/>
              </w:rPr>
            </w:pPr>
            <w:r>
              <w:rPr>
                <w:rFonts w:ascii="仿宋" w:hAnsi="仿宋" w:eastAsia="仿宋"/>
                <w:color w:val="auto"/>
              </w:rPr>
              <w:t>密封材料：中性耐候密封胶，防水、防霉、不开裂</w:t>
            </w:r>
          </w:p>
          <w:p w14:paraId="28BE8935">
            <w:pPr>
              <w:widowControl/>
              <w:snapToGrid w:val="0"/>
              <w:jc w:val="left"/>
              <w:rPr>
                <w:rFonts w:hint="eastAsia" w:ascii="仿宋" w:hAnsi="仿宋" w:eastAsia="仿宋"/>
                <w:color w:val="auto"/>
              </w:rPr>
            </w:pPr>
            <w:r>
              <w:rPr>
                <w:rFonts w:ascii="仿宋" w:hAnsi="仿宋" w:eastAsia="仿宋"/>
                <w:color w:val="auto"/>
              </w:rPr>
              <w:t>收口处理：阴阳角顺直，接缝严密，整体美观</w:t>
            </w:r>
          </w:p>
        </w:tc>
        <w:tc>
          <w:tcPr>
            <w:tcW w:w="0" w:type="auto"/>
            <w:vAlign w:val="center"/>
          </w:tcPr>
          <w:p w14:paraId="2CA38700">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29367B45">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3F71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08C1605">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6</w:t>
            </w:r>
          </w:p>
        </w:tc>
        <w:tc>
          <w:tcPr>
            <w:tcW w:w="996" w:type="dxa"/>
            <w:vAlign w:val="center"/>
          </w:tcPr>
          <w:p w14:paraId="4AA76C3D">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成品门</w:t>
            </w:r>
          </w:p>
        </w:tc>
        <w:tc>
          <w:tcPr>
            <w:tcW w:w="6650" w:type="dxa"/>
            <w:vAlign w:val="center"/>
          </w:tcPr>
          <w:p w14:paraId="65BFAD9B">
            <w:pPr>
              <w:widowControl/>
              <w:snapToGrid w:val="0"/>
              <w:jc w:val="left"/>
              <w:rPr>
                <w:rFonts w:hint="eastAsia" w:ascii="仿宋" w:hAnsi="仿宋" w:eastAsia="仿宋"/>
                <w:color w:val="auto"/>
              </w:rPr>
            </w:pPr>
            <w:r>
              <w:rPr>
                <w:rFonts w:hint="eastAsia" w:ascii="仿宋" w:hAnsi="仿宋" w:eastAsia="仿宋"/>
                <w:color w:val="auto"/>
              </w:rPr>
              <w:t>实木门：以天然木材为主要材料制作而成，具有质感好、环保、耐用等优点。实木门的风格多样，可以根据不同的装修风格进行选择，如中式、欧式、现代简约等。</w:t>
            </w:r>
          </w:p>
        </w:tc>
        <w:tc>
          <w:tcPr>
            <w:tcW w:w="0" w:type="auto"/>
            <w:vAlign w:val="center"/>
          </w:tcPr>
          <w:p w14:paraId="42E7F40B">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2</w:t>
            </w:r>
          </w:p>
        </w:tc>
        <w:tc>
          <w:tcPr>
            <w:tcW w:w="492" w:type="dxa"/>
            <w:vAlign w:val="center"/>
          </w:tcPr>
          <w:p w14:paraId="16BE7366">
            <w:pPr>
              <w:widowControl/>
              <w:snapToGrid w:val="0"/>
              <w:jc w:val="center"/>
              <w:rPr>
                <w:rFonts w:hint="eastAsia" w:ascii="仿宋" w:hAnsi="仿宋" w:eastAsia="仿宋"/>
                <w:color w:val="auto"/>
              </w:rPr>
            </w:pPr>
            <w:r>
              <w:rPr>
                <w:rFonts w:hint="eastAsia" w:ascii="仿宋" w:hAnsi="仿宋" w:eastAsia="仿宋"/>
                <w:color w:val="auto"/>
              </w:rPr>
              <w:t>套</w:t>
            </w:r>
          </w:p>
        </w:tc>
      </w:tr>
      <w:tr w14:paraId="2C04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06C478B">
            <w:pPr>
              <w:widowControl/>
              <w:snapToGrid w:val="0"/>
              <w:jc w:val="center"/>
              <w:rPr>
                <w:rFonts w:hint="eastAsia" w:ascii="仿宋" w:hAnsi="仿宋" w:eastAsia="仿宋"/>
                <w:color w:val="auto"/>
                <w:kern w:val="0"/>
              </w:rPr>
            </w:pPr>
            <w:r>
              <w:rPr>
                <w:rFonts w:hint="eastAsia" w:ascii="仿宋" w:hAnsi="仿宋" w:eastAsia="仿宋" w:cs="宋体"/>
                <w:color w:val="auto"/>
                <w:kern w:val="0"/>
              </w:rPr>
              <w:t>7</w:t>
            </w:r>
          </w:p>
        </w:tc>
        <w:tc>
          <w:tcPr>
            <w:tcW w:w="996" w:type="dxa"/>
            <w:vAlign w:val="center"/>
          </w:tcPr>
          <w:p w14:paraId="51324468">
            <w:pPr>
              <w:widowControl/>
              <w:snapToGrid w:val="0"/>
              <w:jc w:val="center"/>
              <w:rPr>
                <w:rFonts w:hint="eastAsia" w:ascii="仿宋" w:hAnsi="仿宋" w:eastAsia="仿宋"/>
                <w:color w:val="auto"/>
              </w:rPr>
            </w:pPr>
            <w:r>
              <w:rPr>
                <w:rFonts w:hint="eastAsia" w:ascii="仿宋" w:hAnsi="仿宋" w:eastAsia="仿宋" w:cs="宋体"/>
                <w:color w:val="auto"/>
                <w:kern w:val="0"/>
              </w:rPr>
              <w:t>线路改造</w:t>
            </w:r>
          </w:p>
        </w:tc>
        <w:tc>
          <w:tcPr>
            <w:tcW w:w="6650" w:type="dxa"/>
            <w:vAlign w:val="center"/>
          </w:tcPr>
          <w:p w14:paraId="79856B38">
            <w:pPr>
              <w:widowControl/>
              <w:snapToGrid w:val="0"/>
              <w:jc w:val="left"/>
              <w:rPr>
                <w:rFonts w:hint="eastAsia" w:ascii="仿宋" w:hAnsi="仿宋" w:eastAsia="仿宋"/>
                <w:color w:val="auto"/>
              </w:rPr>
            </w:pPr>
            <w:r>
              <w:rPr>
                <w:rFonts w:hint="eastAsia" w:ascii="仿宋" w:hAnsi="仿宋" w:eastAsia="仿宋"/>
                <w:color w:val="auto"/>
              </w:rPr>
              <w:t>满足新的使用需求</w:t>
            </w:r>
            <w:r>
              <w:rPr>
                <w:rFonts w:hint="eastAsia" w:ascii="仿宋" w:hAnsi="仿宋" w:eastAsia="仿宋"/>
                <w:color w:val="auto"/>
              </w:rPr>
              <w:br w:type="textWrapping"/>
            </w:r>
            <w:r>
              <w:rPr>
                <w:rFonts w:hint="eastAsia" w:ascii="仿宋" w:hAnsi="仿宋" w:eastAsia="仿宋"/>
                <w:color w:val="auto"/>
              </w:rPr>
              <w:t>随着生活水平的提高和科技的发展，人们对电气设备和网络通信的需求不断增加。例如，新增大功率电器、智能家居系统等，原有的线路可能无法满足这些新的需求，需要进行线路改造。</w:t>
            </w:r>
            <w:r>
              <w:rPr>
                <w:rFonts w:hint="eastAsia" w:ascii="仿宋" w:hAnsi="仿宋" w:eastAsia="仿宋"/>
                <w:color w:val="auto"/>
              </w:rPr>
              <w:br w:type="textWrapping"/>
            </w:r>
            <w:r>
              <w:rPr>
                <w:rFonts w:hint="eastAsia" w:ascii="仿宋" w:hAnsi="仿宋" w:eastAsia="仿宋"/>
                <w:color w:val="auto"/>
              </w:rPr>
              <w:t>商业场所的业务扩展或功能变更也可能导致线路改造，如增加办公设备、安装监控系统等。</w:t>
            </w:r>
            <w:r>
              <w:rPr>
                <w:rFonts w:hint="eastAsia" w:ascii="仿宋" w:hAnsi="仿宋" w:eastAsia="仿宋"/>
                <w:color w:val="auto"/>
              </w:rPr>
              <w:br w:type="textWrapping"/>
            </w:r>
            <w:r>
              <w:rPr>
                <w:rFonts w:hint="eastAsia" w:ascii="仿宋" w:hAnsi="仿宋" w:eastAsia="仿宋"/>
                <w:color w:val="auto"/>
              </w:rPr>
              <w:t>解决安全隐患</w:t>
            </w:r>
            <w:r>
              <w:rPr>
                <w:rFonts w:hint="eastAsia" w:ascii="仿宋" w:hAnsi="仿宋" w:eastAsia="仿宋"/>
                <w:color w:val="auto"/>
              </w:rPr>
              <w:br w:type="textWrapping"/>
            </w:r>
            <w:r>
              <w:rPr>
                <w:rFonts w:hint="eastAsia" w:ascii="仿宋" w:hAnsi="仿宋" w:eastAsia="仿宋"/>
                <w:color w:val="auto"/>
              </w:rPr>
              <w:t>老旧线路可能存在电线老化、绝缘破损、过载等安全隐患。线路改造可以更换老化的电线，提高线路的安全性，减少火灾和触电事故的发生。</w:t>
            </w:r>
            <w:r>
              <w:rPr>
                <w:rFonts w:hint="eastAsia" w:ascii="仿宋" w:hAnsi="仿宋" w:eastAsia="仿宋"/>
                <w:color w:val="auto"/>
              </w:rPr>
              <w:br w:type="textWrapping"/>
            </w:r>
            <w:r>
              <w:rPr>
                <w:rFonts w:hint="eastAsia" w:ascii="仿宋" w:hAnsi="仿宋" w:eastAsia="仿宋"/>
                <w:color w:val="auto"/>
              </w:rPr>
              <w:t>不规范的线路铺设也可能带来安全风险，如线路杂乱无章、接头过多等。通过线路改造，可以规范线路布局，提高安全性。</w:t>
            </w:r>
            <w:r>
              <w:rPr>
                <w:rFonts w:hint="eastAsia" w:ascii="仿宋" w:hAnsi="仿宋" w:eastAsia="仿宋"/>
                <w:color w:val="auto"/>
              </w:rPr>
              <w:br w:type="textWrapping"/>
            </w:r>
            <w:r>
              <w:rPr>
                <w:rFonts w:hint="eastAsia" w:ascii="仿宋" w:hAnsi="仿宋" w:eastAsia="仿宋"/>
                <w:color w:val="auto"/>
              </w:rPr>
              <w:t>提高能效和可靠性</w:t>
            </w:r>
            <w:r>
              <w:rPr>
                <w:rFonts w:hint="eastAsia" w:ascii="仿宋" w:hAnsi="仿宋" w:eastAsia="仿宋"/>
                <w:color w:val="auto"/>
              </w:rPr>
              <w:br w:type="textWrapping"/>
            </w:r>
            <w:r>
              <w:rPr>
                <w:rFonts w:hint="eastAsia" w:ascii="仿宋" w:hAnsi="仿宋" w:eastAsia="仿宋"/>
                <w:color w:val="auto"/>
              </w:rPr>
              <w:t>新的节能技术和设备不断涌现，线路改造可以采用更高效的电线和电气设备，降低能耗，提高能效。</w:t>
            </w:r>
            <w:r>
              <w:rPr>
                <w:rFonts w:hint="eastAsia" w:ascii="仿宋" w:hAnsi="仿宋" w:eastAsia="仿宋"/>
                <w:color w:val="auto"/>
              </w:rPr>
              <w:br w:type="textWrapping"/>
            </w:r>
            <w:r>
              <w:rPr>
                <w:rFonts w:hint="eastAsia" w:ascii="仿宋" w:hAnsi="仿宋" w:eastAsia="仿宋"/>
                <w:color w:val="auto"/>
              </w:rPr>
              <w:t>合理的线路规划和优质的材料可以提高线路的可靠性，减少故障发生的概率，降低维修成本。</w:t>
            </w:r>
          </w:p>
        </w:tc>
        <w:tc>
          <w:tcPr>
            <w:tcW w:w="0" w:type="auto"/>
            <w:vAlign w:val="center"/>
          </w:tcPr>
          <w:p w14:paraId="3CC1E909">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04381029">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51CA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6F24767">
            <w:pPr>
              <w:widowControl/>
              <w:snapToGrid w:val="0"/>
              <w:jc w:val="center"/>
              <w:rPr>
                <w:rFonts w:hint="eastAsia" w:ascii="仿宋" w:hAnsi="仿宋" w:eastAsia="仿宋" w:cs="宋体"/>
                <w:color w:val="auto"/>
                <w:kern w:val="0"/>
              </w:rPr>
            </w:pPr>
          </w:p>
        </w:tc>
        <w:tc>
          <w:tcPr>
            <w:tcW w:w="996" w:type="dxa"/>
            <w:vAlign w:val="center"/>
          </w:tcPr>
          <w:p w14:paraId="3C3A0710">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演播室桌子及凳子</w:t>
            </w:r>
          </w:p>
        </w:tc>
        <w:tc>
          <w:tcPr>
            <w:tcW w:w="6650" w:type="dxa"/>
            <w:vAlign w:val="center"/>
          </w:tcPr>
          <w:p w14:paraId="742D9FC9">
            <w:pPr>
              <w:widowControl/>
              <w:snapToGrid w:val="0"/>
              <w:jc w:val="left"/>
              <w:rPr>
                <w:rFonts w:hint="eastAsia" w:ascii="仿宋" w:hAnsi="仿宋" w:eastAsia="仿宋"/>
                <w:color w:val="auto"/>
              </w:rPr>
            </w:pPr>
            <w:r>
              <w:rPr>
                <w:rFonts w:hint="eastAsia" w:ascii="仿宋" w:hAnsi="仿宋" w:eastAsia="仿宋"/>
                <w:color w:val="auto"/>
              </w:rPr>
              <w:t>现场制作，根据现场环境定制大小，喷抠像漆作为抠像演播桌使用</w:t>
            </w:r>
          </w:p>
          <w:p w14:paraId="4A26C1ED">
            <w:pPr>
              <w:numPr>
                <w:ilvl w:val="0"/>
                <w:numId w:val="8"/>
              </w:numPr>
              <w:snapToGrid w:val="0"/>
              <w:ind w:left="0" w:firstLine="0"/>
              <w:jc w:val="left"/>
              <w:rPr>
                <w:rFonts w:hint="eastAsia" w:ascii="仿宋" w:hAnsi="仿宋" w:eastAsia="仿宋"/>
                <w:color w:val="auto"/>
              </w:rPr>
            </w:pPr>
            <w:r>
              <w:rPr>
                <w:rFonts w:ascii="仿宋" w:hAnsi="仿宋" w:eastAsia="仿宋"/>
                <w:color w:val="auto"/>
              </w:rPr>
              <w:t>抠像专用桌（定制）</w:t>
            </w:r>
          </w:p>
          <w:p w14:paraId="1E282595">
            <w:pPr>
              <w:snapToGrid w:val="0"/>
              <w:jc w:val="left"/>
              <w:rPr>
                <w:rFonts w:hint="eastAsia" w:ascii="仿宋" w:hAnsi="仿宋" w:eastAsia="仿宋"/>
                <w:color w:val="auto"/>
              </w:rPr>
            </w:pPr>
            <w:r>
              <w:rPr>
                <w:rFonts w:hint="eastAsia" w:ascii="仿宋" w:hAnsi="仿宋" w:eastAsia="仿宋"/>
                <w:color w:val="auto"/>
              </w:rPr>
              <w:t>1.</w:t>
            </w:r>
            <w:r>
              <w:rPr>
                <w:rFonts w:ascii="仿宋" w:hAnsi="仿宋" w:eastAsia="仿宋"/>
                <w:color w:val="auto"/>
              </w:rPr>
              <w:t>用途：虚拟演播室主持人 / 播报专用抠像桌</w:t>
            </w:r>
          </w:p>
          <w:p w14:paraId="5EC782EB">
            <w:pPr>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整体结构：一体式稳固框架，无晃动、无反光</w:t>
            </w:r>
          </w:p>
          <w:p w14:paraId="2044DFB7">
            <w:pPr>
              <w:snapToGrid w:val="0"/>
              <w:jc w:val="left"/>
              <w:rPr>
                <w:rFonts w:hint="eastAsia" w:ascii="仿宋" w:hAnsi="仿宋" w:eastAsia="仿宋"/>
                <w:color w:val="auto"/>
              </w:rPr>
            </w:pPr>
            <w:r>
              <w:rPr>
                <w:rFonts w:hint="eastAsia" w:ascii="仿宋" w:hAnsi="仿宋" w:eastAsia="仿宋"/>
                <w:color w:val="auto"/>
              </w:rPr>
              <w:t>3.</w:t>
            </w:r>
            <w:r>
              <w:rPr>
                <w:rFonts w:ascii="仿宋" w:hAnsi="仿宋" w:eastAsia="仿宋"/>
                <w:color w:val="auto"/>
              </w:rPr>
              <w:t>桌面材质</w:t>
            </w:r>
            <w:r>
              <w:rPr>
                <w:rFonts w:hint="eastAsia" w:ascii="仿宋" w:hAnsi="仿宋" w:eastAsia="仿宋"/>
                <w:color w:val="auto"/>
              </w:rPr>
              <w:t>:</w:t>
            </w:r>
            <w:r>
              <w:rPr>
                <w:rFonts w:ascii="仿宋" w:hAnsi="仿宋" w:eastAsia="仿宋"/>
                <w:color w:val="auto"/>
              </w:rPr>
              <w:t>表面：高纯度蓝色 / 绿色哑光抠像漆</w:t>
            </w:r>
            <w:r>
              <w:rPr>
                <w:rFonts w:hint="eastAsia" w:ascii="仿宋" w:hAnsi="仿宋" w:eastAsia="仿宋"/>
                <w:color w:val="auto"/>
              </w:rPr>
              <w:t>;</w:t>
            </w:r>
            <w:r>
              <w:rPr>
                <w:rFonts w:ascii="仿宋" w:hAnsi="仿宋" w:eastAsia="仿宋"/>
                <w:color w:val="auto"/>
              </w:rPr>
              <w:t>无反光、无亮点、不吸光、抠像干净</w:t>
            </w:r>
          </w:p>
          <w:p w14:paraId="5E0FA05E">
            <w:pPr>
              <w:snapToGrid w:val="0"/>
              <w:jc w:val="left"/>
              <w:rPr>
                <w:rFonts w:hint="eastAsia" w:ascii="仿宋" w:hAnsi="仿宋" w:eastAsia="仿宋"/>
                <w:color w:val="auto"/>
              </w:rPr>
            </w:pPr>
            <w:r>
              <w:rPr>
                <w:rFonts w:hint="eastAsia" w:ascii="仿宋" w:hAnsi="仿宋" w:eastAsia="仿宋"/>
                <w:color w:val="auto"/>
              </w:rPr>
              <w:t>4.</w:t>
            </w:r>
            <w:r>
              <w:rPr>
                <w:rFonts w:ascii="仿宋" w:hAnsi="仿宋" w:eastAsia="仿宋"/>
                <w:color w:val="auto"/>
              </w:rPr>
              <w:t>桌面尺寸（定制）</w:t>
            </w:r>
            <w:r>
              <w:rPr>
                <w:rFonts w:hint="eastAsia" w:ascii="仿宋" w:hAnsi="仿宋" w:eastAsia="仿宋"/>
                <w:color w:val="auto"/>
              </w:rPr>
              <w:t>:</w:t>
            </w:r>
            <w:r>
              <w:rPr>
                <w:rFonts w:ascii="仿宋" w:hAnsi="仿宋" w:eastAsia="仿宋"/>
                <w:color w:val="auto"/>
              </w:rPr>
              <w:t>长度：1200～1800mm</w:t>
            </w:r>
            <w:r>
              <w:rPr>
                <w:rFonts w:hint="eastAsia" w:ascii="仿宋" w:hAnsi="仿宋" w:eastAsia="仿宋"/>
                <w:color w:val="auto"/>
              </w:rPr>
              <w:t>;</w:t>
            </w:r>
            <w:r>
              <w:rPr>
                <w:rFonts w:ascii="仿宋" w:hAnsi="仿宋" w:eastAsia="仿宋"/>
                <w:color w:val="auto"/>
              </w:rPr>
              <w:t>宽度：600～800mm</w:t>
            </w:r>
            <w:r>
              <w:rPr>
                <w:rFonts w:hint="eastAsia" w:ascii="仿宋" w:hAnsi="仿宋" w:eastAsia="仿宋"/>
                <w:color w:val="auto"/>
              </w:rPr>
              <w:t>;</w:t>
            </w:r>
            <w:r>
              <w:rPr>
                <w:rFonts w:ascii="仿宋" w:hAnsi="仿宋" w:eastAsia="仿宋"/>
                <w:color w:val="auto"/>
              </w:rPr>
              <w:t>高度：720～750mm</w:t>
            </w:r>
          </w:p>
          <w:p w14:paraId="5B87D1CF">
            <w:pPr>
              <w:widowControl/>
              <w:snapToGrid w:val="0"/>
              <w:jc w:val="left"/>
              <w:rPr>
                <w:rFonts w:hint="eastAsia" w:ascii="仿宋" w:hAnsi="仿宋" w:eastAsia="仿宋"/>
                <w:color w:val="auto"/>
              </w:rPr>
            </w:pPr>
            <w:r>
              <w:rPr>
                <w:rFonts w:hint="eastAsia" w:ascii="仿宋" w:hAnsi="仿宋" w:eastAsia="仿宋"/>
                <w:color w:val="auto"/>
              </w:rPr>
              <w:t>5.</w:t>
            </w:r>
            <w:r>
              <w:rPr>
                <w:rFonts w:ascii="仿宋" w:hAnsi="仿宋" w:eastAsia="仿宋"/>
                <w:color w:val="auto"/>
              </w:rPr>
              <w:t>桌体材质：高密度板材</w:t>
            </w:r>
            <w:r>
              <w:rPr>
                <w:rFonts w:hint="eastAsia" w:ascii="仿宋" w:hAnsi="仿宋" w:eastAsia="仿宋"/>
                <w:color w:val="auto"/>
              </w:rPr>
              <w:t>：</w:t>
            </w:r>
            <w:r>
              <w:rPr>
                <w:rFonts w:ascii="仿宋" w:hAnsi="仿宋" w:eastAsia="仿宋"/>
                <w:color w:val="auto"/>
              </w:rPr>
              <w:t>基材为18mm以上E1级环保刨花板，双面贴面防潮处理，坚固耐用</w:t>
            </w:r>
            <w:r>
              <w:rPr>
                <w:rFonts w:hint="eastAsia" w:ascii="仿宋" w:hAnsi="仿宋" w:eastAsia="仿宋"/>
                <w:color w:val="auto"/>
              </w:rPr>
              <w:t>。执行</w:t>
            </w:r>
            <w:r>
              <w:rPr>
                <w:rFonts w:ascii="仿宋" w:hAnsi="仿宋" w:eastAsia="仿宋"/>
                <w:color w:val="auto"/>
              </w:rPr>
              <w:t>GB/T 4897—2015</w:t>
            </w:r>
            <w:r>
              <w:rPr>
                <w:rFonts w:hint="eastAsia" w:ascii="仿宋" w:hAnsi="仿宋" w:eastAsia="仿宋"/>
                <w:color w:val="auto"/>
              </w:rPr>
              <w:t>标准。</w:t>
            </w:r>
          </w:p>
          <w:p w14:paraId="487DEFF2">
            <w:pPr>
              <w:snapToGrid w:val="0"/>
              <w:jc w:val="left"/>
              <w:rPr>
                <w:rFonts w:hint="eastAsia" w:ascii="仿宋" w:hAnsi="仿宋" w:eastAsia="仿宋"/>
                <w:color w:val="auto"/>
              </w:rPr>
            </w:pPr>
            <w:r>
              <w:rPr>
                <w:rFonts w:hint="eastAsia" w:ascii="仿宋" w:hAnsi="仿宋" w:eastAsia="仿宋"/>
                <w:color w:val="auto"/>
              </w:rPr>
              <w:t>6.</w:t>
            </w:r>
            <w:r>
              <w:rPr>
                <w:rFonts w:ascii="仿宋" w:hAnsi="仿宋" w:eastAsia="仿宋"/>
                <w:color w:val="auto"/>
              </w:rPr>
              <w:t>外观要求</w:t>
            </w:r>
            <w:r>
              <w:rPr>
                <w:rFonts w:hint="eastAsia" w:ascii="仿宋" w:hAnsi="仿宋" w:eastAsia="仿宋"/>
                <w:color w:val="auto"/>
              </w:rPr>
              <w:t>：</w:t>
            </w:r>
            <w:r>
              <w:rPr>
                <w:rFonts w:ascii="仿宋" w:hAnsi="仿宋" w:eastAsia="仿宋"/>
                <w:color w:val="auto"/>
              </w:rPr>
              <w:t>边角圆润、无尖锐棱角</w:t>
            </w:r>
          </w:p>
          <w:p w14:paraId="37D78BB0">
            <w:pPr>
              <w:snapToGrid w:val="0"/>
              <w:jc w:val="left"/>
              <w:rPr>
                <w:rFonts w:hint="eastAsia" w:ascii="仿宋" w:hAnsi="仿宋" w:eastAsia="仿宋"/>
                <w:color w:val="auto"/>
              </w:rPr>
            </w:pPr>
            <w:r>
              <w:rPr>
                <w:rFonts w:hint="eastAsia" w:ascii="仿宋" w:hAnsi="仿宋" w:eastAsia="仿宋"/>
                <w:color w:val="auto"/>
              </w:rPr>
              <w:t>7.</w:t>
            </w:r>
            <w:r>
              <w:rPr>
                <w:rFonts w:ascii="仿宋" w:hAnsi="仿宋" w:eastAsia="仿宋"/>
                <w:color w:val="auto"/>
              </w:rPr>
              <w:t>颜色：</w:t>
            </w:r>
            <w:bookmarkStart w:id="67" w:name="OLE_LINK13"/>
            <w:r>
              <w:rPr>
                <w:rFonts w:hint="eastAsia" w:ascii="仿宋" w:hAnsi="仿宋" w:eastAsia="仿宋"/>
                <w:color w:val="auto"/>
              </w:rPr>
              <w:t>与蓝箱颜色一致</w:t>
            </w:r>
            <w:bookmarkEnd w:id="67"/>
            <w:r>
              <w:rPr>
                <w:rFonts w:hint="eastAsia" w:ascii="仿宋" w:hAnsi="仿宋" w:eastAsia="仿宋"/>
                <w:color w:val="auto"/>
              </w:rPr>
              <w:t>。</w:t>
            </w:r>
          </w:p>
          <w:p w14:paraId="482035BF">
            <w:pPr>
              <w:numPr>
                <w:ilvl w:val="0"/>
                <w:numId w:val="8"/>
              </w:numPr>
              <w:snapToGrid w:val="0"/>
              <w:ind w:left="0" w:firstLine="0"/>
              <w:jc w:val="left"/>
              <w:rPr>
                <w:rFonts w:hint="eastAsia" w:ascii="仿宋" w:hAnsi="仿宋" w:eastAsia="仿宋"/>
                <w:color w:val="auto"/>
              </w:rPr>
            </w:pPr>
            <w:r>
              <w:rPr>
                <w:rFonts w:ascii="仿宋" w:hAnsi="仿宋" w:eastAsia="仿宋"/>
                <w:color w:val="auto"/>
              </w:rPr>
              <w:t>抠像专用凳 / 椅（定制）</w:t>
            </w:r>
          </w:p>
          <w:p w14:paraId="5E282F2F">
            <w:pPr>
              <w:snapToGrid w:val="0"/>
              <w:jc w:val="left"/>
              <w:rPr>
                <w:rFonts w:hint="eastAsia" w:ascii="仿宋" w:hAnsi="仿宋" w:eastAsia="仿宋"/>
                <w:color w:val="auto"/>
              </w:rPr>
            </w:pPr>
            <w:r>
              <w:rPr>
                <w:rFonts w:hint="eastAsia" w:ascii="仿宋" w:hAnsi="仿宋" w:eastAsia="仿宋"/>
                <w:color w:val="auto"/>
              </w:rPr>
              <w:t>1.</w:t>
            </w:r>
            <w:r>
              <w:rPr>
                <w:rFonts w:ascii="仿宋" w:hAnsi="仿宋" w:eastAsia="仿宋"/>
                <w:color w:val="auto"/>
              </w:rPr>
              <w:t>表面材质：哑光布料 / 哑光皮革，无反光</w:t>
            </w:r>
          </w:p>
          <w:p w14:paraId="1A920EE0">
            <w:pPr>
              <w:snapToGrid w:val="0"/>
              <w:jc w:val="left"/>
              <w:rPr>
                <w:rFonts w:hint="eastAsia" w:ascii="仿宋" w:hAnsi="仿宋" w:eastAsia="仿宋"/>
                <w:color w:val="auto"/>
              </w:rPr>
            </w:pPr>
            <w:r>
              <w:rPr>
                <w:rFonts w:hint="eastAsia" w:ascii="仿宋" w:hAnsi="仿宋" w:eastAsia="仿宋"/>
                <w:color w:val="auto"/>
              </w:rPr>
              <w:t>2.</w:t>
            </w:r>
            <w:r>
              <w:rPr>
                <w:rFonts w:ascii="仿宋" w:hAnsi="仿宋" w:eastAsia="仿宋"/>
                <w:color w:val="auto"/>
              </w:rPr>
              <w:t>颜色：</w:t>
            </w:r>
            <w:r>
              <w:rPr>
                <w:rFonts w:hint="eastAsia" w:ascii="仿宋" w:hAnsi="仿宋" w:eastAsia="仿宋"/>
                <w:color w:val="auto"/>
              </w:rPr>
              <w:t>与蓝箱颜色一致</w:t>
            </w:r>
            <w:r>
              <w:rPr>
                <w:rFonts w:ascii="仿宋" w:hAnsi="仿宋" w:eastAsia="仿宋"/>
                <w:color w:val="auto"/>
              </w:rPr>
              <w:t>（与桌面同色）</w:t>
            </w:r>
          </w:p>
          <w:p w14:paraId="0551B96F">
            <w:pPr>
              <w:snapToGrid w:val="0"/>
              <w:jc w:val="left"/>
              <w:rPr>
                <w:rFonts w:hint="eastAsia" w:ascii="仿宋" w:hAnsi="仿宋" w:eastAsia="仿宋"/>
                <w:color w:val="auto"/>
              </w:rPr>
            </w:pPr>
            <w:r>
              <w:rPr>
                <w:rFonts w:hint="eastAsia" w:ascii="仿宋" w:hAnsi="仿宋" w:eastAsia="仿宋"/>
                <w:color w:val="auto"/>
              </w:rPr>
              <w:t>3.</w:t>
            </w:r>
            <w:r>
              <w:rPr>
                <w:rFonts w:ascii="仿宋" w:hAnsi="仿宋" w:eastAsia="仿宋"/>
                <w:color w:val="auto"/>
              </w:rPr>
              <w:t>凳面尺寸</w:t>
            </w:r>
            <w:r>
              <w:rPr>
                <w:rFonts w:hint="eastAsia" w:ascii="仿宋" w:hAnsi="仿宋" w:eastAsia="仿宋"/>
                <w:color w:val="auto"/>
              </w:rPr>
              <w:t>：</w:t>
            </w:r>
            <w:r>
              <w:rPr>
                <w:rFonts w:ascii="仿宋" w:hAnsi="仿宋" w:eastAsia="仿宋"/>
                <w:color w:val="auto"/>
              </w:rPr>
              <w:t>直径 / 宽度：400～450mm</w:t>
            </w:r>
            <w:r>
              <w:rPr>
                <w:rFonts w:hint="eastAsia" w:ascii="仿宋" w:hAnsi="仿宋" w:eastAsia="仿宋"/>
                <w:color w:val="auto"/>
              </w:rPr>
              <w:t>；</w:t>
            </w:r>
            <w:r>
              <w:rPr>
                <w:rFonts w:ascii="仿宋" w:hAnsi="仿宋" w:eastAsia="仿宋"/>
                <w:color w:val="auto"/>
              </w:rPr>
              <w:t>高度：450～500mm（可定制固定高度）</w:t>
            </w:r>
          </w:p>
          <w:p w14:paraId="2DC4574E">
            <w:pPr>
              <w:snapToGrid w:val="0"/>
              <w:jc w:val="left"/>
              <w:rPr>
                <w:rFonts w:hint="eastAsia" w:ascii="仿宋" w:hAnsi="仿宋" w:eastAsia="仿宋"/>
                <w:color w:val="auto"/>
                <w:highlight w:val="yellow"/>
              </w:rPr>
            </w:pPr>
            <w:r>
              <w:rPr>
                <w:rFonts w:hint="eastAsia" w:ascii="仿宋" w:hAnsi="仿宋" w:eastAsia="仿宋"/>
                <w:color w:val="auto"/>
              </w:rPr>
              <w:t>4.</w:t>
            </w:r>
            <w:r>
              <w:rPr>
                <w:rFonts w:ascii="仿宋" w:hAnsi="仿宋" w:eastAsia="仿宋"/>
                <w:color w:val="auto"/>
              </w:rPr>
              <w:t>结构：</w:t>
            </w:r>
            <w:r>
              <w:rPr>
                <w:rFonts w:hint="eastAsia" w:ascii="仿宋" w:hAnsi="仿宋" w:eastAsia="仿宋"/>
                <w:color w:val="auto"/>
              </w:rPr>
              <w:t>2.0mm厚冷轧钢或‌不锈钢管材，</w:t>
            </w:r>
            <w:r>
              <w:rPr>
                <w:rFonts w:ascii="仿宋" w:hAnsi="仿宋" w:eastAsia="仿宋"/>
                <w:color w:val="auto"/>
              </w:rPr>
              <w:t>稳固支撑，承重≥100kg</w:t>
            </w:r>
          </w:p>
        </w:tc>
        <w:tc>
          <w:tcPr>
            <w:tcW w:w="0" w:type="auto"/>
            <w:vAlign w:val="center"/>
          </w:tcPr>
          <w:p w14:paraId="7EB274DD">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w:t>
            </w:r>
          </w:p>
        </w:tc>
        <w:tc>
          <w:tcPr>
            <w:tcW w:w="492" w:type="dxa"/>
            <w:vAlign w:val="center"/>
          </w:tcPr>
          <w:p w14:paraId="6EFA2728">
            <w:pPr>
              <w:widowControl/>
              <w:snapToGrid w:val="0"/>
              <w:jc w:val="center"/>
              <w:rPr>
                <w:rFonts w:hint="eastAsia" w:ascii="仿宋" w:hAnsi="仿宋" w:eastAsia="仿宋"/>
                <w:color w:val="auto"/>
              </w:rPr>
            </w:pPr>
            <w:r>
              <w:rPr>
                <w:rFonts w:hint="eastAsia" w:ascii="仿宋" w:hAnsi="仿宋" w:eastAsia="仿宋"/>
                <w:color w:val="auto"/>
              </w:rPr>
              <w:t>套</w:t>
            </w:r>
          </w:p>
        </w:tc>
      </w:tr>
      <w:tr w14:paraId="389E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36CD3CA">
            <w:pPr>
              <w:widowControl/>
              <w:snapToGrid w:val="0"/>
              <w:jc w:val="center"/>
              <w:rPr>
                <w:rFonts w:hint="eastAsia" w:ascii="仿宋" w:hAnsi="仿宋" w:eastAsia="仿宋"/>
                <w:color w:val="auto"/>
                <w:kern w:val="0"/>
              </w:rPr>
            </w:pPr>
            <w:r>
              <w:rPr>
                <w:rFonts w:hint="eastAsia" w:ascii="仿宋" w:hAnsi="仿宋" w:eastAsia="仿宋" w:cs="宋体"/>
                <w:color w:val="auto"/>
                <w:kern w:val="0"/>
              </w:rPr>
              <w:t>8</w:t>
            </w:r>
          </w:p>
        </w:tc>
        <w:tc>
          <w:tcPr>
            <w:tcW w:w="996" w:type="dxa"/>
            <w:vAlign w:val="center"/>
          </w:tcPr>
          <w:p w14:paraId="3855801E">
            <w:pPr>
              <w:widowControl/>
              <w:snapToGrid w:val="0"/>
              <w:jc w:val="center"/>
              <w:rPr>
                <w:rFonts w:hint="eastAsia" w:ascii="仿宋" w:hAnsi="仿宋" w:eastAsia="仿宋"/>
                <w:color w:val="auto"/>
              </w:rPr>
            </w:pPr>
            <w:r>
              <w:rPr>
                <w:rFonts w:hint="eastAsia" w:ascii="仿宋" w:hAnsi="仿宋" w:eastAsia="仿宋" w:cs="宋体"/>
                <w:color w:val="auto"/>
                <w:kern w:val="0"/>
              </w:rPr>
              <w:t>系统集成</w:t>
            </w:r>
          </w:p>
        </w:tc>
        <w:tc>
          <w:tcPr>
            <w:tcW w:w="6650" w:type="dxa"/>
            <w:vAlign w:val="center"/>
          </w:tcPr>
          <w:p w14:paraId="4C48BE8D">
            <w:pPr>
              <w:widowControl/>
              <w:snapToGrid w:val="0"/>
              <w:jc w:val="left"/>
              <w:rPr>
                <w:rFonts w:hint="eastAsia" w:ascii="仿宋" w:hAnsi="仿宋" w:eastAsia="仿宋"/>
                <w:color w:val="auto"/>
              </w:rPr>
            </w:pPr>
            <w:r>
              <w:rPr>
                <w:rFonts w:hint="eastAsia" w:ascii="仿宋" w:hAnsi="仿宋" w:eastAsia="仿宋"/>
                <w:color w:val="auto"/>
              </w:rPr>
              <w:t>含拆除、垃圾清运、设备搬运、现场调试、现场保洁等</w:t>
            </w:r>
          </w:p>
        </w:tc>
        <w:tc>
          <w:tcPr>
            <w:tcW w:w="0" w:type="auto"/>
            <w:vAlign w:val="center"/>
          </w:tcPr>
          <w:p w14:paraId="47C1B335">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3FE01EBA">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4A8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75A725E">
            <w:pPr>
              <w:widowControl/>
              <w:snapToGrid w:val="0"/>
              <w:jc w:val="center"/>
              <w:rPr>
                <w:rFonts w:hint="eastAsia" w:ascii="仿宋" w:hAnsi="仿宋" w:eastAsia="仿宋"/>
                <w:color w:val="auto"/>
                <w:kern w:val="0"/>
              </w:rPr>
            </w:pPr>
            <w:r>
              <w:rPr>
                <w:rFonts w:hint="eastAsia" w:ascii="仿宋" w:hAnsi="仿宋" w:eastAsia="仿宋"/>
                <w:color w:val="auto"/>
                <w:kern w:val="0"/>
              </w:rPr>
              <w:t>9</w:t>
            </w:r>
          </w:p>
        </w:tc>
        <w:tc>
          <w:tcPr>
            <w:tcW w:w="996" w:type="dxa"/>
            <w:vAlign w:val="center"/>
          </w:tcPr>
          <w:p w14:paraId="4C0CD76C">
            <w:pPr>
              <w:widowControl/>
              <w:snapToGrid w:val="0"/>
              <w:jc w:val="center"/>
              <w:rPr>
                <w:rFonts w:hint="eastAsia" w:ascii="仿宋" w:hAnsi="仿宋" w:eastAsia="仿宋"/>
                <w:color w:val="auto"/>
              </w:rPr>
            </w:pPr>
            <w:r>
              <w:rPr>
                <w:rFonts w:hint="eastAsia" w:ascii="仿宋" w:hAnsi="仿宋" w:eastAsia="仿宋" w:cs="宋体"/>
                <w:color w:val="auto"/>
                <w:kern w:val="0"/>
              </w:rPr>
              <w:t>项目</w:t>
            </w:r>
            <w:r>
              <w:rPr>
                <w:rFonts w:ascii="仿宋" w:hAnsi="仿宋" w:eastAsia="仿宋" w:cs="宋体"/>
                <w:color w:val="auto"/>
                <w:kern w:val="0"/>
              </w:rPr>
              <w:t>现场安装调试</w:t>
            </w:r>
          </w:p>
        </w:tc>
        <w:tc>
          <w:tcPr>
            <w:tcW w:w="6650" w:type="dxa"/>
            <w:vAlign w:val="center"/>
          </w:tcPr>
          <w:p w14:paraId="5D1F4854">
            <w:pPr>
              <w:widowControl/>
              <w:snapToGrid w:val="0"/>
              <w:jc w:val="left"/>
              <w:rPr>
                <w:rFonts w:hint="eastAsia" w:ascii="仿宋" w:hAnsi="仿宋" w:eastAsia="仿宋"/>
                <w:color w:val="auto"/>
              </w:rPr>
            </w:pPr>
            <w:r>
              <w:rPr>
                <w:rFonts w:hint="eastAsia" w:ascii="仿宋" w:hAnsi="仿宋" w:eastAsia="仿宋"/>
                <w:color w:val="auto"/>
              </w:rPr>
              <w:t>项目现场所有设备安装调试费</w:t>
            </w:r>
          </w:p>
        </w:tc>
        <w:tc>
          <w:tcPr>
            <w:tcW w:w="0" w:type="auto"/>
            <w:vAlign w:val="center"/>
          </w:tcPr>
          <w:p w14:paraId="28D95965">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7CDF04C5">
            <w:pPr>
              <w:widowControl/>
              <w:snapToGrid w:val="0"/>
              <w:jc w:val="center"/>
              <w:rPr>
                <w:rFonts w:hint="eastAsia" w:ascii="仿宋" w:hAnsi="仿宋" w:eastAsia="仿宋" w:cs="Calibri"/>
                <w:color w:val="auto"/>
                <w:kern w:val="0"/>
              </w:rPr>
            </w:pPr>
            <w:r>
              <w:rPr>
                <w:rFonts w:hint="eastAsia" w:ascii="仿宋" w:hAnsi="仿宋" w:eastAsia="仿宋"/>
                <w:color w:val="auto"/>
              </w:rPr>
              <w:t>项</w:t>
            </w:r>
          </w:p>
        </w:tc>
      </w:tr>
      <w:tr w14:paraId="21E2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28" w:type="dxa"/>
            <w:gridSpan w:val="3"/>
            <w:vAlign w:val="center"/>
          </w:tcPr>
          <w:p w14:paraId="67487F0B">
            <w:pPr>
              <w:widowControl/>
              <w:snapToGrid w:val="0"/>
              <w:jc w:val="center"/>
              <w:rPr>
                <w:rFonts w:hint="eastAsia" w:ascii="仿宋" w:hAnsi="仿宋" w:eastAsia="仿宋"/>
                <w:color w:val="auto"/>
              </w:rPr>
            </w:pPr>
            <w:r>
              <w:rPr>
                <w:rFonts w:hint="eastAsia" w:ascii="仿宋" w:hAnsi="仿宋" w:eastAsia="仿宋" w:cs="宋体"/>
                <w:b/>
                <w:bCs/>
                <w:color w:val="auto"/>
                <w:kern w:val="0"/>
                <w:sz w:val="24"/>
                <w:szCs w:val="24"/>
              </w:rPr>
              <w:t>六、录播实训室</w:t>
            </w:r>
          </w:p>
        </w:tc>
        <w:tc>
          <w:tcPr>
            <w:tcW w:w="0" w:type="auto"/>
            <w:vAlign w:val="center"/>
          </w:tcPr>
          <w:p w14:paraId="0A9FB5C9">
            <w:pPr>
              <w:widowControl/>
              <w:snapToGrid w:val="0"/>
              <w:jc w:val="center"/>
              <w:rPr>
                <w:rFonts w:hint="eastAsia" w:ascii="仿宋" w:hAnsi="仿宋" w:eastAsia="仿宋" w:cs="宋体"/>
                <w:color w:val="auto"/>
                <w:kern w:val="0"/>
              </w:rPr>
            </w:pPr>
          </w:p>
        </w:tc>
        <w:tc>
          <w:tcPr>
            <w:tcW w:w="492" w:type="dxa"/>
            <w:vAlign w:val="center"/>
          </w:tcPr>
          <w:p w14:paraId="6086A76B">
            <w:pPr>
              <w:widowControl/>
              <w:snapToGrid w:val="0"/>
              <w:jc w:val="center"/>
              <w:rPr>
                <w:rFonts w:hint="eastAsia" w:ascii="仿宋" w:hAnsi="仿宋" w:eastAsia="仿宋" w:cs="宋体"/>
                <w:color w:val="auto"/>
                <w:kern w:val="0"/>
              </w:rPr>
            </w:pPr>
          </w:p>
        </w:tc>
      </w:tr>
      <w:tr w14:paraId="7A839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73748B4">
            <w:pPr>
              <w:widowControl/>
              <w:snapToGrid w:val="0"/>
              <w:jc w:val="center"/>
              <w:rPr>
                <w:rFonts w:hint="eastAsia" w:ascii="仿宋" w:hAnsi="仿宋" w:eastAsia="仿宋"/>
                <w:color w:val="auto"/>
                <w:kern w:val="0"/>
              </w:rPr>
            </w:pPr>
            <w:bookmarkStart w:id="68" w:name="_Hlk207733074"/>
            <w:r>
              <w:rPr>
                <w:rFonts w:hint="eastAsia" w:ascii="仿宋" w:hAnsi="仿宋" w:eastAsia="仿宋" w:cs="宋体"/>
                <w:color w:val="auto"/>
                <w:kern w:val="0"/>
              </w:rPr>
              <w:t>1</w:t>
            </w:r>
          </w:p>
        </w:tc>
        <w:tc>
          <w:tcPr>
            <w:tcW w:w="996" w:type="dxa"/>
            <w:vAlign w:val="center"/>
          </w:tcPr>
          <w:p w14:paraId="42DD0C66">
            <w:pPr>
              <w:widowControl/>
              <w:snapToGrid w:val="0"/>
              <w:jc w:val="center"/>
              <w:rPr>
                <w:rFonts w:hint="eastAsia" w:ascii="仿宋" w:hAnsi="仿宋" w:eastAsia="仿宋"/>
                <w:color w:val="auto"/>
              </w:rPr>
            </w:pPr>
            <w:r>
              <w:rPr>
                <w:rFonts w:hint="eastAsia" w:ascii="仿宋" w:hAnsi="仿宋" w:eastAsia="仿宋" w:cs="宋体"/>
                <w:color w:val="auto"/>
                <w:kern w:val="0"/>
              </w:rPr>
              <w:t>资源管理平台</w:t>
            </w:r>
          </w:p>
        </w:tc>
        <w:tc>
          <w:tcPr>
            <w:tcW w:w="6650" w:type="dxa"/>
            <w:vAlign w:val="center"/>
          </w:tcPr>
          <w:p w14:paraId="32819AC6">
            <w:pPr>
              <w:widowControl/>
              <w:snapToGrid w:val="0"/>
              <w:jc w:val="left"/>
              <w:rPr>
                <w:rFonts w:hint="eastAsia" w:ascii="仿宋" w:hAnsi="仿宋" w:eastAsia="仿宋" w:cs="宋体"/>
                <w:color w:val="auto"/>
                <w:kern w:val="0"/>
              </w:rPr>
            </w:pPr>
            <w:r>
              <w:rPr>
                <w:rFonts w:hint="eastAsia" w:ascii="仿宋" w:hAnsi="仿宋" w:eastAsia="仿宋"/>
                <w:color w:val="auto"/>
              </w:rPr>
              <w:t>1.信息管理功能</w:t>
            </w:r>
            <w:r>
              <w:rPr>
                <w:rFonts w:hint="eastAsia" w:ascii="仿宋" w:hAnsi="仿宋" w:eastAsia="仿宋"/>
                <w:color w:val="auto"/>
              </w:rPr>
              <w:br w:type="textWrapping"/>
            </w:r>
            <w:r>
              <w:rPr>
                <w:rFonts w:hint="eastAsia" w:ascii="仿宋" w:hAnsi="仿宋" w:eastAsia="仿宋"/>
                <w:color w:val="auto"/>
              </w:rPr>
              <w:t>（1）录播管理：支持把录播设备接入平台，实现自动转码、无缝直播点播，并具备直播和点播功能。支持对录播进行远程关机、休眠唤醒、启动录制等操作。</w:t>
            </w:r>
            <w:r>
              <w:rPr>
                <w:rFonts w:hint="eastAsia" w:ascii="仿宋" w:hAnsi="仿宋" w:eastAsia="仿宋"/>
                <w:color w:val="auto"/>
              </w:rPr>
              <w:br w:type="textWrapping"/>
            </w:r>
            <w:r>
              <w:rPr>
                <w:rFonts w:hint="eastAsia" w:ascii="仿宋" w:hAnsi="仿宋" w:eastAsia="仿宋"/>
                <w:color w:val="auto"/>
              </w:rPr>
              <w:t>（2）多级平台对接：支持校平台与上级区平台进行对接，校平台资源可像区平台提交数据资源。</w:t>
            </w:r>
            <w:r>
              <w:rPr>
                <w:rFonts w:hint="eastAsia" w:ascii="仿宋" w:hAnsi="仿宋" w:eastAsia="仿宋"/>
                <w:color w:val="auto"/>
              </w:rPr>
              <w:br w:type="textWrapping"/>
            </w:r>
            <w:r>
              <w:rPr>
                <w:rFonts w:hint="eastAsia" w:ascii="仿宋" w:hAnsi="仿宋" w:eastAsia="仿宋"/>
                <w:color w:val="auto"/>
              </w:rPr>
              <w:t>（3）录制预约：平台支持用户远程进行在线录课预约，可实现单个或批量预约；支持预约信息的申请。支持用户手机扫码预约录制，扫码后手机端填写录播预约信息即可快速完成预约，录制结束后也可扫码在平台回顾或下载已录制的视频。</w:t>
            </w:r>
            <w:r>
              <w:rPr>
                <w:rFonts w:hint="eastAsia" w:ascii="仿宋" w:hAnsi="仿宋" w:eastAsia="仿宋"/>
                <w:color w:val="auto"/>
              </w:rPr>
              <w:br w:type="textWrapping"/>
            </w:r>
            <w:r>
              <w:rPr>
                <w:rFonts w:hint="eastAsia" w:ascii="仿宋" w:hAnsi="仿宋" w:eastAsia="仿宋"/>
                <w:color w:val="auto"/>
              </w:rPr>
              <w:t>（4）资源颗粒度管理：支持视频资源多维度分类，如按年级、学科等分类管理，支持用户自定义分类类型。并支持根据发布时间、用户推荐度和点击热度的不同维度在平台呈现。</w:t>
            </w:r>
            <w:r>
              <w:rPr>
                <w:rFonts w:hint="eastAsia" w:ascii="仿宋" w:hAnsi="仿宋" w:eastAsia="仿宋"/>
                <w:color w:val="auto"/>
              </w:rPr>
              <w:br w:type="textWrapping"/>
            </w:r>
            <w:r>
              <w:rPr>
                <w:rFonts w:hint="eastAsia" w:ascii="仿宋" w:hAnsi="仿宋" w:eastAsia="仿宋"/>
                <w:color w:val="auto"/>
              </w:rPr>
              <w:t>（5）视频专辑：支持用户可灵活创建各种视频专辑，并自定义专辑类型，可将一同类型的视频进行归类，便于视频的归整和便捷查询。</w:t>
            </w:r>
            <w:r>
              <w:rPr>
                <w:rFonts w:hint="eastAsia" w:ascii="仿宋" w:hAnsi="仿宋" w:eastAsia="仿宋"/>
                <w:color w:val="auto"/>
              </w:rPr>
              <w:br w:type="textWrapping"/>
            </w:r>
            <w:r>
              <w:rPr>
                <w:rFonts w:hint="eastAsia" w:ascii="仿宋" w:hAnsi="仿宋" w:eastAsia="仿宋"/>
                <w:color w:val="auto"/>
              </w:rPr>
              <w:t>（6）公告发布：平台首页提供公告模块，支持通过平台发布校务公告、活动通知、时势新闻等多种类型公告。公告支持按定义的类型进行归类查询，支持用户自定义公告类型。</w:t>
            </w:r>
            <w:r>
              <w:rPr>
                <w:rFonts w:hint="eastAsia" w:ascii="仿宋" w:hAnsi="仿宋" w:eastAsia="仿宋"/>
                <w:color w:val="auto"/>
              </w:rPr>
              <w:br w:type="textWrapping"/>
            </w:r>
            <w:r>
              <w:rPr>
                <w:rFonts w:hint="eastAsia" w:ascii="仿宋" w:hAnsi="仿宋" w:eastAsia="仿宋"/>
                <w:color w:val="auto"/>
              </w:rPr>
              <w:t>（7）自动转码功能：支持视频下载、上传、编辑、管理。可实现所有主流视频文件格式自动转码，包括asf、mpg、rmvb、mov、rm、avi、3gp、wmv、flv、mp4等，可设置下载及观看权限，可设置高标清转码清晰度码流。</w:t>
            </w:r>
            <w:r>
              <w:rPr>
                <w:rFonts w:hint="eastAsia" w:ascii="仿宋" w:hAnsi="仿宋" w:eastAsia="仿宋"/>
                <w:color w:val="auto"/>
              </w:rPr>
              <w:br w:type="textWrapping"/>
            </w:r>
            <w:r>
              <w:rPr>
                <w:rFonts w:hint="eastAsia" w:ascii="仿宋" w:hAnsi="仿宋" w:eastAsia="仿宋"/>
                <w:color w:val="auto"/>
              </w:rPr>
              <w:t>（8）文件检索：支持关键字搜索功能，用户可直接在资源管理平台的页面搜索框输入关键字，对某个视频标题、知识点进行搜索。</w:t>
            </w:r>
            <w:r>
              <w:rPr>
                <w:rFonts w:hint="eastAsia" w:ascii="仿宋" w:hAnsi="仿宋" w:eastAsia="仿宋"/>
                <w:color w:val="auto"/>
              </w:rPr>
              <w:br w:type="textWrapping"/>
            </w:r>
            <w:r>
              <w:rPr>
                <w:rFonts w:hint="eastAsia" w:ascii="仿宋" w:hAnsi="仿宋" w:eastAsia="仿宋"/>
                <w:color w:val="auto"/>
              </w:rPr>
              <w:t>（9）快捷置灰：支持平台肤色快捷置灰功能，切合特殊纪念日氛围。</w:t>
            </w:r>
            <w:r>
              <w:rPr>
                <w:rFonts w:hint="eastAsia" w:ascii="仿宋" w:hAnsi="仿宋" w:eastAsia="仿宋"/>
                <w:color w:val="auto"/>
              </w:rPr>
              <w:br w:type="textWrapping"/>
            </w:r>
            <w:r>
              <w:rPr>
                <w:rFonts w:hint="eastAsia" w:ascii="仿宋" w:hAnsi="仿宋" w:eastAsia="仿宋"/>
                <w:color w:val="auto"/>
              </w:rPr>
              <w:t>（10）指定播放：支持设置指定播放源，用户点击任意视频均强制播放指定视频源，便于学校进行重要视频的统一播放和管理。</w:t>
            </w:r>
            <w:r>
              <w:rPr>
                <w:rFonts w:hint="eastAsia" w:ascii="仿宋" w:hAnsi="仿宋" w:eastAsia="仿宋"/>
                <w:color w:val="auto"/>
              </w:rPr>
              <w:br w:type="textWrapping"/>
            </w:r>
            <w:r>
              <w:rPr>
                <w:rFonts w:hint="eastAsia" w:ascii="仿宋" w:hAnsi="仿宋" w:eastAsia="仿宋"/>
                <w:color w:val="auto"/>
              </w:rPr>
              <w:t>2.直播点播功能</w:t>
            </w:r>
            <w:r>
              <w:rPr>
                <w:rFonts w:hint="eastAsia" w:ascii="仿宋" w:hAnsi="仿宋" w:eastAsia="仿宋"/>
                <w:color w:val="auto"/>
              </w:rPr>
              <w:br w:type="textWrapping"/>
            </w:r>
            <w:r>
              <w:rPr>
                <w:rFonts w:hint="eastAsia" w:ascii="仿宋" w:hAnsi="仿宋" w:eastAsia="仿宋"/>
                <w:color w:val="auto"/>
              </w:rPr>
              <w:t>（1）基于FLV、HLS主流协议直播技术，无需安装插件即可进行跨平台（Windows、Linux、IOS等）视频点播观看。</w:t>
            </w:r>
            <w:r>
              <w:rPr>
                <w:rFonts w:hint="eastAsia" w:ascii="仿宋" w:hAnsi="仿宋" w:eastAsia="仿宋"/>
                <w:color w:val="auto"/>
              </w:rPr>
              <w:br w:type="textWrapping"/>
            </w:r>
            <w:r>
              <w:rPr>
                <w:rFonts w:hint="eastAsia" w:ascii="仿宋" w:hAnsi="仿宋" w:eastAsia="仿宋"/>
                <w:color w:val="auto"/>
              </w:rPr>
              <w:t>（2）支持流媒体转发服务，平台支持不少于200点以上高清直播功能。</w:t>
            </w:r>
            <w:r>
              <w:rPr>
                <w:rFonts w:hint="eastAsia" w:ascii="仿宋" w:hAnsi="仿宋" w:eastAsia="仿宋"/>
                <w:color w:val="auto"/>
              </w:rPr>
              <w:br w:type="textWrapping"/>
            </w:r>
            <w:r>
              <w:rPr>
                <w:rFonts w:hint="eastAsia" w:ascii="仿宋" w:hAnsi="仿宋" w:eastAsia="仿宋"/>
                <w:color w:val="auto"/>
              </w:rPr>
              <w:t>（3）集群技术：支持直播集群技术，以支持系统的横向拓展，随系统应用规模的拓展逐渐增加转发服务器以支持更大规模直播。</w:t>
            </w:r>
            <w:r>
              <w:rPr>
                <w:rFonts w:hint="eastAsia" w:ascii="仿宋" w:hAnsi="仿宋" w:eastAsia="仿宋"/>
                <w:color w:val="auto"/>
              </w:rPr>
              <w:br w:type="textWrapping"/>
            </w:r>
            <w:r>
              <w:rPr>
                <w:rFonts w:hint="eastAsia" w:ascii="仿宋" w:hAnsi="仿宋" w:eastAsia="仿宋"/>
                <w:color w:val="auto"/>
              </w:rPr>
              <w:t>（4）多码率支持：点播视频时可根据网络情况在播放器窗口进行高标清切换观看。</w:t>
            </w:r>
            <w:r>
              <w:rPr>
                <w:rFonts w:hint="eastAsia" w:ascii="仿宋" w:hAnsi="仿宋" w:eastAsia="仿宋"/>
                <w:color w:val="auto"/>
              </w:rPr>
              <w:br w:type="textWrapping"/>
            </w:r>
            <w:r>
              <w:rPr>
                <w:rFonts w:hint="eastAsia" w:ascii="仿宋" w:hAnsi="仿宋" w:eastAsia="仿宋"/>
                <w:color w:val="auto"/>
              </w:rPr>
              <w:t>（5）支持直播权限及密码设置，让直播信息更加安全。</w:t>
            </w:r>
            <w:r>
              <w:rPr>
                <w:rFonts w:hint="eastAsia" w:ascii="仿宋" w:hAnsi="仿宋" w:eastAsia="仿宋"/>
                <w:color w:val="auto"/>
              </w:rPr>
              <w:br w:type="textWrapping"/>
            </w:r>
            <w:r>
              <w:rPr>
                <w:rFonts w:hint="eastAsia" w:ascii="仿宋" w:hAnsi="仿宋" w:eastAsia="仿宋"/>
                <w:color w:val="auto"/>
              </w:rPr>
              <w:t>（6）支持上传教案、课件等视频附件，附件可与视频进行绑定。支持word、excel、ppt、PDF、jpeg等格式。用户在点播视频时下载附件。</w:t>
            </w:r>
            <w:r>
              <w:rPr>
                <w:rFonts w:hint="eastAsia" w:ascii="仿宋" w:hAnsi="仿宋" w:eastAsia="仿宋"/>
                <w:color w:val="auto"/>
              </w:rPr>
              <w:br w:type="textWrapping"/>
            </w:r>
            <w:r>
              <w:rPr>
                <w:rFonts w:hint="eastAsia" w:ascii="仿宋" w:hAnsi="仿宋" w:eastAsia="仿宋"/>
                <w:color w:val="auto"/>
              </w:rPr>
              <w:t>（7）提供视频转发分享功能，支持二维码分享和一键转发分享至新浪微博、QQ、微信等社交平台中。</w:t>
            </w:r>
            <w:r>
              <w:rPr>
                <w:rFonts w:hint="eastAsia" w:ascii="仿宋" w:hAnsi="仿宋" w:eastAsia="仿宋"/>
                <w:color w:val="auto"/>
              </w:rPr>
              <w:br w:type="textWrapping"/>
            </w:r>
            <w:r>
              <w:rPr>
                <w:rFonts w:hint="eastAsia" w:ascii="仿宋" w:hAnsi="仿宋" w:eastAsia="仿宋"/>
                <w:color w:val="auto"/>
              </w:rPr>
              <w:t>3.移动APP应用服务</w:t>
            </w:r>
            <w:r>
              <w:rPr>
                <w:rFonts w:hint="eastAsia" w:ascii="仿宋" w:hAnsi="仿宋" w:eastAsia="仿宋"/>
                <w:color w:val="auto"/>
              </w:rPr>
              <w:br w:type="textWrapping"/>
            </w:r>
            <w:r>
              <w:rPr>
                <w:rFonts w:hint="eastAsia" w:ascii="仿宋" w:hAnsi="仿宋" w:eastAsia="仿宋"/>
                <w:color w:val="auto"/>
              </w:rPr>
              <w:t>（1）提供自主研发的平台移动端APP，支持Android系统，可与视频资源管理平台对接。</w:t>
            </w:r>
            <w:r>
              <w:rPr>
                <w:rFonts w:hint="eastAsia" w:ascii="仿宋" w:hAnsi="仿宋" w:eastAsia="仿宋"/>
                <w:color w:val="auto"/>
              </w:rPr>
              <w:br w:type="textWrapping"/>
            </w:r>
            <w:r>
              <w:rPr>
                <w:rFonts w:hint="eastAsia" w:ascii="仿宋" w:hAnsi="仿宋" w:eastAsia="仿宋"/>
                <w:color w:val="auto"/>
              </w:rPr>
              <w:t>（2）移动端APP应提供视频在线直播、视频点播、专辑点播等功能。</w:t>
            </w:r>
            <w:r>
              <w:rPr>
                <w:rFonts w:hint="eastAsia" w:ascii="仿宋" w:hAnsi="仿宋" w:eastAsia="仿宋"/>
                <w:color w:val="auto"/>
              </w:rPr>
              <w:br w:type="textWrapping"/>
            </w:r>
            <w:r>
              <w:rPr>
                <w:rFonts w:hint="eastAsia" w:ascii="仿宋" w:hAnsi="仿宋" w:eastAsia="仿宋"/>
                <w:color w:val="auto"/>
              </w:rPr>
              <w:t>（3）移动端同步支持虚拟切片功能，实现知识点的快速跳转观看、学习，提高学生的学习效率。</w:t>
            </w:r>
            <w:r>
              <w:rPr>
                <w:rFonts w:hint="eastAsia" w:ascii="仿宋" w:hAnsi="仿宋" w:eastAsia="仿宋"/>
                <w:color w:val="auto"/>
              </w:rPr>
              <w:br w:type="textWrapping"/>
            </w:r>
            <w:r>
              <w:rPr>
                <w:rFonts w:hint="eastAsia" w:ascii="仿宋" w:hAnsi="仿宋" w:eastAsia="仿宋"/>
                <w:color w:val="auto"/>
              </w:rPr>
              <w:t>（4）支持移动端APP点播视频时查看视频信息、视频附件。</w:t>
            </w:r>
          </w:p>
        </w:tc>
        <w:tc>
          <w:tcPr>
            <w:tcW w:w="0" w:type="auto"/>
            <w:vAlign w:val="center"/>
          </w:tcPr>
          <w:p w14:paraId="7B00B1E3">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6812E8AB">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64FC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A749031">
            <w:pPr>
              <w:widowControl/>
              <w:snapToGrid w:val="0"/>
              <w:jc w:val="center"/>
              <w:rPr>
                <w:rFonts w:hint="eastAsia" w:ascii="仿宋" w:hAnsi="仿宋" w:eastAsia="仿宋"/>
                <w:color w:val="auto"/>
                <w:kern w:val="0"/>
              </w:rPr>
            </w:pPr>
            <w:r>
              <w:rPr>
                <w:rFonts w:hint="eastAsia" w:ascii="仿宋" w:hAnsi="仿宋" w:eastAsia="仿宋" w:cs="宋体"/>
                <w:color w:val="auto"/>
                <w:kern w:val="0"/>
              </w:rPr>
              <w:t>2</w:t>
            </w:r>
          </w:p>
        </w:tc>
        <w:tc>
          <w:tcPr>
            <w:tcW w:w="996" w:type="dxa"/>
            <w:vAlign w:val="center"/>
          </w:tcPr>
          <w:p w14:paraId="41191698">
            <w:pPr>
              <w:widowControl/>
              <w:snapToGrid w:val="0"/>
              <w:jc w:val="center"/>
              <w:rPr>
                <w:rFonts w:hint="eastAsia" w:ascii="仿宋" w:hAnsi="仿宋" w:eastAsia="仿宋"/>
                <w:color w:val="auto"/>
              </w:rPr>
            </w:pPr>
            <w:r>
              <w:rPr>
                <w:rFonts w:hint="eastAsia" w:ascii="仿宋" w:hAnsi="仿宋" w:eastAsia="仿宋" w:cs="宋体"/>
                <w:color w:val="auto"/>
                <w:kern w:val="0"/>
              </w:rPr>
              <w:t>服务器</w:t>
            </w:r>
          </w:p>
        </w:tc>
        <w:tc>
          <w:tcPr>
            <w:tcW w:w="6650" w:type="dxa"/>
            <w:vAlign w:val="center"/>
          </w:tcPr>
          <w:p w14:paraId="59A3A0E1">
            <w:pPr>
              <w:widowControl/>
              <w:snapToGrid w:val="0"/>
              <w:jc w:val="left"/>
              <w:rPr>
                <w:rFonts w:hint="eastAsia" w:ascii="仿宋" w:hAnsi="仿宋" w:eastAsia="仿宋" w:cs="宋体"/>
                <w:color w:val="auto"/>
                <w:kern w:val="0"/>
              </w:rPr>
            </w:pPr>
            <w:r>
              <w:rPr>
                <w:rFonts w:hint="eastAsia" w:ascii="仿宋" w:hAnsi="仿宋" w:eastAsia="仿宋"/>
                <w:color w:val="auto"/>
              </w:rPr>
              <w:t>1、处理器：E5-2680V4 (35M/2.4GHz/14C/120W)；</w:t>
            </w:r>
            <w:r>
              <w:rPr>
                <w:rFonts w:hint="eastAsia" w:ascii="仿宋" w:hAnsi="仿宋" w:eastAsia="仿宋"/>
                <w:color w:val="auto"/>
              </w:rPr>
              <w:br w:type="textWrapping"/>
            </w:r>
            <w:r>
              <w:rPr>
                <w:rFonts w:hint="eastAsia" w:ascii="仿宋" w:hAnsi="仿宋" w:eastAsia="仿宋"/>
                <w:color w:val="auto"/>
              </w:rPr>
              <w:t>2、芯片组：英特尔</w:t>
            </w:r>
            <w:r>
              <w:rPr>
                <w:rFonts w:ascii="仿宋" w:eastAsia="仿宋" w:cs="Calibri"/>
                <w:color w:val="auto"/>
              </w:rPr>
              <w:t>®</w:t>
            </w:r>
            <w:r>
              <w:rPr>
                <w:rFonts w:hint="eastAsia" w:ascii="仿宋" w:hAnsi="仿宋" w:eastAsia="仿宋"/>
                <w:color w:val="auto"/>
              </w:rPr>
              <w:t xml:space="preserve"> C612芯片组；</w:t>
            </w:r>
            <w:r>
              <w:rPr>
                <w:rFonts w:hint="eastAsia" w:ascii="仿宋" w:hAnsi="仿宋" w:eastAsia="仿宋"/>
                <w:color w:val="auto"/>
              </w:rPr>
              <w:br w:type="textWrapping"/>
            </w:r>
            <w:r>
              <w:rPr>
                <w:rFonts w:hint="eastAsia" w:ascii="仿宋" w:hAnsi="仿宋" w:eastAsia="仿宋"/>
                <w:color w:val="auto"/>
              </w:rPr>
              <w:t>3、内存类型：DDR4ECC-R；</w:t>
            </w:r>
            <w:r>
              <w:rPr>
                <w:rFonts w:hint="eastAsia" w:ascii="仿宋" w:hAnsi="仿宋" w:eastAsia="仿宋"/>
                <w:color w:val="auto"/>
              </w:rPr>
              <w:br w:type="textWrapping"/>
            </w:r>
            <w:r>
              <w:rPr>
                <w:rFonts w:hint="eastAsia" w:ascii="仿宋" w:hAnsi="仿宋" w:eastAsia="仿宋"/>
                <w:color w:val="auto"/>
              </w:rPr>
              <w:t>4、内存大小：16G；</w:t>
            </w:r>
            <w:r>
              <w:rPr>
                <w:rFonts w:hint="eastAsia" w:ascii="仿宋" w:hAnsi="仿宋" w:eastAsia="仿宋"/>
                <w:color w:val="auto"/>
              </w:rPr>
              <w:br w:type="textWrapping"/>
            </w:r>
            <w:r>
              <w:rPr>
                <w:rFonts w:hint="eastAsia" w:ascii="仿宋" w:hAnsi="仿宋" w:eastAsia="仿宋"/>
                <w:color w:val="auto"/>
              </w:rPr>
              <w:t>5、硬盘类型：3.5寸SATA硬盘；</w:t>
            </w:r>
            <w:r>
              <w:rPr>
                <w:rFonts w:hint="eastAsia" w:ascii="仿宋" w:hAnsi="仿宋" w:eastAsia="仿宋"/>
                <w:color w:val="auto"/>
              </w:rPr>
              <w:br w:type="textWrapping"/>
            </w:r>
            <w:r>
              <w:rPr>
                <w:rFonts w:hint="eastAsia" w:ascii="仿宋" w:hAnsi="仿宋" w:eastAsia="仿宋"/>
                <w:color w:val="auto"/>
              </w:rPr>
              <w:t>6、硬盘大小：4T；</w:t>
            </w:r>
            <w:r>
              <w:rPr>
                <w:rFonts w:hint="eastAsia" w:ascii="仿宋" w:hAnsi="仿宋" w:eastAsia="仿宋"/>
                <w:color w:val="auto"/>
              </w:rPr>
              <w:br w:type="textWrapping"/>
            </w:r>
            <w:r>
              <w:rPr>
                <w:rFonts w:hint="eastAsia" w:ascii="仿宋" w:hAnsi="仿宋" w:eastAsia="仿宋"/>
                <w:color w:val="auto"/>
              </w:rPr>
              <w:t>7、网络控制器：千兆自适应以太网控制器（RJ45接口）；</w:t>
            </w:r>
            <w:r>
              <w:rPr>
                <w:rFonts w:hint="eastAsia" w:ascii="仿宋" w:hAnsi="仿宋" w:eastAsia="仿宋"/>
                <w:color w:val="auto"/>
              </w:rPr>
              <w:br w:type="textWrapping"/>
            </w:r>
            <w:r>
              <w:rPr>
                <w:rFonts w:hint="eastAsia" w:ascii="仿宋" w:hAnsi="仿宋" w:eastAsia="仿宋"/>
                <w:color w:val="auto"/>
              </w:rPr>
              <w:t>8、显卡：Aspeed AST2400 BMC；</w:t>
            </w:r>
            <w:r>
              <w:rPr>
                <w:rFonts w:hint="eastAsia" w:ascii="仿宋" w:hAnsi="仿宋" w:eastAsia="仿宋"/>
                <w:color w:val="auto"/>
              </w:rPr>
              <w:br w:type="textWrapping"/>
            </w:r>
            <w:r>
              <w:rPr>
                <w:rFonts w:hint="eastAsia" w:ascii="仿宋" w:hAnsi="仿宋" w:eastAsia="仿宋"/>
                <w:color w:val="auto"/>
              </w:rPr>
              <w:t>9、后面板接口：1 x VGA、1 x COM、4 x USB（2 x USB2.0，2 x USB3.0）、2 x RJ45网口、1 x RJ45管理口；</w:t>
            </w:r>
            <w:r>
              <w:rPr>
                <w:rFonts w:hint="eastAsia" w:ascii="仿宋" w:hAnsi="仿宋" w:eastAsia="仿宋"/>
                <w:color w:val="auto"/>
              </w:rPr>
              <w:br w:type="textWrapping"/>
            </w:r>
            <w:r>
              <w:rPr>
                <w:rFonts w:hint="eastAsia" w:ascii="仿宋" w:hAnsi="仿宋" w:eastAsia="仿宋"/>
                <w:color w:val="auto"/>
              </w:rPr>
              <w:t>10、前面板接口：2 x USB2.0；</w:t>
            </w:r>
            <w:r>
              <w:rPr>
                <w:rFonts w:hint="eastAsia" w:ascii="仿宋" w:hAnsi="仿宋" w:eastAsia="仿宋"/>
                <w:color w:val="auto"/>
              </w:rPr>
              <w:br w:type="textWrapping"/>
            </w:r>
            <w:r>
              <w:rPr>
                <w:rFonts w:hint="eastAsia" w:ascii="仿宋" w:hAnsi="仿宋" w:eastAsia="仿宋"/>
                <w:color w:val="auto"/>
              </w:rPr>
              <w:t>11、外形尺寸：1U机架式，尺寸≤670mm（深）× 440mm（宽）× 44mm（高）</w:t>
            </w:r>
            <w:r>
              <w:rPr>
                <w:rFonts w:hint="eastAsia" w:ascii="仿宋" w:hAnsi="仿宋" w:eastAsia="仿宋"/>
                <w:color w:val="auto"/>
              </w:rPr>
              <w:br w:type="textWrapping"/>
            </w:r>
            <w:r>
              <w:rPr>
                <w:rFonts w:hint="eastAsia" w:ascii="仿宋" w:hAnsi="仿宋" w:eastAsia="仿宋"/>
                <w:color w:val="auto"/>
              </w:rPr>
              <w:t>12、交流电源输入：110V-240V，47～63 Hz。</w:t>
            </w:r>
          </w:p>
        </w:tc>
        <w:tc>
          <w:tcPr>
            <w:tcW w:w="0" w:type="auto"/>
            <w:vAlign w:val="center"/>
          </w:tcPr>
          <w:p w14:paraId="58ECAD61">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0DC46DE3">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1DDE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012BF1A3">
            <w:pPr>
              <w:widowControl/>
              <w:snapToGrid w:val="0"/>
              <w:jc w:val="center"/>
              <w:rPr>
                <w:rFonts w:hint="eastAsia" w:ascii="仿宋" w:hAnsi="仿宋" w:eastAsia="仿宋"/>
                <w:color w:val="auto"/>
                <w:kern w:val="0"/>
              </w:rPr>
            </w:pPr>
            <w:r>
              <w:rPr>
                <w:rFonts w:hint="eastAsia" w:ascii="仿宋" w:hAnsi="仿宋" w:eastAsia="仿宋" w:cs="宋体"/>
                <w:color w:val="auto"/>
                <w:kern w:val="0"/>
              </w:rPr>
              <w:t>3</w:t>
            </w:r>
          </w:p>
        </w:tc>
        <w:tc>
          <w:tcPr>
            <w:tcW w:w="996" w:type="dxa"/>
            <w:vAlign w:val="center"/>
          </w:tcPr>
          <w:p w14:paraId="37769F21">
            <w:pPr>
              <w:widowControl/>
              <w:snapToGrid w:val="0"/>
              <w:jc w:val="center"/>
              <w:rPr>
                <w:rFonts w:hint="eastAsia" w:ascii="仿宋" w:hAnsi="仿宋" w:eastAsia="仿宋"/>
                <w:color w:val="auto"/>
              </w:rPr>
            </w:pPr>
            <w:r>
              <w:rPr>
                <w:rFonts w:hint="eastAsia" w:ascii="仿宋" w:hAnsi="仿宋" w:eastAsia="仿宋" w:cs="宋体"/>
                <w:color w:val="auto"/>
                <w:kern w:val="0"/>
              </w:rPr>
              <w:t>4K录播一体机（核心产品）</w:t>
            </w:r>
          </w:p>
        </w:tc>
        <w:tc>
          <w:tcPr>
            <w:tcW w:w="6650" w:type="dxa"/>
            <w:vAlign w:val="center"/>
          </w:tcPr>
          <w:p w14:paraId="4A086913">
            <w:pPr>
              <w:widowControl/>
              <w:snapToGrid w:val="0"/>
              <w:jc w:val="left"/>
              <w:rPr>
                <w:rFonts w:hint="eastAsia" w:ascii="仿宋" w:hAnsi="仿宋" w:eastAsia="仿宋"/>
                <w:color w:val="auto"/>
              </w:rPr>
            </w:pPr>
            <w:r>
              <w:rPr>
                <w:rFonts w:hint="eastAsia" w:ascii="仿宋" w:hAnsi="仿宋" w:eastAsia="仿宋"/>
                <w:color w:val="auto"/>
              </w:rPr>
              <w:t>主机一体化：音频编码、视频编码、音视频处理、录制、导播、自动跟踪、存储、点播、互动等多功能一体；</w:t>
            </w:r>
          </w:p>
          <w:p w14:paraId="39EF98F4">
            <w:pPr>
              <w:widowControl/>
              <w:snapToGrid w:val="0"/>
              <w:jc w:val="left"/>
              <w:rPr>
                <w:rFonts w:hint="eastAsia" w:ascii="仿宋" w:hAnsi="仿宋" w:eastAsia="仿宋"/>
                <w:color w:val="auto"/>
              </w:rPr>
            </w:pPr>
            <w:r>
              <w:rPr>
                <w:rFonts w:hint="eastAsia" w:ascii="仿宋" w:hAnsi="仿宋" w:eastAsia="仿宋"/>
                <w:color w:val="auto"/>
              </w:rPr>
              <w:t>▲2.主机采用国产化芯片，CPU 核心数≥8；</w:t>
            </w:r>
          </w:p>
          <w:p w14:paraId="3CC0ACB1">
            <w:pPr>
              <w:widowControl/>
              <w:snapToGrid w:val="0"/>
              <w:jc w:val="left"/>
              <w:rPr>
                <w:rFonts w:hint="eastAsia" w:ascii="仿宋" w:hAnsi="仿宋" w:eastAsia="仿宋"/>
                <w:color w:val="auto"/>
              </w:rPr>
            </w:pPr>
            <w:r>
              <w:rPr>
                <w:rFonts w:hint="eastAsia" w:ascii="仿宋" w:hAnsi="仿宋" w:eastAsia="仿宋"/>
                <w:color w:val="auto"/>
              </w:rPr>
              <w:t>★3.主机支持数字视频接口 D-Video（RJ45）≥5，HDMI 输入≥2，HDMI 输出≥2路；</w:t>
            </w:r>
            <w:r>
              <w:rPr>
                <w:rFonts w:hint="eastAsia" w:ascii="仿宋" w:hAnsi="仿宋" w:eastAsia="仿宋" w:cs="宋体"/>
                <w:b/>
                <w:bCs/>
                <w:color w:val="auto"/>
              </w:rPr>
              <w:t>须提供国家认可的第三方检测机构出具的、处于有效期内的、带有CMA或CNAS标识的产品检测报告，且检测参数覆盖采购需求相关技术指标，否则视为无效证明材料。</w:t>
            </w:r>
          </w:p>
          <w:p w14:paraId="1531003C">
            <w:pPr>
              <w:widowControl/>
              <w:snapToGrid w:val="0"/>
              <w:jc w:val="left"/>
              <w:rPr>
                <w:rFonts w:hint="eastAsia" w:ascii="仿宋" w:hAnsi="仿宋" w:eastAsia="仿宋"/>
                <w:color w:val="auto"/>
              </w:rPr>
            </w:pPr>
            <w:r>
              <w:rPr>
                <w:rFonts w:hint="eastAsia" w:ascii="仿宋" w:hAnsi="仿宋" w:eastAsia="仿宋"/>
                <w:color w:val="auto"/>
              </w:rPr>
              <w:t>▲4.主机支持线性音频输入与数字音频输入：Line in≥2，Line out≥2，D-Mic（RJ45）≥4；</w:t>
            </w:r>
            <w:r>
              <w:rPr>
                <w:rFonts w:hint="eastAsia" w:ascii="仿宋" w:hAnsi="仿宋" w:eastAsia="仿宋" w:cs="宋体"/>
                <w:b/>
                <w:bCs/>
                <w:color w:val="auto"/>
              </w:rPr>
              <w:t>须提供国家认可的第三方检测机构出具的、处于有效期内的、带有CMA或CNAS标识的产品检测报告，且检测参数覆盖采购需求相关技术指标，否则视为无效证明材料。</w:t>
            </w:r>
          </w:p>
          <w:p w14:paraId="0A83AF36">
            <w:pPr>
              <w:widowControl/>
              <w:snapToGrid w:val="0"/>
              <w:jc w:val="left"/>
              <w:rPr>
                <w:rFonts w:hint="eastAsia" w:ascii="仿宋" w:hAnsi="仿宋" w:eastAsia="仿宋"/>
                <w:color w:val="auto"/>
              </w:rPr>
            </w:pPr>
            <w:r>
              <w:rPr>
                <w:rFonts w:hint="eastAsia" w:ascii="仿宋" w:hAnsi="仿宋" w:eastAsia="仿宋"/>
                <w:color w:val="auto"/>
              </w:rPr>
              <w:t>5. 网口 RJ45≥1，100/1000M 自适应；</w:t>
            </w:r>
          </w:p>
          <w:p w14:paraId="3DC394D0">
            <w:pPr>
              <w:widowControl/>
              <w:snapToGrid w:val="0"/>
              <w:jc w:val="left"/>
              <w:rPr>
                <w:rFonts w:hint="eastAsia" w:ascii="仿宋" w:hAnsi="仿宋" w:eastAsia="仿宋"/>
                <w:color w:val="auto"/>
              </w:rPr>
            </w:pPr>
            <w:r>
              <w:rPr>
                <w:rFonts w:hint="eastAsia" w:ascii="仿宋" w:hAnsi="仿宋" w:eastAsia="仿宋"/>
                <w:color w:val="auto"/>
              </w:rPr>
              <w:t>6. 系统存储≥2T；</w:t>
            </w:r>
          </w:p>
          <w:p w14:paraId="76557405">
            <w:pPr>
              <w:widowControl/>
              <w:snapToGrid w:val="0"/>
              <w:jc w:val="left"/>
              <w:rPr>
                <w:rFonts w:hint="eastAsia" w:ascii="仿宋" w:hAnsi="仿宋" w:eastAsia="仿宋"/>
                <w:color w:val="auto"/>
              </w:rPr>
            </w:pPr>
            <w:r>
              <w:rPr>
                <w:rFonts w:hint="eastAsia" w:ascii="仿宋" w:hAnsi="仿宋" w:eastAsia="仿宋"/>
                <w:color w:val="auto"/>
              </w:rPr>
              <w:t>7. 支持与高清摄像机视频采集传输无需编解码、声画同步；</w:t>
            </w:r>
          </w:p>
          <w:p w14:paraId="09D81CD3">
            <w:pPr>
              <w:widowControl/>
              <w:snapToGrid w:val="0"/>
              <w:jc w:val="left"/>
              <w:rPr>
                <w:rFonts w:hint="eastAsia" w:ascii="仿宋" w:hAnsi="仿宋" w:eastAsia="仿宋"/>
                <w:color w:val="auto"/>
              </w:rPr>
            </w:pPr>
            <w:r>
              <w:rPr>
                <w:rFonts w:hint="eastAsia" w:ascii="仿宋" w:hAnsi="仿宋" w:eastAsia="仿宋"/>
                <w:color w:val="auto"/>
              </w:rPr>
              <w:t>8. AI 全场景跟踪：内置 AI 跟踪算法，无需额外图像定位主机实现多机位自动跟踪；</w:t>
            </w:r>
          </w:p>
          <w:p w14:paraId="6ABCFC5D">
            <w:pPr>
              <w:widowControl/>
              <w:snapToGrid w:val="0"/>
              <w:jc w:val="left"/>
              <w:rPr>
                <w:rFonts w:hint="eastAsia" w:ascii="仿宋" w:hAnsi="仿宋" w:eastAsia="仿宋"/>
                <w:color w:val="auto"/>
              </w:rPr>
            </w:pPr>
            <w:r>
              <w:rPr>
                <w:rFonts w:hint="eastAsia" w:ascii="仿宋" w:hAnsi="仿宋" w:eastAsia="仿宋"/>
                <w:color w:val="auto"/>
              </w:rPr>
              <w:t>9. 多画面布局、多流录制 / 直播下画面高度同步；</w:t>
            </w:r>
          </w:p>
          <w:p w14:paraId="6A9F57C3">
            <w:pPr>
              <w:widowControl/>
              <w:snapToGrid w:val="0"/>
              <w:jc w:val="left"/>
              <w:rPr>
                <w:rFonts w:hint="eastAsia" w:ascii="仿宋" w:hAnsi="仿宋" w:eastAsia="仿宋"/>
                <w:color w:val="auto"/>
              </w:rPr>
            </w:pPr>
            <w:r>
              <w:rPr>
                <w:rFonts w:hint="eastAsia" w:ascii="仿宋" w:hAnsi="仿宋" w:eastAsia="仿宋"/>
                <w:color w:val="auto"/>
              </w:rPr>
              <w:t>10.支持版本管理：离线 / 在线 / 定时升级，配置导入导出；</w:t>
            </w:r>
          </w:p>
          <w:p w14:paraId="0E6B6FA5">
            <w:pPr>
              <w:widowControl/>
              <w:snapToGrid w:val="0"/>
              <w:jc w:val="left"/>
              <w:rPr>
                <w:rFonts w:hint="eastAsia" w:ascii="仿宋" w:hAnsi="仿宋" w:eastAsia="仿宋"/>
                <w:color w:val="auto"/>
              </w:rPr>
            </w:pPr>
            <w:r>
              <w:rPr>
                <w:rFonts w:hint="eastAsia" w:ascii="仿宋" w:hAnsi="仿宋" w:eastAsia="仿宋"/>
                <w:color w:val="auto"/>
              </w:rPr>
              <w:t>11.支持设备安装信息（位置、学校、联系人）填写；</w:t>
            </w:r>
          </w:p>
          <w:p w14:paraId="5616B956">
            <w:pPr>
              <w:widowControl/>
              <w:snapToGrid w:val="0"/>
              <w:jc w:val="left"/>
              <w:rPr>
                <w:rFonts w:hint="eastAsia" w:ascii="仿宋" w:hAnsi="仿宋" w:eastAsia="仿宋"/>
                <w:color w:val="auto"/>
              </w:rPr>
            </w:pPr>
            <w:r>
              <w:rPr>
                <w:rFonts w:hint="eastAsia" w:ascii="仿宋" w:hAnsi="仿宋" w:eastAsia="仿宋"/>
                <w:color w:val="auto"/>
              </w:rPr>
              <w:t>12.支持定时休眠唤醒（精确到秒）；</w:t>
            </w:r>
          </w:p>
          <w:p w14:paraId="045956BB">
            <w:pPr>
              <w:widowControl/>
              <w:snapToGrid w:val="0"/>
              <w:jc w:val="left"/>
              <w:rPr>
                <w:rFonts w:hint="eastAsia" w:ascii="仿宋" w:hAnsi="仿宋" w:eastAsia="仿宋"/>
                <w:color w:val="auto"/>
              </w:rPr>
            </w:pPr>
            <w:r>
              <w:rPr>
                <w:rFonts w:hint="eastAsia" w:ascii="仿宋" w:hAnsi="仿宋" w:eastAsia="仿宋"/>
                <w:color w:val="auto"/>
              </w:rPr>
              <w:t>13.支持管理员 / 普通用户权限管理；</w:t>
            </w:r>
          </w:p>
          <w:p w14:paraId="1330DD2A">
            <w:pPr>
              <w:widowControl/>
              <w:snapToGrid w:val="0"/>
              <w:jc w:val="left"/>
              <w:rPr>
                <w:rFonts w:hint="eastAsia" w:ascii="仿宋" w:hAnsi="仿宋" w:eastAsia="仿宋"/>
                <w:color w:val="auto"/>
              </w:rPr>
            </w:pPr>
            <w:r>
              <w:rPr>
                <w:rFonts w:hint="eastAsia" w:ascii="仿宋" w:hAnsi="仿宋" w:eastAsia="仿宋"/>
                <w:color w:val="auto"/>
              </w:rPr>
              <w:t>14.支持USB 口直接输出音视频流预览；</w:t>
            </w:r>
          </w:p>
          <w:p w14:paraId="0B23E25E">
            <w:pPr>
              <w:widowControl/>
              <w:snapToGrid w:val="0"/>
              <w:jc w:val="left"/>
              <w:rPr>
                <w:rFonts w:hint="eastAsia" w:ascii="仿宋" w:hAnsi="仿宋" w:eastAsia="仿宋"/>
                <w:color w:val="auto"/>
              </w:rPr>
            </w:pPr>
            <w:r>
              <w:rPr>
                <w:rFonts w:hint="eastAsia" w:ascii="仿宋" w:hAnsi="仿宋" w:eastAsia="仿宋"/>
                <w:color w:val="auto"/>
              </w:rPr>
              <w:t>15.支持运维检测（灯光、混响、磁盘、温度、网络、报障）；</w:t>
            </w:r>
          </w:p>
          <w:p w14:paraId="4AB3BA15">
            <w:pPr>
              <w:widowControl/>
              <w:snapToGrid w:val="0"/>
              <w:jc w:val="left"/>
              <w:rPr>
                <w:rFonts w:hint="eastAsia" w:ascii="仿宋" w:hAnsi="仿宋" w:eastAsia="仿宋"/>
                <w:color w:val="auto"/>
              </w:rPr>
            </w:pPr>
            <w:r>
              <w:rPr>
                <w:rFonts w:hint="eastAsia" w:ascii="仿宋" w:hAnsi="仿宋" w:eastAsia="仿宋"/>
                <w:color w:val="auto"/>
              </w:rPr>
              <w:t>16.支持录像循环覆盖（硬盘 90% 后自动删除最早文件）；</w:t>
            </w:r>
          </w:p>
          <w:p w14:paraId="67B7CADC">
            <w:pPr>
              <w:widowControl/>
              <w:snapToGrid w:val="0"/>
              <w:jc w:val="left"/>
              <w:rPr>
                <w:rFonts w:hint="eastAsia" w:ascii="仿宋" w:hAnsi="仿宋" w:eastAsia="仿宋"/>
                <w:color w:val="auto"/>
              </w:rPr>
            </w:pPr>
            <w:r>
              <w:rPr>
                <w:rFonts w:hint="eastAsia" w:ascii="仿宋" w:hAnsi="仿宋" w:eastAsia="仿宋"/>
                <w:color w:val="auto"/>
              </w:rPr>
              <w:t>17.支持视频信号源自定义标签；</w:t>
            </w:r>
          </w:p>
          <w:p w14:paraId="5DFEA45B">
            <w:pPr>
              <w:widowControl/>
              <w:snapToGrid w:val="0"/>
              <w:jc w:val="left"/>
              <w:rPr>
                <w:rFonts w:hint="eastAsia" w:ascii="仿宋" w:hAnsi="仿宋" w:eastAsia="仿宋"/>
                <w:color w:val="auto"/>
              </w:rPr>
            </w:pPr>
            <w:r>
              <w:rPr>
                <w:rFonts w:hint="eastAsia" w:ascii="仿宋" w:hAnsi="仿宋" w:eastAsia="仿宋"/>
                <w:color w:val="auto"/>
              </w:rPr>
              <w:t>18.支持录制 / 互动模式独立音频场景设置；</w:t>
            </w:r>
          </w:p>
          <w:p w14:paraId="64B1B51E">
            <w:pPr>
              <w:widowControl/>
              <w:snapToGrid w:val="0"/>
              <w:jc w:val="left"/>
              <w:rPr>
                <w:rFonts w:hint="eastAsia" w:ascii="仿宋" w:hAnsi="仿宋" w:eastAsia="仿宋"/>
                <w:color w:val="auto"/>
              </w:rPr>
            </w:pPr>
            <w:r>
              <w:rPr>
                <w:rFonts w:hint="eastAsia" w:ascii="仿宋" w:hAnsi="仿宋" w:eastAsia="仿宋"/>
                <w:color w:val="auto"/>
              </w:rPr>
              <w:t>19.互动能力：内置互动模块，无需额外 MCU支持 “1+3” 互动授课与会议互动；</w:t>
            </w:r>
          </w:p>
          <w:p w14:paraId="76F2E6F9">
            <w:pPr>
              <w:widowControl/>
              <w:snapToGrid w:val="0"/>
              <w:jc w:val="left"/>
              <w:rPr>
                <w:rFonts w:hint="eastAsia" w:ascii="仿宋" w:hAnsi="仿宋" w:eastAsia="仿宋"/>
                <w:color w:val="auto"/>
              </w:rPr>
            </w:pPr>
            <w:r>
              <w:rPr>
                <w:rFonts w:hint="eastAsia" w:ascii="仿宋" w:hAnsi="仿宋" w:eastAsia="仿宋"/>
                <w:color w:val="auto"/>
              </w:rPr>
              <w:t>20.学生学情分析：AI 分析学生人像、行为、出勤等数据；</w:t>
            </w:r>
          </w:p>
          <w:p w14:paraId="61CDC601">
            <w:pPr>
              <w:widowControl/>
              <w:snapToGrid w:val="0"/>
              <w:jc w:val="left"/>
              <w:rPr>
                <w:rFonts w:hint="eastAsia" w:ascii="仿宋" w:hAnsi="仿宋" w:eastAsia="仿宋"/>
                <w:color w:val="auto"/>
              </w:rPr>
            </w:pPr>
            <w:r>
              <w:rPr>
                <w:rFonts w:hint="eastAsia" w:ascii="仿宋" w:hAnsi="仿宋" w:eastAsia="仿宋"/>
                <w:color w:val="auto"/>
              </w:rPr>
              <w:t>21.教师教情分析：AI 分析教师区域、位置坐标等数据；</w:t>
            </w:r>
          </w:p>
          <w:p w14:paraId="6810F362">
            <w:pPr>
              <w:widowControl/>
              <w:snapToGrid w:val="0"/>
              <w:jc w:val="left"/>
              <w:rPr>
                <w:rFonts w:hint="eastAsia" w:ascii="仿宋" w:hAnsi="仿宋" w:eastAsia="仿宋"/>
                <w:color w:val="auto"/>
              </w:rPr>
            </w:pPr>
            <w:r>
              <w:rPr>
                <w:rFonts w:hint="eastAsia" w:ascii="仿宋" w:hAnsi="仿宋" w:eastAsia="仿宋"/>
                <w:color w:val="auto"/>
              </w:rPr>
              <w:t>22.AI 板书分析：基于 AI 深度学习，实时识别板书并电子化处理，可环出至大屏；</w:t>
            </w:r>
          </w:p>
          <w:p w14:paraId="6A7D9098">
            <w:pPr>
              <w:widowControl/>
              <w:snapToGrid w:val="0"/>
              <w:jc w:val="left"/>
              <w:rPr>
                <w:rFonts w:hint="eastAsia" w:ascii="仿宋" w:hAnsi="仿宋" w:eastAsia="仿宋"/>
                <w:color w:val="auto"/>
              </w:rPr>
            </w:pPr>
            <w:r>
              <w:rPr>
                <w:rFonts w:hint="eastAsia" w:ascii="仿宋" w:hAnsi="仿宋" w:eastAsia="仿宋" w:cs="仿宋"/>
                <w:color w:val="auto"/>
              </w:rPr>
              <w:t>★</w:t>
            </w:r>
            <w:r>
              <w:rPr>
                <w:rFonts w:hint="eastAsia" w:ascii="仿宋" w:hAnsi="仿宋" w:eastAsia="仿宋"/>
                <w:color w:val="auto"/>
              </w:rPr>
              <w:t>23.智能板书拍摄：兼容传统黑板与智慧黑板，有效减少人物遮挡影响；</w:t>
            </w:r>
          </w:p>
          <w:p w14:paraId="041DDBC2">
            <w:pPr>
              <w:widowControl/>
              <w:snapToGrid w:val="0"/>
              <w:jc w:val="left"/>
              <w:rPr>
                <w:rFonts w:hint="eastAsia" w:ascii="仿宋" w:hAnsi="仿宋" w:eastAsia="仿宋"/>
                <w:color w:val="auto"/>
              </w:rPr>
            </w:pPr>
            <w:r>
              <w:rPr>
                <w:rFonts w:hint="eastAsia" w:ascii="仿宋" w:hAnsi="仿宋" w:eastAsia="仿宋"/>
                <w:color w:val="auto"/>
              </w:rPr>
              <w:t>24.智能色彩增强：基于 AI优化黄 / 蓝 / 红 / 绿板书笔迹色彩还原与增强；</w:t>
            </w:r>
          </w:p>
          <w:p w14:paraId="36583581">
            <w:pPr>
              <w:widowControl/>
              <w:snapToGrid w:val="0"/>
              <w:jc w:val="left"/>
              <w:rPr>
                <w:rFonts w:hint="eastAsia" w:ascii="仿宋" w:hAnsi="仿宋" w:eastAsia="仿宋"/>
                <w:color w:val="auto"/>
              </w:rPr>
            </w:pPr>
            <w:r>
              <w:rPr>
                <w:rFonts w:hint="eastAsia" w:ascii="仿宋" w:hAnsi="仿宋" w:eastAsia="仿宋"/>
                <w:color w:val="auto"/>
              </w:rPr>
              <w:t>1.所投产品具有自主知识产权，提供计算机软件著作权登记证书</w:t>
            </w:r>
          </w:p>
          <w:p w14:paraId="2CF8C46B">
            <w:pPr>
              <w:widowControl/>
              <w:snapToGrid w:val="0"/>
              <w:jc w:val="left"/>
              <w:rPr>
                <w:rFonts w:ascii="仿宋" w:eastAsia="仿宋"/>
                <w:color w:val="auto"/>
              </w:rPr>
            </w:pPr>
            <w:r>
              <w:rPr>
                <w:rFonts w:hint="eastAsia" w:ascii="仿宋" w:hAnsi="仿宋" w:eastAsia="仿宋"/>
                <w:color w:val="auto"/>
              </w:rPr>
              <w:t>2.证书软件功能支撑本项目设备使用</w:t>
            </w:r>
          </w:p>
        </w:tc>
        <w:tc>
          <w:tcPr>
            <w:tcW w:w="0" w:type="auto"/>
            <w:vAlign w:val="center"/>
          </w:tcPr>
          <w:p w14:paraId="64049F2A">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441B7B7F">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46C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0DD2007">
            <w:pPr>
              <w:widowControl/>
              <w:snapToGrid w:val="0"/>
              <w:jc w:val="center"/>
              <w:rPr>
                <w:rFonts w:hint="eastAsia" w:ascii="仿宋" w:hAnsi="仿宋" w:eastAsia="仿宋"/>
                <w:color w:val="auto"/>
                <w:kern w:val="0"/>
              </w:rPr>
            </w:pPr>
            <w:r>
              <w:rPr>
                <w:rFonts w:hint="eastAsia" w:ascii="仿宋" w:hAnsi="仿宋" w:eastAsia="仿宋" w:cs="宋体"/>
                <w:color w:val="auto"/>
                <w:kern w:val="0"/>
              </w:rPr>
              <w:t>4</w:t>
            </w:r>
          </w:p>
        </w:tc>
        <w:tc>
          <w:tcPr>
            <w:tcW w:w="996" w:type="dxa"/>
            <w:vAlign w:val="center"/>
          </w:tcPr>
          <w:p w14:paraId="7F481725">
            <w:pPr>
              <w:widowControl/>
              <w:snapToGrid w:val="0"/>
              <w:jc w:val="center"/>
              <w:rPr>
                <w:rFonts w:hint="eastAsia" w:ascii="仿宋" w:hAnsi="仿宋" w:eastAsia="仿宋"/>
                <w:color w:val="auto"/>
              </w:rPr>
            </w:pPr>
            <w:r>
              <w:rPr>
                <w:rFonts w:hint="eastAsia" w:ascii="仿宋" w:hAnsi="仿宋" w:eastAsia="仿宋" w:cs="宋体"/>
                <w:color w:val="auto"/>
                <w:kern w:val="0"/>
              </w:rPr>
              <w:t>嵌入式录播系统</w:t>
            </w:r>
          </w:p>
        </w:tc>
        <w:tc>
          <w:tcPr>
            <w:tcW w:w="6650" w:type="dxa"/>
            <w:vAlign w:val="center"/>
          </w:tcPr>
          <w:p w14:paraId="32C78176">
            <w:pPr>
              <w:widowControl/>
              <w:snapToGrid w:val="0"/>
              <w:jc w:val="left"/>
              <w:rPr>
                <w:rFonts w:hint="eastAsia" w:ascii="仿宋" w:hAnsi="仿宋" w:eastAsia="仿宋" w:cs="宋体"/>
                <w:color w:val="auto"/>
                <w:kern w:val="0"/>
              </w:rPr>
            </w:pPr>
            <w:r>
              <w:rPr>
                <w:rFonts w:hint="eastAsia" w:ascii="仿宋" w:hAnsi="仿宋" w:eastAsia="仿宋"/>
                <w:color w:val="auto"/>
              </w:rPr>
              <w:t>1.要求软件在出厂时内嵌于录播主机中，且应具备自主知识产权，提供计算机软件著作权登记证书等相应的证明材料复印件并加盖厂家公章；</w:t>
            </w:r>
            <w:r>
              <w:rPr>
                <w:rFonts w:hint="eastAsia" w:ascii="仿宋" w:hAnsi="仿宋" w:eastAsia="仿宋"/>
                <w:color w:val="auto"/>
              </w:rPr>
              <w:br w:type="textWrapping"/>
            </w:r>
            <w:r>
              <w:rPr>
                <w:rFonts w:hint="eastAsia" w:ascii="仿宋" w:hAnsi="仿宋" w:eastAsia="仿宋"/>
                <w:color w:val="auto"/>
              </w:rPr>
              <w:t>2.录制模式：支持电影模式和资源模式两种录制模式。电影模式下支持将多路视频信号的复合成一路画面进行录制；资源模式下支持将接入的摄像机画面和电脑画面进行独立录制；</w:t>
            </w:r>
            <w:r>
              <w:rPr>
                <w:rFonts w:hint="eastAsia" w:ascii="仿宋" w:hAnsi="仿宋" w:eastAsia="仿宋"/>
                <w:color w:val="auto"/>
              </w:rPr>
              <w:br w:type="textWrapping"/>
            </w:r>
            <w:r>
              <w:rPr>
                <w:rFonts w:hint="eastAsia" w:ascii="仿宋" w:hAnsi="仿宋" w:eastAsia="仿宋"/>
                <w:color w:val="auto"/>
              </w:rPr>
              <w:t>3.分段录制：支持30分钟分段、60分钟分段两种分段录制方式，系统可在不结束录制的条件下根据分段时长自动将视频录制为多个分段文件；</w:t>
            </w:r>
            <w:r>
              <w:rPr>
                <w:rFonts w:hint="eastAsia" w:ascii="仿宋" w:hAnsi="仿宋" w:eastAsia="仿宋"/>
                <w:color w:val="auto"/>
              </w:rPr>
              <w:br w:type="textWrapping"/>
            </w:r>
            <w:r>
              <w:rPr>
                <w:rFonts w:hint="eastAsia" w:ascii="仿宋" w:hAnsi="仿宋" w:eastAsia="仿宋"/>
                <w:color w:val="auto"/>
              </w:rPr>
              <w:t>4.录制存储：采用H.264/H.265的视频编码格式和MP4的视频封装格式，支持在断网情况下也可以进行视频录制并存储于录播主机中，也支持在联网情况下通过FTP自动上传视频文件；</w:t>
            </w:r>
            <w:r>
              <w:rPr>
                <w:rFonts w:hint="eastAsia" w:ascii="仿宋" w:hAnsi="仿宋" w:eastAsia="仿宋"/>
                <w:color w:val="auto"/>
              </w:rPr>
              <w:br w:type="textWrapping"/>
            </w:r>
            <w:r>
              <w:rPr>
                <w:rFonts w:hint="eastAsia" w:ascii="仿宋" w:hAnsi="仿宋" w:eastAsia="仿宋"/>
                <w:color w:val="auto"/>
              </w:rPr>
              <w:t>5.同步录制：支持外接存储设备（如U盘），实现在视频录制的过程中，自动同步录制多一份并存储至U盘中；</w:t>
            </w:r>
            <w:r>
              <w:rPr>
                <w:rFonts w:hint="eastAsia" w:ascii="仿宋" w:hAnsi="仿宋" w:eastAsia="仿宋"/>
                <w:color w:val="auto"/>
              </w:rPr>
              <w:br w:type="textWrapping"/>
            </w:r>
            <w:r>
              <w:rPr>
                <w:rFonts w:hint="eastAsia" w:ascii="仿宋" w:hAnsi="仿宋" w:eastAsia="仿宋"/>
                <w:color w:val="auto"/>
              </w:rPr>
              <w:t>6.录制关联：支持在录制启动时自动关联开启直播和全自动跟踪模式；</w:t>
            </w:r>
            <w:r>
              <w:rPr>
                <w:rFonts w:hint="eastAsia" w:ascii="仿宋" w:hAnsi="仿宋" w:eastAsia="仿宋"/>
                <w:color w:val="auto"/>
              </w:rPr>
              <w:br w:type="textWrapping"/>
            </w:r>
            <w:r>
              <w:rPr>
                <w:rFonts w:hint="eastAsia" w:ascii="仿宋" w:hAnsi="仿宋" w:eastAsia="仿宋"/>
                <w:color w:val="auto"/>
              </w:rPr>
              <w:t>7.视频管理：支持查看已录制的视频文件，并可按录制时间进行排序和按关键字检索查看，也支持对视频文件进行在线播放、下载、删除和FTP上传；</w:t>
            </w:r>
            <w:r>
              <w:rPr>
                <w:rFonts w:hint="eastAsia" w:ascii="仿宋" w:hAnsi="仿宋" w:eastAsia="仿宋"/>
                <w:color w:val="auto"/>
              </w:rPr>
              <w:br w:type="textWrapping"/>
            </w:r>
            <w:r>
              <w:rPr>
                <w:rFonts w:hint="eastAsia" w:ascii="仿宋" w:hAnsi="仿宋" w:eastAsia="仿宋"/>
                <w:color w:val="auto"/>
              </w:rPr>
              <w:t>8.网络导播：支持通过浏览器即可访问并使用导播功能，而无需额外安装客户端或APP；</w:t>
            </w:r>
            <w:r>
              <w:rPr>
                <w:rFonts w:hint="eastAsia" w:ascii="仿宋" w:hAnsi="仿宋" w:eastAsia="仿宋"/>
                <w:color w:val="auto"/>
              </w:rPr>
              <w:br w:type="textWrapping"/>
            </w:r>
            <w:r>
              <w:rPr>
                <w:rFonts w:hint="eastAsia" w:ascii="仿宋" w:hAnsi="仿宋" w:eastAsia="仿宋"/>
                <w:color w:val="auto"/>
              </w:rPr>
              <w:t>9.导播模式：支持全自动、半自动、手动三种导播模式，且支持在录制、直播和互动过程中任意切换导播模式；</w:t>
            </w:r>
            <w:r>
              <w:rPr>
                <w:rFonts w:hint="eastAsia" w:ascii="仿宋" w:hAnsi="仿宋" w:eastAsia="仿宋"/>
                <w:color w:val="auto"/>
              </w:rPr>
              <w:br w:type="textWrapping"/>
            </w:r>
            <w:r>
              <w:rPr>
                <w:rFonts w:hint="eastAsia" w:ascii="仿宋" w:hAnsi="仿宋" w:eastAsia="仿宋"/>
                <w:color w:val="auto"/>
              </w:rPr>
              <w:t>10.导播预览：支持对接入的所有画面进行导播预览，包括教师特写、教师全景、学生全景、学生特写、电脑画面等，电脑画面包括两路HDMI画面可切换，并支持点击预览画面即可切换为导播输出画面；</w:t>
            </w:r>
            <w:r>
              <w:rPr>
                <w:rFonts w:hint="eastAsia" w:ascii="仿宋" w:hAnsi="仿宋" w:eastAsia="仿宋"/>
                <w:color w:val="auto"/>
              </w:rPr>
              <w:br w:type="textWrapping"/>
            </w:r>
            <w:r>
              <w:rPr>
                <w:rFonts w:hint="eastAsia" w:ascii="仿宋" w:hAnsi="仿宋" w:eastAsia="仿宋"/>
                <w:color w:val="auto"/>
              </w:rPr>
              <w:t>11.视频布局：支持二分屏、三分屏、画中画等布局，也支持自定义布局方式，且支持对布局内的每个画面窗口进行拖动、</w:t>
            </w:r>
            <w:r>
              <w:rPr>
                <w:rFonts w:hint="eastAsia" w:ascii="仿宋" w:hAnsi="仿宋" w:eastAsia="仿宋"/>
                <w:color w:val="auto"/>
              </w:rPr>
              <w:br w:type="textWrapping"/>
            </w:r>
            <w:r>
              <w:rPr>
                <w:rFonts w:hint="eastAsia" w:ascii="仿宋" w:hAnsi="仿宋" w:eastAsia="仿宋"/>
                <w:color w:val="auto"/>
              </w:rPr>
              <w:t>叠加、缩放和指定视频源的操作，实现灵活调整；</w:t>
            </w:r>
            <w:r>
              <w:rPr>
                <w:rFonts w:hint="eastAsia" w:ascii="仿宋" w:hAnsi="仿宋" w:eastAsia="仿宋"/>
                <w:color w:val="auto"/>
              </w:rPr>
              <w:br w:type="textWrapping"/>
            </w:r>
            <w:r>
              <w:rPr>
                <w:rFonts w:hint="eastAsia" w:ascii="仿宋" w:hAnsi="仿宋" w:eastAsia="仿宋"/>
                <w:color w:val="auto"/>
              </w:rPr>
              <w:t>12.台标字幕：需支持在导播预览界面添加Logo台标与字幕，可自主上传Logo图标、设置logo位置、编辑字幕内容、选择字幕字体颜色与是否滚动显示，且后台管理设置可预设字幕作为备选，方便灵活调整与切换；</w:t>
            </w:r>
            <w:r>
              <w:rPr>
                <w:rFonts w:hint="eastAsia" w:ascii="仿宋" w:hAnsi="仿宋" w:eastAsia="仿宋"/>
                <w:color w:val="auto"/>
              </w:rPr>
              <w:br w:type="textWrapping"/>
            </w:r>
            <w:r>
              <w:rPr>
                <w:rFonts w:hint="eastAsia" w:ascii="仿宋" w:hAnsi="仿宋" w:eastAsia="仿宋"/>
                <w:color w:val="auto"/>
              </w:rPr>
              <w:t>13.片头片尾：需支持片头片尾设置，可上传JPG格式图片作为录制默认的片头片尾画面，并可自定义片头片尾显示时长，支持片头片尾显示视频信息；</w:t>
            </w:r>
            <w:r>
              <w:rPr>
                <w:rFonts w:hint="eastAsia" w:ascii="仿宋" w:hAnsi="仿宋" w:eastAsia="仿宋"/>
                <w:color w:val="auto"/>
              </w:rPr>
              <w:br w:type="textWrapping"/>
            </w:r>
            <w:r>
              <w:rPr>
                <w:rFonts w:hint="eastAsia" w:ascii="仿宋" w:hAnsi="仿宋" w:eastAsia="仿宋"/>
                <w:color w:val="auto"/>
              </w:rPr>
              <w:t>14.摄像机控制：支持对接入摄像机特写画面进行电子云台控制，包括画面上下左右移动、放大缩小变焦等操作。云台控制功能应具有鼠标快速定位功能，通过鼠标点击快速居中画面区域。也支持设置和调用摄像机预置位，支持不少于8个预置位；</w:t>
            </w:r>
            <w:r>
              <w:rPr>
                <w:rFonts w:hint="eastAsia" w:ascii="仿宋" w:hAnsi="仿宋" w:eastAsia="仿宋"/>
                <w:color w:val="auto"/>
              </w:rPr>
              <w:br w:type="textWrapping"/>
            </w:r>
            <w:r>
              <w:rPr>
                <w:rFonts w:hint="eastAsia" w:ascii="仿宋" w:hAnsi="仿宋" w:eastAsia="仿宋"/>
                <w:color w:val="auto"/>
              </w:rPr>
              <w:t>15.音量控制：支持在导播过程中进行音量控制，可调整相关输入输出的音量大小，且支持一键静音功能；</w:t>
            </w:r>
            <w:r>
              <w:rPr>
                <w:rFonts w:hint="eastAsia" w:ascii="仿宋" w:hAnsi="仿宋" w:eastAsia="仿宋"/>
                <w:color w:val="auto"/>
              </w:rPr>
              <w:br w:type="textWrapping"/>
            </w:r>
            <w:r>
              <w:rPr>
                <w:rFonts w:hint="eastAsia" w:ascii="仿宋" w:hAnsi="仿宋" w:eastAsia="仿宋"/>
                <w:color w:val="auto"/>
              </w:rPr>
              <w:t>16.直播码流：需支持主码流和子码流高低双码流，且支持自定义清晰度、帧率和码流，主码流清晰度不小于1080P；</w:t>
            </w:r>
            <w:r>
              <w:rPr>
                <w:rFonts w:hint="eastAsia" w:ascii="仿宋" w:hAnsi="仿宋" w:eastAsia="仿宋"/>
                <w:color w:val="auto"/>
              </w:rPr>
              <w:br w:type="textWrapping"/>
            </w:r>
            <w:r>
              <w:rPr>
                <w:rFonts w:hint="eastAsia" w:ascii="仿宋" w:hAnsi="仿宋" w:eastAsia="仿宋"/>
                <w:color w:val="auto"/>
              </w:rPr>
              <w:t>17.直播推流：支持不少于4路RTMP同步推流直播，并可自定义选择主码流或子码流进行推流直播；</w:t>
            </w:r>
            <w:r>
              <w:rPr>
                <w:rFonts w:hint="eastAsia" w:ascii="仿宋" w:hAnsi="仿宋" w:eastAsia="仿宋"/>
                <w:color w:val="auto"/>
              </w:rPr>
              <w:br w:type="textWrapping"/>
            </w:r>
            <w:r>
              <w:rPr>
                <w:rFonts w:hint="eastAsia" w:ascii="仿宋" w:hAnsi="仿宋" w:eastAsia="仿宋"/>
                <w:color w:val="auto"/>
              </w:rPr>
              <w:t>18.直播模式：需支持RTMP直播、TS直播、集控推流直播等不少于3种不同直播模式，以适应不同场景直播需求；</w:t>
            </w:r>
            <w:r>
              <w:rPr>
                <w:rFonts w:hint="eastAsia" w:ascii="仿宋" w:hAnsi="仿宋" w:eastAsia="仿宋"/>
                <w:color w:val="auto"/>
              </w:rPr>
              <w:br w:type="textWrapping"/>
            </w:r>
            <w:r>
              <w:rPr>
                <w:rFonts w:hint="eastAsia" w:ascii="仿宋" w:hAnsi="仿宋" w:eastAsia="仿宋"/>
                <w:color w:val="auto"/>
              </w:rPr>
              <w:t>19.互动协议：需支持H.323、SIP、BFCP、WebRTC等视音频互动协议技术，也支持内置互动模块，无需额外MCU类设备即可进行远程互动教学应用；</w:t>
            </w:r>
            <w:r>
              <w:rPr>
                <w:rFonts w:hint="eastAsia" w:ascii="仿宋" w:hAnsi="仿宋" w:eastAsia="仿宋"/>
                <w:color w:val="auto"/>
              </w:rPr>
              <w:br w:type="textWrapping"/>
            </w:r>
            <w:r>
              <w:rPr>
                <w:rFonts w:hint="eastAsia" w:ascii="仿宋" w:hAnsi="仿宋" w:eastAsia="仿宋"/>
                <w:color w:val="auto"/>
              </w:rPr>
              <w:t>20.智能降噪：需支持AI智能降噪处理，通过算法智能在录制过程中处理环境的噪音，如场室内空调与风扇声，保证录制后的音频质量；</w:t>
            </w:r>
            <w:r>
              <w:rPr>
                <w:rFonts w:hint="eastAsia" w:ascii="仿宋" w:hAnsi="仿宋" w:eastAsia="仿宋"/>
                <w:color w:val="auto"/>
              </w:rPr>
              <w:br w:type="textWrapping"/>
            </w:r>
            <w:r>
              <w:rPr>
                <w:rFonts w:hint="eastAsia" w:ascii="仿宋" w:hAnsi="仿宋" w:eastAsia="仿宋"/>
                <w:color w:val="auto"/>
              </w:rPr>
              <w:t>21.智能混音：需支持自动识别人物声音与多媒体声音并动态调节其他音源的音量，避免音源间相互干扰，确保视频教师声音清晰可闻；</w:t>
            </w:r>
          </w:p>
        </w:tc>
        <w:tc>
          <w:tcPr>
            <w:tcW w:w="0" w:type="auto"/>
            <w:vAlign w:val="center"/>
          </w:tcPr>
          <w:p w14:paraId="31283356">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2A309DDF">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15B3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13BCC02">
            <w:pPr>
              <w:widowControl/>
              <w:snapToGrid w:val="0"/>
              <w:jc w:val="center"/>
              <w:rPr>
                <w:rFonts w:hint="eastAsia" w:ascii="仿宋" w:hAnsi="仿宋" w:eastAsia="仿宋"/>
                <w:color w:val="auto"/>
                <w:kern w:val="0"/>
              </w:rPr>
            </w:pPr>
            <w:r>
              <w:rPr>
                <w:rFonts w:hint="eastAsia" w:ascii="仿宋" w:hAnsi="仿宋" w:eastAsia="仿宋" w:cs="宋体"/>
                <w:color w:val="auto"/>
                <w:kern w:val="0"/>
              </w:rPr>
              <w:t>5</w:t>
            </w:r>
          </w:p>
        </w:tc>
        <w:tc>
          <w:tcPr>
            <w:tcW w:w="996" w:type="dxa"/>
            <w:vAlign w:val="center"/>
          </w:tcPr>
          <w:p w14:paraId="6804EA70">
            <w:pPr>
              <w:widowControl/>
              <w:snapToGrid w:val="0"/>
              <w:jc w:val="center"/>
              <w:rPr>
                <w:rFonts w:hint="eastAsia" w:ascii="仿宋" w:hAnsi="仿宋" w:eastAsia="仿宋"/>
                <w:color w:val="auto"/>
              </w:rPr>
            </w:pPr>
            <w:r>
              <w:rPr>
                <w:rFonts w:hint="eastAsia" w:ascii="仿宋" w:hAnsi="仿宋" w:eastAsia="仿宋" w:cs="宋体"/>
                <w:color w:val="auto"/>
                <w:kern w:val="0"/>
              </w:rPr>
              <w:t>高清云台摄像机(特写)</w:t>
            </w:r>
          </w:p>
        </w:tc>
        <w:tc>
          <w:tcPr>
            <w:tcW w:w="6650" w:type="dxa"/>
            <w:vAlign w:val="center"/>
          </w:tcPr>
          <w:p w14:paraId="52E87C02">
            <w:pPr>
              <w:snapToGrid w:val="0"/>
              <w:jc w:val="left"/>
              <w:rPr>
                <w:rStyle w:val="45"/>
                <w:rFonts w:ascii="仿宋" w:eastAsia="仿宋"/>
                <w:color w:val="auto"/>
                <w:highlight w:val="cyan"/>
              </w:rPr>
            </w:pPr>
            <w:r>
              <w:rPr>
                <w:rFonts w:hint="eastAsia" w:ascii="仿宋" w:hAnsi="仿宋" w:eastAsia="仿宋"/>
                <w:color w:val="auto"/>
              </w:rPr>
              <w:t>1.传感器：要求采用CMOS类型图像传感器，尺寸≥1/2.5英寸；</w:t>
            </w:r>
            <w:r>
              <w:rPr>
                <w:rFonts w:hint="eastAsia" w:ascii="仿宋" w:hAnsi="仿宋" w:eastAsia="仿宋"/>
                <w:color w:val="auto"/>
              </w:rPr>
              <w:br w:type="textWrapping"/>
            </w:r>
            <w:r>
              <w:rPr>
                <w:rFonts w:hint="eastAsia" w:ascii="仿宋" w:hAnsi="仿宋" w:eastAsia="仿宋"/>
                <w:color w:val="auto"/>
              </w:rPr>
              <w:t>▲2.像素：有效像素≥800万；</w:t>
            </w:r>
            <w:r>
              <w:rPr>
                <w:rFonts w:hint="eastAsia" w:ascii="仿宋" w:hAnsi="仿宋" w:eastAsia="仿宋" w:cs="宋体"/>
                <w:b/>
                <w:bCs/>
                <w:color w:val="auto"/>
              </w:rPr>
              <w:t>须提供国家认可的第三方检测机构出具的、处于有效期内的、带有CMA或CNAS标识的产品检测报告，且检测参数覆盖采购需求相关技术指标，否则视为无效证明材料。</w:t>
            </w:r>
            <w:r>
              <w:rPr>
                <w:rFonts w:hint="eastAsia" w:ascii="仿宋" w:hAnsi="仿宋" w:eastAsia="仿宋"/>
                <w:color w:val="auto"/>
              </w:rPr>
              <w:br w:type="textWrapping"/>
            </w:r>
            <w:r>
              <w:rPr>
                <w:rFonts w:hint="eastAsia" w:ascii="仿宋" w:hAnsi="仿宋" w:eastAsia="仿宋"/>
                <w:color w:val="auto"/>
              </w:rPr>
              <w:t>3.变焦：要求支持自动和手动变焦，光学变焦倍数≥22倍；</w:t>
            </w:r>
            <w:r>
              <w:rPr>
                <w:rFonts w:hint="eastAsia" w:ascii="仿宋" w:hAnsi="仿宋" w:eastAsia="仿宋"/>
                <w:color w:val="auto"/>
              </w:rPr>
              <w:br w:type="textWrapping"/>
            </w:r>
            <w:r>
              <w:rPr>
                <w:rFonts w:hint="eastAsia" w:ascii="仿宋" w:hAnsi="仿宋" w:eastAsia="仿宋"/>
                <w:color w:val="auto"/>
              </w:rPr>
              <w:t>4.云台转动：要求具备机械云台可进行转动跟踪。水平转动速度范围不少于1.0°~ 90°/s，垂直转动速度范围不少于1.0°~ 70°/s；</w:t>
            </w:r>
            <w:r>
              <w:rPr>
                <w:rFonts w:hint="eastAsia" w:ascii="仿宋" w:hAnsi="仿宋" w:eastAsia="仿宋"/>
                <w:color w:val="auto"/>
              </w:rPr>
              <w:br w:type="textWrapping"/>
            </w:r>
            <w:r>
              <w:rPr>
                <w:rFonts w:hint="eastAsia" w:ascii="仿宋" w:hAnsi="仿宋" w:eastAsia="仿宋"/>
                <w:color w:val="auto"/>
              </w:rPr>
              <w:t>5.视频编码：要求支持H.265、H.264高清视频编码协议；</w:t>
            </w:r>
            <w:r>
              <w:rPr>
                <w:rFonts w:hint="eastAsia" w:ascii="仿宋" w:hAnsi="仿宋" w:eastAsia="仿宋"/>
                <w:color w:val="auto"/>
              </w:rPr>
              <w:br w:type="textWrapping"/>
            </w:r>
            <w:r>
              <w:rPr>
                <w:rFonts w:hint="eastAsia" w:ascii="仿宋" w:hAnsi="仿宋" w:eastAsia="仿宋"/>
                <w:color w:val="auto"/>
              </w:rPr>
              <w:t>6.视频输出：要求具备数字视频输出口（RJ45）≥1，HDMI视频输出口≥1；</w:t>
            </w:r>
            <w:r>
              <w:rPr>
                <w:rFonts w:hint="eastAsia" w:ascii="仿宋" w:hAnsi="仿宋" w:eastAsia="仿宋"/>
                <w:color w:val="auto"/>
              </w:rPr>
              <w:br w:type="textWrapping"/>
            </w:r>
            <w:r>
              <w:rPr>
                <w:rFonts w:hint="eastAsia" w:ascii="仿宋" w:hAnsi="仿宋" w:eastAsia="仿宋"/>
                <w:color w:val="auto"/>
              </w:rPr>
              <w:t>7.协议支持：要求支持VISCA/ONVIF协议满足多种场景控制要求；</w:t>
            </w:r>
            <w:r>
              <w:rPr>
                <w:rFonts w:hint="eastAsia" w:ascii="仿宋" w:hAnsi="仿宋" w:eastAsia="仿宋"/>
                <w:color w:val="auto"/>
              </w:rPr>
              <w:br w:type="textWrapping"/>
            </w:r>
            <w:r>
              <w:rPr>
                <w:rFonts w:hint="eastAsia" w:ascii="仿宋" w:hAnsi="仿宋" w:eastAsia="仿宋"/>
                <w:color w:val="auto"/>
              </w:rPr>
              <w:t>8.一线通：要求具备基于RJ45双绞线的一线通连接，完成摄像机供电、控制以及视频信号传输；</w:t>
            </w:r>
            <w:r>
              <w:rPr>
                <w:rFonts w:hint="eastAsia" w:ascii="仿宋" w:hAnsi="仿宋" w:eastAsia="仿宋"/>
                <w:color w:val="auto"/>
              </w:rPr>
              <w:br w:type="textWrapping"/>
            </w:r>
            <w:r>
              <w:rPr>
                <w:rFonts w:hint="eastAsia" w:ascii="仿宋" w:hAnsi="仿宋" w:eastAsia="仿宋"/>
                <w:color w:val="auto"/>
              </w:rPr>
              <w:t>▲9.视频传输：基于视频传输传输，无呼吸效应且声画同步在≤100ms内。</w:t>
            </w:r>
            <w:r>
              <w:rPr>
                <w:rFonts w:hint="eastAsia" w:ascii="仿宋" w:hAnsi="仿宋" w:eastAsia="仿宋" w:cs="宋体"/>
                <w:b/>
                <w:bCs/>
                <w:color w:val="auto"/>
              </w:rPr>
              <w:t>须提供国家认可的第三方检测机构出具的、处于有效期内的、带有CMA或CNAS标识的产品检测报告，且检测参数覆盖采购需求相关技术指标，否则视为无效证明材料。</w:t>
            </w:r>
          </w:p>
          <w:p w14:paraId="3D3B05C6">
            <w:pPr>
              <w:widowControl/>
              <w:snapToGrid w:val="0"/>
              <w:jc w:val="left"/>
              <w:rPr>
                <w:rFonts w:hint="eastAsia" w:ascii="仿宋" w:hAnsi="仿宋" w:eastAsia="仿宋" w:cs="宋体"/>
                <w:color w:val="auto"/>
                <w:kern w:val="0"/>
              </w:rPr>
            </w:pPr>
            <w:r>
              <w:rPr>
                <w:rFonts w:hint="eastAsia" w:ascii="仿宋" w:hAnsi="仿宋" w:eastAsia="仿宋"/>
                <w:color w:val="auto"/>
              </w:rPr>
              <w:t>10.智能跟踪：内置跟踪算法，摄像机内无额外辅助摄像头也无需增加任何设备即可实现人像自动跟踪，包括水平运动、俯仰运动、变焦、聚焦四维实时跟踪；（提供有的检测报告复印件。）</w:t>
            </w:r>
            <w:r>
              <w:rPr>
                <w:rFonts w:hint="eastAsia" w:ascii="仿宋" w:hAnsi="仿宋" w:eastAsia="仿宋"/>
                <w:color w:val="auto"/>
              </w:rPr>
              <w:br w:type="textWrapping"/>
            </w:r>
            <w:r>
              <w:rPr>
                <w:rFonts w:hint="eastAsia" w:ascii="仿宋" w:hAnsi="仿宋" w:eastAsia="仿宋"/>
                <w:color w:val="auto"/>
              </w:rPr>
              <w:t>11.交叉识别：内置对锁定跟拍对象进行人脸特征与肢体双重认证识别，在多人同时进入拍摄画面的情况下，持续锁定跟踪对象，不出现跟丢和误跟的情况；（提供有效的检测报告复印件。）</w:t>
            </w:r>
            <w:r>
              <w:rPr>
                <w:rFonts w:hint="eastAsia" w:ascii="仿宋" w:hAnsi="仿宋" w:eastAsia="仿宋"/>
                <w:color w:val="auto"/>
              </w:rPr>
              <w:br w:type="textWrapping"/>
            </w:r>
            <w:r>
              <w:rPr>
                <w:rFonts w:hint="eastAsia" w:ascii="仿宋" w:hAnsi="仿宋" w:eastAsia="仿宋"/>
                <w:color w:val="auto"/>
              </w:rPr>
              <w:t>12.AI抗干扰：支持在拍摄画面有显示设备或其他动态视频播放的情况下，自动启用AI抗干扰能力，保障画面始终锁定被跟踪对象，且跟踪效果不受影响；</w:t>
            </w:r>
            <w:r>
              <w:rPr>
                <w:rFonts w:hint="eastAsia" w:ascii="仿宋" w:hAnsi="仿宋" w:eastAsia="仿宋"/>
                <w:color w:val="auto"/>
              </w:rPr>
              <w:br w:type="textWrapping"/>
            </w:r>
            <w:r>
              <w:rPr>
                <w:rFonts w:hint="eastAsia" w:ascii="仿宋" w:hAnsi="仿宋" w:eastAsia="仿宋"/>
                <w:color w:val="auto"/>
              </w:rPr>
              <w:t>13.PTZ自适应：需支持PTZ实时跟焦，AI跟踪的状态下能实现摄像机水平旋转、垂直旋转、变焦的实时同步变化，无需等待拍摄对象稳定后再变焦调整画面，移动过程不虚焦，实现拍摄画面的自适应稳定调整；</w:t>
            </w:r>
          </w:p>
        </w:tc>
        <w:tc>
          <w:tcPr>
            <w:tcW w:w="0" w:type="auto"/>
            <w:vAlign w:val="center"/>
          </w:tcPr>
          <w:p w14:paraId="7C5FBC4C">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4</w:t>
            </w:r>
          </w:p>
        </w:tc>
        <w:tc>
          <w:tcPr>
            <w:tcW w:w="492" w:type="dxa"/>
            <w:vAlign w:val="center"/>
          </w:tcPr>
          <w:p w14:paraId="3A4C14C3">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7D15E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EB01BD6">
            <w:pPr>
              <w:widowControl/>
              <w:snapToGrid w:val="0"/>
              <w:jc w:val="center"/>
              <w:rPr>
                <w:rFonts w:hint="eastAsia" w:ascii="仿宋" w:hAnsi="仿宋" w:eastAsia="仿宋"/>
                <w:color w:val="auto"/>
                <w:kern w:val="0"/>
              </w:rPr>
            </w:pPr>
            <w:r>
              <w:rPr>
                <w:rFonts w:hint="eastAsia" w:ascii="仿宋" w:hAnsi="仿宋" w:eastAsia="仿宋" w:cs="宋体"/>
                <w:color w:val="auto"/>
                <w:kern w:val="0"/>
              </w:rPr>
              <w:t>6</w:t>
            </w:r>
          </w:p>
        </w:tc>
        <w:tc>
          <w:tcPr>
            <w:tcW w:w="996" w:type="dxa"/>
            <w:vAlign w:val="center"/>
          </w:tcPr>
          <w:p w14:paraId="52336554">
            <w:pPr>
              <w:widowControl/>
              <w:snapToGrid w:val="0"/>
              <w:jc w:val="center"/>
              <w:rPr>
                <w:rFonts w:hint="eastAsia" w:ascii="仿宋" w:hAnsi="仿宋" w:eastAsia="仿宋"/>
                <w:color w:val="auto"/>
              </w:rPr>
            </w:pPr>
            <w:r>
              <w:rPr>
                <w:rFonts w:hint="eastAsia" w:ascii="仿宋" w:hAnsi="仿宋" w:eastAsia="仿宋" w:cs="宋体"/>
                <w:color w:val="auto"/>
                <w:kern w:val="0"/>
              </w:rPr>
              <w:t>高清云台摄像机（全景）</w:t>
            </w:r>
          </w:p>
        </w:tc>
        <w:tc>
          <w:tcPr>
            <w:tcW w:w="6650" w:type="dxa"/>
            <w:vAlign w:val="center"/>
          </w:tcPr>
          <w:p w14:paraId="233D8461">
            <w:pPr>
              <w:widowControl/>
              <w:snapToGrid w:val="0"/>
              <w:jc w:val="left"/>
              <w:rPr>
                <w:rFonts w:hint="eastAsia" w:ascii="仿宋" w:hAnsi="仿宋" w:eastAsia="仿宋" w:cs="宋体"/>
                <w:b/>
                <w:bCs/>
                <w:color w:val="auto"/>
              </w:rPr>
            </w:pPr>
            <w:r>
              <w:rPr>
                <w:rFonts w:hint="eastAsia" w:ascii="仿宋" w:hAnsi="仿宋" w:eastAsia="仿宋"/>
                <w:color w:val="auto"/>
              </w:rPr>
              <w:t>1.传感器：要求采用CMOS类型图像传感器，尺寸≥1/2.5英寸；</w:t>
            </w:r>
            <w:r>
              <w:rPr>
                <w:rFonts w:hint="eastAsia" w:ascii="仿宋" w:hAnsi="仿宋" w:eastAsia="仿宋"/>
                <w:color w:val="auto"/>
              </w:rPr>
              <w:br w:type="textWrapping"/>
            </w:r>
            <w:r>
              <w:rPr>
                <w:rFonts w:hint="eastAsia" w:ascii="仿宋" w:hAnsi="仿宋" w:eastAsia="仿宋"/>
                <w:color w:val="auto"/>
              </w:rPr>
              <w:t>2.像素：有效像素≥800万；</w:t>
            </w:r>
            <w:r>
              <w:rPr>
                <w:rFonts w:hint="eastAsia" w:ascii="仿宋" w:hAnsi="仿宋" w:eastAsia="仿宋"/>
                <w:color w:val="auto"/>
              </w:rPr>
              <w:br w:type="textWrapping"/>
            </w:r>
            <w:r>
              <w:rPr>
                <w:rFonts w:hint="eastAsia" w:ascii="仿宋" w:hAnsi="仿宋" w:eastAsia="仿宋"/>
                <w:color w:val="auto"/>
              </w:rPr>
              <w:t>▲3.变焦：要求支持自动和手动变焦，光学变焦倍数≥28倍；</w:t>
            </w:r>
            <w:r>
              <w:rPr>
                <w:rFonts w:hint="eastAsia" w:ascii="仿宋" w:hAnsi="仿宋" w:eastAsia="仿宋" w:cs="宋体"/>
                <w:b/>
                <w:bCs/>
                <w:color w:val="auto"/>
              </w:rPr>
              <w:t>须提供国家认可的第三方检测机构出具的、处于有效期内的、带有CMA或CNAS标识的产品检测报告，且检测参数覆盖采购需求相关技术指标，否则视为无效证明材料。</w:t>
            </w:r>
          </w:p>
          <w:p w14:paraId="47CC8462">
            <w:pPr>
              <w:widowControl/>
              <w:snapToGrid w:val="0"/>
              <w:jc w:val="left"/>
              <w:rPr>
                <w:rFonts w:hint="eastAsia" w:ascii="仿宋" w:hAnsi="仿宋" w:eastAsia="仿宋"/>
                <w:color w:val="auto"/>
              </w:rPr>
            </w:pPr>
            <w:r>
              <w:rPr>
                <w:rFonts w:hint="eastAsia" w:ascii="仿宋" w:hAnsi="仿宋" w:eastAsia="仿宋"/>
                <w:color w:val="auto"/>
              </w:rPr>
              <w:t>4.云台转动：要求具备机械云台可进行转动跟踪。水平转动速度范围不少于1.0°~ 90°/s，垂直转动速度范围不少于1.0°~ 70°/s；</w:t>
            </w:r>
            <w:r>
              <w:rPr>
                <w:rFonts w:hint="eastAsia" w:ascii="仿宋" w:hAnsi="仿宋" w:eastAsia="仿宋"/>
                <w:color w:val="auto"/>
              </w:rPr>
              <w:br w:type="textWrapping"/>
            </w:r>
            <w:r>
              <w:rPr>
                <w:rFonts w:hint="eastAsia" w:ascii="仿宋" w:hAnsi="仿宋" w:eastAsia="仿宋"/>
                <w:color w:val="auto"/>
              </w:rPr>
              <w:t>5.视频编码：要求支持H.265、H.264高清视频编码协议；</w:t>
            </w:r>
            <w:r>
              <w:rPr>
                <w:rFonts w:hint="eastAsia" w:ascii="仿宋" w:hAnsi="仿宋" w:eastAsia="仿宋"/>
                <w:color w:val="auto"/>
              </w:rPr>
              <w:br w:type="textWrapping"/>
            </w:r>
            <w:r>
              <w:rPr>
                <w:rFonts w:hint="eastAsia" w:ascii="仿宋" w:hAnsi="仿宋" w:eastAsia="仿宋"/>
                <w:color w:val="auto"/>
              </w:rPr>
              <w:t>6.视频输出：要求具备数字视频输出口（RJ45）≥1，HDMI视频输出口≥1；</w:t>
            </w:r>
            <w:r>
              <w:rPr>
                <w:rFonts w:hint="eastAsia" w:ascii="仿宋" w:hAnsi="仿宋" w:eastAsia="仿宋"/>
                <w:color w:val="auto"/>
              </w:rPr>
              <w:br w:type="textWrapping"/>
            </w:r>
            <w:r>
              <w:rPr>
                <w:rFonts w:hint="eastAsia" w:ascii="仿宋" w:hAnsi="仿宋" w:eastAsia="仿宋"/>
                <w:color w:val="auto"/>
              </w:rPr>
              <w:t>7.协议支持：要求支持VISCA/ONVIF协议满足多种场景控制要求；</w:t>
            </w:r>
            <w:r>
              <w:rPr>
                <w:rFonts w:hint="eastAsia" w:ascii="仿宋" w:hAnsi="仿宋" w:eastAsia="仿宋"/>
                <w:color w:val="auto"/>
              </w:rPr>
              <w:br w:type="textWrapping"/>
            </w:r>
            <w:r>
              <w:rPr>
                <w:rFonts w:hint="eastAsia" w:ascii="仿宋" w:hAnsi="仿宋" w:eastAsia="仿宋"/>
                <w:color w:val="auto"/>
              </w:rPr>
              <w:t>8.一线通：要求具备基于RJ45双绞线的一线通连接，完成摄像机供电、控制以及视频信号传输；</w:t>
            </w:r>
            <w:r>
              <w:rPr>
                <w:rFonts w:hint="eastAsia" w:ascii="仿宋" w:hAnsi="仿宋" w:eastAsia="仿宋"/>
                <w:color w:val="auto"/>
              </w:rPr>
              <w:br w:type="textWrapping"/>
            </w:r>
            <w:r>
              <w:rPr>
                <w:rFonts w:hint="eastAsia" w:ascii="仿宋" w:hAnsi="仿宋" w:eastAsia="仿宋"/>
                <w:color w:val="auto"/>
              </w:rPr>
              <w:t>9.视频传输：基于视频传输传输，无呼吸效应且声画同步在≤100ms内。（提供有效的检测报告复印件。）</w:t>
            </w:r>
            <w:r>
              <w:rPr>
                <w:rFonts w:hint="eastAsia" w:ascii="仿宋" w:hAnsi="仿宋" w:eastAsia="仿宋"/>
                <w:color w:val="auto"/>
              </w:rPr>
              <w:br w:type="textWrapping"/>
            </w:r>
            <w:r>
              <w:rPr>
                <w:rFonts w:hint="eastAsia" w:ascii="仿宋" w:hAnsi="仿宋" w:eastAsia="仿宋"/>
                <w:color w:val="auto"/>
              </w:rPr>
              <w:t>10.智能跟踪：内置跟踪算法，摄像机内无额外辅助摄像头也无需增加任何设备即可实现人像自动跟踪，包括水平运动、俯仰运动、变焦、聚焦四维实时跟踪；</w:t>
            </w:r>
            <w:r>
              <w:rPr>
                <w:rFonts w:hint="eastAsia" w:ascii="仿宋" w:hAnsi="仿宋" w:eastAsia="仿宋"/>
                <w:color w:val="auto"/>
              </w:rPr>
              <w:br w:type="textWrapping"/>
            </w:r>
            <w:r>
              <w:rPr>
                <w:rFonts w:hint="eastAsia" w:ascii="仿宋" w:hAnsi="仿宋" w:eastAsia="仿宋"/>
                <w:color w:val="auto"/>
              </w:rPr>
              <w:t>11.交叉识别：内置对锁定跟拍对象进行人脸特征与肢体双重认证识别，在多人同时进入拍摄画面的情况下，持续锁定跟踪对象，不出现跟丢和误跟的情况；（提供有效的检测报告复印件。）</w:t>
            </w:r>
            <w:r>
              <w:rPr>
                <w:rFonts w:hint="eastAsia" w:ascii="仿宋" w:hAnsi="仿宋" w:eastAsia="仿宋"/>
                <w:color w:val="auto"/>
              </w:rPr>
              <w:br w:type="textWrapping"/>
            </w:r>
            <w:r>
              <w:rPr>
                <w:rFonts w:hint="eastAsia" w:ascii="仿宋" w:hAnsi="仿宋" w:eastAsia="仿宋"/>
                <w:color w:val="auto"/>
              </w:rPr>
              <w:t>12.AI抗干扰：支持在拍摄画面有显示设备或其他动态视频播放的情况下，自动启用AI抗干扰能力，保障画面始终锁定被跟踪对象，且跟踪效果不受影响；（提供有效的检测报告复印件。）</w:t>
            </w:r>
            <w:r>
              <w:rPr>
                <w:rFonts w:hint="eastAsia" w:ascii="仿宋" w:hAnsi="仿宋" w:eastAsia="仿宋"/>
                <w:color w:val="auto"/>
              </w:rPr>
              <w:br w:type="textWrapping"/>
            </w:r>
            <w:r>
              <w:rPr>
                <w:rFonts w:hint="eastAsia" w:ascii="仿宋" w:hAnsi="仿宋" w:eastAsia="仿宋"/>
                <w:color w:val="auto"/>
              </w:rPr>
              <w:t>13.PTZ自适应：需支持PTZ实时跟焦，AI跟踪的状态下能实现摄像机水平旋转、垂直旋转、变焦的实时同步变化，无需等待拍摄对象稳定后再变焦调整画面，移动过程不虚焦，实现拍摄画面的自适应稳定调整；</w:t>
            </w:r>
          </w:p>
        </w:tc>
        <w:tc>
          <w:tcPr>
            <w:tcW w:w="0" w:type="auto"/>
            <w:vAlign w:val="center"/>
          </w:tcPr>
          <w:p w14:paraId="5124F24B">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w:t>
            </w:r>
          </w:p>
        </w:tc>
        <w:tc>
          <w:tcPr>
            <w:tcW w:w="492" w:type="dxa"/>
            <w:vAlign w:val="center"/>
          </w:tcPr>
          <w:p w14:paraId="4C1143E0">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bookmarkEnd w:id="68"/>
      <w:tr w14:paraId="44B4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B1C400A">
            <w:pPr>
              <w:widowControl/>
              <w:snapToGrid w:val="0"/>
              <w:jc w:val="center"/>
              <w:rPr>
                <w:rFonts w:hint="eastAsia" w:ascii="仿宋" w:hAnsi="仿宋" w:eastAsia="仿宋"/>
                <w:color w:val="auto"/>
                <w:kern w:val="0"/>
              </w:rPr>
            </w:pPr>
            <w:r>
              <w:rPr>
                <w:rFonts w:hint="eastAsia" w:ascii="仿宋" w:hAnsi="仿宋" w:eastAsia="仿宋"/>
                <w:color w:val="auto"/>
                <w:kern w:val="0"/>
              </w:rPr>
              <w:t>7</w:t>
            </w:r>
          </w:p>
        </w:tc>
        <w:tc>
          <w:tcPr>
            <w:tcW w:w="996" w:type="dxa"/>
            <w:vAlign w:val="center"/>
          </w:tcPr>
          <w:p w14:paraId="51E433C4">
            <w:pPr>
              <w:widowControl/>
              <w:snapToGrid w:val="0"/>
              <w:jc w:val="center"/>
              <w:rPr>
                <w:rFonts w:hint="eastAsia" w:ascii="仿宋" w:hAnsi="仿宋" w:eastAsia="仿宋"/>
                <w:color w:val="auto"/>
              </w:rPr>
            </w:pPr>
            <w:r>
              <w:rPr>
                <w:rFonts w:hint="eastAsia" w:ascii="仿宋" w:hAnsi="仿宋" w:eastAsia="仿宋" w:cs="宋体"/>
                <w:color w:val="auto"/>
                <w:kern w:val="0"/>
              </w:rPr>
              <w:t>指向性话筒</w:t>
            </w:r>
          </w:p>
        </w:tc>
        <w:tc>
          <w:tcPr>
            <w:tcW w:w="6650" w:type="dxa"/>
            <w:vAlign w:val="center"/>
          </w:tcPr>
          <w:p w14:paraId="008EC445">
            <w:pPr>
              <w:widowControl/>
              <w:snapToGrid w:val="0"/>
              <w:jc w:val="left"/>
              <w:rPr>
                <w:rFonts w:hint="eastAsia" w:ascii="仿宋" w:hAnsi="仿宋" w:eastAsia="仿宋" w:cs="宋体"/>
                <w:color w:val="auto"/>
                <w:kern w:val="0"/>
              </w:rPr>
            </w:pPr>
            <w:r>
              <w:rPr>
                <w:rFonts w:hint="eastAsia" w:ascii="仿宋" w:hAnsi="仿宋" w:eastAsia="仿宋"/>
                <w:color w:val="auto"/>
              </w:rPr>
              <w:t>1.类型：360°全指向数字阵列麦克风。</w:t>
            </w:r>
            <w:r>
              <w:rPr>
                <w:rFonts w:hint="eastAsia" w:ascii="仿宋" w:hAnsi="仿宋" w:eastAsia="仿宋"/>
                <w:color w:val="auto"/>
              </w:rPr>
              <w:br w:type="textWrapping"/>
            </w:r>
            <w:r>
              <w:rPr>
                <w:rFonts w:hint="eastAsia" w:ascii="仿宋" w:hAnsi="仿宋" w:eastAsia="仿宋"/>
                <w:color w:val="auto"/>
              </w:rPr>
              <w:t>2.内置嵌入式软件和音频处理模块，免配置即插即用；无需使用额外的音频处理主机。</w:t>
            </w:r>
            <w:r>
              <w:rPr>
                <w:rFonts w:hint="eastAsia" w:ascii="仿宋" w:hAnsi="仿宋" w:eastAsia="仿宋"/>
                <w:color w:val="auto"/>
              </w:rPr>
              <w:br w:type="textWrapping"/>
            </w:r>
            <w:r>
              <w:rPr>
                <w:rFonts w:hint="eastAsia" w:ascii="仿宋" w:hAnsi="仿宋" w:eastAsia="仿宋"/>
                <w:color w:val="auto"/>
              </w:rPr>
              <w:t>3.拾音距离：不小于8米拾音距离。</w:t>
            </w:r>
            <w:r>
              <w:rPr>
                <w:rFonts w:hint="eastAsia" w:ascii="仿宋" w:hAnsi="仿宋" w:eastAsia="仿宋"/>
                <w:color w:val="auto"/>
              </w:rPr>
              <w:br w:type="textWrapping"/>
            </w:r>
            <w:r>
              <w:rPr>
                <w:rFonts w:hint="eastAsia" w:ascii="仿宋" w:hAnsi="仿宋" w:eastAsia="仿宋"/>
                <w:color w:val="auto"/>
              </w:rPr>
              <w:t>4.音频输入接口：line in（3.5mm）≥1，无需任何协议/接口转换设备，即可对接功放或有源扬声器完成扩声。</w:t>
            </w:r>
            <w:r>
              <w:rPr>
                <w:rFonts w:hint="eastAsia" w:ascii="仿宋" w:hAnsi="仿宋" w:eastAsia="仿宋"/>
                <w:color w:val="auto"/>
              </w:rPr>
              <w:br w:type="textWrapping"/>
            </w:r>
            <w:r>
              <w:rPr>
                <w:rFonts w:hint="eastAsia" w:ascii="仿宋" w:hAnsi="仿宋" w:eastAsia="仿宋"/>
                <w:color w:val="auto"/>
              </w:rPr>
              <w:t>5.音频输出接口：line out（3.5mm）≥2。</w:t>
            </w:r>
            <w:r>
              <w:rPr>
                <w:rFonts w:hint="eastAsia" w:ascii="仿宋" w:hAnsi="仿宋" w:eastAsia="仿宋"/>
                <w:color w:val="auto"/>
              </w:rPr>
              <w:br w:type="textWrapping"/>
            </w:r>
            <w:r>
              <w:rPr>
                <w:rFonts w:hint="eastAsia" w:ascii="仿宋" w:hAnsi="仿宋" w:eastAsia="仿宋"/>
                <w:color w:val="auto"/>
              </w:rPr>
              <w:t>6.USB接口：USB 2.0≥1，支持UAC 1.0协议，实现音频数据通信。</w:t>
            </w:r>
            <w:r>
              <w:rPr>
                <w:rFonts w:hint="eastAsia" w:ascii="仿宋" w:hAnsi="仿宋" w:eastAsia="仿宋"/>
                <w:color w:val="auto"/>
              </w:rPr>
              <w:br w:type="textWrapping"/>
            </w:r>
            <w:r>
              <w:rPr>
                <w:rFonts w:hint="eastAsia" w:ascii="仿宋" w:hAnsi="仿宋" w:eastAsia="仿宋"/>
                <w:color w:val="auto"/>
              </w:rPr>
              <w:t>7.灵敏度：不小于-26dBFS。</w:t>
            </w:r>
            <w:r>
              <w:rPr>
                <w:rFonts w:hint="eastAsia" w:ascii="仿宋" w:hAnsi="仿宋" w:eastAsia="仿宋"/>
                <w:color w:val="auto"/>
              </w:rPr>
              <w:br w:type="textWrapping"/>
            </w:r>
            <w:r>
              <w:rPr>
                <w:rFonts w:hint="eastAsia" w:ascii="仿宋" w:hAnsi="仿宋" w:eastAsia="仿宋"/>
                <w:color w:val="auto"/>
              </w:rPr>
              <w:t>8.信噪比：不小于80dB(A)。</w:t>
            </w:r>
            <w:r>
              <w:rPr>
                <w:rFonts w:hint="eastAsia" w:ascii="仿宋" w:hAnsi="仿宋" w:eastAsia="仿宋"/>
                <w:color w:val="auto"/>
              </w:rPr>
              <w:br w:type="textWrapping"/>
            </w:r>
            <w:r>
              <w:rPr>
                <w:rFonts w:hint="eastAsia" w:ascii="仿宋" w:hAnsi="仿宋" w:eastAsia="仿宋"/>
                <w:color w:val="auto"/>
              </w:rPr>
              <w:t>9.频率响应：不小于20Hz-16kHz。</w:t>
            </w:r>
            <w:r>
              <w:rPr>
                <w:rFonts w:hint="eastAsia" w:ascii="仿宋" w:hAnsi="仿宋" w:eastAsia="仿宋"/>
                <w:color w:val="auto"/>
              </w:rPr>
              <w:br w:type="textWrapping"/>
            </w:r>
            <w:r>
              <w:rPr>
                <w:rFonts w:hint="eastAsia" w:ascii="仿宋" w:hAnsi="仿宋" w:eastAsia="仿宋"/>
                <w:color w:val="auto"/>
              </w:rPr>
              <w:t>10.采样率：不小于32K采样的宽带音频采样。</w:t>
            </w:r>
            <w:r>
              <w:rPr>
                <w:rFonts w:hint="eastAsia" w:ascii="仿宋" w:hAnsi="仿宋" w:eastAsia="仿宋"/>
                <w:color w:val="auto"/>
              </w:rPr>
              <w:br w:type="textWrapping"/>
            </w:r>
            <w:r>
              <w:rPr>
                <w:rFonts w:hint="eastAsia" w:ascii="仿宋" w:hAnsi="仿宋" w:eastAsia="仿宋"/>
                <w:color w:val="auto"/>
              </w:rPr>
              <w:t>11.供电：USB DC5V。</w:t>
            </w:r>
          </w:p>
        </w:tc>
        <w:tc>
          <w:tcPr>
            <w:tcW w:w="0" w:type="auto"/>
            <w:vAlign w:val="center"/>
          </w:tcPr>
          <w:p w14:paraId="5CBAEF45">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6</w:t>
            </w:r>
          </w:p>
        </w:tc>
        <w:tc>
          <w:tcPr>
            <w:tcW w:w="492" w:type="dxa"/>
            <w:vAlign w:val="center"/>
          </w:tcPr>
          <w:p w14:paraId="633E8C19">
            <w:pPr>
              <w:widowControl/>
              <w:snapToGrid w:val="0"/>
              <w:jc w:val="center"/>
              <w:rPr>
                <w:rFonts w:hint="eastAsia" w:ascii="仿宋" w:hAnsi="仿宋" w:eastAsia="仿宋" w:cs="Calibri"/>
                <w:color w:val="auto"/>
                <w:kern w:val="0"/>
              </w:rPr>
            </w:pPr>
            <w:r>
              <w:rPr>
                <w:rFonts w:hint="eastAsia" w:ascii="仿宋" w:hAnsi="仿宋" w:eastAsia="仿宋"/>
                <w:color w:val="auto"/>
              </w:rPr>
              <w:t>支</w:t>
            </w:r>
          </w:p>
        </w:tc>
      </w:tr>
      <w:tr w14:paraId="3065B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66EE956">
            <w:pPr>
              <w:widowControl/>
              <w:snapToGrid w:val="0"/>
              <w:jc w:val="center"/>
              <w:rPr>
                <w:rFonts w:hint="eastAsia" w:ascii="仿宋" w:hAnsi="仿宋" w:eastAsia="仿宋"/>
                <w:color w:val="auto"/>
                <w:kern w:val="0"/>
              </w:rPr>
            </w:pPr>
            <w:r>
              <w:rPr>
                <w:rFonts w:hint="eastAsia" w:ascii="仿宋" w:hAnsi="仿宋" w:eastAsia="仿宋"/>
                <w:color w:val="auto"/>
                <w:kern w:val="0"/>
              </w:rPr>
              <w:t>8</w:t>
            </w:r>
          </w:p>
        </w:tc>
        <w:tc>
          <w:tcPr>
            <w:tcW w:w="996" w:type="dxa"/>
            <w:vAlign w:val="center"/>
          </w:tcPr>
          <w:p w14:paraId="75A8B815">
            <w:pPr>
              <w:widowControl/>
              <w:snapToGrid w:val="0"/>
              <w:jc w:val="center"/>
              <w:rPr>
                <w:rFonts w:hint="eastAsia" w:ascii="仿宋" w:hAnsi="仿宋" w:eastAsia="仿宋"/>
                <w:color w:val="auto"/>
              </w:rPr>
            </w:pPr>
            <w:r>
              <w:rPr>
                <w:rFonts w:hint="eastAsia" w:ascii="仿宋" w:hAnsi="仿宋" w:eastAsia="仿宋" w:cs="宋体"/>
                <w:color w:val="auto"/>
                <w:kern w:val="0"/>
              </w:rPr>
              <w:t>数字音频矩阵</w:t>
            </w:r>
          </w:p>
        </w:tc>
        <w:tc>
          <w:tcPr>
            <w:tcW w:w="6650" w:type="dxa"/>
            <w:vAlign w:val="center"/>
          </w:tcPr>
          <w:p w14:paraId="0091F5CD">
            <w:pPr>
              <w:widowControl/>
              <w:snapToGrid w:val="0"/>
              <w:jc w:val="left"/>
              <w:rPr>
                <w:rFonts w:hint="eastAsia" w:ascii="仿宋" w:hAnsi="仿宋" w:eastAsia="仿宋" w:cs="宋体"/>
                <w:color w:val="auto"/>
                <w:kern w:val="0"/>
              </w:rPr>
            </w:pPr>
            <w:r>
              <w:rPr>
                <w:rFonts w:hint="eastAsia" w:ascii="仿宋" w:hAnsi="仿宋" w:eastAsia="仿宋"/>
                <w:color w:val="auto"/>
              </w:rPr>
              <w:t>1.48K采样率，高速DSP处理芯片。</w:t>
            </w:r>
            <w:r>
              <w:rPr>
                <w:rFonts w:hint="eastAsia" w:ascii="仿宋" w:hAnsi="仿宋" w:eastAsia="仿宋"/>
                <w:color w:val="auto"/>
              </w:rPr>
              <w:br w:type="textWrapping"/>
            </w:r>
            <w:r>
              <w:rPr>
                <w:rFonts w:hint="eastAsia" w:ascii="仿宋" w:hAnsi="仿宋" w:eastAsia="仿宋"/>
                <w:color w:val="auto"/>
              </w:rPr>
              <w:t>2.内置功放功能，支持直接对接无源扬声器进行扩音，无需额外另配功放设备。</w:t>
            </w:r>
            <w:r>
              <w:rPr>
                <w:rFonts w:hint="eastAsia" w:ascii="仿宋" w:hAnsi="仿宋" w:eastAsia="仿宋"/>
                <w:color w:val="auto"/>
              </w:rPr>
              <w:br w:type="textWrapping"/>
            </w:r>
            <w:r>
              <w:rPr>
                <w:rFonts w:hint="eastAsia" w:ascii="仿宋" w:hAnsi="仿宋" w:eastAsia="仿宋"/>
                <w:color w:val="auto"/>
              </w:rPr>
              <w:t>3.至少支持4路模拟输入+1路立体声输入+2路无线输入；支持4路模拟输出+2路功放输出的音频信号处理。</w:t>
            </w:r>
            <w:r>
              <w:rPr>
                <w:rFonts w:hint="eastAsia" w:ascii="仿宋" w:hAnsi="仿宋" w:eastAsia="仿宋"/>
                <w:color w:val="auto"/>
              </w:rPr>
              <w:br w:type="textWrapping"/>
            </w:r>
            <w:r>
              <w:rPr>
                <w:rFonts w:hint="eastAsia" w:ascii="仿宋" w:hAnsi="仿宋" w:eastAsia="仿宋"/>
                <w:color w:val="auto"/>
              </w:rPr>
              <w:t>4.频率响应：20-20KHz。</w:t>
            </w:r>
            <w:r>
              <w:rPr>
                <w:rFonts w:hint="eastAsia" w:ascii="仿宋" w:hAnsi="仿宋" w:eastAsia="仿宋"/>
                <w:color w:val="auto"/>
              </w:rPr>
              <w:br w:type="textWrapping"/>
            </w:r>
            <w:r>
              <w:rPr>
                <w:rFonts w:hint="eastAsia" w:ascii="仿宋" w:hAnsi="仿宋" w:eastAsia="仿宋"/>
                <w:color w:val="auto"/>
              </w:rPr>
              <w:t>5.THD+N：≤0.005 。</w:t>
            </w:r>
            <w:r>
              <w:rPr>
                <w:rFonts w:hint="eastAsia" w:ascii="仿宋" w:hAnsi="仿宋" w:eastAsia="仿宋"/>
                <w:color w:val="auto"/>
              </w:rPr>
              <w:br w:type="textWrapping"/>
            </w:r>
            <w:r>
              <w:rPr>
                <w:rFonts w:hint="eastAsia" w:ascii="仿宋" w:hAnsi="仿宋" w:eastAsia="仿宋"/>
                <w:color w:val="auto"/>
              </w:rPr>
              <w:t>6.动态范围：≥100dB。</w:t>
            </w:r>
            <w:r>
              <w:rPr>
                <w:rFonts w:hint="eastAsia" w:ascii="仿宋" w:hAnsi="仿宋" w:eastAsia="仿宋"/>
                <w:color w:val="auto"/>
              </w:rPr>
              <w:br w:type="textWrapping"/>
            </w:r>
            <w:r>
              <w:rPr>
                <w:rFonts w:hint="eastAsia" w:ascii="仿宋" w:hAnsi="仿宋" w:eastAsia="仿宋"/>
                <w:color w:val="auto"/>
              </w:rPr>
              <w:t>7.幻象供电：支持每路独立48V幻象供电。</w:t>
            </w:r>
            <w:r>
              <w:rPr>
                <w:rFonts w:hint="eastAsia" w:ascii="仿宋" w:hAnsi="仿宋" w:eastAsia="仿宋"/>
                <w:color w:val="auto"/>
              </w:rPr>
              <w:br w:type="textWrapping"/>
            </w:r>
            <w:r>
              <w:rPr>
                <w:rFonts w:hint="eastAsia" w:ascii="仿宋" w:hAnsi="仿宋" w:eastAsia="仿宋"/>
                <w:color w:val="auto"/>
              </w:rPr>
              <w:t>8.音频处理：支持DSP音频处理功能，包含反馈消除、回声消除、噪声消除等。</w:t>
            </w:r>
            <w:r>
              <w:rPr>
                <w:rFonts w:hint="eastAsia" w:ascii="仿宋" w:hAnsi="仿宋" w:eastAsia="仿宋"/>
                <w:color w:val="auto"/>
              </w:rPr>
              <w:br w:type="textWrapping"/>
            </w:r>
            <w:r>
              <w:rPr>
                <w:rFonts w:hint="eastAsia" w:ascii="仿宋" w:hAnsi="仿宋" w:eastAsia="仿宋"/>
                <w:color w:val="auto"/>
              </w:rPr>
              <w:t>9.支持全功能矩阵混音功能。</w:t>
            </w:r>
            <w:r>
              <w:rPr>
                <w:rFonts w:hint="eastAsia" w:ascii="仿宋" w:hAnsi="仿宋" w:eastAsia="仿宋"/>
                <w:color w:val="auto"/>
              </w:rPr>
              <w:br w:type="textWrapping"/>
            </w:r>
            <w:r>
              <w:rPr>
                <w:rFonts w:hint="eastAsia" w:ascii="仿宋" w:hAnsi="仿宋" w:eastAsia="仿宋"/>
                <w:color w:val="auto"/>
              </w:rPr>
              <w:t>10.支持场景预设功能，可通过场景预设切换相应配置。</w:t>
            </w:r>
            <w:r>
              <w:rPr>
                <w:rFonts w:hint="eastAsia" w:ascii="仿宋" w:hAnsi="仿宋" w:eastAsia="仿宋"/>
                <w:color w:val="auto"/>
              </w:rPr>
              <w:br w:type="textWrapping"/>
            </w:r>
            <w:r>
              <w:rPr>
                <w:rFonts w:hint="eastAsia" w:ascii="仿宋" w:hAnsi="仿宋" w:eastAsia="仿宋"/>
                <w:color w:val="auto"/>
              </w:rPr>
              <w:t>11.USB背景音乐播放与录制功能，支持通过USB接口自动读取并选择播放U盘中的MP3、WAV等格式的音频文件。1.采用C/S或B/S软件架构设计，支持对音频处理矩阵进行管理。</w:t>
            </w:r>
            <w:r>
              <w:rPr>
                <w:rFonts w:hint="eastAsia" w:ascii="仿宋" w:hAnsi="仿宋" w:eastAsia="仿宋"/>
                <w:color w:val="auto"/>
              </w:rPr>
              <w:br w:type="textWrapping"/>
            </w:r>
            <w:r>
              <w:rPr>
                <w:rFonts w:hint="eastAsia" w:ascii="仿宋" w:hAnsi="仿宋" w:eastAsia="仿宋"/>
                <w:color w:val="auto"/>
              </w:rPr>
              <w:t>2.直观、图形化软件控制界面。</w:t>
            </w:r>
            <w:r>
              <w:rPr>
                <w:rFonts w:hint="eastAsia" w:ascii="仿宋" w:hAnsi="仿宋" w:eastAsia="仿宋"/>
                <w:color w:val="auto"/>
              </w:rPr>
              <w:br w:type="textWrapping"/>
            </w:r>
            <w:r>
              <w:rPr>
                <w:rFonts w:hint="eastAsia" w:ascii="仿宋" w:hAnsi="仿宋" w:eastAsia="仿宋"/>
                <w:color w:val="auto"/>
              </w:rPr>
              <w:t>3.信道管理：提供输入输出信道的快捷控制方式，每个通道的处理器都可以快速直通和启用，选中不同的信道，会自动切换信道信息；</w:t>
            </w:r>
            <w:r>
              <w:rPr>
                <w:rFonts w:hint="eastAsia" w:ascii="仿宋" w:hAnsi="仿宋" w:eastAsia="仿宋"/>
                <w:color w:val="auto"/>
              </w:rPr>
              <w:br w:type="textWrapping"/>
            </w:r>
            <w:r>
              <w:rPr>
                <w:rFonts w:hint="eastAsia" w:ascii="仿宋" w:hAnsi="仿宋" w:eastAsia="仿宋"/>
                <w:color w:val="auto"/>
              </w:rPr>
              <w:t>4.扩展器管理：支持通过扩展器调整输入的动态范围；</w:t>
            </w:r>
            <w:r>
              <w:rPr>
                <w:rFonts w:hint="eastAsia" w:ascii="仿宋" w:hAnsi="仿宋" w:eastAsia="仿宋"/>
                <w:color w:val="auto"/>
              </w:rPr>
              <w:br w:type="textWrapping"/>
            </w:r>
            <w:r>
              <w:rPr>
                <w:rFonts w:hint="eastAsia" w:ascii="仿宋" w:hAnsi="仿宋" w:eastAsia="仿宋"/>
                <w:color w:val="auto"/>
              </w:rPr>
              <w:t>5.自动增益：支持通过改变输入输出压缩比例来自动控制增益的幅度，自动提升和压缩话筒音量，使之以恒定的电平输出；</w:t>
            </w:r>
            <w:r>
              <w:rPr>
                <w:rFonts w:hint="eastAsia" w:ascii="仿宋" w:hAnsi="仿宋" w:eastAsia="仿宋"/>
                <w:color w:val="auto"/>
              </w:rPr>
              <w:br w:type="textWrapping"/>
            </w:r>
            <w:r>
              <w:rPr>
                <w:rFonts w:hint="eastAsia" w:ascii="仿宋" w:hAnsi="仿宋" w:eastAsia="仿宋"/>
                <w:color w:val="auto"/>
              </w:rPr>
              <w:t>6.压缩器管理：支持通过压缩器减少信号高于用户确定的阈值的动态范围，信号电平低于阈值保持不变；</w:t>
            </w:r>
            <w:r>
              <w:rPr>
                <w:rFonts w:hint="eastAsia" w:ascii="仿宋" w:hAnsi="仿宋" w:eastAsia="仿宋"/>
                <w:color w:val="auto"/>
              </w:rPr>
              <w:br w:type="textWrapping"/>
            </w:r>
            <w:r>
              <w:rPr>
                <w:rFonts w:hint="eastAsia" w:ascii="仿宋" w:hAnsi="仿宋" w:eastAsia="仿宋"/>
                <w:color w:val="auto"/>
              </w:rPr>
              <w:t>7.均衡器管理：31段频点可单独调节增益，从而达到加强、削弱某些频点的目的，实现不同效果。</w:t>
            </w:r>
          </w:p>
        </w:tc>
        <w:tc>
          <w:tcPr>
            <w:tcW w:w="0" w:type="auto"/>
            <w:vAlign w:val="center"/>
          </w:tcPr>
          <w:p w14:paraId="460462DB">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5AB945C4">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6DBB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AC23E1A">
            <w:pPr>
              <w:widowControl/>
              <w:snapToGrid w:val="0"/>
              <w:jc w:val="center"/>
              <w:rPr>
                <w:rFonts w:hint="eastAsia" w:ascii="仿宋" w:hAnsi="仿宋" w:eastAsia="仿宋"/>
                <w:color w:val="auto"/>
                <w:kern w:val="0"/>
              </w:rPr>
            </w:pPr>
            <w:r>
              <w:rPr>
                <w:rFonts w:hint="eastAsia" w:ascii="仿宋" w:hAnsi="仿宋" w:eastAsia="仿宋" w:cs="宋体"/>
                <w:color w:val="auto"/>
                <w:kern w:val="0"/>
              </w:rPr>
              <w:t>9</w:t>
            </w:r>
          </w:p>
        </w:tc>
        <w:tc>
          <w:tcPr>
            <w:tcW w:w="996" w:type="dxa"/>
            <w:vAlign w:val="center"/>
          </w:tcPr>
          <w:p w14:paraId="2D05023C">
            <w:pPr>
              <w:widowControl/>
              <w:snapToGrid w:val="0"/>
              <w:jc w:val="center"/>
              <w:rPr>
                <w:rFonts w:hint="eastAsia" w:ascii="仿宋" w:hAnsi="仿宋" w:eastAsia="仿宋"/>
                <w:color w:val="auto"/>
              </w:rPr>
            </w:pPr>
            <w:r>
              <w:rPr>
                <w:rFonts w:hint="eastAsia" w:ascii="仿宋" w:hAnsi="仿宋" w:eastAsia="仿宋" w:cs="宋体"/>
                <w:color w:val="auto"/>
                <w:kern w:val="0"/>
              </w:rPr>
              <w:t>智能分析主机</w:t>
            </w:r>
          </w:p>
        </w:tc>
        <w:tc>
          <w:tcPr>
            <w:tcW w:w="6650" w:type="dxa"/>
            <w:vAlign w:val="center"/>
          </w:tcPr>
          <w:p w14:paraId="5D44F632">
            <w:pPr>
              <w:widowControl/>
              <w:numPr>
                <w:ilvl w:val="0"/>
                <w:numId w:val="9"/>
              </w:numPr>
              <w:snapToGrid w:val="0"/>
              <w:jc w:val="left"/>
              <w:rPr>
                <w:rFonts w:hint="eastAsia" w:ascii="仿宋" w:hAnsi="仿宋" w:eastAsia="仿宋"/>
                <w:color w:val="auto"/>
              </w:rPr>
            </w:pPr>
            <w:r>
              <w:rPr>
                <w:rFonts w:hint="eastAsia" w:ascii="仿宋" w:hAnsi="仿宋" w:eastAsia="仿宋"/>
                <w:color w:val="auto"/>
              </w:rPr>
              <w:t>整体要求</w:t>
            </w:r>
            <w:r>
              <w:rPr>
                <w:rFonts w:hint="eastAsia" w:ascii="仿宋" w:hAnsi="仿宋" w:eastAsia="仿宋"/>
                <w:color w:val="auto"/>
              </w:rPr>
              <w:br w:type="textWrapping"/>
            </w:r>
            <w:r>
              <w:rPr>
                <w:rFonts w:hint="eastAsia" w:ascii="仿宋" w:hAnsi="仿宋" w:eastAsia="仿宋"/>
                <w:color w:val="auto"/>
              </w:rPr>
              <w:t>1.兼容对接：要求实现录播主机内置的实时课堂行为分析，同时支持与视频资源管理平台无缝对接，将数据通过平台进行展示或主机内部展示两种模式，两种模式均支持下载分析报告；</w:t>
            </w:r>
            <w:r>
              <w:rPr>
                <w:rFonts w:hint="eastAsia" w:ascii="仿宋" w:hAnsi="仿宋" w:eastAsia="仿宋"/>
                <w:color w:val="auto"/>
              </w:rPr>
              <w:br w:type="textWrapping"/>
            </w:r>
            <w:r>
              <w:rPr>
                <w:rFonts w:hint="eastAsia" w:ascii="仿宋" w:hAnsi="仿宋" w:eastAsia="仿宋"/>
                <w:color w:val="auto"/>
              </w:rPr>
              <w:t>2.多维分析：支持对课堂数据进行综合多维度的分析，包括“课堂师生行为时序”、“教学行为分析”、“理答分析”、“PPT分析”、“教师讲授分析”、“姿态与情感分析”、“课堂管理分析”、“学生学情分析”等多维度多类型分析数据板块；</w:t>
            </w:r>
            <w:r>
              <w:rPr>
                <w:rFonts w:hint="eastAsia" w:ascii="仿宋" w:hAnsi="仿宋" w:eastAsia="仿宋"/>
                <w:color w:val="auto"/>
              </w:rPr>
              <w:br w:type="textWrapping"/>
            </w:r>
            <w:r>
              <w:rPr>
                <w:rFonts w:hint="eastAsia" w:ascii="仿宋" w:hAnsi="仿宋" w:eastAsia="仿宋"/>
                <w:color w:val="auto"/>
              </w:rPr>
              <w:t>3.实时分析：支持对师生出勤率、教学行为、教师活动轨迹、学生课堂动作表情分析等维度数据进行实时统计分析，并且能在课程录制结束三分钟内将数据整合建模生成分析报告；</w:t>
            </w:r>
            <w:r>
              <w:rPr>
                <w:rFonts w:hint="eastAsia" w:ascii="仿宋" w:hAnsi="仿宋" w:eastAsia="仿宋"/>
                <w:color w:val="auto"/>
              </w:rPr>
              <w:br w:type="textWrapping"/>
            </w:r>
            <w:r>
              <w:rPr>
                <w:rFonts w:hint="eastAsia" w:ascii="仿宋" w:hAnsi="仿宋" w:eastAsia="仿宋"/>
                <w:color w:val="auto"/>
              </w:rPr>
              <w:t>4.教学环节识别：要求支持按照教学环节定义将课程视频切片，并且在视频播放进度条上有明显标签显示对应的教学环节；</w:t>
            </w:r>
            <w:r>
              <w:rPr>
                <w:rFonts w:hint="eastAsia" w:ascii="仿宋" w:hAnsi="仿宋" w:eastAsia="仿宋"/>
                <w:color w:val="auto"/>
              </w:rPr>
              <w:br w:type="textWrapping"/>
            </w:r>
            <w:r>
              <w:rPr>
                <w:rFonts w:hint="eastAsia" w:ascii="仿宋" w:hAnsi="仿宋" w:eastAsia="仿宋"/>
                <w:color w:val="auto"/>
              </w:rPr>
              <w:t>5.编辑教学环节：要求支持用户可以对AI分析生成的教学环节结果自主纠偏，可以依据时间轴自主定义教学环节的时长以及更改教学环节的结论，并支持自主创建教学环节名称；</w:t>
            </w:r>
            <w:r>
              <w:rPr>
                <w:rFonts w:hint="eastAsia" w:ascii="仿宋" w:hAnsi="仿宋" w:eastAsia="仿宋"/>
                <w:color w:val="auto"/>
              </w:rPr>
              <w:br w:type="textWrapping"/>
            </w:r>
            <w:r>
              <w:rPr>
                <w:rFonts w:hint="eastAsia" w:ascii="仿宋" w:hAnsi="仿宋" w:eastAsia="仿宋"/>
                <w:color w:val="auto"/>
              </w:rPr>
              <w:t>6.行为时序播放：支持在课程视频播放进度条显示PPT翻页的具体时间节点，同时将教师行为与学生行为的时序分布依次排列展开，点击时序图上的具体行为节点，视频将自动跳转到对应位置，方便老师快速回顾课堂教学环节；</w:t>
            </w:r>
            <w:r>
              <w:rPr>
                <w:rFonts w:hint="eastAsia" w:ascii="仿宋" w:hAnsi="仿宋" w:eastAsia="仿宋"/>
                <w:color w:val="auto"/>
              </w:rPr>
              <w:br w:type="textWrapping"/>
            </w:r>
            <w:r>
              <w:rPr>
                <w:rFonts w:hint="eastAsia" w:ascii="仿宋" w:hAnsi="仿宋" w:eastAsia="仿宋"/>
                <w:color w:val="auto"/>
              </w:rPr>
              <w:t>二.教师教情分析要求</w:t>
            </w:r>
            <w:r>
              <w:rPr>
                <w:rFonts w:hint="eastAsia" w:ascii="仿宋" w:hAnsi="仿宋" w:eastAsia="仿宋"/>
                <w:color w:val="auto"/>
              </w:rPr>
              <w:br w:type="textWrapping"/>
            </w:r>
            <w:r>
              <w:rPr>
                <w:rFonts w:hint="eastAsia" w:ascii="仿宋" w:hAnsi="仿宋" w:eastAsia="仿宋"/>
                <w:color w:val="auto"/>
              </w:rPr>
              <w:t>1.教师行为分析：支持自动分析并统计老师授课过程中的教学行为，包括但不限于“教师板书”、“教师提问”、“教师追问”、“教师巡视”、“PPT演示”、“操作大屏”、“教师姿态”、“目光注视”、“教师发言”等；</w:t>
            </w:r>
            <w:r>
              <w:rPr>
                <w:rFonts w:hint="eastAsia" w:ascii="仿宋" w:hAnsi="仿宋" w:eastAsia="仿宋"/>
                <w:color w:val="auto"/>
              </w:rPr>
              <w:br w:type="textWrapping"/>
            </w:r>
            <w:r>
              <w:rPr>
                <w:rFonts w:hint="eastAsia" w:ascii="仿宋" w:hAnsi="仿宋" w:eastAsia="仿宋"/>
                <w:color w:val="auto"/>
              </w:rPr>
              <w:t>2.PPT分析：要求支持教师授课PPT分析，分析每页PPT所用时长以及PPT内的图片与图表页数，并可识别PPT内留给学生课堂任务的数量，分析任务时间占比；</w:t>
            </w:r>
            <w:r>
              <w:rPr>
                <w:rFonts w:hint="eastAsia" w:ascii="仿宋" w:hAnsi="仿宋" w:eastAsia="仿宋"/>
                <w:color w:val="auto"/>
              </w:rPr>
              <w:br w:type="textWrapping"/>
            </w:r>
            <w:r>
              <w:rPr>
                <w:rFonts w:hint="eastAsia" w:ascii="仿宋" w:hAnsi="仿宋" w:eastAsia="仿宋"/>
                <w:color w:val="auto"/>
              </w:rPr>
              <w:t>3.教师巡视：要求支持分析教师课堂管理能力，统计教师巡视次数与巡视时长，并提供热点图直观查看教师授课轨迹情况</w:t>
            </w:r>
            <w:r>
              <w:rPr>
                <w:rFonts w:hint="eastAsia" w:ascii="仿宋" w:hAnsi="仿宋" w:eastAsia="仿宋"/>
                <w:color w:val="auto"/>
              </w:rPr>
              <w:br w:type="textWrapping"/>
            </w:r>
            <w:r>
              <w:rPr>
                <w:rFonts w:hint="eastAsia" w:ascii="仿宋" w:hAnsi="仿宋" w:eastAsia="仿宋"/>
                <w:color w:val="auto"/>
              </w:rPr>
              <w:t>4.目光注视：要求支持分析教师对学生学习的观察情况，统计分析教师注视学生区域的时间占比情况；</w:t>
            </w:r>
            <w:r>
              <w:rPr>
                <w:rFonts w:hint="eastAsia" w:ascii="仿宋" w:hAnsi="仿宋" w:eastAsia="仿宋"/>
                <w:color w:val="auto"/>
              </w:rPr>
              <w:br w:type="textWrapping"/>
            </w:r>
            <w:r>
              <w:rPr>
                <w:rFonts w:hint="eastAsia" w:ascii="仿宋" w:hAnsi="仿宋" w:eastAsia="仿宋"/>
                <w:color w:val="auto"/>
              </w:rPr>
              <w:t>5.S-T分析：要求支持以图表的形式分析课堂过程中的师生行为，观察教师的课堂环节设计与师生互动情况；</w:t>
            </w:r>
            <w:r>
              <w:rPr>
                <w:rFonts w:hint="eastAsia" w:ascii="仿宋" w:hAnsi="仿宋" w:eastAsia="仿宋"/>
                <w:color w:val="auto"/>
              </w:rPr>
              <w:br w:type="textWrapping"/>
            </w:r>
            <w:r>
              <w:rPr>
                <w:rFonts w:hint="eastAsia" w:ascii="仿宋" w:hAnsi="仿宋" w:eastAsia="仿宋"/>
                <w:color w:val="auto"/>
              </w:rPr>
              <w:t>三.学生学情分析要求</w:t>
            </w:r>
            <w:r>
              <w:rPr>
                <w:rFonts w:hint="eastAsia" w:ascii="仿宋" w:hAnsi="仿宋" w:eastAsia="仿宋"/>
                <w:color w:val="auto"/>
              </w:rPr>
              <w:br w:type="textWrapping"/>
            </w:r>
            <w:r>
              <w:rPr>
                <w:rFonts w:hint="eastAsia" w:ascii="仿宋" w:hAnsi="仿宋" w:eastAsia="仿宋"/>
                <w:color w:val="auto"/>
              </w:rPr>
              <w:t>1.学生行为分析：要求支持自动分析并统计学生课堂过程中的学习行为，包括但不限于“多人站立”、“学生举手”、“学生低头”、“多人抬头”、“学生上台”、“学生应答”、“补充发言”、“课堂氛围”、“学生操作电脑”等。</w:t>
            </w:r>
            <w:r>
              <w:rPr>
                <w:rFonts w:hint="eastAsia" w:ascii="仿宋" w:hAnsi="仿宋" w:eastAsia="仿宋"/>
                <w:color w:val="auto"/>
              </w:rPr>
              <w:br w:type="textWrapping"/>
            </w:r>
            <w:r>
              <w:rPr>
                <w:rFonts w:hint="eastAsia" w:ascii="仿宋" w:hAnsi="仿宋" w:eastAsia="仿宋"/>
                <w:color w:val="auto"/>
              </w:rPr>
              <w:t>2.学情观察统计：要求支持对学生区域进行预置位划分，统计学生举手次数以及应答次数，上台人数以及趴桌时长；</w:t>
            </w:r>
            <w:r>
              <w:rPr>
                <w:rFonts w:hint="eastAsia" w:ascii="仿宋" w:hAnsi="仿宋" w:eastAsia="仿宋"/>
                <w:color w:val="auto"/>
              </w:rPr>
              <w:br w:type="textWrapping"/>
            </w:r>
            <w:r>
              <w:rPr>
                <w:rFonts w:hint="eastAsia" w:ascii="仿宋" w:hAnsi="仿宋" w:eastAsia="仿宋"/>
                <w:color w:val="auto"/>
              </w:rPr>
              <w:t>3.个体观察分析：要求支持对学生区域进行预置位划分，同时在未上传人脸信息的前提下也对每个学生进行编号标记，记录并呈现每个学生具体某个时间点的行为截图；</w:t>
            </w:r>
            <w:r>
              <w:rPr>
                <w:rFonts w:hint="eastAsia" w:ascii="仿宋" w:hAnsi="仿宋" w:eastAsia="仿宋"/>
                <w:color w:val="auto"/>
              </w:rPr>
              <w:br w:type="textWrapping"/>
            </w:r>
            <w:r>
              <w:rPr>
                <w:rFonts w:hint="eastAsia" w:ascii="仿宋" w:hAnsi="仿宋" w:eastAsia="仿宋"/>
                <w:color w:val="auto"/>
              </w:rPr>
              <w:t>4.学情区域对比：要求支持针对学生抬头率、学生情绪以及互动情况，选择2个不同的预置位进行听课情况对比，以图表的形式呈现学生的听课情况和次数对比；</w:t>
            </w:r>
            <w:r>
              <w:rPr>
                <w:rFonts w:hint="eastAsia" w:ascii="仿宋" w:hAnsi="仿宋" w:eastAsia="仿宋"/>
                <w:color w:val="auto"/>
              </w:rPr>
              <w:br w:type="textWrapping"/>
            </w:r>
            <w:r>
              <w:rPr>
                <w:rFonts w:hint="eastAsia" w:ascii="仿宋" w:hAnsi="仿宋" w:eastAsia="仿宋"/>
                <w:color w:val="auto"/>
              </w:rPr>
              <w:t>5.学生站立分析：支持以热点图的形式呈现学生站立、学生举手、补充发言的情况与分布，并支持统计站立人数与站立次数，针对学生站立行为支持具体到某个时间以及某位学生；</w:t>
            </w:r>
            <w:r>
              <w:rPr>
                <w:rFonts w:hint="eastAsia" w:ascii="仿宋" w:hAnsi="仿宋" w:eastAsia="仿宋"/>
                <w:color w:val="auto"/>
              </w:rPr>
              <w:br w:type="textWrapping"/>
            </w:r>
            <w:r>
              <w:rPr>
                <w:rFonts w:hint="eastAsia" w:ascii="仿宋" w:hAnsi="仿宋" w:eastAsia="仿宋"/>
                <w:color w:val="auto"/>
              </w:rPr>
              <w:t>6.学生专注分析：要求支持统计在不同场景下学生的抬头率情况，如教师板书时、学生上台时、教师PPT授课时，并呈现不同环节的抬头率比例；</w:t>
            </w:r>
            <w:r>
              <w:rPr>
                <w:rFonts w:hint="eastAsia" w:ascii="仿宋" w:hAnsi="仿宋" w:eastAsia="仿宋"/>
                <w:color w:val="auto"/>
              </w:rPr>
              <w:br w:type="textWrapping"/>
            </w:r>
            <w:r>
              <w:rPr>
                <w:rFonts w:hint="eastAsia" w:ascii="仿宋" w:hAnsi="仿宋" w:eastAsia="仿宋"/>
                <w:color w:val="auto"/>
              </w:rPr>
              <w:t>7.课堂氛围分析：支持学生课堂表情分析，并支持对各类表情进行实时检测，统计课堂过程中不同时间点学生开心或平静的表情峰值；</w:t>
            </w:r>
            <w:r>
              <w:rPr>
                <w:rFonts w:hint="eastAsia" w:ascii="仿宋" w:hAnsi="仿宋" w:eastAsia="仿宋"/>
                <w:color w:val="auto"/>
              </w:rPr>
              <w:br w:type="textWrapping"/>
            </w:r>
            <w:r>
              <w:rPr>
                <w:rFonts w:hint="eastAsia" w:ascii="仿宋" w:hAnsi="仿宋" w:eastAsia="仿宋"/>
                <w:color w:val="auto"/>
              </w:rPr>
              <w:t>8.学生低头分析：要求支持整堂课学生的低头时长统计，并支持展示低头时间点的具体截图。</w:t>
            </w:r>
          </w:p>
          <w:p w14:paraId="3224888C">
            <w:pPr>
              <w:widowControl/>
              <w:tabs>
                <w:tab w:val="left" w:pos="312"/>
              </w:tabs>
              <w:snapToGrid w:val="0"/>
              <w:jc w:val="left"/>
              <w:rPr>
                <w:rFonts w:hint="eastAsia" w:ascii="仿宋" w:hAnsi="仿宋" w:eastAsia="仿宋"/>
                <w:color w:val="auto"/>
              </w:rPr>
            </w:pPr>
            <w:r>
              <w:rPr>
                <w:rFonts w:hint="eastAsia" w:ascii="仿宋" w:hAnsi="仿宋" w:eastAsia="仿宋"/>
                <w:color w:val="auto"/>
              </w:rPr>
              <w:t>1. 所投产品须具有自主知识产权，提供对应产品的计算机软件著作权登记证书。</w:t>
            </w:r>
          </w:p>
          <w:p w14:paraId="32715DE5">
            <w:pPr>
              <w:widowControl/>
              <w:tabs>
                <w:tab w:val="left" w:pos="312"/>
              </w:tabs>
              <w:snapToGrid w:val="0"/>
              <w:jc w:val="left"/>
              <w:rPr>
                <w:rFonts w:ascii="仿宋" w:eastAsia="仿宋"/>
                <w:color w:val="auto"/>
              </w:rPr>
            </w:pPr>
            <w:r>
              <w:rPr>
                <w:rFonts w:hint="eastAsia" w:ascii="仿宋" w:hAnsi="仿宋" w:eastAsia="仿宋"/>
                <w:color w:val="auto"/>
              </w:rPr>
              <w:t>2. 证书对应的软件功能应能支撑本项目相应设备使用。</w:t>
            </w:r>
          </w:p>
        </w:tc>
        <w:tc>
          <w:tcPr>
            <w:tcW w:w="0" w:type="auto"/>
            <w:vAlign w:val="center"/>
          </w:tcPr>
          <w:p w14:paraId="5659C726">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4011B83C">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5702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F749E46">
            <w:pPr>
              <w:widowControl/>
              <w:snapToGrid w:val="0"/>
              <w:jc w:val="center"/>
              <w:rPr>
                <w:rFonts w:hint="eastAsia" w:ascii="仿宋" w:hAnsi="仿宋" w:eastAsia="仿宋"/>
                <w:color w:val="auto"/>
                <w:kern w:val="0"/>
              </w:rPr>
            </w:pPr>
            <w:r>
              <w:rPr>
                <w:rFonts w:hint="eastAsia" w:ascii="仿宋" w:hAnsi="仿宋" w:eastAsia="仿宋" w:cs="宋体"/>
                <w:color w:val="auto"/>
                <w:kern w:val="0"/>
              </w:rPr>
              <w:t>10</w:t>
            </w:r>
          </w:p>
        </w:tc>
        <w:tc>
          <w:tcPr>
            <w:tcW w:w="996" w:type="dxa"/>
            <w:vAlign w:val="center"/>
          </w:tcPr>
          <w:p w14:paraId="5D38FF35">
            <w:pPr>
              <w:widowControl/>
              <w:snapToGrid w:val="0"/>
              <w:jc w:val="center"/>
              <w:rPr>
                <w:rFonts w:hint="eastAsia" w:ascii="仿宋" w:hAnsi="仿宋" w:eastAsia="仿宋"/>
                <w:color w:val="auto"/>
              </w:rPr>
            </w:pPr>
            <w:r>
              <w:rPr>
                <w:rFonts w:hint="eastAsia" w:ascii="仿宋" w:hAnsi="仿宋" w:eastAsia="仿宋" w:cs="宋体"/>
                <w:color w:val="auto"/>
                <w:kern w:val="0"/>
              </w:rPr>
              <w:t>图像跟踪系统</w:t>
            </w:r>
          </w:p>
        </w:tc>
        <w:tc>
          <w:tcPr>
            <w:tcW w:w="6650" w:type="dxa"/>
            <w:vAlign w:val="center"/>
          </w:tcPr>
          <w:p w14:paraId="1BAFE5FF">
            <w:pPr>
              <w:widowControl/>
              <w:snapToGrid w:val="0"/>
              <w:jc w:val="left"/>
              <w:rPr>
                <w:rFonts w:hint="eastAsia" w:ascii="仿宋" w:hAnsi="仿宋" w:eastAsia="仿宋" w:cs="宋体"/>
                <w:color w:val="auto"/>
                <w:kern w:val="0"/>
              </w:rPr>
            </w:pPr>
            <w:r>
              <w:rPr>
                <w:rFonts w:hint="eastAsia" w:ascii="仿宋" w:hAnsi="仿宋" w:eastAsia="仿宋"/>
                <w:color w:val="auto"/>
              </w:rPr>
              <w:t xml:space="preserve">1.跟踪逻辑：支持智能识别接入摄像机的使用定位，并联动摄像机选用对应的跟踪逻辑，如教师跟踪、学生跟踪等； </w:t>
            </w:r>
            <w:r>
              <w:rPr>
                <w:rFonts w:hint="eastAsia" w:ascii="仿宋" w:hAnsi="仿宋" w:eastAsia="仿宋"/>
                <w:color w:val="auto"/>
              </w:rPr>
              <w:br w:type="textWrapping"/>
            </w:r>
            <w:r>
              <w:rPr>
                <w:rFonts w:hint="eastAsia" w:ascii="仿宋" w:hAnsi="仿宋" w:eastAsia="仿宋"/>
                <w:color w:val="auto"/>
              </w:rPr>
              <w:t xml:space="preserve">2.检测区域：支持对接入摄像机的 AI 跟踪检测区域设置，可基于实景拍摄画面框选跟踪区域，框选后只在区域中方能触发跟踪，所见所得方便操作； </w:t>
            </w:r>
            <w:r>
              <w:rPr>
                <w:rFonts w:hint="eastAsia" w:ascii="仿宋" w:hAnsi="仿宋" w:eastAsia="仿宋"/>
                <w:color w:val="auto"/>
              </w:rPr>
              <w:br w:type="textWrapping"/>
            </w:r>
            <w:r>
              <w:rPr>
                <w:rFonts w:hint="eastAsia" w:ascii="仿宋" w:hAnsi="仿宋" w:eastAsia="仿宋"/>
                <w:color w:val="auto"/>
              </w:rPr>
              <w:t xml:space="preserve">3.跟踪切换：支持根据设定的跟踪策略形成跟踪指令，实现多路接入摄像机的全自动 AI 跟踪画面切换；且支持自定义跟踪切换逻辑的画面布局，包含但不限于双分屏、画中画与自定义布局等； </w:t>
            </w:r>
            <w:r>
              <w:rPr>
                <w:rFonts w:hint="eastAsia" w:ascii="仿宋" w:hAnsi="仿宋" w:eastAsia="仿宋"/>
                <w:color w:val="auto"/>
              </w:rPr>
              <w:br w:type="textWrapping"/>
            </w:r>
            <w:r>
              <w:rPr>
                <w:rFonts w:hint="eastAsia" w:ascii="仿宋" w:hAnsi="仿宋" w:eastAsia="仿宋"/>
                <w:color w:val="auto"/>
              </w:rPr>
              <w:t xml:space="preserve">4.跟踪策略：支持对接入摄像机自定义设置 AI 跟踪目标更新周期时间，摄像机依据配置实现相应跟踪策略； </w:t>
            </w:r>
            <w:r>
              <w:rPr>
                <w:rFonts w:hint="eastAsia" w:ascii="仿宋" w:hAnsi="仿宋" w:eastAsia="仿宋"/>
                <w:color w:val="auto"/>
              </w:rPr>
              <w:br w:type="textWrapping"/>
            </w:r>
            <w:r>
              <w:rPr>
                <w:rFonts w:hint="eastAsia" w:ascii="仿宋" w:hAnsi="仿宋" w:eastAsia="仿宋"/>
                <w:color w:val="auto"/>
              </w:rPr>
              <w:t>▲5.智能构图：支持设置摄像机拍摄画面的智能构图模式，包含但不限于五分像、七分像、全身像等；</w:t>
            </w:r>
            <w:r>
              <w:rPr>
                <w:rFonts w:hint="eastAsia" w:ascii="仿宋" w:hAnsi="仿宋" w:eastAsia="仿宋" w:cs="宋体"/>
                <w:b/>
                <w:bCs/>
                <w:color w:val="auto"/>
              </w:rPr>
              <w:t>须提供国家认可的第三方检测机构出具的、处于有效期内的、带有CMA或CNAS标识的产品检测报告，且检测参数覆盖采购需求相关技术指标，否则视为无效证明材料。</w:t>
            </w:r>
            <w:r>
              <w:rPr>
                <w:rFonts w:hint="eastAsia" w:ascii="仿宋" w:hAnsi="仿宋" w:eastAsia="仿宋"/>
                <w:b/>
                <w:bCs/>
                <w:color w:val="auto"/>
              </w:rPr>
              <w:br w:type="textWrapping"/>
            </w:r>
            <w:r>
              <w:rPr>
                <w:rFonts w:hint="eastAsia" w:ascii="仿宋" w:hAnsi="仿宋" w:eastAsia="仿宋"/>
                <w:color w:val="auto"/>
              </w:rPr>
              <w:t xml:space="preserve">6.全场景跟拍：要求支持基于计算机视觉 CV 技术的 AI 人工智能跟踪算法，实现教师识别、教师移动跟拍、教师轨迹识别以及学生上台识别、板书行为识别、单人与多人起立识别等教学焦点进行自动捕捉与切换；  </w:t>
            </w:r>
          </w:p>
        </w:tc>
        <w:tc>
          <w:tcPr>
            <w:tcW w:w="0" w:type="auto"/>
            <w:vAlign w:val="center"/>
          </w:tcPr>
          <w:p w14:paraId="61185177">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20C88C55">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39060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33FC6F9">
            <w:pPr>
              <w:widowControl/>
              <w:snapToGrid w:val="0"/>
              <w:jc w:val="center"/>
              <w:rPr>
                <w:rFonts w:hint="eastAsia" w:ascii="仿宋" w:hAnsi="仿宋" w:eastAsia="仿宋"/>
                <w:color w:val="auto"/>
                <w:kern w:val="0"/>
              </w:rPr>
            </w:pPr>
            <w:r>
              <w:rPr>
                <w:rFonts w:hint="eastAsia" w:ascii="仿宋" w:hAnsi="仿宋" w:eastAsia="仿宋" w:cs="宋体"/>
                <w:color w:val="auto"/>
                <w:kern w:val="0"/>
              </w:rPr>
              <w:t>11</w:t>
            </w:r>
          </w:p>
        </w:tc>
        <w:tc>
          <w:tcPr>
            <w:tcW w:w="996" w:type="dxa"/>
            <w:vAlign w:val="center"/>
          </w:tcPr>
          <w:p w14:paraId="6C77BA20">
            <w:pPr>
              <w:widowControl/>
              <w:snapToGrid w:val="0"/>
              <w:jc w:val="center"/>
              <w:rPr>
                <w:rFonts w:hint="eastAsia" w:ascii="仿宋" w:hAnsi="仿宋" w:eastAsia="仿宋"/>
                <w:color w:val="auto"/>
              </w:rPr>
            </w:pPr>
            <w:r>
              <w:rPr>
                <w:rFonts w:hint="eastAsia" w:ascii="仿宋" w:hAnsi="仿宋" w:eastAsia="仿宋" w:cs="宋体"/>
                <w:color w:val="auto"/>
                <w:kern w:val="0"/>
              </w:rPr>
              <w:t>跟踪半球</w:t>
            </w:r>
          </w:p>
        </w:tc>
        <w:tc>
          <w:tcPr>
            <w:tcW w:w="6650" w:type="dxa"/>
            <w:vAlign w:val="center"/>
          </w:tcPr>
          <w:p w14:paraId="07BB1CBD">
            <w:pPr>
              <w:widowControl/>
              <w:snapToGrid w:val="0"/>
              <w:jc w:val="left"/>
              <w:rPr>
                <w:rFonts w:hint="eastAsia" w:ascii="仿宋" w:hAnsi="仿宋" w:eastAsia="仿宋"/>
                <w:color w:val="auto"/>
              </w:rPr>
            </w:pPr>
            <w:r>
              <w:rPr>
                <w:rFonts w:hint="eastAsia" w:ascii="仿宋" w:hAnsi="仿宋" w:eastAsia="仿宋"/>
                <w:color w:val="auto"/>
              </w:rPr>
              <w:t>1.传感器：要求采用CMOS类型图像传感器，尺寸≥1/2.5英寸；</w:t>
            </w:r>
            <w:r>
              <w:rPr>
                <w:rFonts w:hint="eastAsia" w:ascii="仿宋" w:hAnsi="仿宋" w:eastAsia="仿宋"/>
                <w:color w:val="auto"/>
              </w:rPr>
              <w:br w:type="textWrapping"/>
            </w:r>
            <w:r>
              <w:rPr>
                <w:rFonts w:hint="eastAsia" w:ascii="仿宋" w:hAnsi="仿宋" w:eastAsia="仿宋"/>
                <w:color w:val="auto"/>
              </w:rPr>
              <w:t xml:space="preserve">2.像素：有效像素≥800万； </w:t>
            </w:r>
            <w:r>
              <w:rPr>
                <w:rFonts w:hint="eastAsia" w:ascii="仿宋" w:hAnsi="仿宋" w:eastAsia="仿宋"/>
                <w:color w:val="auto"/>
              </w:rPr>
              <w:br w:type="textWrapping"/>
            </w:r>
            <w:r>
              <w:rPr>
                <w:rFonts w:hint="eastAsia" w:ascii="仿宋" w:hAnsi="仿宋" w:eastAsia="仿宋"/>
                <w:color w:val="auto"/>
              </w:rPr>
              <w:t>3.变焦：要求支持自动和手动变焦，光学变焦倍数≥22倍；</w:t>
            </w:r>
            <w:r>
              <w:rPr>
                <w:rFonts w:hint="eastAsia" w:ascii="仿宋" w:hAnsi="仿宋" w:eastAsia="仿宋"/>
                <w:color w:val="auto"/>
              </w:rPr>
              <w:br w:type="textWrapping"/>
            </w:r>
            <w:r>
              <w:rPr>
                <w:rFonts w:hint="eastAsia" w:ascii="仿宋" w:hAnsi="仿宋" w:eastAsia="仿宋"/>
                <w:color w:val="auto"/>
              </w:rPr>
              <w:t>4.云台转动：要求具备机械云台可进行转动跟踪。水平转动速度范围不少于1.0°~ 90°/s，垂直转动速度范围不少于1.0°~ 70°/s；</w:t>
            </w:r>
            <w:r>
              <w:rPr>
                <w:rFonts w:hint="eastAsia" w:ascii="仿宋" w:hAnsi="仿宋" w:eastAsia="仿宋"/>
                <w:color w:val="auto"/>
              </w:rPr>
              <w:br w:type="textWrapping"/>
            </w:r>
            <w:r>
              <w:rPr>
                <w:rFonts w:hint="eastAsia" w:ascii="仿宋" w:hAnsi="仿宋" w:eastAsia="仿宋"/>
                <w:color w:val="auto"/>
              </w:rPr>
              <w:t>5.视频编码：要求支持H.265、H.264高清视频编码协议；</w:t>
            </w:r>
            <w:r>
              <w:rPr>
                <w:rFonts w:hint="eastAsia" w:ascii="仿宋" w:hAnsi="仿宋" w:eastAsia="仿宋"/>
                <w:color w:val="auto"/>
              </w:rPr>
              <w:br w:type="textWrapping"/>
            </w:r>
            <w:r>
              <w:rPr>
                <w:rFonts w:hint="eastAsia" w:ascii="仿宋" w:hAnsi="仿宋" w:eastAsia="仿宋"/>
                <w:color w:val="auto"/>
              </w:rPr>
              <w:t>6.视频输出：要求具备数字视频输出口（RJ45）≥1，HDMI视频输出口≥1；</w:t>
            </w:r>
            <w:r>
              <w:rPr>
                <w:rFonts w:hint="eastAsia" w:ascii="仿宋" w:hAnsi="仿宋" w:eastAsia="仿宋"/>
                <w:color w:val="auto"/>
              </w:rPr>
              <w:br w:type="textWrapping"/>
            </w:r>
            <w:r>
              <w:rPr>
                <w:rFonts w:hint="eastAsia" w:ascii="仿宋" w:hAnsi="仿宋" w:eastAsia="仿宋"/>
                <w:color w:val="auto"/>
              </w:rPr>
              <w:t>7.协议支持：要求支持VISCA/ONVIF协议满足多种场景控制要求；</w:t>
            </w:r>
            <w:r>
              <w:rPr>
                <w:rFonts w:hint="eastAsia" w:ascii="仿宋" w:hAnsi="仿宋" w:eastAsia="仿宋"/>
                <w:color w:val="auto"/>
              </w:rPr>
              <w:br w:type="textWrapping"/>
            </w:r>
            <w:r>
              <w:rPr>
                <w:rFonts w:hint="eastAsia" w:ascii="仿宋" w:hAnsi="仿宋" w:eastAsia="仿宋"/>
                <w:color w:val="auto"/>
              </w:rPr>
              <w:t>8.一线通：要求具备基于RJ45双绞线的一线通连接，完成摄像机供电、控制以及视频信号传输；</w:t>
            </w:r>
            <w:r>
              <w:rPr>
                <w:rFonts w:hint="eastAsia" w:ascii="仿宋" w:hAnsi="仿宋" w:eastAsia="仿宋"/>
                <w:color w:val="auto"/>
              </w:rPr>
              <w:br w:type="textWrapping"/>
            </w:r>
            <w:r>
              <w:rPr>
                <w:rFonts w:hint="eastAsia" w:ascii="仿宋" w:hAnsi="仿宋" w:eastAsia="仿宋"/>
                <w:color w:val="auto"/>
              </w:rPr>
              <w:t>9.视频传输：基于视频传输传输，无呼吸效应且声画同步在≤100ms内。</w:t>
            </w:r>
          </w:p>
          <w:p w14:paraId="1AA3DE63">
            <w:pPr>
              <w:widowControl/>
              <w:snapToGrid w:val="0"/>
              <w:jc w:val="left"/>
              <w:rPr>
                <w:rFonts w:hint="eastAsia" w:ascii="仿宋" w:hAnsi="仿宋" w:eastAsia="仿宋"/>
                <w:color w:val="auto"/>
              </w:rPr>
            </w:pPr>
            <w:r>
              <w:rPr>
                <w:rFonts w:hint="eastAsia" w:ascii="仿宋" w:hAnsi="仿宋" w:eastAsia="仿宋"/>
                <w:color w:val="auto"/>
              </w:rPr>
              <w:t>10.智能跟踪：内置跟踪算法，摄像机内无额外辅助摄像头也无需增加任何设备即可实现人像自动跟踪，包括水平运动、俯仰运动、变焦、聚焦四维实时跟踪；</w:t>
            </w:r>
          </w:p>
          <w:p w14:paraId="7CCFF962">
            <w:pPr>
              <w:widowControl/>
              <w:snapToGrid w:val="0"/>
              <w:jc w:val="left"/>
              <w:rPr>
                <w:rFonts w:hint="eastAsia" w:ascii="仿宋" w:hAnsi="仿宋" w:eastAsia="仿宋"/>
                <w:color w:val="auto"/>
              </w:rPr>
            </w:pPr>
            <w:r>
              <w:rPr>
                <w:rFonts w:hint="eastAsia" w:ascii="仿宋" w:hAnsi="仿宋" w:eastAsia="仿宋"/>
                <w:color w:val="auto"/>
              </w:rPr>
              <w:t>11.交叉识别：内置对锁定跟拍对象进行人脸特征与肢体双重认证识别，在多人同时进入拍摄画面的情况下，持续锁定跟踪对象，不出现跟丢和误跟的情况；</w:t>
            </w:r>
          </w:p>
          <w:p w14:paraId="4BF9830D">
            <w:pPr>
              <w:widowControl/>
              <w:snapToGrid w:val="0"/>
              <w:jc w:val="left"/>
              <w:rPr>
                <w:rFonts w:hint="eastAsia" w:ascii="仿宋" w:hAnsi="仿宋" w:eastAsia="仿宋" w:cs="宋体"/>
                <w:color w:val="auto"/>
                <w:kern w:val="0"/>
              </w:rPr>
            </w:pPr>
            <w:r>
              <w:rPr>
                <w:rFonts w:hint="eastAsia" w:ascii="仿宋" w:hAnsi="仿宋" w:eastAsia="仿宋"/>
                <w:color w:val="auto"/>
              </w:rPr>
              <w:t>12.AI抗干扰：支持在拍摄画面有显示设备或其他动态视频播放的情况下，自动启用AI抗干扰能力，保障画面始终锁定被跟踪对象，且跟踪效果不受影响；</w:t>
            </w:r>
            <w:r>
              <w:rPr>
                <w:rFonts w:hint="eastAsia" w:ascii="仿宋" w:hAnsi="仿宋" w:eastAsia="仿宋"/>
                <w:color w:val="auto"/>
              </w:rPr>
              <w:br w:type="textWrapping"/>
            </w:r>
            <w:r>
              <w:rPr>
                <w:rFonts w:hint="eastAsia" w:ascii="仿宋" w:hAnsi="仿宋" w:eastAsia="仿宋"/>
                <w:color w:val="auto"/>
              </w:rPr>
              <w:t>13.PTZ自适应：需支持PTZ实时跟焦，AI跟踪的状态下能实现摄像机水平旋转、垂直旋转、变焦的实时同步变化，无需等待拍摄对象稳定后再变焦调整画面，移动过程不虚焦，实现拍摄画面的自适应稳定调整；</w:t>
            </w:r>
          </w:p>
        </w:tc>
        <w:tc>
          <w:tcPr>
            <w:tcW w:w="0" w:type="auto"/>
            <w:vAlign w:val="center"/>
          </w:tcPr>
          <w:p w14:paraId="7036933B">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2</w:t>
            </w:r>
          </w:p>
        </w:tc>
        <w:tc>
          <w:tcPr>
            <w:tcW w:w="492" w:type="dxa"/>
            <w:vAlign w:val="center"/>
          </w:tcPr>
          <w:p w14:paraId="62F7DEB1">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3F22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C2D8367">
            <w:pPr>
              <w:widowControl/>
              <w:snapToGrid w:val="0"/>
              <w:jc w:val="center"/>
              <w:rPr>
                <w:rFonts w:hint="eastAsia" w:ascii="仿宋" w:hAnsi="仿宋" w:eastAsia="仿宋"/>
                <w:color w:val="auto"/>
                <w:kern w:val="0"/>
              </w:rPr>
            </w:pPr>
            <w:r>
              <w:rPr>
                <w:rFonts w:hint="eastAsia" w:ascii="仿宋" w:hAnsi="仿宋" w:eastAsia="仿宋" w:cs="宋体"/>
                <w:color w:val="auto"/>
                <w:kern w:val="0"/>
              </w:rPr>
              <w:t>12</w:t>
            </w:r>
          </w:p>
        </w:tc>
        <w:tc>
          <w:tcPr>
            <w:tcW w:w="996" w:type="dxa"/>
            <w:vAlign w:val="center"/>
          </w:tcPr>
          <w:p w14:paraId="6F2299AC">
            <w:pPr>
              <w:widowControl/>
              <w:snapToGrid w:val="0"/>
              <w:jc w:val="center"/>
              <w:rPr>
                <w:rFonts w:hint="eastAsia" w:ascii="仿宋" w:hAnsi="仿宋" w:eastAsia="仿宋"/>
                <w:color w:val="auto"/>
              </w:rPr>
            </w:pPr>
            <w:r>
              <w:rPr>
                <w:rFonts w:hint="eastAsia" w:ascii="仿宋" w:hAnsi="仿宋" w:eastAsia="仿宋" w:cs="宋体"/>
                <w:color w:val="auto"/>
                <w:kern w:val="0"/>
              </w:rPr>
              <w:t>桌面式触控面板</w:t>
            </w:r>
          </w:p>
        </w:tc>
        <w:tc>
          <w:tcPr>
            <w:tcW w:w="6650" w:type="dxa"/>
            <w:vAlign w:val="center"/>
          </w:tcPr>
          <w:p w14:paraId="76F2D682">
            <w:pPr>
              <w:widowControl/>
              <w:snapToGrid w:val="0"/>
              <w:jc w:val="left"/>
              <w:rPr>
                <w:rFonts w:hint="eastAsia" w:ascii="仿宋" w:hAnsi="仿宋" w:eastAsia="仿宋" w:cs="宋体"/>
                <w:color w:val="auto"/>
                <w:kern w:val="0"/>
              </w:rPr>
            </w:pPr>
            <w:r>
              <w:rPr>
                <w:rFonts w:hint="eastAsia" w:ascii="仿宋" w:hAnsi="仿宋" w:eastAsia="仿宋"/>
                <w:color w:val="auto"/>
              </w:rPr>
              <w:t>1.支持安装在移动推车部署；</w:t>
            </w:r>
            <w:r>
              <w:rPr>
                <w:rFonts w:hint="eastAsia" w:ascii="仿宋" w:hAnsi="仿宋" w:eastAsia="仿宋"/>
                <w:color w:val="auto"/>
              </w:rPr>
              <w:br w:type="textWrapping"/>
            </w:r>
            <w:r>
              <w:rPr>
                <w:rFonts w:hint="eastAsia" w:ascii="仿宋" w:hAnsi="仿宋" w:eastAsia="仿宋"/>
                <w:color w:val="auto"/>
              </w:rPr>
              <w:t>2.具备21.5英寸1920*1080高清10点电容触摸屏</w:t>
            </w:r>
            <w:r>
              <w:rPr>
                <w:rFonts w:hint="eastAsia" w:ascii="仿宋" w:hAnsi="仿宋" w:eastAsia="仿宋"/>
                <w:color w:val="auto"/>
              </w:rPr>
              <w:br w:type="textWrapping"/>
            </w:r>
            <w:r>
              <w:rPr>
                <w:rFonts w:hint="eastAsia" w:ascii="仿宋" w:hAnsi="仿宋" w:eastAsia="仿宋"/>
                <w:color w:val="auto"/>
              </w:rPr>
              <w:t>3.存储性能：缓存容量不小于4G,存储容量不小于32G；</w:t>
            </w:r>
            <w:r>
              <w:rPr>
                <w:rFonts w:hint="eastAsia" w:ascii="仿宋" w:hAnsi="仿宋" w:eastAsia="仿宋"/>
                <w:color w:val="auto"/>
              </w:rPr>
              <w:br w:type="textWrapping"/>
            </w:r>
            <w:r>
              <w:rPr>
                <w:rFonts w:hint="eastAsia" w:ascii="仿宋" w:hAnsi="仿宋" w:eastAsia="仿宋"/>
                <w:color w:val="auto"/>
              </w:rPr>
              <w:t>4.操作系统 ：Android 11及以上版本；</w:t>
            </w:r>
            <w:r>
              <w:rPr>
                <w:rFonts w:hint="eastAsia" w:ascii="仿宋" w:hAnsi="仿宋" w:eastAsia="仿宋"/>
                <w:color w:val="auto"/>
              </w:rPr>
              <w:br w:type="textWrapping"/>
            </w:r>
            <w:r>
              <w:rPr>
                <w:rFonts w:hint="eastAsia" w:ascii="仿宋" w:hAnsi="仿宋" w:eastAsia="仿宋"/>
                <w:color w:val="auto"/>
              </w:rPr>
              <w:t>5.接口类型：USB≥1，RJ45接口≥1，3.5mm耳麦接口≥1，串口RS232≥1，HDMI输出≥1</w:t>
            </w:r>
          </w:p>
        </w:tc>
        <w:tc>
          <w:tcPr>
            <w:tcW w:w="0" w:type="auto"/>
            <w:vAlign w:val="center"/>
          </w:tcPr>
          <w:p w14:paraId="371DEA78">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469853C3">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21A9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01441AB">
            <w:pPr>
              <w:widowControl/>
              <w:snapToGrid w:val="0"/>
              <w:jc w:val="center"/>
              <w:rPr>
                <w:rFonts w:hint="eastAsia" w:ascii="仿宋" w:hAnsi="仿宋" w:eastAsia="仿宋"/>
                <w:color w:val="auto"/>
                <w:kern w:val="0"/>
              </w:rPr>
            </w:pPr>
            <w:r>
              <w:rPr>
                <w:rFonts w:hint="eastAsia" w:ascii="仿宋" w:hAnsi="仿宋" w:eastAsia="仿宋" w:cs="宋体"/>
                <w:color w:val="auto"/>
                <w:kern w:val="0"/>
              </w:rPr>
              <w:t>13</w:t>
            </w:r>
          </w:p>
        </w:tc>
        <w:tc>
          <w:tcPr>
            <w:tcW w:w="996" w:type="dxa"/>
            <w:vAlign w:val="center"/>
          </w:tcPr>
          <w:p w14:paraId="13D05995">
            <w:pPr>
              <w:widowControl/>
              <w:snapToGrid w:val="0"/>
              <w:jc w:val="center"/>
              <w:rPr>
                <w:rFonts w:hint="eastAsia" w:ascii="仿宋" w:hAnsi="仿宋" w:eastAsia="仿宋"/>
                <w:color w:val="auto"/>
              </w:rPr>
            </w:pPr>
            <w:r>
              <w:rPr>
                <w:rFonts w:hint="eastAsia" w:ascii="仿宋" w:hAnsi="仿宋" w:eastAsia="仿宋" w:cs="宋体"/>
                <w:color w:val="auto"/>
                <w:kern w:val="0"/>
              </w:rPr>
              <w:t>时序电源控制器</w:t>
            </w:r>
          </w:p>
        </w:tc>
        <w:tc>
          <w:tcPr>
            <w:tcW w:w="6650" w:type="dxa"/>
            <w:vAlign w:val="center"/>
          </w:tcPr>
          <w:p w14:paraId="257E030D">
            <w:pPr>
              <w:widowControl/>
              <w:snapToGrid w:val="0"/>
              <w:jc w:val="left"/>
              <w:rPr>
                <w:rFonts w:hint="eastAsia" w:ascii="仿宋" w:hAnsi="仿宋" w:eastAsia="仿宋" w:cs="宋体"/>
                <w:color w:val="auto"/>
                <w:kern w:val="0"/>
              </w:rPr>
            </w:pPr>
            <w:r>
              <w:rPr>
                <w:rFonts w:hint="eastAsia" w:ascii="仿宋" w:hAnsi="仿宋" w:eastAsia="仿宋"/>
                <w:color w:val="auto"/>
              </w:rPr>
              <w:t xml:space="preserve">1.向录播视频系统、音频系统、显示系统提供统一的、至少八路电源管理； </w:t>
            </w:r>
            <w:r>
              <w:rPr>
                <w:rFonts w:hint="eastAsia" w:ascii="仿宋" w:hAnsi="仿宋" w:eastAsia="仿宋"/>
                <w:color w:val="auto"/>
              </w:rPr>
              <w:br w:type="textWrapping"/>
            </w:r>
            <w:r>
              <w:rPr>
                <w:rFonts w:hint="eastAsia" w:ascii="仿宋" w:hAnsi="仿宋" w:eastAsia="仿宋"/>
                <w:color w:val="auto"/>
              </w:rPr>
              <w:t>2.支持对录播系统控制功能，实现通过录制面板一键启动录播系统相关设备的电源；</w:t>
            </w:r>
            <w:r>
              <w:rPr>
                <w:rFonts w:hint="eastAsia" w:ascii="仿宋" w:hAnsi="仿宋" w:eastAsia="仿宋"/>
                <w:color w:val="auto"/>
              </w:rPr>
              <w:br w:type="textWrapping"/>
            </w:r>
            <w:r>
              <w:rPr>
                <w:rFonts w:hint="eastAsia" w:ascii="仿宋" w:hAnsi="仿宋" w:eastAsia="仿宋"/>
                <w:color w:val="auto"/>
              </w:rPr>
              <w:t>3.支持录播系统的远程集中统一控制，实现录播主机远程开关机；</w:t>
            </w:r>
          </w:p>
        </w:tc>
        <w:tc>
          <w:tcPr>
            <w:tcW w:w="0" w:type="auto"/>
            <w:vAlign w:val="center"/>
          </w:tcPr>
          <w:p w14:paraId="409AF196">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738B2945">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036F6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072C828B">
            <w:pPr>
              <w:widowControl/>
              <w:snapToGrid w:val="0"/>
              <w:jc w:val="center"/>
              <w:rPr>
                <w:rFonts w:hint="eastAsia" w:ascii="仿宋" w:hAnsi="仿宋" w:eastAsia="仿宋"/>
                <w:color w:val="auto"/>
                <w:kern w:val="0"/>
              </w:rPr>
            </w:pPr>
            <w:r>
              <w:rPr>
                <w:rFonts w:hint="eastAsia" w:ascii="仿宋" w:hAnsi="仿宋" w:eastAsia="仿宋" w:cs="宋体"/>
                <w:color w:val="auto"/>
                <w:kern w:val="0"/>
              </w:rPr>
              <w:t>14</w:t>
            </w:r>
          </w:p>
        </w:tc>
        <w:tc>
          <w:tcPr>
            <w:tcW w:w="996" w:type="dxa"/>
            <w:vAlign w:val="center"/>
          </w:tcPr>
          <w:p w14:paraId="139FB43F">
            <w:pPr>
              <w:widowControl/>
              <w:snapToGrid w:val="0"/>
              <w:jc w:val="center"/>
              <w:rPr>
                <w:rFonts w:hint="eastAsia" w:ascii="仿宋" w:hAnsi="仿宋" w:eastAsia="仿宋"/>
                <w:color w:val="auto"/>
              </w:rPr>
            </w:pPr>
            <w:r>
              <w:rPr>
                <w:rFonts w:hint="eastAsia" w:ascii="仿宋" w:hAnsi="仿宋" w:eastAsia="仿宋" w:cs="宋体"/>
                <w:color w:val="auto"/>
                <w:kern w:val="0"/>
              </w:rPr>
              <w:t>LED时钟</w:t>
            </w:r>
          </w:p>
        </w:tc>
        <w:tc>
          <w:tcPr>
            <w:tcW w:w="6650" w:type="dxa"/>
            <w:vAlign w:val="center"/>
          </w:tcPr>
          <w:p w14:paraId="33DD4683">
            <w:pPr>
              <w:widowControl/>
              <w:snapToGrid w:val="0"/>
              <w:jc w:val="left"/>
              <w:rPr>
                <w:rFonts w:hint="eastAsia" w:ascii="仿宋" w:hAnsi="仿宋" w:eastAsia="仿宋" w:cs="宋体"/>
                <w:color w:val="auto"/>
                <w:kern w:val="0"/>
              </w:rPr>
            </w:pPr>
            <w:r>
              <w:rPr>
                <w:rFonts w:hint="eastAsia" w:ascii="仿宋" w:hAnsi="仿宋" w:eastAsia="仿宋"/>
                <w:color w:val="auto"/>
              </w:rPr>
              <w:t>1.要求配备≥1M长超薄LED屏。</w:t>
            </w:r>
            <w:r>
              <w:rPr>
                <w:rFonts w:hint="eastAsia" w:ascii="仿宋" w:hAnsi="仿宋" w:eastAsia="仿宋"/>
                <w:color w:val="auto"/>
              </w:rPr>
              <w:br w:type="textWrapping"/>
            </w:r>
            <w:r>
              <w:rPr>
                <w:rFonts w:hint="eastAsia" w:ascii="仿宋" w:hAnsi="仿宋" w:eastAsia="仿宋"/>
                <w:color w:val="auto"/>
              </w:rPr>
              <w:t>2.要求与录播一体机、桌面式触摸面板相结合，当老师按中控上开始录制键时，时钟从0开始计时，提醒录制时间。当停止录制时，电子时钟显示为当前网络时间。</w:t>
            </w:r>
          </w:p>
        </w:tc>
        <w:tc>
          <w:tcPr>
            <w:tcW w:w="0" w:type="auto"/>
            <w:vAlign w:val="center"/>
          </w:tcPr>
          <w:p w14:paraId="1161327C">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06CF918B">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34B4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D963CDE">
            <w:pPr>
              <w:widowControl/>
              <w:snapToGrid w:val="0"/>
              <w:jc w:val="center"/>
              <w:rPr>
                <w:rFonts w:hint="eastAsia" w:ascii="仿宋" w:hAnsi="仿宋" w:eastAsia="仿宋"/>
                <w:color w:val="auto"/>
                <w:kern w:val="0"/>
              </w:rPr>
            </w:pPr>
            <w:r>
              <w:rPr>
                <w:rFonts w:hint="eastAsia" w:ascii="仿宋" w:hAnsi="仿宋" w:eastAsia="仿宋" w:cs="宋体"/>
                <w:color w:val="auto"/>
                <w:kern w:val="0"/>
              </w:rPr>
              <w:t>15</w:t>
            </w:r>
          </w:p>
        </w:tc>
        <w:tc>
          <w:tcPr>
            <w:tcW w:w="996" w:type="dxa"/>
            <w:vAlign w:val="center"/>
          </w:tcPr>
          <w:p w14:paraId="3B4BB877">
            <w:pPr>
              <w:widowControl/>
              <w:snapToGrid w:val="0"/>
              <w:jc w:val="center"/>
              <w:rPr>
                <w:rFonts w:hint="eastAsia" w:ascii="仿宋" w:hAnsi="仿宋" w:eastAsia="仿宋"/>
                <w:color w:val="auto"/>
              </w:rPr>
            </w:pPr>
            <w:r>
              <w:rPr>
                <w:rFonts w:hint="eastAsia" w:ascii="仿宋" w:hAnsi="仿宋" w:eastAsia="仿宋" w:cs="宋体"/>
                <w:color w:val="auto"/>
                <w:kern w:val="0"/>
              </w:rPr>
              <w:t>无线话筒（带领夹）</w:t>
            </w:r>
          </w:p>
        </w:tc>
        <w:tc>
          <w:tcPr>
            <w:tcW w:w="6650" w:type="dxa"/>
            <w:vAlign w:val="center"/>
          </w:tcPr>
          <w:p w14:paraId="19EE4322">
            <w:pPr>
              <w:widowControl/>
              <w:snapToGrid w:val="0"/>
              <w:jc w:val="left"/>
              <w:rPr>
                <w:rFonts w:hint="eastAsia" w:ascii="仿宋" w:hAnsi="仿宋" w:eastAsia="仿宋" w:cs="宋体"/>
                <w:color w:val="auto"/>
                <w:kern w:val="0"/>
              </w:rPr>
            </w:pPr>
            <w:r>
              <w:rPr>
                <w:rFonts w:hint="eastAsia" w:ascii="仿宋" w:hAnsi="仿宋" w:eastAsia="仿宋"/>
                <w:color w:val="auto"/>
              </w:rPr>
              <w:t>系统参数：</w:t>
            </w:r>
            <w:r>
              <w:rPr>
                <w:rFonts w:hint="eastAsia" w:ascii="仿宋" w:hAnsi="仿宋" w:eastAsia="仿宋"/>
                <w:color w:val="auto"/>
              </w:rPr>
              <w:br w:type="textWrapping"/>
            </w:r>
            <w:r>
              <w:rPr>
                <w:rFonts w:hint="eastAsia" w:ascii="仿宋" w:hAnsi="仿宋" w:eastAsia="仿宋"/>
                <w:color w:val="auto"/>
              </w:rPr>
              <w:t>采用UHF超高频段，提供多通道（32/64/99通道）选择，避免干扰</w:t>
            </w:r>
            <w:r>
              <w:rPr>
                <w:rFonts w:hint="eastAsia" w:ascii="仿宋" w:hAnsi="仿宋" w:eastAsia="仿宋"/>
                <w:color w:val="auto"/>
              </w:rPr>
              <w:br w:type="textWrapping"/>
            </w:r>
            <w:r>
              <w:rPr>
                <w:rFonts w:hint="eastAsia" w:ascii="仿宋" w:hAnsi="仿宋" w:eastAsia="仿宋"/>
                <w:color w:val="auto"/>
              </w:rPr>
              <w:t>频率范围：500MHz-980MHz</w:t>
            </w:r>
            <w:r>
              <w:rPr>
                <w:rFonts w:hint="eastAsia" w:ascii="仿宋" w:hAnsi="仿宋" w:eastAsia="仿宋"/>
                <w:color w:val="auto"/>
              </w:rPr>
              <w:br w:type="textWrapping"/>
            </w:r>
            <w:r>
              <w:rPr>
                <w:rFonts w:hint="eastAsia" w:ascii="仿宋" w:hAnsi="仿宋" w:eastAsia="仿宋"/>
                <w:color w:val="auto"/>
              </w:rPr>
              <w:t>调制方式：FM</w:t>
            </w:r>
            <w:r>
              <w:rPr>
                <w:rFonts w:hint="eastAsia" w:ascii="仿宋" w:hAnsi="仿宋" w:eastAsia="仿宋"/>
                <w:color w:val="auto"/>
              </w:rPr>
              <w:br w:type="textWrapping"/>
            </w:r>
            <w:r>
              <w:rPr>
                <w:rFonts w:hint="eastAsia" w:ascii="仿宋" w:hAnsi="仿宋" w:eastAsia="仿宋"/>
                <w:color w:val="auto"/>
              </w:rPr>
              <w:t>音频响应：50Hz-15KHz</w:t>
            </w:r>
            <w:r>
              <w:rPr>
                <w:rFonts w:hint="eastAsia" w:ascii="仿宋" w:hAnsi="仿宋" w:eastAsia="仿宋"/>
                <w:color w:val="auto"/>
              </w:rPr>
              <w:br w:type="textWrapping"/>
            </w:r>
            <w:r>
              <w:rPr>
                <w:rFonts w:hint="eastAsia" w:ascii="仿宋" w:hAnsi="仿宋" w:eastAsia="仿宋"/>
                <w:color w:val="auto"/>
              </w:rPr>
              <w:t>综合信噪比S/N：&gt;105dB</w:t>
            </w:r>
            <w:r>
              <w:rPr>
                <w:rFonts w:hint="eastAsia" w:ascii="仿宋" w:hAnsi="仿宋" w:eastAsia="仿宋"/>
                <w:color w:val="auto"/>
              </w:rPr>
              <w:br w:type="textWrapping"/>
            </w:r>
            <w:r>
              <w:rPr>
                <w:rFonts w:hint="eastAsia" w:ascii="仿宋" w:hAnsi="仿宋" w:eastAsia="仿宋"/>
                <w:color w:val="auto"/>
              </w:rPr>
              <w:t>综合失真：≤ 0.5%</w:t>
            </w:r>
            <w:r>
              <w:rPr>
                <w:rFonts w:hint="eastAsia" w:ascii="仿宋" w:hAnsi="仿宋" w:eastAsia="仿宋"/>
                <w:color w:val="auto"/>
              </w:rPr>
              <w:br w:type="textWrapping"/>
            </w:r>
            <w:r>
              <w:rPr>
                <w:rFonts w:hint="eastAsia" w:ascii="仿宋" w:hAnsi="仿宋" w:eastAsia="仿宋"/>
                <w:color w:val="auto"/>
              </w:rPr>
              <w:t>接收机：</w:t>
            </w:r>
            <w:r>
              <w:rPr>
                <w:rFonts w:hint="eastAsia" w:ascii="仿宋" w:hAnsi="仿宋" w:eastAsia="仿宋"/>
                <w:color w:val="auto"/>
              </w:rPr>
              <w:br w:type="textWrapping"/>
            </w:r>
            <w:r>
              <w:rPr>
                <w:rFonts w:hint="eastAsia" w:ascii="仿宋" w:hAnsi="仿宋" w:eastAsia="仿宋"/>
                <w:color w:val="auto"/>
              </w:rPr>
              <w:t>采用微电脑CPU控制</w:t>
            </w:r>
            <w:r>
              <w:rPr>
                <w:rFonts w:hint="eastAsia" w:ascii="仿宋" w:hAnsi="仿宋" w:eastAsia="仿宋"/>
                <w:color w:val="auto"/>
              </w:rPr>
              <w:br w:type="textWrapping"/>
            </w:r>
            <w:r>
              <w:rPr>
                <w:rFonts w:hint="eastAsia" w:ascii="仿宋" w:hAnsi="仿宋" w:eastAsia="仿宋"/>
                <w:color w:val="auto"/>
              </w:rPr>
              <w:t>PLL锁相环频率合成技术</w:t>
            </w:r>
            <w:r>
              <w:rPr>
                <w:rFonts w:hint="eastAsia" w:ascii="仿宋" w:hAnsi="仿宋" w:eastAsia="仿宋"/>
                <w:color w:val="auto"/>
              </w:rPr>
              <w:br w:type="textWrapping"/>
            </w:r>
            <w:r>
              <w:rPr>
                <w:rFonts w:hint="eastAsia" w:ascii="仿宋" w:hAnsi="仿宋" w:eastAsia="仿宋"/>
                <w:color w:val="auto"/>
              </w:rPr>
              <w:t>杂讯锁定静噪控制+音码导航锁定静噪控制</w:t>
            </w:r>
            <w:r>
              <w:rPr>
                <w:rFonts w:hint="eastAsia" w:ascii="仿宋" w:hAnsi="仿宋" w:eastAsia="仿宋"/>
                <w:color w:val="auto"/>
              </w:rPr>
              <w:br w:type="textWrapping"/>
            </w:r>
            <w:r>
              <w:rPr>
                <w:rFonts w:hint="eastAsia" w:ascii="仿宋" w:hAnsi="仿宋" w:eastAsia="仿宋"/>
                <w:color w:val="auto"/>
              </w:rPr>
              <w:t>音频动态扩展及自动电平控制电路</w:t>
            </w:r>
            <w:r>
              <w:rPr>
                <w:rFonts w:hint="eastAsia" w:ascii="仿宋" w:hAnsi="仿宋" w:eastAsia="仿宋"/>
                <w:color w:val="auto"/>
              </w:rPr>
              <w:br w:type="textWrapping"/>
            </w:r>
            <w:r>
              <w:rPr>
                <w:rFonts w:hint="eastAsia" w:ascii="仿宋" w:hAnsi="仿宋" w:eastAsia="仿宋"/>
                <w:color w:val="auto"/>
              </w:rPr>
              <w:t>频率响应：40Hz-18KHz</w:t>
            </w:r>
            <w:r>
              <w:rPr>
                <w:rFonts w:hint="eastAsia" w:ascii="仿宋" w:hAnsi="仿宋" w:eastAsia="仿宋"/>
                <w:color w:val="auto"/>
              </w:rPr>
              <w:br w:type="textWrapping"/>
            </w:r>
            <w:r>
              <w:rPr>
                <w:rFonts w:hint="eastAsia" w:ascii="仿宋" w:hAnsi="仿宋" w:eastAsia="仿宋"/>
                <w:color w:val="auto"/>
              </w:rPr>
              <w:t>发射机：</w:t>
            </w:r>
            <w:r>
              <w:rPr>
                <w:rFonts w:hint="eastAsia" w:ascii="仿宋" w:hAnsi="仿宋" w:eastAsia="仿宋"/>
                <w:color w:val="auto"/>
              </w:rPr>
              <w:br w:type="textWrapping"/>
            </w:r>
            <w:r>
              <w:rPr>
                <w:rFonts w:hint="eastAsia" w:ascii="仿宋" w:hAnsi="仿宋" w:eastAsia="仿宋"/>
                <w:color w:val="auto"/>
              </w:rPr>
              <w:t>发射功率：高巩固率10dBm，低功率5dBm</w:t>
            </w:r>
            <w:r>
              <w:rPr>
                <w:rFonts w:hint="eastAsia" w:ascii="仿宋" w:hAnsi="仿宋" w:eastAsia="仿宋"/>
                <w:color w:val="auto"/>
              </w:rPr>
              <w:br w:type="textWrapping"/>
            </w:r>
            <w:r>
              <w:rPr>
                <w:rFonts w:hint="eastAsia" w:ascii="仿宋" w:hAnsi="仿宋" w:eastAsia="仿宋"/>
                <w:color w:val="auto"/>
              </w:rPr>
              <w:t>调制方式：FM</w:t>
            </w:r>
            <w:r>
              <w:rPr>
                <w:rFonts w:hint="eastAsia" w:ascii="仿宋" w:hAnsi="仿宋" w:eastAsia="仿宋"/>
                <w:color w:val="auto"/>
              </w:rPr>
              <w:br w:type="textWrapping"/>
            </w:r>
            <w:r>
              <w:rPr>
                <w:rFonts w:hint="eastAsia" w:ascii="仿宋" w:hAnsi="仿宋" w:eastAsia="仿宋"/>
                <w:color w:val="auto"/>
              </w:rPr>
              <w:t>最大调制度：±45KHz</w:t>
            </w:r>
          </w:p>
        </w:tc>
        <w:tc>
          <w:tcPr>
            <w:tcW w:w="0" w:type="auto"/>
            <w:vAlign w:val="center"/>
          </w:tcPr>
          <w:p w14:paraId="1FC2D8B2">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713C5A7B">
            <w:pPr>
              <w:widowControl/>
              <w:snapToGrid w:val="0"/>
              <w:jc w:val="center"/>
              <w:rPr>
                <w:rFonts w:hint="eastAsia" w:ascii="仿宋" w:hAnsi="仿宋" w:eastAsia="仿宋" w:cs="Calibri"/>
                <w:color w:val="auto"/>
                <w:kern w:val="0"/>
              </w:rPr>
            </w:pPr>
            <w:r>
              <w:rPr>
                <w:rFonts w:hint="eastAsia" w:ascii="仿宋" w:hAnsi="仿宋" w:eastAsia="仿宋"/>
                <w:color w:val="auto"/>
              </w:rPr>
              <w:t>套</w:t>
            </w:r>
          </w:p>
        </w:tc>
      </w:tr>
      <w:tr w14:paraId="56E5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8AF8774">
            <w:pPr>
              <w:widowControl/>
              <w:snapToGrid w:val="0"/>
              <w:jc w:val="center"/>
              <w:rPr>
                <w:rFonts w:hint="eastAsia" w:ascii="仿宋" w:hAnsi="仿宋" w:eastAsia="仿宋"/>
                <w:color w:val="auto"/>
                <w:kern w:val="0"/>
              </w:rPr>
            </w:pPr>
            <w:r>
              <w:rPr>
                <w:rFonts w:hint="eastAsia" w:ascii="仿宋" w:hAnsi="仿宋" w:eastAsia="仿宋" w:cs="宋体"/>
                <w:color w:val="auto"/>
                <w:kern w:val="0"/>
              </w:rPr>
              <w:t>16</w:t>
            </w:r>
          </w:p>
        </w:tc>
        <w:tc>
          <w:tcPr>
            <w:tcW w:w="996" w:type="dxa"/>
            <w:vAlign w:val="center"/>
          </w:tcPr>
          <w:p w14:paraId="22577211">
            <w:pPr>
              <w:widowControl/>
              <w:snapToGrid w:val="0"/>
              <w:jc w:val="center"/>
              <w:rPr>
                <w:rFonts w:hint="eastAsia" w:ascii="仿宋" w:hAnsi="仿宋" w:eastAsia="仿宋"/>
                <w:color w:val="auto"/>
              </w:rPr>
            </w:pPr>
            <w:r>
              <w:rPr>
                <w:rFonts w:hint="eastAsia" w:ascii="仿宋" w:hAnsi="仿宋" w:eastAsia="仿宋" w:cs="宋体"/>
                <w:color w:val="auto"/>
                <w:kern w:val="0"/>
              </w:rPr>
              <w:t>功放</w:t>
            </w:r>
          </w:p>
        </w:tc>
        <w:tc>
          <w:tcPr>
            <w:tcW w:w="6650" w:type="dxa"/>
            <w:vAlign w:val="center"/>
          </w:tcPr>
          <w:p w14:paraId="1569FEF1">
            <w:pPr>
              <w:widowControl/>
              <w:snapToGrid w:val="0"/>
              <w:jc w:val="left"/>
              <w:rPr>
                <w:rFonts w:hint="eastAsia" w:ascii="仿宋" w:hAnsi="仿宋" w:eastAsia="仿宋" w:cs="宋体"/>
                <w:color w:val="auto"/>
                <w:kern w:val="0"/>
              </w:rPr>
            </w:pPr>
            <w:r>
              <w:rPr>
                <w:rFonts w:hint="eastAsia" w:ascii="仿宋" w:hAnsi="仿宋" w:eastAsia="仿宋"/>
                <w:color w:val="auto"/>
              </w:rPr>
              <w:t>主要功能特点：</w:t>
            </w:r>
            <w:r>
              <w:rPr>
                <w:rFonts w:hint="eastAsia" w:ascii="仿宋" w:hAnsi="仿宋" w:eastAsia="仿宋"/>
                <w:color w:val="auto"/>
              </w:rPr>
              <w:br w:type="textWrapping"/>
            </w:r>
            <w:r>
              <w:rPr>
                <w:rFonts w:hint="eastAsia" w:ascii="仿宋" w:hAnsi="仿宋" w:eastAsia="仿宋"/>
                <w:color w:val="auto"/>
              </w:rPr>
              <w:t>1、拥有四组输出接口，可连接4只4-8Ω音箱；</w:t>
            </w:r>
            <w:r>
              <w:rPr>
                <w:rFonts w:hint="eastAsia" w:ascii="仿宋" w:hAnsi="仿宋" w:eastAsia="仿宋"/>
                <w:color w:val="auto"/>
              </w:rPr>
              <w:br w:type="textWrapping"/>
            </w:r>
            <w:r>
              <w:rPr>
                <w:rFonts w:hint="eastAsia" w:ascii="仿宋" w:hAnsi="仿宋" w:eastAsia="仿宋"/>
                <w:color w:val="auto"/>
              </w:rPr>
              <w:t>2、双声道信号指示灯；</w:t>
            </w:r>
            <w:r>
              <w:rPr>
                <w:rFonts w:hint="eastAsia" w:ascii="仿宋" w:hAnsi="仿宋" w:eastAsia="仿宋"/>
                <w:color w:val="auto"/>
              </w:rPr>
              <w:br w:type="textWrapping"/>
            </w:r>
            <w:r>
              <w:rPr>
                <w:rFonts w:hint="eastAsia" w:ascii="仿宋" w:hAnsi="仿宋" w:eastAsia="仿宋"/>
                <w:color w:val="auto"/>
              </w:rPr>
              <w:t>3、RS232控制接口；</w:t>
            </w:r>
            <w:r>
              <w:rPr>
                <w:rFonts w:hint="eastAsia" w:ascii="仿宋" w:hAnsi="仿宋" w:eastAsia="仿宋"/>
                <w:color w:val="auto"/>
              </w:rPr>
              <w:br w:type="textWrapping"/>
            </w:r>
            <w:r>
              <w:rPr>
                <w:rFonts w:hint="eastAsia" w:ascii="仿宋" w:hAnsi="仿宋" w:eastAsia="仿宋"/>
                <w:color w:val="auto"/>
              </w:rPr>
              <w:t>4、带数码显视屏；</w:t>
            </w:r>
            <w:r>
              <w:rPr>
                <w:rFonts w:hint="eastAsia" w:ascii="仿宋" w:hAnsi="仿宋" w:eastAsia="仿宋"/>
                <w:color w:val="auto"/>
              </w:rPr>
              <w:br w:type="textWrapping"/>
            </w:r>
            <w:r>
              <w:rPr>
                <w:rFonts w:hint="eastAsia" w:ascii="仿宋" w:hAnsi="仿宋" w:eastAsia="仿宋"/>
                <w:color w:val="auto"/>
              </w:rPr>
              <w:t>5、可实现话筒音量、高低音独立控制及混响调节；</w:t>
            </w:r>
            <w:r>
              <w:rPr>
                <w:rFonts w:hint="eastAsia" w:ascii="仿宋" w:hAnsi="仿宋" w:eastAsia="仿宋"/>
                <w:color w:val="auto"/>
              </w:rPr>
              <w:br w:type="textWrapping"/>
            </w:r>
            <w:r>
              <w:rPr>
                <w:rFonts w:hint="eastAsia" w:ascii="仿宋" w:hAnsi="仿宋" w:eastAsia="仿宋"/>
                <w:color w:val="auto"/>
              </w:rPr>
              <w:t>6、能有效的抑制声反馈，克服“啸叫”；</w:t>
            </w:r>
            <w:r>
              <w:rPr>
                <w:rFonts w:hint="eastAsia" w:ascii="仿宋" w:hAnsi="仿宋" w:eastAsia="仿宋"/>
                <w:color w:val="auto"/>
              </w:rPr>
              <w:br w:type="textWrapping"/>
            </w:r>
            <w:r>
              <w:rPr>
                <w:rFonts w:hint="eastAsia" w:ascii="仿宋" w:hAnsi="仿宋" w:eastAsia="仿宋"/>
                <w:color w:val="auto"/>
              </w:rPr>
              <w:t>7、机架式机箱，主要功能键采用暗藏式设计、有效避免产生误操作，能有效延长扩音系统的使用寿命；</w:t>
            </w:r>
            <w:r>
              <w:rPr>
                <w:rFonts w:hint="eastAsia" w:ascii="仿宋" w:hAnsi="仿宋" w:eastAsia="仿宋"/>
                <w:color w:val="auto"/>
              </w:rPr>
              <w:br w:type="textWrapping"/>
            </w:r>
            <w:r>
              <w:rPr>
                <w:rFonts w:hint="eastAsia" w:ascii="仿宋" w:hAnsi="仿宋" w:eastAsia="仿宋"/>
                <w:color w:val="auto"/>
              </w:rPr>
              <w:t xml:space="preserve">8、全中文界面,易于国内用户使用；可广泛应用于多媒体教室、小型会议室等场所的扩音。                                                                                                                                                                                                                  </w:t>
            </w:r>
          </w:p>
        </w:tc>
        <w:tc>
          <w:tcPr>
            <w:tcW w:w="0" w:type="auto"/>
            <w:vAlign w:val="center"/>
          </w:tcPr>
          <w:p w14:paraId="23B6F157">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6BF96F07">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78F3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A5F7309">
            <w:pPr>
              <w:widowControl/>
              <w:snapToGrid w:val="0"/>
              <w:jc w:val="center"/>
              <w:rPr>
                <w:rFonts w:hint="eastAsia" w:ascii="仿宋" w:hAnsi="仿宋" w:eastAsia="仿宋"/>
                <w:color w:val="auto"/>
                <w:kern w:val="0"/>
              </w:rPr>
            </w:pPr>
            <w:r>
              <w:rPr>
                <w:rFonts w:hint="eastAsia" w:ascii="仿宋" w:hAnsi="仿宋" w:eastAsia="仿宋" w:cs="宋体"/>
                <w:color w:val="auto"/>
                <w:kern w:val="0"/>
              </w:rPr>
              <w:t>17</w:t>
            </w:r>
          </w:p>
        </w:tc>
        <w:tc>
          <w:tcPr>
            <w:tcW w:w="996" w:type="dxa"/>
            <w:vAlign w:val="center"/>
          </w:tcPr>
          <w:p w14:paraId="5F069649">
            <w:pPr>
              <w:widowControl/>
              <w:snapToGrid w:val="0"/>
              <w:jc w:val="center"/>
              <w:rPr>
                <w:rFonts w:hint="eastAsia" w:ascii="仿宋" w:hAnsi="仿宋" w:eastAsia="仿宋"/>
                <w:color w:val="auto"/>
              </w:rPr>
            </w:pPr>
            <w:r>
              <w:rPr>
                <w:rFonts w:hint="eastAsia" w:ascii="仿宋" w:hAnsi="仿宋" w:eastAsia="仿宋" w:cs="宋体"/>
                <w:color w:val="auto"/>
                <w:kern w:val="0"/>
              </w:rPr>
              <w:t>音箱</w:t>
            </w:r>
          </w:p>
        </w:tc>
        <w:tc>
          <w:tcPr>
            <w:tcW w:w="6650" w:type="dxa"/>
            <w:vAlign w:val="center"/>
          </w:tcPr>
          <w:p w14:paraId="628E2DE4">
            <w:pPr>
              <w:widowControl/>
              <w:snapToGrid w:val="0"/>
              <w:jc w:val="left"/>
              <w:rPr>
                <w:rFonts w:hint="eastAsia" w:ascii="仿宋" w:hAnsi="仿宋" w:eastAsia="仿宋" w:cs="宋体"/>
                <w:color w:val="auto"/>
                <w:kern w:val="0"/>
              </w:rPr>
            </w:pPr>
            <w:r>
              <w:rPr>
                <w:rFonts w:hint="eastAsia" w:ascii="仿宋" w:hAnsi="仿宋" w:eastAsia="仿宋"/>
                <w:color w:val="auto"/>
              </w:rPr>
              <w:t>1.有源音箱，无需额外配置功放设备。</w:t>
            </w:r>
            <w:r>
              <w:rPr>
                <w:rFonts w:hint="eastAsia" w:ascii="仿宋" w:hAnsi="仿宋" w:eastAsia="仿宋"/>
                <w:color w:val="auto"/>
              </w:rPr>
              <w:br w:type="textWrapping"/>
            </w:r>
            <w:r>
              <w:rPr>
                <w:rFonts w:hint="eastAsia" w:ascii="仿宋" w:hAnsi="仿宋" w:eastAsia="仿宋"/>
                <w:color w:val="auto"/>
              </w:rPr>
              <w:t>2.标准3.5mm音频接口，连接麦克风无需其他设备协议转换。</w:t>
            </w:r>
            <w:r>
              <w:rPr>
                <w:rFonts w:hint="eastAsia" w:ascii="仿宋" w:hAnsi="仿宋" w:eastAsia="仿宋"/>
                <w:color w:val="auto"/>
              </w:rPr>
              <w:br w:type="textWrapping"/>
            </w:r>
            <w:r>
              <w:rPr>
                <w:rFonts w:hint="eastAsia" w:ascii="仿宋" w:hAnsi="仿宋" w:eastAsia="仿宋"/>
                <w:color w:val="auto"/>
              </w:rPr>
              <w:t>3.功率不小于16W。</w:t>
            </w:r>
            <w:r>
              <w:rPr>
                <w:rFonts w:hint="eastAsia" w:ascii="仿宋" w:hAnsi="仿宋" w:eastAsia="仿宋"/>
                <w:color w:val="auto"/>
              </w:rPr>
              <w:br w:type="textWrapping"/>
            </w:r>
            <w:r>
              <w:rPr>
                <w:rFonts w:hint="eastAsia" w:ascii="仿宋" w:hAnsi="仿宋" w:eastAsia="仿宋"/>
                <w:color w:val="auto"/>
              </w:rPr>
              <w:t>4.信噪比不小于85dB。</w:t>
            </w:r>
            <w:r>
              <w:rPr>
                <w:rFonts w:hint="eastAsia" w:ascii="仿宋" w:hAnsi="仿宋" w:eastAsia="仿宋"/>
                <w:color w:val="auto"/>
              </w:rPr>
              <w:br w:type="textWrapping"/>
            </w:r>
            <w:r>
              <w:rPr>
                <w:rFonts w:hint="eastAsia" w:ascii="仿宋" w:hAnsi="仿宋" w:eastAsia="仿宋"/>
                <w:color w:val="auto"/>
              </w:rPr>
              <w:t>5.频响范围不小于20Hz-20kHz。</w:t>
            </w:r>
          </w:p>
        </w:tc>
        <w:tc>
          <w:tcPr>
            <w:tcW w:w="0" w:type="auto"/>
            <w:vAlign w:val="center"/>
          </w:tcPr>
          <w:p w14:paraId="4AD331C8">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73AEC3F2">
            <w:pPr>
              <w:widowControl/>
              <w:snapToGrid w:val="0"/>
              <w:jc w:val="center"/>
              <w:rPr>
                <w:rFonts w:hint="eastAsia" w:ascii="仿宋" w:hAnsi="仿宋" w:eastAsia="仿宋" w:cs="Calibri"/>
                <w:color w:val="auto"/>
                <w:kern w:val="0"/>
              </w:rPr>
            </w:pPr>
            <w:r>
              <w:rPr>
                <w:rFonts w:hint="eastAsia" w:ascii="仿宋" w:hAnsi="仿宋" w:eastAsia="仿宋"/>
                <w:color w:val="auto"/>
              </w:rPr>
              <w:t>对</w:t>
            </w:r>
          </w:p>
        </w:tc>
      </w:tr>
      <w:tr w14:paraId="52EF6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AD0D533">
            <w:pPr>
              <w:widowControl/>
              <w:snapToGrid w:val="0"/>
              <w:jc w:val="center"/>
              <w:rPr>
                <w:rFonts w:hint="eastAsia" w:ascii="仿宋" w:hAnsi="仿宋" w:eastAsia="仿宋"/>
                <w:color w:val="auto"/>
                <w:kern w:val="0"/>
              </w:rPr>
            </w:pPr>
            <w:r>
              <w:rPr>
                <w:rFonts w:hint="eastAsia" w:ascii="仿宋" w:hAnsi="仿宋" w:eastAsia="仿宋" w:cs="宋体"/>
                <w:color w:val="auto"/>
                <w:kern w:val="0"/>
              </w:rPr>
              <w:t>18</w:t>
            </w:r>
          </w:p>
        </w:tc>
        <w:tc>
          <w:tcPr>
            <w:tcW w:w="996" w:type="dxa"/>
            <w:vAlign w:val="center"/>
          </w:tcPr>
          <w:p w14:paraId="73957F41">
            <w:pPr>
              <w:widowControl/>
              <w:snapToGrid w:val="0"/>
              <w:jc w:val="center"/>
              <w:rPr>
                <w:rFonts w:hint="eastAsia" w:ascii="仿宋" w:hAnsi="仿宋" w:eastAsia="仿宋"/>
                <w:color w:val="auto"/>
              </w:rPr>
            </w:pPr>
            <w:r>
              <w:rPr>
                <w:rFonts w:hint="eastAsia" w:ascii="仿宋" w:hAnsi="仿宋" w:eastAsia="仿宋" w:cs="宋体"/>
                <w:color w:val="auto"/>
                <w:kern w:val="0"/>
              </w:rPr>
              <w:t>千兆交换机</w:t>
            </w:r>
          </w:p>
        </w:tc>
        <w:tc>
          <w:tcPr>
            <w:tcW w:w="6650" w:type="dxa"/>
            <w:vAlign w:val="center"/>
          </w:tcPr>
          <w:p w14:paraId="53408DCC">
            <w:pPr>
              <w:widowControl/>
              <w:snapToGrid w:val="0"/>
              <w:jc w:val="left"/>
              <w:rPr>
                <w:rFonts w:hint="eastAsia" w:ascii="仿宋" w:hAnsi="仿宋" w:eastAsia="仿宋" w:cs="宋体"/>
                <w:color w:val="auto"/>
                <w:kern w:val="0"/>
              </w:rPr>
            </w:pPr>
            <w:r>
              <w:rPr>
                <w:rFonts w:hint="eastAsia" w:ascii="仿宋" w:hAnsi="仿宋" w:eastAsia="仿宋"/>
                <w:color w:val="auto"/>
              </w:rPr>
              <w:t>≥24口 10/100/1000M自适应以太网端口</w:t>
            </w:r>
          </w:p>
        </w:tc>
        <w:tc>
          <w:tcPr>
            <w:tcW w:w="0" w:type="auto"/>
            <w:vAlign w:val="center"/>
          </w:tcPr>
          <w:p w14:paraId="1741BC3D">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7C54F089">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0231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6F2AEAF">
            <w:pPr>
              <w:widowControl/>
              <w:snapToGrid w:val="0"/>
              <w:jc w:val="center"/>
              <w:rPr>
                <w:rFonts w:hint="eastAsia" w:ascii="仿宋" w:hAnsi="仿宋" w:eastAsia="仿宋"/>
                <w:color w:val="auto"/>
                <w:kern w:val="0"/>
              </w:rPr>
            </w:pPr>
            <w:r>
              <w:rPr>
                <w:rFonts w:hint="eastAsia" w:ascii="仿宋" w:hAnsi="仿宋" w:eastAsia="仿宋" w:cs="宋体"/>
                <w:color w:val="auto"/>
                <w:kern w:val="0"/>
              </w:rPr>
              <w:t>19</w:t>
            </w:r>
          </w:p>
        </w:tc>
        <w:tc>
          <w:tcPr>
            <w:tcW w:w="996" w:type="dxa"/>
            <w:vAlign w:val="center"/>
          </w:tcPr>
          <w:p w14:paraId="6B0BB166">
            <w:pPr>
              <w:widowControl/>
              <w:snapToGrid w:val="0"/>
              <w:jc w:val="center"/>
              <w:rPr>
                <w:rFonts w:hint="eastAsia" w:ascii="仿宋" w:hAnsi="仿宋" w:eastAsia="仿宋"/>
                <w:color w:val="auto"/>
              </w:rPr>
            </w:pPr>
            <w:r>
              <w:rPr>
                <w:rFonts w:hint="eastAsia" w:ascii="仿宋" w:hAnsi="仿宋" w:eastAsia="仿宋" w:cs="宋体"/>
                <w:color w:val="auto"/>
                <w:kern w:val="0"/>
              </w:rPr>
              <w:t>机柜</w:t>
            </w:r>
          </w:p>
        </w:tc>
        <w:tc>
          <w:tcPr>
            <w:tcW w:w="6650" w:type="dxa"/>
            <w:vAlign w:val="center"/>
          </w:tcPr>
          <w:p w14:paraId="39DF6B30">
            <w:pPr>
              <w:widowControl/>
              <w:snapToGrid w:val="0"/>
              <w:jc w:val="left"/>
              <w:rPr>
                <w:rFonts w:hint="eastAsia" w:ascii="仿宋" w:hAnsi="仿宋" w:eastAsia="仿宋" w:cs="宋体"/>
                <w:color w:val="auto"/>
                <w:kern w:val="0"/>
              </w:rPr>
            </w:pPr>
            <w:r>
              <w:rPr>
                <w:rFonts w:hint="eastAsia" w:ascii="仿宋" w:hAnsi="仿宋" w:eastAsia="仿宋"/>
                <w:color w:val="auto"/>
              </w:rPr>
              <w:t>1. 容量：22U</w:t>
            </w:r>
            <w:r>
              <w:rPr>
                <w:rFonts w:hint="eastAsia" w:ascii="仿宋" w:hAnsi="仿宋" w:eastAsia="仿宋"/>
                <w:color w:val="auto"/>
              </w:rPr>
              <w:br w:type="textWrapping"/>
            </w:r>
            <w:r>
              <w:rPr>
                <w:rFonts w:hint="eastAsia" w:ascii="仿宋" w:hAnsi="仿宋" w:eastAsia="仿宋"/>
                <w:color w:val="auto"/>
              </w:rPr>
              <w:t>2. 高度：1166mm</w:t>
            </w:r>
            <w:r>
              <w:rPr>
                <w:rFonts w:hint="eastAsia" w:ascii="仿宋" w:hAnsi="仿宋" w:eastAsia="仿宋"/>
                <w:color w:val="auto"/>
              </w:rPr>
              <w:br w:type="textWrapping"/>
            </w:r>
            <w:r>
              <w:rPr>
                <w:rFonts w:hint="eastAsia" w:ascii="仿宋" w:hAnsi="仿宋" w:eastAsia="仿宋"/>
                <w:color w:val="auto"/>
              </w:rPr>
              <w:t>3. 宽度：600mm</w:t>
            </w:r>
            <w:r>
              <w:rPr>
                <w:rFonts w:hint="eastAsia" w:ascii="仿宋" w:hAnsi="仿宋" w:eastAsia="仿宋"/>
                <w:color w:val="auto"/>
              </w:rPr>
              <w:br w:type="textWrapping"/>
            </w:r>
            <w:r>
              <w:rPr>
                <w:rFonts w:hint="eastAsia" w:ascii="仿宋" w:hAnsi="仿宋" w:eastAsia="仿宋"/>
                <w:color w:val="auto"/>
              </w:rPr>
              <w:t>4. 深度：800mm</w:t>
            </w:r>
            <w:r>
              <w:rPr>
                <w:rFonts w:hint="eastAsia" w:ascii="仿宋" w:hAnsi="仿宋" w:eastAsia="仿宋"/>
                <w:color w:val="auto"/>
              </w:rPr>
              <w:br w:type="textWrapping"/>
            </w:r>
            <w:r>
              <w:rPr>
                <w:rFonts w:hint="eastAsia" w:ascii="仿宋" w:hAnsi="仿宋" w:eastAsia="仿宋"/>
                <w:color w:val="auto"/>
              </w:rPr>
              <w:t>5. 门及门锁：钢化玻璃前门；钣金后门，可拆卸侧板</w:t>
            </w:r>
            <w:r>
              <w:rPr>
                <w:rFonts w:hint="eastAsia" w:ascii="仿宋" w:hAnsi="仿宋" w:eastAsia="仿宋"/>
                <w:color w:val="auto"/>
              </w:rPr>
              <w:br w:type="textWrapping"/>
            </w:r>
            <w:r>
              <w:rPr>
                <w:rFonts w:hint="eastAsia" w:ascii="仿宋" w:hAnsi="仿宋" w:eastAsia="仿宋"/>
                <w:color w:val="auto"/>
              </w:rPr>
              <w:t>6. 表面处理：SPCC优质钢材，脱脂、磷化、静电喷塑</w:t>
            </w:r>
            <w:r>
              <w:rPr>
                <w:rFonts w:hint="eastAsia" w:ascii="仿宋" w:hAnsi="仿宋" w:eastAsia="仿宋"/>
                <w:color w:val="auto"/>
              </w:rPr>
              <w:br w:type="textWrapping"/>
            </w:r>
            <w:r>
              <w:rPr>
                <w:rFonts w:hint="eastAsia" w:ascii="仿宋" w:hAnsi="仿宋" w:eastAsia="仿宋"/>
                <w:color w:val="auto"/>
              </w:rPr>
              <w:t>7. 标准：符合ANSI/EIA RS-310D、IEC297-2、DIN41491；PART1、DIN41494；PART7GB/T3047.2-92标准；兼容ETSI标准</w:t>
            </w:r>
          </w:p>
        </w:tc>
        <w:tc>
          <w:tcPr>
            <w:tcW w:w="0" w:type="auto"/>
            <w:vAlign w:val="center"/>
          </w:tcPr>
          <w:p w14:paraId="6954A4FA">
            <w:pPr>
              <w:widowControl/>
              <w:snapToGrid w:val="0"/>
              <w:jc w:val="left"/>
              <w:rPr>
                <w:rFonts w:hint="eastAsia" w:ascii="仿宋" w:hAnsi="仿宋" w:eastAsia="仿宋" w:cs="Calibri"/>
                <w:color w:val="auto"/>
                <w:kern w:val="0"/>
              </w:rPr>
            </w:pPr>
            <w:r>
              <w:rPr>
                <w:rFonts w:hint="eastAsia" w:ascii="仿宋" w:hAnsi="仿宋" w:eastAsia="仿宋" w:cs="宋体"/>
                <w:color w:val="auto"/>
                <w:kern w:val="0"/>
              </w:rPr>
              <w:t>1</w:t>
            </w:r>
          </w:p>
        </w:tc>
        <w:tc>
          <w:tcPr>
            <w:tcW w:w="492" w:type="dxa"/>
            <w:vAlign w:val="center"/>
          </w:tcPr>
          <w:p w14:paraId="7020126D">
            <w:pPr>
              <w:widowControl/>
              <w:snapToGrid w:val="0"/>
              <w:jc w:val="center"/>
              <w:rPr>
                <w:rFonts w:hint="eastAsia" w:ascii="仿宋" w:hAnsi="仿宋" w:eastAsia="仿宋" w:cs="Calibri"/>
                <w:color w:val="auto"/>
                <w:kern w:val="0"/>
              </w:rPr>
            </w:pPr>
            <w:r>
              <w:rPr>
                <w:rFonts w:hint="eastAsia" w:ascii="仿宋" w:hAnsi="仿宋" w:eastAsia="仿宋"/>
                <w:color w:val="auto"/>
              </w:rPr>
              <w:t>台</w:t>
            </w:r>
          </w:p>
        </w:tc>
      </w:tr>
      <w:tr w14:paraId="2D64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8C2692A">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20</w:t>
            </w:r>
          </w:p>
        </w:tc>
        <w:tc>
          <w:tcPr>
            <w:tcW w:w="996" w:type="dxa"/>
            <w:vAlign w:val="center"/>
          </w:tcPr>
          <w:p w14:paraId="12E7D989">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立式空调</w:t>
            </w:r>
          </w:p>
        </w:tc>
        <w:tc>
          <w:tcPr>
            <w:tcW w:w="6650" w:type="dxa"/>
            <w:vAlign w:val="center"/>
          </w:tcPr>
          <w:p w14:paraId="5C1FED88">
            <w:pPr>
              <w:widowControl/>
              <w:snapToGrid w:val="0"/>
              <w:jc w:val="left"/>
              <w:rPr>
                <w:rFonts w:hint="eastAsia" w:ascii="仿宋" w:hAnsi="仿宋" w:eastAsia="仿宋"/>
                <w:color w:val="auto"/>
              </w:rPr>
            </w:pPr>
            <w:r>
              <w:rPr>
                <w:rFonts w:ascii="仿宋" w:hAnsi="仿宋" w:eastAsia="仿宋"/>
                <w:color w:val="auto"/>
              </w:rPr>
              <w:t xml:space="preserve">类型：立式柜机空调 </w:t>
            </w:r>
          </w:p>
          <w:p w14:paraId="3DB23B5A">
            <w:pPr>
              <w:widowControl/>
              <w:snapToGrid w:val="0"/>
              <w:jc w:val="left"/>
              <w:rPr>
                <w:rFonts w:hint="eastAsia" w:ascii="仿宋" w:hAnsi="仿宋" w:eastAsia="仿宋"/>
                <w:color w:val="auto"/>
              </w:rPr>
            </w:pPr>
            <w:r>
              <w:rPr>
                <w:rFonts w:ascii="仿宋" w:hAnsi="仿宋" w:eastAsia="仿宋"/>
                <w:color w:val="auto"/>
              </w:rPr>
              <w:t xml:space="preserve">匹数：3 匹 </w:t>
            </w:r>
          </w:p>
          <w:p w14:paraId="3E8DD141">
            <w:pPr>
              <w:widowControl/>
              <w:snapToGrid w:val="0"/>
              <w:jc w:val="left"/>
              <w:rPr>
                <w:rFonts w:hint="eastAsia" w:ascii="仿宋" w:hAnsi="仿宋" w:eastAsia="仿宋"/>
                <w:color w:val="auto"/>
              </w:rPr>
            </w:pPr>
            <w:r>
              <w:rPr>
                <w:rFonts w:ascii="仿宋" w:hAnsi="仿宋" w:eastAsia="仿宋"/>
                <w:color w:val="auto"/>
              </w:rPr>
              <w:t xml:space="preserve">运行方式：变频 </w:t>
            </w:r>
          </w:p>
          <w:p w14:paraId="2B9A855E">
            <w:pPr>
              <w:widowControl/>
              <w:snapToGrid w:val="0"/>
              <w:jc w:val="left"/>
              <w:rPr>
                <w:rFonts w:hint="eastAsia" w:ascii="仿宋" w:hAnsi="仿宋" w:eastAsia="仿宋"/>
                <w:color w:val="auto"/>
              </w:rPr>
            </w:pPr>
            <w:r>
              <w:rPr>
                <w:rFonts w:ascii="仿宋" w:hAnsi="仿宋" w:eastAsia="仿宋"/>
                <w:color w:val="auto"/>
              </w:rPr>
              <w:t xml:space="preserve">功能：冷暖两用 </w:t>
            </w:r>
          </w:p>
          <w:p w14:paraId="77608949">
            <w:pPr>
              <w:widowControl/>
              <w:snapToGrid w:val="0"/>
              <w:jc w:val="left"/>
              <w:rPr>
                <w:rFonts w:hint="eastAsia" w:ascii="仿宋" w:hAnsi="仿宋" w:eastAsia="仿宋"/>
                <w:color w:val="auto"/>
              </w:rPr>
            </w:pPr>
            <w:r>
              <w:rPr>
                <w:rFonts w:ascii="仿宋" w:hAnsi="仿宋" w:eastAsia="仿宋"/>
                <w:color w:val="auto"/>
              </w:rPr>
              <w:t xml:space="preserve">能效等级：2 级及以上能效 </w:t>
            </w:r>
          </w:p>
          <w:p w14:paraId="0B193425">
            <w:pPr>
              <w:widowControl/>
              <w:snapToGrid w:val="0"/>
              <w:jc w:val="left"/>
              <w:rPr>
                <w:rFonts w:hint="eastAsia" w:ascii="仿宋" w:hAnsi="仿宋" w:eastAsia="仿宋"/>
                <w:color w:val="auto"/>
              </w:rPr>
            </w:pPr>
            <w:r>
              <w:rPr>
                <w:rFonts w:ascii="仿宋" w:hAnsi="仿宋" w:eastAsia="仿宋"/>
                <w:color w:val="auto"/>
              </w:rPr>
              <w:t xml:space="preserve">制冷量：≥7500W </w:t>
            </w:r>
          </w:p>
          <w:p w14:paraId="47BC9067">
            <w:pPr>
              <w:widowControl/>
              <w:snapToGrid w:val="0"/>
              <w:jc w:val="left"/>
              <w:rPr>
                <w:rFonts w:hint="eastAsia" w:ascii="仿宋" w:hAnsi="仿宋" w:eastAsia="仿宋"/>
                <w:color w:val="auto"/>
              </w:rPr>
            </w:pPr>
            <w:r>
              <w:rPr>
                <w:rFonts w:ascii="仿宋" w:hAnsi="仿宋" w:eastAsia="仿宋"/>
                <w:color w:val="auto"/>
              </w:rPr>
              <w:t xml:space="preserve">制热量：≥9300W </w:t>
            </w:r>
          </w:p>
          <w:p w14:paraId="73520A4C">
            <w:pPr>
              <w:widowControl/>
              <w:snapToGrid w:val="0"/>
              <w:jc w:val="left"/>
              <w:rPr>
                <w:rFonts w:hint="eastAsia" w:ascii="仿宋" w:hAnsi="仿宋" w:eastAsia="仿宋"/>
                <w:color w:val="auto"/>
              </w:rPr>
            </w:pPr>
            <w:r>
              <w:rPr>
                <w:rFonts w:ascii="仿宋" w:hAnsi="仿宋" w:eastAsia="仿宋"/>
                <w:color w:val="auto"/>
              </w:rPr>
              <w:t>循环风量：≥1000m</w:t>
            </w:r>
            <w:r>
              <w:rPr>
                <w:rFonts w:ascii="仿宋" w:hAnsi="Calibri" w:eastAsia="仿宋" w:cs="Calibri"/>
                <w:color w:val="auto"/>
              </w:rPr>
              <w:t>³</w:t>
            </w:r>
            <w:r>
              <w:rPr>
                <w:rFonts w:ascii="仿宋" w:hAnsi="仿宋" w:eastAsia="仿宋"/>
                <w:color w:val="auto"/>
              </w:rPr>
              <w:t xml:space="preserve">/h </w:t>
            </w:r>
          </w:p>
          <w:p w14:paraId="02E2DF9B">
            <w:pPr>
              <w:widowControl/>
              <w:snapToGrid w:val="0"/>
              <w:jc w:val="left"/>
              <w:rPr>
                <w:rFonts w:hint="eastAsia" w:ascii="仿宋" w:hAnsi="仿宋" w:eastAsia="仿宋"/>
                <w:color w:val="auto"/>
              </w:rPr>
            </w:pPr>
            <w:r>
              <w:rPr>
                <w:rFonts w:ascii="仿宋" w:hAnsi="仿宋" w:eastAsia="仿宋"/>
                <w:color w:val="auto"/>
              </w:rPr>
              <w:t xml:space="preserve">供电：220V~50Hz </w:t>
            </w:r>
          </w:p>
        </w:tc>
        <w:tc>
          <w:tcPr>
            <w:tcW w:w="0" w:type="auto"/>
            <w:vAlign w:val="center"/>
          </w:tcPr>
          <w:p w14:paraId="01A4DB4C">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w:t>
            </w:r>
          </w:p>
        </w:tc>
        <w:tc>
          <w:tcPr>
            <w:tcW w:w="492" w:type="dxa"/>
            <w:vAlign w:val="center"/>
          </w:tcPr>
          <w:p w14:paraId="7F67C1B7">
            <w:pPr>
              <w:widowControl/>
              <w:snapToGrid w:val="0"/>
              <w:jc w:val="center"/>
              <w:rPr>
                <w:rFonts w:hint="eastAsia" w:ascii="仿宋" w:hAnsi="仿宋" w:eastAsia="仿宋" w:cs="宋体"/>
                <w:color w:val="auto"/>
                <w:kern w:val="0"/>
              </w:rPr>
            </w:pPr>
            <w:r>
              <w:rPr>
                <w:rFonts w:hint="eastAsia" w:ascii="仿宋" w:hAnsi="仿宋" w:eastAsia="仿宋"/>
                <w:color w:val="auto"/>
              </w:rPr>
              <w:t>台</w:t>
            </w:r>
          </w:p>
        </w:tc>
      </w:tr>
      <w:tr w14:paraId="5D8E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84D710D">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21</w:t>
            </w:r>
          </w:p>
        </w:tc>
        <w:tc>
          <w:tcPr>
            <w:tcW w:w="996" w:type="dxa"/>
            <w:vAlign w:val="center"/>
          </w:tcPr>
          <w:p w14:paraId="40B7AD53">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壁挂空调</w:t>
            </w:r>
          </w:p>
        </w:tc>
        <w:tc>
          <w:tcPr>
            <w:tcW w:w="6650" w:type="dxa"/>
            <w:vAlign w:val="center"/>
          </w:tcPr>
          <w:p w14:paraId="1CE43AD5">
            <w:pPr>
              <w:widowControl/>
              <w:snapToGrid w:val="0"/>
              <w:jc w:val="left"/>
              <w:rPr>
                <w:rFonts w:hint="eastAsia" w:ascii="仿宋" w:hAnsi="仿宋" w:eastAsia="仿宋"/>
                <w:color w:val="auto"/>
              </w:rPr>
            </w:pPr>
            <w:r>
              <w:rPr>
                <w:rFonts w:ascii="仿宋" w:hAnsi="仿宋" w:eastAsia="仿宋"/>
                <w:color w:val="auto"/>
              </w:rPr>
              <w:t xml:space="preserve">空调类型：壁挂式 </w:t>
            </w:r>
          </w:p>
          <w:p w14:paraId="5F9D863E">
            <w:pPr>
              <w:widowControl/>
              <w:snapToGrid w:val="0"/>
              <w:jc w:val="left"/>
              <w:rPr>
                <w:rFonts w:hint="eastAsia" w:ascii="仿宋" w:hAnsi="仿宋" w:eastAsia="仿宋"/>
                <w:color w:val="auto"/>
              </w:rPr>
            </w:pPr>
            <w:r>
              <w:rPr>
                <w:rFonts w:ascii="仿宋" w:hAnsi="仿宋" w:eastAsia="仿宋"/>
                <w:color w:val="auto"/>
              </w:rPr>
              <w:t xml:space="preserve">匹数：1.5 匹 </w:t>
            </w:r>
          </w:p>
          <w:p w14:paraId="2F7B7D1D">
            <w:pPr>
              <w:widowControl/>
              <w:snapToGrid w:val="0"/>
              <w:jc w:val="left"/>
              <w:rPr>
                <w:rFonts w:hint="eastAsia" w:ascii="仿宋" w:hAnsi="仿宋" w:eastAsia="仿宋"/>
                <w:color w:val="auto"/>
              </w:rPr>
            </w:pPr>
            <w:r>
              <w:rPr>
                <w:rFonts w:ascii="仿宋" w:hAnsi="仿宋" w:eastAsia="仿宋"/>
                <w:color w:val="auto"/>
              </w:rPr>
              <w:t xml:space="preserve">运行方式：变频 </w:t>
            </w:r>
          </w:p>
          <w:p w14:paraId="5A3DD53D">
            <w:pPr>
              <w:widowControl/>
              <w:snapToGrid w:val="0"/>
              <w:jc w:val="left"/>
              <w:rPr>
                <w:rFonts w:hint="eastAsia" w:ascii="仿宋" w:hAnsi="仿宋" w:eastAsia="仿宋"/>
                <w:color w:val="auto"/>
              </w:rPr>
            </w:pPr>
            <w:r>
              <w:rPr>
                <w:rFonts w:ascii="仿宋" w:hAnsi="仿宋" w:eastAsia="仿宋"/>
                <w:color w:val="auto"/>
              </w:rPr>
              <w:t xml:space="preserve">功能：冷暖两用 </w:t>
            </w:r>
          </w:p>
          <w:p w14:paraId="4F98C458">
            <w:pPr>
              <w:widowControl/>
              <w:snapToGrid w:val="0"/>
              <w:jc w:val="left"/>
              <w:rPr>
                <w:rFonts w:hint="eastAsia" w:ascii="仿宋" w:hAnsi="仿宋" w:eastAsia="仿宋"/>
                <w:color w:val="auto"/>
              </w:rPr>
            </w:pPr>
            <w:r>
              <w:rPr>
                <w:rFonts w:ascii="仿宋" w:hAnsi="仿宋" w:eastAsia="仿宋"/>
                <w:color w:val="auto"/>
              </w:rPr>
              <w:t xml:space="preserve">能效等级：2 级及以上能效 </w:t>
            </w:r>
          </w:p>
          <w:p w14:paraId="713BEA35">
            <w:pPr>
              <w:widowControl/>
              <w:snapToGrid w:val="0"/>
              <w:jc w:val="left"/>
              <w:rPr>
                <w:rFonts w:hint="eastAsia" w:ascii="仿宋" w:hAnsi="仿宋" w:eastAsia="仿宋"/>
                <w:color w:val="auto"/>
              </w:rPr>
            </w:pPr>
            <w:r>
              <w:rPr>
                <w:rFonts w:ascii="仿宋" w:hAnsi="仿宋" w:eastAsia="仿宋"/>
                <w:color w:val="auto"/>
              </w:rPr>
              <w:t xml:space="preserve">制冷量：3500W～5000W </w:t>
            </w:r>
          </w:p>
          <w:p w14:paraId="0C5BDBE7">
            <w:pPr>
              <w:widowControl/>
              <w:snapToGrid w:val="0"/>
              <w:jc w:val="left"/>
              <w:rPr>
                <w:rFonts w:hint="eastAsia" w:ascii="仿宋" w:hAnsi="仿宋" w:eastAsia="仿宋"/>
                <w:color w:val="auto"/>
              </w:rPr>
            </w:pPr>
            <w:r>
              <w:rPr>
                <w:rFonts w:ascii="仿宋" w:hAnsi="仿宋" w:eastAsia="仿宋"/>
                <w:color w:val="auto"/>
              </w:rPr>
              <w:t xml:space="preserve">制热量：≥4500W </w:t>
            </w:r>
          </w:p>
          <w:p w14:paraId="40799D48">
            <w:pPr>
              <w:widowControl/>
              <w:snapToGrid w:val="0"/>
              <w:jc w:val="left"/>
              <w:rPr>
                <w:rFonts w:hint="eastAsia" w:ascii="仿宋" w:hAnsi="仿宋" w:eastAsia="仿宋"/>
                <w:color w:val="auto"/>
              </w:rPr>
            </w:pPr>
            <w:r>
              <w:rPr>
                <w:rFonts w:ascii="仿宋" w:hAnsi="仿宋" w:eastAsia="仿宋"/>
                <w:color w:val="auto"/>
              </w:rPr>
              <w:t>循环风量：≥600m</w:t>
            </w:r>
            <w:r>
              <w:rPr>
                <w:rFonts w:ascii="仿宋" w:hAnsi="Calibri" w:eastAsia="仿宋" w:cs="Calibri"/>
                <w:color w:val="auto"/>
              </w:rPr>
              <w:t>³</w:t>
            </w:r>
            <w:r>
              <w:rPr>
                <w:rFonts w:ascii="仿宋" w:hAnsi="仿宋" w:eastAsia="仿宋"/>
                <w:color w:val="auto"/>
              </w:rPr>
              <w:t xml:space="preserve">/h </w:t>
            </w:r>
          </w:p>
          <w:p w14:paraId="1BC1A4FE">
            <w:pPr>
              <w:widowControl/>
              <w:snapToGrid w:val="0"/>
              <w:jc w:val="left"/>
              <w:rPr>
                <w:rFonts w:hint="eastAsia" w:ascii="仿宋" w:hAnsi="仿宋" w:eastAsia="仿宋"/>
                <w:color w:val="auto"/>
              </w:rPr>
            </w:pPr>
            <w:r>
              <w:rPr>
                <w:rFonts w:ascii="仿宋" w:hAnsi="仿宋" w:eastAsia="仿宋"/>
                <w:color w:val="auto"/>
              </w:rPr>
              <w:t>电源：220V～50Hz</w:t>
            </w:r>
          </w:p>
        </w:tc>
        <w:tc>
          <w:tcPr>
            <w:tcW w:w="0" w:type="auto"/>
            <w:vAlign w:val="center"/>
          </w:tcPr>
          <w:p w14:paraId="14B2423F">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w:t>
            </w:r>
          </w:p>
        </w:tc>
        <w:tc>
          <w:tcPr>
            <w:tcW w:w="492" w:type="dxa"/>
            <w:vAlign w:val="center"/>
          </w:tcPr>
          <w:p w14:paraId="0D19B5D0">
            <w:pPr>
              <w:widowControl/>
              <w:snapToGrid w:val="0"/>
              <w:jc w:val="center"/>
              <w:rPr>
                <w:rFonts w:hint="eastAsia" w:ascii="仿宋" w:hAnsi="仿宋" w:eastAsia="仿宋" w:cs="宋体"/>
                <w:color w:val="auto"/>
                <w:kern w:val="0"/>
              </w:rPr>
            </w:pPr>
            <w:r>
              <w:rPr>
                <w:rFonts w:hint="eastAsia" w:ascii="仿宋" w:hAnsi="仿宋" w:eastAsia="仿宋"/>
                <w:color w:val="auto"/>
              </w:rPr>
              <w:t>台</w:t>
            </w:r>
          </w:p>
        </w:tc>
      </w:tr>
      <w:tr w14:paraId="2B6E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1828A19F">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22</w:t>
            </w:r>
          </w:p>
        </w:tc>
        <w:tc>
          <w:tcPr>
            <w:tcW w:w="996" w:type="dxa"/>
            <w:vAlign w:val="center"/>
          </w:tcPr>
          <w:p w14:paraId="2F152109">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导播键盘</w:t>
            </w:r>
          </w:p>
        </w:tc>
        <w:tc>
          <w:tcPr>
            <w:tcW w:w="6650" w:type="dxa"/>
            <w:vAlign w:val="center"/>
          </w:tcPr>
          <w:p w14:paraId="113E5577">
            <w:pPr>
              <w:widowControl/>
              <w:snapToGrid w:val="0"/>
              <w:jc w:val="left"/>
              <w:rPr>
                <w:rFonts w:hint="eastAsia" w:ascii="仿宋" w:hAnsi="仿宋" w:eastAsia="仿宋" w:cs="宋体"/>
                <w:color w:val="auto"/>
                <w:kern w:val="0"/>
              </w:rPr>
            </w:pPr>
            <w:r>
              <w:rPr>
                <w:rFonts w:hint="eastAsia" w:ascii="仿宋" w:hAnsi="仿宋" w:eastAsia="仿宋"/>
                <w:color w:val="auto"/>
              </w:rPr>
              <w:t>1.支持远程操作录播主机的开关机；</w:t>
            </w:r>
            <w:r>
              <w:rPr>
                <w:rFonts w:hint="eastAsia" w:ascii="仿宋" w:hAnsi="仿宋" w:eastAsia="仿宋"/>
                <w:color w:val="auto"/>
              </w:rPr>
              <w:br w:type="textWrapping"/>
            </w:r>
            <w:r>
              <w:rPr>
                <w:rFonts w:hint="eastAsia" w:ascii="仿宋" w:hAnsi="仿宋" w:eastAsia="仿宋"/>
                <w:color w:val="auto"/>
              </w:rPr>
              <w:t>2.支持不少于5种特技效果；</w:t>
            </w:r>
            <w:r>
              <w:rPr>
                <w:rFonts w:hint="eastAsia" w:ascii="仿宋" w:hAnsi="仿宋" w:eastAsia="仿宋"/>
                <w:color w:val="auto"/>
              </w:rPr>
              <w:br w:type="textWrapping"/>
            </w:r>
            <w:r>
              <w:rPr>
                <w:rFonts w:hint="eastAsia" w:ascii="仿宋" w:hAnsi="仿宋" w:eastAsia="仿宋"/>
                <w:color w:val="auto"/>
              </w:rPr>
              <w:t>3.支持不少于6布局选择；6路视频直播切换；6个预置位；6个视频预选功能；</w:t>
            </w:r>
            <w:r>
              <w:rPr>
                <w:rFonts w:hint="eastAsia" w:ascii="仿宋" w:hAnsi="仿宋" w:eastAsia="仿宋"/>
                <w:color w:val="auto"/>
              </w:rPr>
              <w:br w:type="textWrapping"/>
            </w:r>
            <w:r>
              <w:rPr>
                <w:rFonts w:hint="eastAsia" w:ascii="仿宋" w:hAnsi="仿宋" w:eastAsia="仿宋"/>
                <w:color w:val="auto"/>
              </w:rPr>
              <w:t>4.支持云台控制功能：上下左右及变焦功能；</w:t>
            </w:r>
            <w:r>
              <w:rPr>
                <w:rFonts w:hint="eastAsia" w:ascii="仿宋" w:hAnsi="仿宋" w:eastAsia="仿宋"/>
                <w:color w:val="auto"/>
              </w:rPr>
              <w:br w:type="textWrapping"/>
            </w:r>
            <w:r>
              <w:rPr>
                <w:rFonts w:hint="eastAsia" w:ascii="仿宋" w:hAnsi="仿宋" w:eastAsia="仿宋"/>
                <w:color w:val="auto"/>
              </w:rPr>
              <w:t>5.支持录制、暂停、停止功能；</w:t>
            </w:r>
            <w:r>
              <w:rPr>
                <w:rFonts w:hint="eastAsia" w:ascii="仿宋" w:hAnsi="仿宋" w:eastAsia="仿宋"/>
                <w:color w:val="auto"/>
              </w:rPr>
              <w:br w:type="textWrapping"/>
            </w:r>
            <w:r>
              <w:rPr>
                <w:rFonts w:hint="eastAsia" w:ascii="仿宋" w:hAnsi="仿宋" w:eastAsia="仿宋"/>
                <w:color w:val="auto"/>
              </w:rPr>
              <w:t>6.支持全自动录播模式和手动录播模式。</w:t>
            </w:r>
            <w:r>
              <w:rPr>
                <w:rFonts w:hint="eastAsia" w:ascii="仿宋" w:hAnsi="仿宋" w:eastAsia="仿宋"/>
                <w:color w:val="auto"/>
              </w:rPr>
              <w:br w:type="textWrapping"/>
            </w:r>
            <w:r>
              <w:rPr>
                <w:rFonts w:hint="eastAsia" w:ascii="仿宋" w:hAnsi="仿宋" w:eastAsia="仿宋"/>
                <w:color w:val="auto"/>
              </w:rPr>
              <w:t>7.支持通过USB线缆连接录播主机；</w:t>
            </w:r>
            <w:r>
              <w:rPr>
                <w:rFonts w:hint="eastAsia" w:ascii="仿宋" w:hAnsi="仿宋" w:eastAsia="仿宋"/>
                <w:color w:val="auto"/>
              </w:rPr>
              <w:br w:type="textWrapping"/>
            </w:r>
            <w:r>
              <w:rPr>
                <w:rFonts w:hint="eastAsia" w:ascii="仿宋" w:hAnsi="仿宋" w:eastAsia="仿宋"/>
                <w:color w:val="auto"/>
              </w:rPr>
              <w:t>8.安装导播控制台软件，并设置录播地址；</w:t>
            </w:r>
            <w:r>
              <w:rPr>
                <w:rFonts w:hint="eastAsia" w:ascii="仿宋" w:hAnsi="仿宋" w:eastAsia="仿宋"/>
                <w:color w:val="auto"/>
              </w:rPr>
              <w:br w:type="textWrapping"/>
            </w:r>
            <w:r>
              <w:rPr>
                <w:rFonts w:hint="eastAsia" w:ascii="仿宋" w:hAnsi="仿宋" w:eastAsia="仿宋"/>
                <w:color w:val="auto"/>
              </w:rPr>
              <w:t>9.导播界面与导播控制台按键/状态同步对应；</w:t>
            </w:r>
            <w:r>
              <w:rPr>
                <w:rFonts w:hint="eastAsia" w:ascii="仿宋" w:hAnsi="仿宋" w:eastAsia="仿宋"/>
                <w:color w:val="auto"/>
              </w:rPr>
              <w:br w:type="textWrapping"/>
            </w:r>
            <w:r>
              <w:rPr>
                <w:rFonts w:hint="eastAsia" w:ascii="仿宋" w:hAnsi="仿宋" w:eastAsia="仿宋"/>
                <w:color w:val="auto"/>
              </w:rPr>
              <w:t>10.导播控制台关机按键为控制录播系统软关机/唤醒功能。</w:t>
            </w:r>
          </w:p>
        </w:tc>
        <w:tc>
          <w:tcPr>
            <w:tcW w:w="0" w:type="auto"/>
            <w:vAlign w:val="center"/>
          </w:tcPr>
          <w:p w14:paraId="28AF3780">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w:t>
            </w:r>
          </w:p>
        </w:tc>
        <w:tc>
          <w:tcPr>
            <w:tcW w:w="492" w:type="dxa"/>
            <w:vAlign w:val="center"/>
          </w:tcPr>
          <w:p w14:paraId="6DCE9744">
            <w:pPr>
              <w:widowControl/>
              <w:snapToGrid w:val="0"/>
              <w:jc w:val="center"/>
              <w:rPr>
                <w:rFonts w:hint="eastAsia" w:ascii="仿宋" w:hAnsi="仿宋" w:eastAsia="仿宋" w:cs="宋体"/>
                <w:color w:val="auto"/>
                <w:kern w:val="0"/>
              </w:rPr>
            </w:pPr>
            <w:r>
              <w:rPr>
                <w:rFonts w:hint="eastAsia" w:ascii="仿宋" w:hAnsi="仿宋" w:eastAsia="仿宋"/>
                <w:color w:val="auto"/>
              </w:rPr>
              <w:t>个</w:t>
            </w:r>
          </w:p>
        </w:tc>
      </w:tr>
      <w:tr w14:paraId="1D91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B9C85B9">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23</w:t>
            </w:r>
          </w:p>
        </w:tc>
        <w:tc>
          <w:tcPr>
            <w:tcW w:w="996" w:type="dxa"/>
            <w:vAlign w:val="center"/>
          </w:tcPr>
          <w:p w14:paraId="64CCAF5D">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中控室监听音箱</w:t>
            </w:r>
          </w:p>
        </w:tc>
        <w:tc>
          <w:tcPr>
            <w:tcW w:w="6650" w:type="dxa"/>
            <w:vAlign w:val="center"/>
          </w:tcPr>
          <w:p w14:paraId="1537C0EA">
            <w:pPr>
              <w:widowControl/>
              <w:snapToGrid w:val="0"/>
              <w:jc w:val="left"/>
              <w:rPr>
                <w:rFonts w:hint="eastAsia" w:ascii="仿宋" w:hAnsi="仿宋" w:eastAsia="仿宋"/>
                <w:color w:val="auto"/>
              </w:rPr>
            </w:pPr>
            <w:r>
              <w:rPr>
                <w:rFonts w:ascii="仿宋" w:hAnsi="仿宋" w:eastAsia="仿宋"/>
                <w:color w:val="auto"/>
              </w:rPr>
              <w:t xml:space="preserve">类型： 2.0 有源立体声音箱 </w:t>
            </w:r>
          </w:p>
          <w:p w14:paraId="439F46D0">
            <w:pPr>
              <w:widowControl/>
              <w:snapToGrid w:val="0"/>
              <w:jc w:val="left"/>
              <w:rPr>
                <w:rFonts w:hint="eastAsia" w:ascii="仿宋" w:hAnsi="仿宋" w:eastAsia="仿宋"/>
                <w:color w:val="auto"/>
              </w:rPr>
            </w:pPr>
            <w:r>
              <w:rPr>
                <w:rFonts w:ascii="仿宋" w:hAnsi="仿宋" w:eastAsia="仿宋"/>
                <w:color w:val="auto"/>
              </w:rPr>
              <w:t xml:space="preserve">输出功率：单声道 ≥15W，总功率 ≥30W RMS </w:t>
            </w:r>
          </w:p>
          <w:p w14:paraId="1CEB5923">
            <w:pPr>
              <w:widowControl/>
              <w:snapToGrid w:val="0"/>
              <w:jc w:val="left"/>
              <w:rPr>
                <w:rFonts w:hint="eastAsia" w:ascii="仿宋" w:hAnsi="仿宋" w:eastAsia="仿宋"/>
                <w:color w:val="auto"/>
              </w:rPr>
            </w:pPr>
            <w:r>
              <w:rPr>
                <w:rFonts w:ascii="仿宋" w:hAnsi="仿宋" w:eastAsia="仿宋"/>
                <w:color w:val="auto"/>
              </w:rPr>
              <w:t xml:space="preserve">频响范围：60Hz～20kHz </w:t>
            </w:r>
          </w:p>
          <w:p w14:paraId="4A67FCB2">
            <w:pPr>
              <w:widowControl/>
              <w:snapToGrid w:val="0"/>
              <w:jc w:val="left"/>
              <w:rPr>
                <w:rFonts w:hint="eastAsia" w:ascii="仿宋" w:hAnsi="仿宋" w:eastAsia="仿宋"/>
                <w:color w:val="auto"/>
              </w:rPr>
            </w:pPr>
            <w:r>
              <w:rPr>
                <w:rFonts w:ascii="仿宋" w:hAnsi="仿宋" w:eastAsia="仿宋"/>
                <w:color w:val="auto"/>
              </w:rPr>
              <w:t>扬声器单元</w:t>
            </w:r>
            <w:r>
              <w:rPr>
                <w:rFonts w:hint="eastAsia" w:ascii="仿宋" w:hAnsi="仿宋" w:eastAsia="仿宋"/>
                <w:color w:val="auto"/>
              </w:rPr>
              <w:t>:</w:t>
            </w:r>
            <w:r>
              <w:rPr>
                <w:rFonts w:ascii="仿宋" w:hAnsi="仿宋" w:eastAsia="仿宋"/>
                <w:color w:val="auto"/>
              </w:rPr>
              <w:t>低音</w:t>
            </w:r>
            <w:r>
              <w:rPr>
                <w:rFonts w:hint="eastAsia" w:ascii="仿宋" w:hAnsi="仿宋" w:eastAsia="仿宋"/>
                <w:color w:val="auto"/>
              </w:rPr>
              <w:t>/</w:t>
            </w:r>
            <w:r>
              <w:rPr>
                <w:rFonts w:ascii="仿宋" w:hAnsi="仿宋" w:eastAsia="仿宋"/>
                <w:color w:val="auto"/>
              </w:rPr>
              <w:t>中音单元：3～4 英寸</w:t>
            </w:r>
            <w:r>
              <w:rPr>
                <w:rFonts w:hint="eastAsia" w:ascii="仿宋" w:hAnsi="仿宋" w:eastAsia="仿宋"/>
                <w:color w:val="auto"/>
              </w:rPr>
              <w:t>,</w:t>
            </w:r>
            <w:r>
              <w:rPr>
                <w:rFonts w:ascii="仿宋" w:hAnsi="仿宋" w:eastAsia="仿宋"/>
                <w:color w:val="auto"/>
              </w:rPr>
              <w:t>高音单元：1 英寸以内丝膜 / 纸膜高音</w:t>
            </w:r>
          </w:p>
          <w:p w14:paraId="40C951F6">
            <w:pPr>
              <w:widowControl/>
              <w:snapToGrid w:val="0"/>
              <w:jc w:val="left"/>
              <w:rPr>
                <w:rFonts w:hint="eastAsia" w:ascii="仿宋" w:hAnsi="仿宋" w:eastAsia="仿宋"/>
                <w:color w:val="auto"/>
              </w:rPr>
            </w:pPr>
            <w:r>
              <w:rPr>
                <w:rFonts w:ascii="仿宋" w:hAnsi="仿宋" w:eastAsia="仿宋"/>
                <w:color w:val="auto"/>
              </w:rPr>
              <w:t>输入接口：3.5mm AUX 音频输入</w:t>
            </w:r>
          </w:p>
          <w:p w14:paraId="42A339BF">
            <w:pPr>
              <w:widowControl/>
              <w:snapToGrid w:val="0"/>
              <w:jc w:val="left"/>
              <w:rPr>
                <w:rFonts w:hint="eastAsia" w:ascii="仿宋" w:hAnsi="仿宋" w:eastAsia="仿宋"/>
                <w:color w:val="auto"/>
              </w:rPr>
            </w:pPr>
            <w:r>
              <w:rPr>
                <w:rFonts w:ascii="仿宋" w:hAnsi="仿宋" w:eastAsia="仿宋"/>
                <w:color w:val="auto"/>
              </w:rPr>
              <w:t xml:space="preserve">控制方式：主音箱侧置 / 前置音量调节、电源开关 </w:t>
            </w:r>
          </w:p>
          <w:p w14:paraId="3F0B3852">
            <w:pPr>
              <w:widowControl/>
              <w:snapToGrid w:val="0"/>
              <w:jc w:val="left"/>
              <w:rPr>
                <w:rFonts w:hint="eastAsia" w:ascii="仿宋" w:hAnsi="仿宋" w:eastAsia="仿宋"/>
                <w:color w:val="auto"/>
              </w:rPr>
            </w:pPr>
            <w:r>
              <w:rPr>
                <w:rFonts w:ascii="仿宋" w:hAnsi="仿宋" w:eastAsia="仿宋"/>
                <w:color w:val="auto"/>
              </w:rPr>
              <w:t xml:space="preserve">信噪比：≥70dB </w:t>
            </w:r>
          </w:p>
          <w:p w14:paraId="11FD0004">
            <w:pPr>
              <w:widowControl/>
              <w:snapToGrid w:val="0"/>
              <w:jc w:val="left"/>
              <w:rPr>
                <w:rFonts w:hint="eastAsia" w:ascii="仿宋" w:hAnsi="仿宋" w:eastAsia="仿宋"/>
                <w:color w:val="auto"/>
              </w:rPr>
            </w:pPr>
            <w:r>
              <w:rPr>
                <w:rFonts w:ascii="仿宋" w:hAnsi="仿宋" w:eastAsia="仿宋"/>
                <w:color w:val="auto"/>
              </w:rPr>
              <w:t xml:space="preserve">失真度：≤1%（1W/1kHz） </w:t>
            </w:r>
          </w:p>
          <w:p w14:paraId="3296457C">
            <w:pPr>
              <w:widowControl/>
              <w:snapToGrid w:val="0"/>
              <w:jc w:val="left"/>
              <w:rPr>
                <w:rFonts w:hint="eastAsia" w:ascii="仿宋" w:hAnsi="仿宋" w:eastAsia="仿宋"/>
                <w:color w:val="auto"/>
              </w:rPr>
            </w:pPr>
            <w:r>
              <w:rPr>
                <w:rFonts w:ascii="仿宋" w:hAnsi="仿宋" w:eastAsia="仿宋"/>
                <w:color w:val="auto"/>
              </w:rPr>
              <w:t xml:space="preserve">供电方式：AC 220V 市电直接供电 </w:t>
            </w:r>
          </w:p>
          <w:p w14:paraId="63EA84AB">
            <w:pPr>
              <w:widowControl/>
              <w:snapToGrid w:val="0"/>
              <w:jc w:val="left"/>
              <w:rPr>
                <w:rFonts w:hint="eastAsia" w:ascii="仿宋" w:hAnsi="仿宋" w:eastAsia="仿宋"/>
                <w:color w:val="auto"/>
              </w:rPr>
            </w:pPr>
            <w:r>
              <w:rPr>
                <w:rFonts w:ascii="仿宋" w:hAnsi="仿宋" w:eastAsia="仿宋"/>
                <w:color w:val="auto"/>
              </w:rPr>
              <w:t xml:space="preserve">功能：自带功率放大，无需外接功放，即插即用 </w:t>
            </w:r>
          </w:p>
        </w:tc>
        <w:tc>
          <w:tcPr>
            <w:tcW w:w="0" w:type="auto"/>
            <w:vAlign w:val="center"/>
          </w:tcPr>
          <w:p w14:paraId="7B4D47E4">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w:t>
            </w:r>
          </w:p>
        </w:tc>
        <w:tc>
          <w:tcPr>
            <w:tcW w:w="492" w:type="dxa"/>
            <w:vAlign w:val="center"/>
          </w:tcPr>
          <w:p w14:paraId="22A16540">
            <w:pPr>
              <w:widowControl/>
              <w:snapToGrid w:val="0"/>
              <w:jc w:val="center"/>
              <w:rPr>
                <w:rFonts w:hint="eastAsia" w:ascii="仿宋" w:hAnsi="仿宋" w:eastAsia="仿宋" w:cs="宋体"/>
                <w:color w:val="auto"/>
                <w:kern w:val="0"/>
              </w:rPr>
            </w:pPr>
            <w:r>
              <w:rPr>
                <w:rFonts w:hint="eastAsia" w:ascii="仿宋" w:hAnsi="仿宋" w:eastAsia="仿宋"/>
                <w:color w:val="auto"/>
              </w:rPr>
              <w:t>对</w:t>
            </w:r>
          </w:p>
        </w:tc>
      </w:tr>
      <w:tr w14:paraId="0D57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3972174D">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24</w:t>
            </w:r>
          </w:p>
        </w:tc>
        <w:tc>
          <w:tcPr>
            <w:tcW w:w="996" w:type="dxa"/>
            <w:vAlign w:val="center"/>
          </w:tcPr>
          <w:p w14:paraId="5D66F152">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中控室操作台</w:t>
            </w:r>
          </w:p>
        </w:tc>
        <w:tc>
          <w:tcPr>
            <w:tcW w:w="6650" w:type="dxa"/>
            <w:vAlign w:val="center"/>
          </w:tcPr>
          <w:p w14:paraId="3615E26B">
            <w:pPr>
              <w:widowControl/>
              <w:snapToGrid w:val="0"/>
              <w:jc w:val="left"/>
              <w:rPr>
                <w:rFonts w:hint="eastAsia" w:ascii="仿宋" w:hAnsi="仿宋" w:eastAsia="仿宋" w:cs="宋体"/>
                <w:color w:val="auto"/>
                <w:kern w:val="0"/>
              </w:rPr>
            </w:pPr>
            <w:r>
              <w:rPr>
                <w:rFonts w:hint="eastAsia" w:ascii="仿宋" w:hAnsi="仿宋" w:eastAsia="仿宋"/>
                <w:color w:val="auto"/>
              </w:rPr>
              <w:t>尺寸 1200＊900＊750mm</w:t>
            </w:r>
            <w:r>
              <w:rPr>
                <w:rFonts w:hint="eastAsia" w:ascii="仿宋" w:hAnsi="仿宋" w:eastAsia="仿宋"/>
                <w:color w:val="auto"/>
              </w:rPr>
              <w:br w:type="textWrapping"/>
            </w:r>
            <w:r>
              <w:rPr>
                <w:rFonts w:hint="eastAsia" w:ascii="仿宋" w:hAnsi="仿宋" w:eastAsia="仿宋"/>
                <w:color w:val="auto"/>
              </w:rPr>
              <w:t>1、材质:  箱体采用1.0mm厚冷轧钢板,承重角件采用2.0mm厚冷轧钢板,桌面实木颗粒板，两侧为密度板材质.</w:t>
            </w:r>
            <w:r>
              <w:rPr>
                <w:rFonts w:hint="eastAsia" w:ascii="仿宋" w:hAnsi="仿宋" w:eastAsia="仿宋"/>
                <w:color w:val="auto"/>
              </w:rPr>
              <w:br w:type="textWrapping"/>
            </w:r>
            <w:r>
              <w:rPr>
                <w:rFonts w:hint="eastAsia" w:ascii="仿宋" w:hAnsi="仿宋" w:eastAsia="仿宋"/>
                <w:color w:val="auto"/>
              </w:rPr>
              <w:t>2、表面处理:钢板表面采用静电喷涂,桌面及侧板为表面环保树脂贴面，聚酯橡胶封边。</w:t>
            </w:r>
          </w:p>
        </w:tc>
        <w:tc>
          <w:tcPr>
            <w:tcW w:w="0" w:type="auto"/>
            <w:vAlign w:val="center"/>
          </w:tcPr>
          <w:p w14:paraId="6C710826">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w:t>
            </w:r>
          </w:p>
        </w:tc>
        <w:tc>
          <w:tcPr>
            <w:tcW w:w="492" w:type="dxa"/>
            <w:vAlign w:val="center"/>
          </w:tcPr>
          <w:p w14:paraId="6590DE7A">
            <w:pPr>
              <w:widowControl/>
              <w:snapToGrid w:val="0"/>
              <w:jc w:val="center"/>
              <w:rPr>
                <w:rFonts w:hint="eastAsia" w:ascii="仿宋" w:hAnsi="仿宋" w:eastAsia="仿宋" w:cs="宋体"/>
                <w:color w:val="auto"/>
                <w:kern w:val="0"/>
              </w:rPr>
            </w:pPr>
            <w:r>
              <w:rPr>
                <w:rFonts w:hint="eastAsia" w:ascii="仿宋" w:hAnsi="仿宋" w:eastAsia="仿宋"/>
                <w:color w:val="auto"/>
              </w:rPr>
              <w:t>张</w:t>
            </w:r>
          </w:p>
        </w:tc>
      </w:tr>
      <w:tr w14:paraId="3126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C51DEBE">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25</w:t>
            </w:r>
          </w:p>
        </w:tc>
        <w:tc>
          <w:tcPr>
            <w:tcW w:w="996" w:type="dxa"/>
            <w:vAlign w:val="center"/>
          </w:tcPr>
          <w:p w14:paraId="5A335F73">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导播电脑</w:t>
            </w:r>
          </w:p>
        </w:tc>
        <w:tc>
          <w:tcPr>
            <w:tcW w:w="6650" w:type="dxa"/>
            <w:vAlign w:val="center"/>
          </w:tcPr>
          <w:p w14:paraId="6EA29173">
            <w:pPr>
              <w:widowControl/>
              <w:snapToGrid w:val="0"/>
              <w:jc w:val="left"/>
              <w:rPr>
                <w:rFonts w:hint="eastAsia" w:ascii="仿宋" w:hAnsi="仿宋" w:eastAsia="仿宋"/>
                <w:color w:val="auto"/>
              </w:rPr>
            </w:pPr>
            <w:r>
              <w:rPr>
                <w:rFonts w:hint="eastAsia" w:ascii="仿宋" w:hAnsi="仿宋" w:eastAsia="仿宋"/>
                <w:color w:val="auto"/>
              </w:rPr>
              <w:t>1. 处理器（CPU）</w:t>
            </w:r>
          </w:p>
          <w:p w14:paraId="14B30774">
            <w:pPr>
              <w:widowControl/>
              <w:snapToGrid w:val="0"/>
              <w:jc w:val="left"/>
              <w:rPr>
                <w:rFonts w:hint="eastAsia" w:ascii="仿宋" w:hAnsi="仿宋" w:eastAsia="仿宋"/>
                <w:color w:val="auto"/>
              </w:rPr>
            </w:pPr>
            <w:r>
              <w:rPr>
                <w:rFonts w:hint="eastAsia" w:ascii="仿宋" w:hAnsi="仿宋" w:eastAsia="仿宋"/>
                <w:color w:val="auto"/>
              </w:rPr>
              <w:t>架构性能不低于Intel Core i5 十代水平；≥6 核 12 线程；基频≥2.5GHz；不指定品牌，允许等效性能处理器响应。</w:t>
            </w:r>
          </w:p>
          <w:p w14:paraId="6CD5C897">
            <w:pPr>
              <w:widowControl/>
              <w:snapToGrid w:val="0"/>
              <w:jc w:val="left"/>
              <w:rPr>
                <w:rFonts w:hint="eastAsia" w:ascii="仿宋" w:hAnsi="仿宋" w:eastAsia="仿宋"/>
                <w:color w:val="auto"/>
              </w:rPr>
            </w:pPr>
            <w:r>
              <w:rPr>
                <w:rFonts w:hint="eastAsia" w:ascii="仿宋" w:hAnsi="仿宋" w:eastAsia="仿宋"/>
                <w:color w:val="auto"/>
              </w:rPr>
              <w:t>2. 内存（RAM）</w:t>
            </w:r>
          </w:p>
          <w:p w14:paraId="078EBA5A">
            <w:pPr>
              <w:widowControl/>
              <w:snapToGrid w:val="0"/>
              <w:jc w:val="left"/>
              <w:rPr>
                <w:rFonts w:hint="eastAsia" w:ascii="仿宋" w:hAnsi="仿宋" w:eastAsia="仿宋"/>
                <w:color w:val="auto"/>
              </w:rPr>
            </w:pPr>
            <w:r>
              <w:rPr>
                <w:rFonts w:hint="eastAsia" w:ascii="仿宋" w:hAnsi="仿宋" w:eastAsia="仿宋"/>
                <w:color w:val="auto"/>
              </w:rPr>
              <w:t>容量≥4GB，支持扩展 **≥16GB**；类型DDR4 及以上，频率≥2666MHz。</w:t>
            </w:r>
          </w:p>
          <w:p w14:paraId="4CF22972">
            <w:pPr>
              <w:widowControl/>
              <w:snapToGrid w:val="0"/>
              <w:jc w:val="left"/>
              <w:rPr>
                <w:rFonts w:hint="eastAsia" w:ascii="仿宋" w:hAnsi="仿宋" w:eastAsia="仿宋"/>
                <w:color w:val="auto"/>
              </w:rPr>
            </w:pPr>
            <w:r>
              <w:rPr>
                <w:rFonts w:hint="eastAsia" w:ascii="仿宋" w:hAnsi="仿宋" w:eastAsia="仿宋"/>
                <w:color w:val="auto"/>
              </w:rPr>
              <w:t>3. 硬盘</w:t>
            </w:r>
          </w:p>
          <w:p w14:paraId="31BB71A0">
            <w:pPr>
              <w:widowControl/>
              <w:snapToGrid w:val="0"/>
              <w:jc w:val="left"/>
              <w:rPr>
                <w:rFonts w:hint="eastAsia" w:ascii="仿宋" w:hAnsi="仿宋" w:eastAsia="仿宋"/>
                <w:color w:val="auto"/>
              </w:rPr>
            </w:pPr>
            <w:r>
              <w:rPr>
                <w:rFonts w:hint="eastAsia" w:ascii="仿宋" w:hAnsi="仿宋" w:eastAsia="仿宋"/>
                <w:color w:val="auto"/>
              </w:rPr>
              <w:t>容量≥500GB SATA，转速7200 转。</w:t>
            </w:r>
          </w:p>
          <w:p w14:paraId="51D16E0F">
            <w:pPr>
              <w:widowControl/>
              <w:snapToGrid w:val="0"/>
              <w:jc w:val="left"/>
              <w:rPr>
                <w:rFonts w:hint="eastAsia" w:ascii="仿宋" w:hAnsi="仿宋" w:eastAsia="仿宋"/>
                <w:color w:val="auto"/>
              </w:rPr>
            </w:pPr>
            <w:r>
              <w:rPr>
                <w:rFonts w:hint="eastAsia" w:ascii="仿宋" w:hAnsi="仿宋" w:eastAsia="仿宋"/>
                <w:color w:val="auto"/>
              </w:rPr>
              <w:t>4. 主板</w:t>
            </w:r>
          </w:p>
          <w:p w14:paraId="4E06BF0B">
            <w:pPr>
              <w:widowControl/>
              <w:snapToGrid w:val="0"/>
              <w:jc w:val="left"/>
              <w:rPr>
                <w:rFonts w:hint="eastAsia" w:ascii="仿宋" w:hAnsi="仿宋" w:eastAsia="仿宋"/>
                <w:color w:val="auto"/>
              </w:rPr>
            </w:pPr>
            <w:r>
              <w:rPr>
                <w:rFonts w:hint="eastAsia" w:ascii="仿宋" w:hAnsi="仿宋" w:eastAsia="仿宋"/>
                <w:color w:val="auto"/>
              </w:rPr>
              <w:t>提供PCIe 扩展插槽≥1 个（支持视频采集卡）；USB3.0≥4 个，USB2.0≥2 个；集成千兆有线网卡。</w:t>
            </w:r>
          </w:p>
          <w:p w14:paraId="3D357697">
            <w:pPr>
              <w:widowControl/>
              <w:snapToGrid w:val="0"/>
              <w:jc w:val="left"/>
              <w:rPr>
                <w:rFonts w:hint="eastAsia" w:ascii="仿宋" w:hAnsi="仿宋" w:eastAsia="仿宋"/>
                <w:color w:val="auto"/>
              </w:rPr>
            </w:pPr>
            <w:r>
              <w:rPr>
                <w:rFonts w:hint="eastAsia" w:ascii="仿宋" w:hAnsi="仿宋" w:eastAsia="仿宋"/>
                <w:color w:val="auto"/>
              </w:rPr>
              <w:t>5. 显卡</w:t>
            </w:r>
          </w:p>
          <w:p w14:paraId="13997EDF">
            <w:pPr>
              <w:widowControl/>
              <w:snapToGrid w:val="0"/>
              <w:jc w:val="left"/>
              <w:rPr>
                <w:rFonts w:hint="eastAsia" w:ascii="仿宋" w:hAnsi="仿宋" w:eastAsia="仿宋"/>
                <w:color w:val="auto"/>
              </w:rPr>
            </w:pPr>
            <w:r>
              <w:rPr>
                <w:rFonts w:hint="eastAsia" w:ascii="仿宋" w:hAnsi="仿宋" w:eastAsia="仿宋"/>
                <w:color w:val="auto"/>
              </w:rPr>
              <w:t>集成或独立显卡均可；支持4K 输出，支持双屏显示 / 视频采集。</w:t>
            </w:r>
          </w:p>
          <w:p w14:paraId="02333BFE">
            <w:pPr>
              <w:widowControl/>
              <w:snapToGrid w:val="0"/>
              <w:jc w:val="left"/>
              <w:rPr>
                <w:rFonts w:hint="eastAsia" w:ascii="仿宋" w:hAnsi="仿宋" w:eastAsia="仿宋"/>
                <w:color w:val="auto"/>
              </w:rPr>
            </w:pPr>
            <w:r>
              <w:rPr>
                <w:rFonts w:hint="eastAsia" w:ascii="仿宋" w:hAnsi="仿宋" w:eastAsia="仿宋"/>
                <w:color w:val="auto"/>
              </w:rPr>
              <w:t>6. 机箱</w:t>
            </w:r>
          </w:p>
          <w:p w14:paraId="27AD4331">
            <w:pPr>
              <w:widowControl/>
              <w:snapToGrid w:val="0"/>
              <w:jc w:val="left"/>
              <w:rPr>
                <w:rFonts w:hint="eastAsia" w:ascii="仿宋" w:hAnsi="仿宋" w:eastAsia="仿宋"/>
                <w:color w:val="auto"/>
              </w:rPr>
            </w:pPr>
            <w:r>
              <w:rPr>
                <w:rFonts w:hint="eastAsia" w:ascii="仿宋" w:hAnsi="仿宋" w:eastAsia="仿宋"/>
                <w:color w:val="auto"/>
              </w:rPr>
              <w:t>标准台式机箱；结构稳固，散热设计合理；支持全高扩展卡安装。</w:t>
            </w:r>
          </w:p>
          <w:p w14:paraId="438A87E5">
            <w:pPr>
              <w:widowControl/>
              <w:snapToGrid w:val="0"/>
              <w:jc w:val="left"/>
              <w:rPr>
                <w:rFonts w:hint="eastAsia" w:ascii="仿宋" w:hAnsi="仿宋" w:eastAsia="仿宋"/>
                <w:color w:val="auto"/>
              </w:rPr>
            </w:pPr>
            <w:r>
              <w:rPr>
                <w:rFonts w:hint="eastAsia" w:ascii="仿宋" w:hAnsi="仿宋" w:eastAsia="仿宋"/>
                <w:color w:val="auto"/>
              </w:rPr>
              <w:t>7. 显示器</w:t>
            </w:r>
          </w:p>
          <w:p w14:paraId="635641E6">
            <w:pPr>
              <w:widowControl/>
              <w:snapToGrid w:val="0"/>
              <w:jc w:val="left"/>
              <w:rPr>
                <w:rFonts w:hint="eastAsia" w:ascii="仿宋" w:hAnsi="仿宋" w:eastAsia="仿宋"/>
                <w:color w:val="auto"/>
              </w:rPr>
            </w:pPr>
            <w:r>
              <w:rPr>
                <w:rFonts w:hint="eastAsia" w:ascii="仿宋" w:hAnsi="仿宋" w:eastAsia="仿宋"/>
                <w:color w:val="auto"/>
              </w:rPr>
              <w:t>尺寸24 英寸；面板IPS/LED；分辨率1920×1080；刷新率≥60Hz；具备HDMI + VGA 双接口。</w:t>
            </w:r>
          </w:p>
          <w:p w14:paraId="4054F5CA">
            <w:pPr>
              <w:widowControl/>
              <w:snapToGrid w:val="0"/>
              <w:jc w:val="left"/>
              <w:rPr>
                <w:rFonts w:hint="eastAsia" w:ascii="仿宋" w:hAnsi="仿宋" w:eastAsia="仿宋"/>
                <w:color w:val="auto"/>
              </w:rPr>
            </w:pPr>
            <w:r>
              <w:rPr>
                <w:rFonts w:hint="eastAsia" w:ascii="仿宋" w:hAnsi="仿宋" w:eastAsia="仿宋"/>
                <w:color w:val="auto"/>
              </w:rPr>
              <w:t>8. 无线键鼠套装</w:t>
            </w:r>
          </w:p>
          <w:p w14:paraId="4E35570E">
            <w:pPr>
              <w:widowControl/>
              <w:snapToGrid w:val="0"/>
              <w:jc w:val="left"/>
              <w:rPr>
                <w:rFonts w:hint="eastAsia" w:ascii="仿宋" w:hAnsi="仿宋" w:eastAsia="仿宋"/>
                <w:color w:val="auto"/>
              </w:rPr>
            </w:pPr>
            <w:r>
              <w:rPr>
                <w:rFonts w:hint="eastAsia" w:ascii="仿宋" w:hAnsi="仿宋" w:eastAsia="仿宋"/>
                <w:color w:val="auto"/>
              </w:rPr>
              <w:t>2.4G 无线连接；键盘标准 104 键，防泼溅；鼠标光电式，≥1000DPI；工作稳定可靠。</w:t>
            </w:r>
          </w:p>
          <w:p w14:paraId="77ED53F3">
            <w:pPr>
              <w:widowControl/>
              <w:snapToGrid w:val="0"/>
              <w:jc w:val="left"/>
              <w:rPr>
                <w:rFonts w:hint="eastAsia" w:ascii="仿宋" w:hAnsi="仿宋" w:eastAsia="仿宋"/>
                <w:color w:val="auto"/>
              </w:rPr>
            </w:pPr>
            <w:r>
              <w:rPr>
                <w:rFonts w:hint="eastAsia" w:ascii="仿宋" w:hAnsi="仿宋" w:eastAsia="仿宋"/>
                <w:color w:val="auto"/>
              </w:rPr>
              <w:t>9. PCI-E 内置视频采集卡</w:t>
            </w:r>
          </w:p>
          <w:p w14:paraId="6CBD86FF">
            <w:pPr>
              <w:widowControl/>
              <w:snapToGrid w:val="0"/>
              <w:jc w:val="left"/>
              <w:rPr>
                <w:rFonts w:hint="eastAsia" w:ascii="仿宋" w:hAnsi="仿宋" w:eastAsia="仿宋"/>
                <w:color w:val="auto"/>
              </w:rPr>
            </w:pPr>
            <w:r>
              <w:rPr>
                <w:rFonts w:hint="eastAsia" w:ascii="仿宋" w:hAnsi="仿宋" w:eastAsia="仿宋"/>
                <w:color w:val="auto"/>
              </w:rPr>
              <w:t>接口支持HDMI / AV / S-Video 至少一种；支持1080P、720P 实时采集；适用于视频录制、直播、影像采集；兼容Windows 10/11 操作系统。</w:t>
            </w:r>
          </w:p>
        </w:tc>
        <w:tc>
          <w:tcPr>
            <w:tcW w:w="0" w:type="auto"/>
            <w:vAlign w:val="center"/>
          </w:tcPr>
          <w:p w14:paraId="292B376E">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w:t>
            </w:r>
          </w:p>
        </w:tc>
        <w:tc>
          <w:tcPr>
            <w:tcW w:w="492" w:type="dxa"/>
            <w:vAlign w:val="center"/>
          </w:tcPr>
          <w:p w14:paraId="5AB1E6E3">
            <w:pPr>
              <w:widowControl/>
              <w:snapToGrid w:val="0"/>
              <w:jc w:val="center"/>
              <w:rPr>
                <w:rFonts w:hint="eastAsia" w:ascii="仿宋" w:hAnsi="仿宋" w:eastAsia="仿宋" w:cs="宋体"/>
                <w:color w:val="auto"/>
                <w:kern w:val="0"/>
              </w:rPr>
            </w:pPr>
            <w:r>
              <w:rPr>
                <w:rFonts w:hint="eastAsia" w:ascii="仿宋" w:hAnsi="仿宋" w:eastAsia="仿宋"/>
                <w:color w:val="auto"/>
              </w:rPr>
              <w:t>台</w:t>
            </w:r>
          </w:p>
        </w:tc>
      </w:tr>
      <w:tr w14:paraId="3E095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21AA3574">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26</w:t>
            </w:r>
          </w:p>
        </w:tc>
        <w:tc>
          <w:tcPr>
            <w:tcW w:w="996" w:type="dxa"/>
            <w:vAlign w:val="center"/>
          </w:tcPr>
          <w:p w14:paraId="01F21C90">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观摩电视</w:t>
            </w:r>
          </w:p>
        </w:tc>
        <w:tc>
          <w:tcPr>
            <w:tcW w:w="6650" w:type="dxa"/>
            <w:vAlign w:val="center"/>
          </w:tcPr>
          <w:p w14:paraId="1566BB18">
            <w:pPr>
              <w:widowControl/>
              <w:snapToGrid w:val="0"/>
              <w:jc w:val="left"/>
              <w:rPr>
                <w:rFonts w:hint="eastAsia" w:ascii="仿宋" w:hAnsi="仿宋" w:eastAsia="仿宋" w:cs="宋体"/>
                <w:color w:val="auto"/>
                <w:kern w:val="0"/>
              </w:rPr>
            </w:pPr>
            <w:r>
              <w:rPr>
                <w:rFonts w:hint="eastAsia" w:ascii="仿宋" w:hAnsi="仿宋" w:eastAsia="仿宋"/>
                <w:color w:val="auto"/>
              </w:rPr>
              <w:t>屏幕尺寸：55英寸</w:t>
            </w:r>
            <w:r>
              <w:rPr>
                <w:rFonts w:hint="eastAsia" w:ascii="仿宋" w:hAnsi="仿宋" w:eastAsia="仿宋"/>
                <w:color w:val="auto"/>
              </w:rPr>
              <w:br w:type="textWrapping"/>
            </w:r>
            <w:r>
              <w:rPr>
                <w:rFonts w:hint="eastAsia" w:ascii="仿宋" w:hAnsi="仿宋" w:eastAsia="仿宋"/>
                <w:color w:val="auto"/>
              </w:rPr>
              <w:t>屏幕分辨率：超高清4K</w:t>
            </w:r>
            <w:r>
              <w:rPr>
                <w:rFonts w:hint="eastAsia" w:ascii="仿宋" w:hAnsi="仿宋" w:eastAsia="仿宋"/>
                <w:color w:val="auto"/>
              </w:rPr>
              <w:br w:type="textWrapping"/>
            </w:r>
            <w:r>
              <w:rPr>
                <w:rFonts w:hint="eastAsia" w:ascii="仿宋" w:hAnsi="仿宋" w:eastAsia="仿宋"/>
                <w:color w:val="auto"/>
              </w:rPr>
              <w:t>屏幕比例：16:9</w:t>
            </w:r>
            <w:r>
              <w:rPr>
                <w:rFonts w:hint="eastAsia" w:ascii="仿宋" w:hAnsi="仿宋" w:eastAsia="仿宋"/>
                <w:color w:val="auto"/>
              </w:rPr>
              <w:br w:type="textWrapping"/>
            </w:r>
            <w:r>
              <w:rPr>
                <w:rFonts w:hint="eastAsia" w:ascii="仿宋" w:hAnsi="仿宋" w:eastAsia="仿宋"/>
                <w:color w:val="auto"/>
              </w:rPr>
              <w:t>刷屏率：144Hz</w:t>
            </w:r>
            <w:r>
              <w:rPr>
                <w:rFonts w:hint="eastAsia" w:ascii="仿宋" w:hAnsi="仿宋" w:eastAsia="仿宋"/>
                <w:color w:val="auto"/>
              </w:rPr>
              <w:br w:type="textWrapping"/>
            </w:r>
            <w:r>
              <w:rPr>
                <w:rFonts w:hint="eastAsia" w:ascii="仿宋" w:hAnsi="仿宋" w:eastAsia="仿宋"/>
                <w:color w:val="auto"/>
              </w:rPr>
              <w:t>能效等级：一级能效</w:t>
            </w:r>
          </w:p>
        </w:tc>
        <w:tc>
          <w:tcPr>
            <w:tcW w:w="0" w:type="auto"/>
            <w:vAlign w:val="center"/>
          </w:tcPr>
          <w:p w14:paraId="3457BEE6">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2</w:t>
            </w:r>
          </w:p>
        </w:tc>
        <w:tc>
          <w:tcPr>
            <w:tcW w:w="492" w:type="dxa"/>
            <w:vAlign w:val="center"/>
          </w:tcPr>
          <w:p w14:paraId="7FF1E2C0">
            <w:pPr>
              <w:widowControl/>
              <w:snapToGrid w:val="0"/>
              <w:jc w:val="center"/>
              <w:rPr>
                <w:rFonts w:hint="eastAsia" w:ascii="仿宋" w:hAnsi="仿宋" w:eastAsia="仿宋" w:cs="宋体"/>
                <w:color w:val="auto"/>
                <w:kern w:val="0"/>
              </w:rPr>
            </w:pPr>
            <w:r>
              <w:rPr>
                <w:rFonts w:hint="eastAsia" w:ascii="仿宋" w:hAnsi="仿宋" w:eastAsia="仿宋"/>
                <w:color w:val="auto"/>
              </w:rPr>
              <w:t>台</w:t>
            </w:r>
          </w:p>
        </w:tc>
      </w:tr>
      <w:tr w14:paraId="08B8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47FED6AB">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27</w:t>
            </w:r>
          </w:p>
        </w:tc>
        <w:tc>
          <w:tcPr>
            <w:tcW w:w="996" w:type="dxa"/>
            <w:vAlign w:val="center"/>
          </w:tcPr>
          <w:p w14:paraId="5E91FEBD">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学生课桌椅</w:t>
            </w:r>
          </w:p>
        </w:tc>
        <w:tc>
          <w:tcPr>
            <w:tcW w:w="6650" w:type="dxa"/>
            <w:vAlign w:val="center"/>
          </w:tcPr>
          <w:p w14:paraId="12B89F27">
            <w:pPr>
              <w:widowControl/>
              <w:snapToGrid w:val="0"/>
              <w:jc w:val="left"/>
              <w:rPr>
                <w:rFonts w:hint="eastAsia" w:ascii="仿宋" w:hAnsi="仿宋" w:eastAsia="仿宋"/>
                <w:color w:val="auto"/>
              </w:rPr>
            </w:pPr>
            <w:r>
              <w:rPr>
                <w:rFonts w:hint="eastAsia" w:ascii="仿宋" w:hAnsi="仿宋" w:eastAsia="仿宋"/>
                <w:color w:val="auto"/>
              </w:rPr>
              <w:t>1）尺寸：桌子≥600mm*400mm*760mm，椅子≥455mm*420mm，椅座高度≥440mm。</w:t>
            </w:r>
          </w:p>
          <w:p w14:paraId="786C0C9A">
            <w:pPr>
              <w:widowControl/>
              <w:snapToGrid w:val="0"/>
              <w:jc w:val="left"/>
              <w:rPr>
                <w:rFonts w:hint="eastAsia" w:ascii="仿宋" w:hAnsi="仿宋" w:eastAsia="仿宋"/>
                <w:color w:val="auto"/>
              </w:rPr>
            </w:pPr>
            <w:r>
              <w:rPr>
                <w:rFonts w:hint="eastAsia" w:ascii="仿宋" w:hAnsi="仿宋" w:eastAsia="仿宋"/>
                <w:color w:val="auto"/>
              </w:rPr>
              <w:t>2）桌面：密度板贴三胺面pp注塑封边。面板四周及底部完全不得有毛边，光滑安全，整体呈现平滑流水线造型，美观大方。质量满足GB18580-2025要求。</w:t>
            </w:r>
          </w:p>
          <w:p w14:paraId="65AFB67C">
            <w:pPr>
              <w:widowControl/>
              <w:snapToGrid w:val="0"/>
              <w:jc w:val="left"/>
              <w:rPr>
                <w:rFonts w:hint="eastAsia" w:ascii="仿宋" w:hAnsi="仿宋" w:eastAsia="仿宋"/>
                <w:color w:val="auto"/>
              </w:rPr>
            </w:pPr>
            <w:r>
              <w:rPr>
                <w:rFonts w:hint="eastAsia" w:ascii="仿宋" w:hAnsi="仿宋" w:eastAsia="仿宋"/>
                <w:color w:val="auto"/>
              </w:rPr>
              <w:t>3）桌斗：铁线折弯焊接成型。材质：采用铁线折弯焊接，成网状；工艺：表面经酸洗，脱脂，磷化处理，耐腐蚀，防锈。</w:t>
            </w:r>
          </w:p>
          <w:p w14:paraId="3A941157">
            <w:pPr>
              <w:widowControl/>
              <w:snapToGrid w:val="0"/>
              <w:jc w:val="left"/>
              <w:rPr>
                <w:rFonts w:hint="eastAsia" w:ascii="仿宋" w:hAnsi="仿宋" w:eastAsia="仿宋"/>
                <w:color w:val="auto"/>
              </w:rPr>
            </w:pPr>
            <w:r>
              <w:rPr>
                <w:rFonts w:hint="eastAsia" w:ascii="仿宋" w:hAnsi="仿宋" w:eastAsia="仿宋"/>
                <w:color w:val="auto"/>
              </w:rPr>
              <w:t>4）桌架：冷轧钢材质，1.2mm厚50mm*25mm。材质：采用冷轧钢管焊接而成，结构牢固，长时间使用不得产生摇晃松散的现象，焊接完成钢管架，焊接部位牢固；工艺：表面经酸洗，脱脂，磷化处理，耐腐蚀，防锈。</w:t>
            </w:r>
          </w:p>
          <w:p w14:paraId="0D46CE88">
            <w:pPr>
              <w:widowControl/>
              <w:snapToGrid w:val="0"/>
              <w:jc w:val="left"/>
              <w:rPr>
                <w:rFonts w:hint="eastAsia" w:ascii="仿宋" w:hAnsi="仿宋" w:eastAsia="仿宋"/>
                <w:color w:val="auto"/>
              </w:rPr>
            </w:pPr>
            <w:r>
              <w:rPr>
                <w:rFonts w:hint="eastAsia" w:ascii="仿宋" w:hAnsi="仿宋" w:eastAsia="仿宋"/>
                <w:color w:val="auto"/>
              </w:rPr>
              <w:t>5）椅背和椅座：PE吹塑成型。用PE为原料，吹塑工艺制作、产品结构合理，样式美观；椅背有提手孔便于学生使用。质量满足GB18580-2025要求</w:t>
            </w:r>
          </w:p>
          <w:p w14:paraId="5E213A0D">
            <w:pPr>
              <w:widowControl/>
              <w:snapToGrid w:val="0"/>
              <w:jc w:val="left"/>
              <w:rPr>
                <w:rFonts w:hint="eastAsia" w:ascii="仿宋" w:hAnsi="仿宋" w:eastAsia="仿宋"/>
                <w:color w:val="auto"/>
              </w:rPr>
            </w:pPr>
            <w:r>
              <w:rPr>
                <w:rFonts w:hint="eastAsia" w:ascii="仿宋" w:hAnsi="仿宋" w:eastAsia="仿宋"/>
                <w:color w:val="auto"/>
              </w:rPr>
              <w:t>6）椅架：冷轧钢材质，1.2mm厚40mm*20mm。材质：采用冷轧钢管焊接而成，结构牢固，长时间使用不得产生摇晃松散的现象，焊接完成钢管架，焊接部位牢固；工艺：表面经酸洗，脱脂，磷化处理，耐腐蚀，防锈。</w:t>
            </w:r>
          </w:p>
        </w:tc>
        <w:tc>
          <w:tcPr>
            <w:tcW w:w="0" w:type="auto"/>
            <w:vAlign w:val="center"/>
          </w:tcPr>
          <w:p w14:paraId="0EAAD957">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48</w:t>
            </w:r>
          </w:p>
        </w:tc>
        <w:tc>
          <w:tcPr>
            <w:tcW w:w="492" w:type="dxa"/>
            <w:vAlign w:val="center"/>
          </w:tcPr>
          <w:p w14:paraId="3C04329C">
            <w:pPr>
              <w:widowControl/>
              <w:snapToGrid w:val="0"/>
              <w:jc w:val="center"/>
              <w:rPr>
                <w:rFonts w:hint="eastAsia" w:ascii="仿宋" w:hAnsi="仿宋" w:eastAsia="仿宋"/>
                <w:color w:val="auto"/>
              </w:rPr>
            </w:pPr>
            <w:r>
              <w:rPr>
                <w:rFonts w:hint="eastAsia" w:ascii="仿宋" w:hAnsi="仿宋" w:eastAsia="仿宋"/>
                <w:color w:val="auto"/>
              </w:rPr>
              <w:t>套</w:t>
            </w:r>
          </w:p>
        </w:tc>
      </w:tr>
      <w:tr w14:paraId="3CA7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7998CB33">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28</w:t>
            </w:r>
          </w:p>
        </w:tc>
        <w:tc>
          <w:tcPr>
            <w:tcW w:w="996" w:type="dxa"/>
            <w:vAlign w:val="center"/>
          </w:tcPr>
          <w:p w14:paraId="5B18965E">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观摩室座椅</w:t>
            </w:r>
          </w:p>
        </w:tc>
        <w:tc>
          <w:tcPr>
            <w:tcW w:w="6650" w:type="dxa"/>
            <w:vAlign w:val="center"/>
          </w:tcPr>
          <w:p w14:paraId="6EA7786E">
            <w:pPr>
              <w:widowControl/>
              <w:snapToGrid w:val="0"/>
              <w:jc w:val="left"/>
              <w:rPr>
                <w:rFonts w:hint="eastAsia" w:ascii="仿宋" w:hAnsi="仿宋" w:eastAsia="仿宋"/>
                <w:color w:val="auto"/>
              </w:rPr>
            </w:pPr>
            <w:r>
              <w:rPr>
                <w:rFonts w:hint="eastAsia" w:ascii="仿宋" w:hAnsi="仿宋" w:eastAsia="仿宋"/>
                <w:color w:val="auto"/>
              </w:rPr>
              <w:t>1.面料，采用优质网布面料，防磨防污性好；颜色可选，背架全新进口PA+30%玻纤；</w:t>
            </w:r>
            <w:r>
              <w:rPr>
                <w:rFonts w:hint="eastAsia" w:ascii="仿宋" w:hAnsi="仿宋" w:eastAsia="仿宋"/>
                <w:color w:val="auto"/>
              </w:rPr>
              <w:br w:type="textWrapping"/>
            </w:r>
            <w:r>
              <w:rPr>
                <w:rFonts w:hint="eastAsia" w:ascii="仿宋" w:hAnsi="仿宋" w:eastAsia="仿宋"/>
                <w:color w:val="auto"/>
              </w:rPr>
              <w:t>2.辅料：采用优于或等于45#高密度、高弹力定型海绵，可防氧化、防碎，软硬适中，回弹性良好，不易变形；</w:t>
            </w:r>
            <w:r>
              <w:rPr>
                <w:rFonts w:hint="eastAsia" w:ascii="仿宋" w:hAnsi="仿宋" w:eastAsia="仿宋"/>
                <w:color w:val="auto"/>
              </w:rPr>
              <w:br w:type="textWrapping"/>
            </w:r>
            <w:r>
              <w:rPr>
                <w:rFonts w:hint="eastAsia" w:ascii="仿宋" w:hAnsi="仿宋" w:eastAsia="仿宋"/>
                <w:color w:val="auto"/>
              </w:rPr>
              <w:t>3.扶手：PA+30%玻纤扶手、耐磨；</w:t>
            </w:r>
            <w:r>
              <w:rPr>
                <w:rFonts w:hint="eastAsia" w:ascii="仿宋" w:hAnsi="仿宋" w:eastAsia="仿宋"/>
                <w:color w:val="auto"/>
              </w:rPr>
              <w:br w:type="textWrapping"/>
            </w:r>
            <w:r>
              <w:rPr>
                <w:rFonts w:hint="eastAsia" w:ascii="仿宋" w:hAnsi="仿宋" w:eastAsia="仿宋"/>
                <w:color w:val="auto"/>
              </w:rPr>
              <w:t>4.架子：32.5*20.5*T1.5mm厚；</w:t>
            </w:r>
          </w:p>
        </w:tc>
        <w:tc>
          <w:tcPr>
            <w:tcW w:w="0" w:type="auto"/>
            <w:vAlign w:val="center"/>
          </w:tcPr>
          <w:p w14:paraId="273F9835">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20</w:t>
            </w:r>
          </w:p>
        </w:tc>
        <w:tc>
          <w:tcPr>
            <w:tcW w:w="492" w:type="dxa"/>
            <w:vAlign w:val="center"/>
          </w:tcPr>
          <w:p w14:paraId="5AB451D6">
            <w:pPr>
              <w:widowControl/>
              <w:snapToGrid w:val="0"/>
              <w:jc w:val="center"/>
              <w:rPr>
                <w:rFonts w:hint="eastAsia" w:ascii="仿宋" w:hAnsi="仿宋" w:eastAsia="仿宋"/>
                <w:color w:val="auto"/>
              </w:rPr>
            </w:pPr>
            <w:r>
              <w:rPr>
                <w:rFonts w:hint="eastAsia" w:ascii="仿宋" w:hAnsi="仿宋" w:eastAsia="仿宋"/>
                <w:color w:val="auto"/>
              </w:rPr>
              <w:t>张</w:t>
            </w:r>
          </w:p>
        </w:tc>
      </w:tr>
      <w:tr w14:paraId="3FFA0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58F1D956">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29</w:t>
            </w:r>
          </w:p>
        </w:tc>
        <w:tc>
          <w:tcPr>
            <w:tcW w:w="996" w:type="dxa"/>
            <w:vAlign w:val="center"/>
          </w:tcPr>
          <w:p w14:paraId="197FE14C">
            <w:pPr>
              <w:widowControl/>
              <w:snapToGrid w:val="0"/>
              <w:jc w:val="center"/>
              <w:rPr>
                <w:rFonts w:hint="eastAsia" w:ascii="仿宋" w:hAnsi="仿宋" w:eastAsia="仿宋" w:cs="宋体"/>
                <w:color w:val="auto"/>
                <w:kern w:val="0"/>
              </w:rPr>
            </w:pPr>
            <w:r>
              <w:rPr>
                <w:rFonts w:hint="eastAsia" w:ascii="仿宋" w:hAnsi="仿宋" w:eastAsia="仿宋" w:cs="宋体"/>
                <w:color w:val="auto"/>
                <w:kern w:val="0"/>
              </w:rPr>
              <w:t>系统集成</w:t>
            </w:r>
          </w:p>
        </w:tc>
        <w:tc>
          <w:tcPr>
            <w:tcW w:w="6650" w:type="dxa"/>
            <w:vAlign w:val="center"/>
          </w:tcPr>
          <w:p w14:paraId="494F6B6D">
            <w:pPr>
              <w:widowControl/>
              <w:snapToGrid w:val="0"/>
              <w:jc w:val="left"/>
              <w:rPr>
                <w:rFonts w:hint="eastAsia" w:ascii="仿宋" w:hAnsi="仿宋" w:eastAsia="仿宋" w:cs="宋体"/>
                <w:color w:val="auto"/>
                <w:kern w:val="0"/>
              </w:rPr>
            </w:pPr>
            <w:r>
              <w:rPr>
                <w:rFonts w:hint="eastAsia" w:ascii="仿宋" w:hAnsi="仿宋" w:eastAsia="仿宋"/>
                <w:color w:val="auto"/>
              </w:rPr>
              <w:t>包含设备的安装、调试、测试及所有线缆辅材、插线板、分配器等</w:t>
            </w:r>
          </w:p>
        </w:tc>
        <w:tc>
          <w:tcPr>
            <w:tcW w:w="548" w:type="dxa"/>
            <w:vAlign w:val="center"/>
          </w:tcPr>
          <w:p w14:paraId="7873CC18">
            <w:pPr>
              <w:widowControl/>
              <w:snapToGrid w:val="0"/>
              <w:jc w:val="left"/>
              <w:rPr>
                <w:rFonts w:hint="eastAsia" w:ascii="仿宋" w:hAnsi="仿宋" w:eastAsia="仿宋" w:cs="宋体"/>
                <w:color w:val="auto"/>
                <w:kern w:val="0"/>
              </w:rPr>
            </w:pPr>
            <w:r>
              <w:rPr>
                <w:rFonts w:hint="eastAsia" w:ascii="仿宋" w:hAnsi="仿宋" w:eastAsia="仿宋" w:cs="宋体"/>
                <w:color w:val="auto"/>
                <w:kern w:val="0"/>
              </w:rPr>
              <w:t>1</w:t>
            </w:r>
          </w:p>
        </w:tc>
        <w:tc>
          <w:tcPr>
            <w:tcW w:w="492" w:type="dxa"/>
            <w:vAlign w:val="center"/>
          </w:tcPr>
          <w:p w14:paraId="00049CC9">
            <w:pPr>
              <w:widowControl/>
              <w:snapToGrid w:val="0"/>
              <w:jc w:val="center"/>
              <w:rPr>
                <w:rFonts w:hint="eastAsia" w:ascii="仿宋" w:hAnsi="仿宋" w:eastAsia="仿宋" w:cs="宋体"/>
                <w:color w:val="auto"/>
                <w:kern w:val="0"/>
              </w:rPr>
            </w:pPr>
            <w:r>
              <w:rPr>
                <w:rFonts w:hint="eastAsia" w:ascii="仿宋" w:hAnsi="仿宋" w:eastAsia="仿宋"/>
                <w:color w:val="auto"/>
              </w:rPr>
              <w:t>批</w:t>
            </w:r>
          </w:p>
        </w:tc>
      </w:tr>
    </w:tbl>
    <w:p w14:paraId="541D260B">
      <w:pPr>
        <w:jc w:val="left"/>
        <w:rPr>
          <w:color w:val="auto"/>
        </w:rPr>
      </w:pPr>
    </w:p>
    <w:p w14:paraId="54B4A53D">
      <w:pPr>
        <w:jc w:val="left"/>
        <w:rPr>
          <w:color w:val="auto"/>
        </w:rPr>
      </w:pPr>
    </w:p>
    <w:p w14:paraId="34D877B8">
      <w:pPr>
        <w:pStyle w:val="5"/>
        <w:ind w:firstLine="360"/>
        <w:jc w:val="center"/>
        <w:rPr>
          <w:rFonts w:ascii="黑体" w:eastAsia="黑体"/>
          <w:bCs w:val="0"/>
          <w:color w:val="auto"/>
          <w:sz w:val="24"/>
        </w:rPr>
      </w:pPr>
    </w:p>
    <w:p w14:paraId="79938857">
      <w:pPr>
        <w:pStyle w:val="5"/>
        <w:ind w:firstLine="360"/>
        <w:jc w:val="center"/>
        <w:rPr>
          <w:rFonts w:ascii="黑体" w:eastAsia="黑体"/>
          <w:bCs w:val="0"/>
          <w:color w:val="auto"/>
          <w:sz w:val="24"/>
          <w:highlight w:val="none"/>
        </w:rPr>
      </w:pPr>
      <w:r>
        <w:rPr>
          <w:rFonts w:hint="eastAsia" w:ascii="黑体" w:eastAsia="黑体"/>
          <w:bCs w:val="0"/>
          <w:color w:val="auto"/>
          <w:sz w:val="24"/>
          <w:highlight w:val="none"/>
        </w:rPr>
        <w:t>四、实质性条款</w:t>
      </w:r>
    </w:p>
    <w:tbl>
      <w:tblPr>
        <w:tblStyle w:val="42"/>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8138"/>
      </w:tblGrid>
      <w:tr w14:paraId="0C3F9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61" w:type="dxa"/>
          </w:tcPr>
          <w:p w14:paraId="03BA6A08">
            <w:pPr>
              <w:adjustRightInd w:val="0"/>
              <w:snapToGrid w:val="0"/>
              <w:spacing w:line="360" w:lineRule="auto"/>
              <w:jc w:val="center"/>
              <w:rPr>
                <w:rFonts w:hint="eastAsia" w:ascii="宋体" w:hAnsi="宋体"/>
                <w:color w:val="auto"/>
                <w:kern w:val="0"/>
                <w:highlight w:val="none"/>
              </w:rPr>
            </w:pPr>
            <w:r>
              <w:rPr>
                <w:rFonts w:hint="eastAsia" w:ascii="宋体" w:hAnsi="宋体"/>
                <w:color w:val="auto"/>
                <w:kern w:val="0"/>
                <w:highlight w:val="none"/>
              </w:rPr>
              <w:t>序号</w:t>
            </w:r>
          </w:p>
        </w:tc>
        <w:tc>
          <w:tcPr>
            <w:tcW w:w="8138" w:type="dxa"/>
          </w:tcPr>
          <w:p w14:paraId="35599200">
            <w:pPr>
              <w:adjustRightInd w:val="0"/>
              <w:snapToGrid w:val="0"/>
              <w:spacing w:line="360" w:lineRule="auto"/>
              <w:jc w:val="center"/>
              <w:rPr>
                <w:rFonts w:hint="eastAsia" w:ascii="宋体" w:hAnsi="宋体"/>
                <w:color w:val="auto"/>
                <w:kern w:val="0"/>
                <w:highlight w:val="none"/>
              </w:rPr>
            </w:pPr>
            <w:r>
              <w:rPr>
                <w:rFonts w:hint="eastAsia" w:ascii="宋体" w:hAnsi="宋体"/>
                <w:color w:val="auto"/>
                <w:kern w:val="0"/>
                <w:highlight w:val="none"/>
              </w:rPr>
              <w:t>实质性条款具体内容</w:t>
            </w:r>
          </w:p>
        </w:tc>
      </w:tr>
      <w:tr w14:paraId="2DD5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1" w:type="dxa"/>
          </w:tcPr>
          <w:p w14:paraId="1E73A0A7">
            <w:pPr>
              <w:adjustRightInd w:val="0"/>
              <w:snapToGrid w:val="0"/>
              <w:spacing w:line="360" w:lineRule="auto"/>
              <w:jc w:val="center"/>
              <w:rPr>
                <w:rFonts w:hint="eastAsia" w:ascii="宋体" w:hAnsi="宋体"/>
                <w:color w:val="auto"/>
                <w:kern w:val="0"/>
                <w:highlight w:val="none"/>
              </w:rPr>
            </w:pPr>
            <w:r>
              <w:rPr>
                <w:rFonts w:hint="eastAsia" w:ascii="宋体" w:hAnsi="宋体"/>
                <w:color w:val="auto"/>
                <w:kern w:val="0"/>
                <w:highlight w:val="none"/>
              </w:rPr>
              <w:t>1</w:t>
            </w:r>
          </w:p>
        </w:tc>
        <w:tc>
          <w:tcPr>
            <w:tcW w:w="8138" w:type="dxa"/>
            <w:vAlign w:val="center"/>
          </w:tcPr>
          <w:p w14:paraId="3E58D7AF">
            <w:pPr>
              <w:widowControl/>
              <w:jc w:val="left"/>
              <w:rPr>
                <w:rFonts w:hint="eastAsia" w:hAnsi="宋体"/>
                <w:color w:val="auto"/>
                <w:kern w:val="0"/>
                <w:highlight w:val="none"/>
              </w:rPr>
            </w:pPr>
            <w:r>
              <w:rPr>
                <w:rFonts w:hint="eastAsia"/>
                <w:color w:val="auto"/>
                <w:highlight w:val="none"/>
              </w:rPr>
              <w:t>合同签订之日起50日历日完工。</w:t>
            </w:r>
          </w:p>
        </w:tc>
      </w:tr>
      <w:tr w14:paraId="35C6A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1" w:type="dxa"/>
            <w:vAlign w:val="top"/>
          </w:tcPr>
          <w:p w14:paraId="00F3DA3A">
            <w:pPr>
              <w:adjustRightInd w:val="0"/>
              <w:snapToGrid w:val="0"/>
              <w:spacing w:line="360" w:lineRule="auto"/>
              <w:jc w:val="center"/>
              <w:rPr>
                <w:rFonts w:hint="eastAsia" w:ascii="宋体" w:hAnsi="宋体"/>
                <w:color w:val="auto"/>
                <w:kern w:val="0"/>
                <w:highlight w:val="none"/>
              </w:rPr>
            </w:pPr>
            <w:r>
              <w:rPr>
                <w:rFonts w:hint="eastAsia" w:ascii="宋体" w:hAnsi="宋体"/>
                <w:color w:val="auto"/>
                <w:kern w:val="0"/>
                <w:highlight w:val="none"/>
              </w:rPr>
              <w:t>2</w:t>
            </w:r>
          </w:p>
        </w:tc>
        <w:tc>
          <w:tcPr>
            <w:tcW w:w="8138" w:type="dxa"/>
            <w:vAlign w:val="center"/>
          </w:tcPr>
          <w:p w14:paraId="21B91975">
            <w:pPr>
              <w:widowControl/>
              <w:jc w:val="left"/>
              <w:rPr>
                <w:rFonts w:hint="eastAsia"/>
                <w:color w:val="auto"/>
                <w:highlight w:val="none"/>
              </w:rPr>
            </w:pPr>
            <w:r>
              <w:rPr>
                <w:rFonts w:hint="eastAsia" w:ascii="仿宋" w:hAnsi="仿宋" w:eastAsia="仿宋"/>
                <w:color w:val="auto"/>
              </w:rPr>
              <w:t>★</w:t>
            </w:r>
            <w:r>
              <w:rPr>
                <w:rFonts w:hint="eastAsia" w:ascii="仿宋" w:hAnsi="仿宋" w:eastAsia="仿宋" w:cs="宋体"/>
                <w:color w:val="auto"/>
              </w:rPr>
              <w:t>18.双系统板书内容可转化为教学资源，存储多样化，课堂板书一键生成二维码</w:t>
            </w:r>
            <w:r>
              <w:rPr>
                <w:rFonts w:ascii="仿宋" w:hAnsi="仿宋" w:eastAsia="仿宋" w:cs="宋体"/>
                <w:color w:val="auto"/>
              </w:rPr>
              <w:t>，</w:t>
            </w:r>
            <w:r>
              <w:rPr>
                <w:rFonts w:hint="eastAsia" w:ascii="仿宋" w:hAnsi="仿宋" w:eastAsia="仿宋" w:cs="宋体"/>
                <w:color w:val="auto"/>
              </w:rPr>
              <w:t>无需</w:t>
            </w:r>
            <w:r>
              <w:rPr>
                <w:rFonts w:ascii="仿宋" w:hAnsi="仿宋" w:eastAsia="仿宋" w:cs="宋体"/>
                <w:color w:val="auto"/>
              </w:rPr>
              <w:t>下载任何</w:t>
            </w:r>
            <w:r>
              <w:rPr>
                <w:rFonts w:hint="eastAsia" w:ascii="仿宋" w:hAnsi="仿宋" w:eastAsia="仿宋" w:cs="宋体"/>
                <w:color w:val="auto"/>
              </w:rPr>
              <w:t>APP，扫码即可带走板书资源。板书内容形成课件上传云端，</w:t>
            </w:r>
            <w:r>
              <w:rPr>
                <w:rFonts w:hint="eastAsia" w:ascii="仿宋" w:hAnsi="仿宋" w:eastAsia="仿宋" w:cs="宋体"/>
                <w:color w:val="auto"/>
                <w:highlight w:val="none"/>
              </w:rPr>
              <w:t>每个老师都有自己的云端账户≥5G，</w:t>
            </w:r>
            <w:r>
              <w:rPr>
                <w:rFonts w:hint="eastAsia" w:ascii="仿宋" w:hAnsi="仿宋" w:eastAsia="仿宋" w:cs="宋体"/>
                <w:color w:val="auto"/>
              </w:rPr>
              <w:t>支持课件上传、下载、分享</w:t>
            </w:r>
            <w:r>
              <w:rPr>
                <w:rFonts w:hint="eastAsia" w:ascii="仿宋" w:hAnsi="仿宋" w:eastAsia="仿宋"/>
                <w:color w:val="auto"/>
              </w:rPr>
              <w:t>。</w:t>
            </w:r>
          </w:p>
        </w:tc>
      </w:tr>
      <w:tr w14:paraId="2A17E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1" w:type="dxa"/>
            <w:vAlign w:val="top"/>
          </w:tcPr>
          <w:p w14:paraId="36584C53">
            <w:pPr>
              <w:adjustRightInd w:val="0"/>
              <w:snapToGrid w:val="0"/>
              <w:spacing w:line="360" w:lineRule="auto"/>
              <w:jc w:val="center"/>
              <w:rPr>
                <w:rFonts w:hint="eastAsia" w:ascii="宋体" w:hAnsi="宋体"/>
                <w:color w:val="auto"/>
                <w:kern w:val="0"/>
                <w:highlight w:val="none"/>
              </w:rPr>
            </w:pPr>
            <w:r>
              <w:rPr>
                <w:rFonts w:hint="eastAsia" w:ascii="宋体" w:hAnsi="宋体"/>
                <w:color w:val="auto"/>
                <w:kern w:val="0"/>
                <w:highlight w:val="none"/>
                <w:lang w:val="en-US" w:eastAsia="zh-CN"/>
              </w:rPr>
              <w:t>3</w:t>
            </w:r>
          </w:p>
        </w:tc>
        <w:tc>
          <w:tcPr>
            <w:tcW w:w="8138" w:type="dxa"/>
            <w:vAlign w:val="center"/>
          </w:tcPr>
          <w:p w14:paraId="2988FC3C">
            <w:pPr>
              <w:snapToGrid w:val="0"/>
              <w:jc w:val="left"/>
              <w:rPr>
                <w:rFonts w:hint="eastAsia" w:ascii="仿宋" w:hAnsi="仿宋" w:eastAsia="仿宋"/>
                <w:color w:val="auto"/>
              </w:rPr>
            </w:pPr>
            <w:r>
              <w:rPr>
                <w:rFonts w:hint="eastAsia" w:ascii="仿宋" w:hAnsi="仿宋" w:eastAsia="仿宋" w:cs="仿宋"/>
                <w:color w:val="auto"/>
              </w:rPr>
              <w:t>★</w:t>
            </w:r>
            <w:r>
              <w:rPr>
                <w:rFonts w:hint="eastAsia" w:ascii="仿宋" w:hAnsi="仿宋" w:eastAsia="仿宋" w:cs="宋体"/>
                <w:color w:val="auto"/>
              </w:rPr>
              <w:t>22.模块化OPS主机采用插拔式结构，内部Intel标准80pin接口，搭载Intel酷睿i5处理器，运行主频2.0GHz，内存≥16G，固态硬盘≥512G SSD。内含接口：VGA/ HDMI≥1路，USB≥4路；RJ45≥1路，无线网络；无任何外接电源线和信号线，方便检测维护；</w:t>
            </w:r>
          </w:p>
        </w:tc>
      </w:tr>
      <w:tr w14:paraId="4F18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1" w:type="dxa"/>
            <w:vAlign w:val="top"/>
          </w:tcPr>
          <w:p w14:paraId="28CE14CC">
            <w:pPr>
              <w:adjustRightInd w:val="0"/>
              <w:snapToGrid w:val="0"/>
              <w:spacing w:line="360" w:lineRule="auto"/>
              <w:jc w:val="center"/>
              <w:rPr>
                <w:rFonts w:hint="eastAsia" w:ascii="宋体" w:hAnsi="宋体"/>
                <w:color w:val="auto"/>
                <w:kern w:val="0"/>
                <w:highlight w:val="none"/>
              </w:rPr>
            </w:pPr>
            <w:r>
              <w:rPr>
                <w:rFonts w:hint="eastAsia" w:ascii="宋体" w:hAnsi="宋体"/>
                <w:color w:val="auto"/>
                <w:kern w:val="0"/>
                <w:highlight w:val="none"/>
                <w:lang w:val="en-US" w:eastAsia="zh-CN"/>
              </w:rPr>
              <w:t>4</w:t>
            </w:r>
          </w:p>
        </w:tc>
        <w:tc>
          <w:tcPr>
            <w:tcW w:w="8138" w:type="dxa"/>
            <w:vAlign w:val="center"/>
          </w:tcPr>
          <w:p w14:paraId="013D46F3">
            <w:pPr>
              <w:widowControl/>
              <w:snapToGrid w:val="0"/>
              <w:jc w:val="left"/>
              <w:rPr>
                <w:rFonts w:hint="eastAsia" w:ascii="仿宋" w:hAnsi="仿宋" w:eastAsia="仿宋"/>
                <w:color w:val="auto"/>
              </w:rPr>
            </w:pPr>
            <w:r>
              <w:rPr>
                <w:rFonts w:hint="eastAsia" w:ascii="仿宋" w:hAnsi="仿宋" w:eastAsia="仿宋"/>
                <w:color w:val="auto"/>
              </w:rPr>
              <w:t>★3.主机支持数字视频接口 D-Video（RJ45）≥5，HDMI 输入≥2，HDMI 输出≥2路；</w:t>
            </w:r>
            <w:r>
              <w:rPr>
                <w:rFonts w:hint="eastAsia" w:ascii="仿宋" w:hAnsi="仿宋" w:eastAsia="仿宋" w:cs="宋体"/>
                <w:b/>
                <w:bCs/>
                <w:color w:val="auto"/>
              </w:rPr>
              <w:t>须提供国家认可的第三方检测机构出具的、处于有效期内的、带有CMA或CNAS标识的产品检测报告，且检测参数覆盖采购需求相关技术指标，否则视为无效证明材料。</w:t>
            </w:r>
          </w:p>
          <w:p w14:paraId="7433EC6D">
            <w:pPr>
              <w:spacing w:line="276" w:lineRule="auto"/>
              <w:jc w:val="left"/>
              <w:rPr>
                <w:rFonts w:hint="eastAsia" w:ascii="宋体" w:hAnsi="宋体" w:cs="宋体"/>
                <w:color w:val="auto"/>
                <w:highlight w:val="none"/>
              </w:rPr>
            </w:pPr>
          </w:p>
        </w:tc>
      </w:tr>
      <w:tr w14:paraId="2550A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661" w:type="dxa"/>
            <w:vAlign w:val="top"/>
          </w:tcPr>
          <w:p w14:paraId="090E5535">
            <w:pPr>
              <w:adjustRightInd w:val="0"/>
              <w:snapToGrid w:val="0"/>
              <w:spacing w:line="360" w:lineRule="auto"/>
              <w:jc w:val="center"/>
              <w:rPr>
                <w:rFonts w:hint="eastAsia" w:ascii="宋体" w:hAnsi="宋体" w:eastAsia="宋体"/>
                <w:color w:val="auto"/>
                <w:kern w:val="0"/>
                <w:highlight w:val="none"/>
                <w:lang w:val="en-US" w:eastAsia="zh-CN"/>
              </w:rPr>
            </w:pPr>
            <w:r>
              <w:rPr>
                <w:rFonts w:hint="eastAsia" w:ascii="宋体" w:hAnsi="宋体"/>
                <w:color w:val="auto"/>
                <w:kern w:val="0"/>
                <w:highlight w:val="none"/>
                <w:lang w:val="en-US" w:eastAsia="zh-CN"/>
              </w:rPr>
              <w:t>5</w:t>
            </w:r>
          </w:p>
        </w:tc>
        <w:tc>
          <w:tcPr>
            <w:tcW w:w="8138" w:type="dxa"/>
            <w:vAlign w:val="center"/>
          </w:tcPr>
          <w:p w14:paraId="5DC1FBEB">
            <w:pPr>
              <w:widowControl/>
              <w:snapToGrid w:val="0"/>
              <w:jc w:val="left"/>
              <w:rPr>
                <w:rFonts w:hint="eastAsia" w:ascii="仿宋" w:hAnsi="仿宋" w:eastAsia="仿宋"/>
                <w:color w:val="auto"/>
              </w:rPr>
            </w:pPr>
            <w:r>
              <w:rPr>
                <w:rFonts w:hint="eastAsia" w:ascii="仿宋" w:hAnsi="仿宋" w:eastAsia="仿宋" w:cs="仿宋"/>
                <w:color w:val="auto"/>
              </w:rPr>
              <w:t>★</w:t>
            </w:r>
            <w:r>
              <w:rPr>
                <w:rFonts w:hint="eastAsia" w:ascii="仿宋" w:hAnsi="仿宋" w:eastAsia="仿宋"/>
                <w:color w:val="auto"/>
              </w:rPr>
              <w:t>23.智能板书拍摄：兼容传统黑板与智慧黑板，有效减少人物遮挡影响；</w:t>
            </w:r>
          </w:p>
          <w:p w14:paraId="0BD721F6">
            <w:pPr>
              <w:spacing w:line="276" w:lineRule="auto"/>
              <w:jc w:val="left"/>
              <w:rPr>
                <w:rFonts w:hint="eastAsia" w:ascii="宋体" w:hAnsi="宋体" w:cs="宋体"/>
                <w:color w:val="auto"/>
                <w:highlight w:val="none"/>
              </w:rPr>
            </w:pPr>
          </w:p>
        </w:tc>
      </w:tr>
    </w:tbl>
    <w:p w14:paraId="3500606F">
      <w:pPr>
        <w:spacing w:line="540" w:lineRule="exact"/>
        <w:rPr>
          <w:rFonts w:ascii="黑体" w:eastAsia="黑体"/>
          <w:bCs w:val="0"/>
          <w:color w:val="auto"/>
          <w:sz w:val="24"/>
          <w:highlight w:val="none"/>
        </w:rPr>
      </w:pPr>
      <w:r>
        <w:rPr>
          <w:rFonts w:hint="eastAsia" w:ascii="宋体" w:hAnsi="宋体" w:cs="宋体"/>
          <w:color w:val="auto"/>
          <w:highlight w:val="none"/>
        </w:rPr>
        <w:t>注：上表所列内容为不可负偏离条款，负偏离将视为未实质性满足招标文件要求作投标无效处理。</w:t>
      </w:r>
    </w:p>
    <w:p w14:paraId="204FE54D">
      <w:pPr>
        <w:pStyle w:val="5"/>
        <w:ind w:firstLine="0" w:firstLineChars="0"/>
        <w:jc w:val="center"/>
        <w:rPr>
          <w:rFonts w:hint="eastAsia" w:ascii="黑体" w:eastAsia="黑体"/>
          <w:bCs w:val="0"/>
          <w:color w:val="auto"/>
          <w:sz w:val="24"/>
          <w:highlight w:val="none"/>
        </w:rPr>
      </w:pPr>
    </w:p>
    <w:p w14:paraId="0D81499D">
      <w:pPr>
        <w:pStyle w:val="5"/>
        <w:ind w:firstLine="0" w:firstLineChars="0"/>
        <w:jc w:val="center"/>
        <w:rPr>
          <w:rFonts w:ascii="黑体" w:eastAsia="黑体"/>
          <w:bCs w:val="0"/>
          <w:color w:val="auto"/>
          <w:sz w:val="24"/>
          <w:highlight w:val="none"/>
        </w:rPr>
      </w:pPr>
      <w:r>
        <w:rPr>
          <w:rFonts w:hint="eastAsia" w:ascii="黑体" w:eastAsia="黑体"/>
          <w:bCs w:val="0"/>
          <w:color w:val="auto"/>
          <w:sz w:val="24"/>
          <w:highlight w:val="none"/>
        </w:rPr>
        <w:t>五、商务技术要求</w:t>
      </w:r>
      <w:bookmarkStart w:id="165" w:name="_GoBack"/>
      <w:bookmarkEnd w:id="165"/>
    </w:p>
    <w:p w14:paraId="5C359B5A">
      <w:pPr>
        <w:spacing w:line="360" w:lineRule="auto"/>
        <w:ind w:firstLine="422" w:firstLineChars="200"/>
        <w:rPr>
          <w:b/>
          <w:bCs/>
          <w:color w:val="auto"/>
          <w:highlight w:val="none"/>
        </w:rPr>
      </w:pPr>
      <w:bookmarkStart w:id="69" w:name="_Toc534725606"/>
      <w:bookmarkStart w:id="70" w:name="_Toc106616771"/>
      <w:r>
        <w:rPr>
          <w:rFonts w:hint="eastAsia"/>
          <w:b/>
          <w:bCs/>
          <w:color w:val="auto"/>
          <w:highlight w:val="none"/>
        </w:rPr>
        <w:t>一、商务要求</w:t>
      </w:r>
    </w:p>
    <w:p w14:paraId="53C7753C">
      <w:pPr>
        <w:spacing w:line="360" w:lineRule="auto"/>
        <w:ind w:firstLine="420" w:firstLineChars="200"/>
        <w:rPr>
          <w:b/>
          <w:bCs/>
          <w:color w:val="auto"/>
          <w:highlight w:val="none"/>
        </w:rPr>
      </w:pPr>
      <w:r>
        <w:rPr>
          <w:rFonts w:hint="eastAsia"/>
          <w:color w:val="auto"/>
          <w:highlight w:val="none"/>
        </w:rPr>
        <w:t>1、合同履行期限（供货期）：合同签订之日起50日历日完工。</w:t>
      </w:r>
    </w:p>
    <w:p w14:paraId="6242B882">
      <w:pPr>
        <w:spacing w:line="360" w:lineRule="auto"/>
        <w:ind w:firstLine="420" w:firstLineChars="200"/>
        <w:rPr>
          <w:color w:val="auto"/>
          <w:highlight w:val="none"/>
        </w:rPr>
      </w:pPr>
      <w:r>
        <w:rPr>
          <w:rFonts w:hint="eastAsia"/>
          <w:color w:val="auto"/>
        </w:rPr>
        <w:t>2、供</w:t>
      </w:r>
      <w:r>
        <w:rPr>
          <w:rFonts w:hint="eastAsia"/>
          <w:color w:val="auto"/>
          <w:highlight w:val="none"/>
        </w:rPr>
        <w:t>货地点：</w:t>
      </w:r>
      <w:r>
        <w:rPr>
          <w:color w:val="auto"/>
          <w:highlight w:val="none"/>
        </w:rPr>
        <w:fldChar w:fldCharType="begin"/>
      </w:r>
      <w:r>
        <w:rPr>
          <w:color w:val="auto"/>
          <w:highlight w:val="none"/>
        </w:rPr>
        <w:instrText xml:space="preserve"> HYPERLINK "https://middle.zcygov.cn/web-user/" \l "/plan/list/_blank" \t "https://pay.zcygov.cn/purchaseplan_front/" </w:instrText>
      </w:r>
      <w:r>
        <w:rPr>
          <w:color w:val="auto"/>
          <w:highlight w:val="none"/>
        </w:rPr>
        <w:fldChar w:fldCharType="separate"/>
      </w:r>
      <w:r>
        <w:rPr>
          <w:rFonts w:hint="eastAsia"/>
          <w:color w:val="auto"/>
          <w:highlight w:val="none"/>
        </w:rPr>
        <w:t>新疆巴音郭楞蒙古自治</w:t>
      </w:r>
      <w:r>
        <w:rPr>
          <w:rFonts w:hint="eastAsia"/>
          <w:color w:val="auto"/>
          <w:highlight w:val="none"/>
          <w:lang w:val="en-US" w:eastAsia="zh-CN"/>
        </w:rPr>
        <w:t>州</w:t>
      </w:r>
      <w:r>
        <w:rPr>
          <w:rFonts w:hint="eastAsia"/>
          <w:color w:val="auto"/>
          <w:highlight w:val="none"/>
        </w:rPr>
        <w:t>若羌县</w:t>
      </w:r>
      <w:r>
        <w:rPr>
          <w:rFonts w:hint="eastAsia"/>
          <w:color w:val="auto"/>
          <w:highlight w:val="none"/>
        </w:rPr>
        <w:fldChar w:fldCharType="end"/>
      </w:r>
      <w:r>
        <w:rPr>
          <w:rFonts w:hint="eastAsia"/>
          <w:color w:val="auto"/>
          <w:highlight w:val="none"/>
        </w:rPr>
        <w:t>职业高中；</w:t>
      </w:r>
    </w:p>
    <w:p w14:paraId="704A511F">
      <w:pPr>
        <w:spacing w:line="360" w:lineRule="auto"/>
        <w:ind w:firstLine="420" w:firstLineChars="200"/>
        <w:rPr>
          <w:color w:val="auto"/>
          <w:highlight w:val="none"/>
        </w:rPr>
      </w:pPr>
      <w:r>
        <w:rPr>
          <w:rFonts w:hint="eastAsia"/>
          <w:color w:val="auto"/>
          <w:highlight w:val="none"/>
        </w:rPr>
        <w:t>3、质量标准：符合国家及行业质量标准；</w:t>
      </w:r>
    </w:p>
    <w:p w14:paraId="19059303">
      <w:pPr>
        <w:spacing w:line="360" w:lineRule="auto"/>
        <w:ind w:firstLine="420" w:firstLineChars="200"/>
        <w:rPr>
          <w:rFonts w:hint="eastAsia"/>
          <w:color w:val="auto"/>
          <w:highlight w:val="none"/>
        </w:rPr>
      </w:pPr>
      <w:r>
        <w:rPr>
          <w:rFonts w:hint="eastAsia"/>
          <w:color w:val="auto"/>
          <w:highlight w:val="none"/>
        </w:rPr>
        <w:t>4、付款方式：合同签订后，第一次，甲方向乙方支付合同价款的30%作为预付款；</w:t>
      </w:r>
    </w:p>
    <w:p w14:paraId="19BECC4B">
      <w:pPr>
        <w:spacing w:line="360" w:lineRule="auto"/>
        <w:ind w:firstLine="1470" w:firstLineChars="700"/>
        <w:rPr>
          <w:rFonts w:hint="eastAsia"/>
          <w:color w:val="auto"/>
          <w:highlight w:val="none"/>
        </w:rPr>
      </w:pPr>
      <w:r>
        <w:rPr>
          <w:rFonts w:hint="eastAsia"/>
          <w:color w:val="auto"/>
          <w:highlight w:val="none"/>
        </w:rPr>
        <w:t>第二次，所有货物到达现场并安装调试完成，甲方向乙方支付合同价款的40%；</w:t>
      </w:r>
    </w:p>
    <w:p w14:paraId="1FD053DA">
      <w:pPr>
        <w:spacing w:line="360" w:lineRule="auto"/>
        <w:ind w:firstLine="1470" w:firstLineChars="700"/>
        <w:rPr>
          <w:color w:val="auto"/>
          <w:highlight w:val="none"/>
        </w:rPr>
      </w:pPr>
      <w:r>
        <w:rPr>
          <w:rFonts w:hint="eastAsia"/>
          <w:color w:val="auto"/>
          <w:highlight w:val="none"/>
        </w:rPr>
        <w:t>第三次，竣工验收合格后，甲方向乙方支付合同价款的30%。</w:t>
      </w:r>
    </w:p>
    <w:p w14:paraId="3B925366">
      <w:pPr>
        <w:spacing w:line="360" w:lineRule="auto"/>
        <w:ind w:firstLine="422" w:firstLineChars="200"/>
        <w:rPr>
          <w:b/>
          <w:bCs/>
          <w:color w:val="auto"/>
          <w:highlight w:val="none"/>
        </w:rPr>
      </w:pPr>
      <w:r>
        <w:rPr>
          <w:rFonts w:hint="eastAsia"/>
          <w:b/>
          <w:bCs/>
          <w:color w:val="auto"/>
          <w:highlight w:val="none"/>
        </w:rPr>
        <w:t>二、售后服务要求</w:t>
      </w:r>
    </w:p>
    <w:p w14:paraId="1A30607F">
      <w:pPr>
        <w:spacing w:line="360" w:lineRule="auto"/>
        <w:ind w:firstLine="420" w:firstLineChars="200"/>
        <w:rPr>
          <w:color w:val="auto"/>
          <w:highlight w:val="none"/>
        </w:rPr>
      </w:pPr>
      <w:r>
        <w:rPr>
          <w:rFonts w:hint="eastAsia"/>
          <w:color w:val="auto"/>
          <w:highlight w:val="none"/>
        </w:rPr>
        <w:t>1、质保期：项目整体和硬件产品验收合格之日起不少于一年的全免费质保，</w:t>
      </w:r>
      <w:r>
        <w:rPr>
          <w:color w:val="auto"/>
          <w:highlight w:val="none"/>
        </w:rPr>
        <w:t>软件</w:t>
      </w:r>
      <w:r>
        <w:rPr>
          <w:rFonts w:hint="eastAsia"/>
          <w:color w:val="auto"/>
          <w:highlight w:val="none"/>
        </w:rPr>
        <w:t>系统三</w:t>
      </w:r>
      <w:r>
        <w:rPr>
          <w:color w:val="auto"/>
          <w:highlight w:val="none"/>
        </w:rPr>
        <w:t>年全免费质保并终身免费升级。</w:t>
      </w:r>
    </w:p>
    <w:p w14:paraId="3D8DB0CF">
      <w:pPr>
        <w:spacing w:line="360" w:lineRule="auto"/>
        <w:ind w:firstLine="420" w:firstLineChars="200"/>
        <w:rPr>
          <w:color w:val="auto"/>
        </w:rPr>
      </w:pPr>
      <w:r>
        <w:rPr>
          <w:rFonts w:hint="eastAsia"/>
          <w:color w:val="auto"/>
          <w:highlight w:val="none"/>
        </w:rPr>
        <w:t>2、从验收之日起，质保期内出现产品自身质量问题的，免费维修及保养服务。质保期内非采购人的人为原因而出现产品质量问题，由中标单位负责包修、包换</w:t>
      </w:r>
      <w:r>
        <w:rPr>
          <w:rFonts w:hint="eastAsia"/>
          <w:color w:val="auto"/>
        </w:rPr>
        <w:t>或包退，并承担因此而产生的一切费用。</w:t>
      </w:r>
    </w:p>
    <w:p w14:paraId="0271490A">
      <w:pPr>
        <w:spacing w:line="360" w:lineRule="auto"/>
        <w:ind w:firstLine="420" w:firstLineChars="200"/>
        <w:rPr>
          <w:color w:val="auto"/>
        </w:rPr>
      </w:pPr>
      <w:r>
        <w:rPr>
          <w:rFonts w:hint="eastAsia"/>
          <w:color w:val="auto"/>
        </w:rPr>
        <w:t>3、售后服务响应时间：提供7×24小时技术服务，接到用户报修电话后对故障2小时内响应，如有必要现场维修，4小时内维修工程师到达维修现场，无偿提供配套设备保障设备正常运行，最长不超过48小时到达现场，特殊情况除外。</w:t>
      </w:r>
    </w:p>
    <w:p w14:paraId="31B6B207">
      <w:pPr>
        <w:spacing w:line="360" w:lineRule="auto"/>
        <w:ind w:firstLine="420" w:firstLineChars="200"/>
        <w:rPr>
          <w:color w:val="auto"/>
          <w:highlight w:val="none"/>
        </w:rPr>
      </w:pPr>
      <w:r>
        <w:rPr>
          <w:rFonts w:hint="eastAsia"/>
          <w:color w:val="auto"/>
          <w:highlight w:val="none"/>
        </w:rPr>
        <w:t>4、质保期满后，提供免费上门，维修费用按材料成本价收取。</w:t>
      </w:r>
    </w:p>
    <w:p w14:paraId="3274F7CD">
      <w:pPr>
        <w:spacing w:line="360" w:lineRule="auto"/>
        <w:ind w:firstLine="420" w:firstLineChars="200"/>
        <w:rPr>
          <w:color w:val="auto"/>
        </w:rPr>
      </w:pPr>
      <w:r>
        <w:rPr>
          <w:rFonts w:hint="eastAsia"/>
          <w:color w:val="auto"/>
        </w:rPr>
        <w:t>5、产品要符合招标文件各项技术需求，中标单位负责安装调试保证运行正常，要求中标单位对所涉及的部门、人员提供免费培训服务及必要的技术培训服务，直至采购人相关操作人员完全熟练掌握。</w:t>
      </w:r>
      <w:bookmarkStart w:id="71" w:name="_Toc359347126"/>
      <w:bookmarkStart w:id="72" w:name="_Toc359247505"/>
    </w:p>
    <w:p w14:paraId="2A63ED81">
      <w:pPr>
        <w:spacing w:line="360" w:lineRule="auto"/>
        <w:ind w:firstLine="420" w:firstLineChars="200"/>
        <w:rPr>
          <w:color w:val="auto"/>
        </w:rPr>
      </w:pPr>
      <w:r>
        <w:rPr>
          <w:rFonts w:hint="eastAsia"/>
          <w:color w:val="auto"/>
        </w:rPr>
        <w:t>6、系统日常维护培训</w:t>
      </w:r>
      <w:bookmarkEnd w:id="71"/>
      <w:bookmarkEnd w:id="72"/>
      <w:r>
        <w:rPr>
          <w:rFonts w:hint="eastAsia"/>
          <w:color w:val="auto"/>
        </w:rPr>
        <w:t>：以集中的形式，注重理论与实际相结合，对技术人员和系统维护人员进行技术培训，以确保建成后的系统能稳定运行。培训内容包括：实训室</w:t>
      </w:r>
      <w:r>
        <w:rPr>
          <w:color w:val="auto"/>
        </w:rPr>
        <w:t>应用与维护</w:t>
      </w:r>
      <w:r>
        <w:rPr>
          <w:rFonts w:hint="eastAsia"/>
          <w:color w:val="auto"/>
        </w:rPr>
        <w:t>相关基础知识；相关设备使用、应用系统的使用、技术架构、常见故障排除等内容；各项管理维护工具的运用，信息安全培训。</w:t>
      </w:r>
    </w:p>
    <w:p w14:paraId="58DC7C7C">
      <w:pPr>
        <w:spacing w:line="360" w:lineRule="auto"/>
        <w:ind w:firstLine="420" w:firstLineChars="200"/>
        <w:rPr>
          <w:rFonts w:hint="eastAsia"/>
          <w:color w:val="auto"/>
          <w:lang w:val="en-US" w:eastAsia="zh-CN"/>
        </w:rPr>
      </w:pPr>
      <w:r>
        <w:rPr>
          <w:rFonts w:hint="eastAsia"/>
          <w:color w:val="auto"/>
        </w:rPr>
        <w:t>7、提供不</w:t>
      </w:r>
      <w:r>
        <w:rPr>
          <w:color w:val="auto"/>
        </w:rPr>
        <w:t>少于</w:t>
      </w:r>
      <w:r>
        <w:rPr>
          <w:rFonts w:hint="eastAsia"/>
          <w:color w:val="auto"/>
        </w:rPr>
        <w:t>5年</w:t>
      </w:r>
      <w:r>
        <w:rPr>
          <w:color w:val="auto"/>
        </w:rPr>
        <w:t>的上门技术支撑服务和</w:t>
      </w:r>
      <w:r>
        <w:rPr>
          <w:rFonts w:hint="eastAsia"/>
          <w:color w:val="auto"/>
        </w:rPr>
        <w:t>重点</w:t>
      </w:r>
      <w:r>
        <w:rPr>
          <w:color w:val="auto"/>
        </w:rPr>
        <w:t>活动、大赛、</w:t>
      </w:r>
      <w:r>
        <w:rPr>
          <w:rFonts w:hint="eastAsia"/>
          <w:color w:val="auto"/>
        </w:rPr>
        <w:t>重要</w:t>
      </w:r>
      <w:r>
        <w:rPr>
          <w:color w:val="auto"/>
        </w:rPr>
        <w:t>考试等关键应用</w:t>
      </w:r>
      <w:r>
        <w:rPr>
          <w:rFonts w:hint="eastAsia"/>
          <w:color w:val="auto"/>
        </w:rPr>
        <w:t>场合</w:t>
      </w:r>
      <w:r>
        <w:rPr>
          <w:color w:val="auto"/>
        </w:rPr>
        <w:t>现场技术支持服务</w:t>
      </w:r>
      <w:r>
        <w:rPr>
          <w:rFonts w:hint="eastAsia"/>
          <w:color w:val="auto"/>
        </w:rPr>
        <w:t>（注</w:t>
      </w:r>
      <w:r>
        <w:rPr>
          <w:color w:val="auto"/>
        </w:rPr>
        <w:t>：每年不少于</w:t>
      </w:r>
      <w:r>
        <w:rPr>
          <w:rFonts w:hint="eastAsia"/>
          <w:color w:val="auto"/>
        </w:rPr>
        <w:t>8次</w:t>
      </w:r>
      <w:r>
        <w:rPr>
          <w:color w:val="auto"/>
        </w:rPr>
        <w:t>）</w:t>
      </w:r>
      <w:r>
        <w:rPr>
          <w:rFonts w:hint="eastAsia"/>
          <w:color w:val="auto"/>
        </w:rPr>
        <w:t>,需要</w:t>
      </w:r>
      <w:r>
        <w:rPr>
          <w:color w:val="auto"/>
        </w:rPr>
        <w:t>提供承诺</w:t>
      </w:r>
      <w:r>
        <w:rPr>
          <w:rFonts w:hint="eastAsia"/>
          <w:color w:val="auto"/>
        </w:rPr>
        <w:t>书</w:t>
      </w:r>
      <w:r>
        <w:rPr>
          <w:color w:val="auto"/>
        </w:rPr>
        <w:t>。</w:t>
      </w:r>
    </w:p>
    <w:p w14:paraId="0CDEE71D">
      <w:pPr>
        <w:spacing w:line="360" w:lineRule="auto"/>
        <w:ind w:firstLine="422" w:firstLineChars="200"/>
        <w:rPr>
          <w:rFonts w:hint="eastAsia" w:ascii="Times New Roman" w:hAnsi="Times New Roman" w:eastAsia="宋体" w:cs="Times New Roman"/>
          <w:b/>
          <w:bCs/>
          <w:color w:val="auto"/>
        </w:rPr>
      </w:pPr>
      <w:r>
        <w:rPr>
          <w:rFonts w:hint="eastAsia" w:ascii="Times New Roman" w:hAnsi="Times New Roman" w:eastAsia="宋体" w:cs="Times New Roman"/>
          <w:b/>
          <w:bCs/>
          <w:color w:val="auto"/>
          <w:lang w:val="en-US" w:eastAsia="zh-CN"/>
        </w:rPr>
        <w:t>三、</w:t>
      </w:r>
      <w:r>
        <w:rPr>
          <w:rFonts w:hint="eastAsia" w:ascii="Times New Roman" w:hAnsi="Times New Roman" w:eastAsia="宋体" w:cs="Times New Roman"/>
          <w:b/>
          <w:bCs/>
          <w:color w:val="auto"/>
        </w:rPr>
        <w:t>安装调试及验收</w:t>
      </w:r>
    </w:p>
    <w:p w14:paraId="7395EF37">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3.1中标供应商应派有经验的技术人员到现场进行安装、调试，直到设备正常使用。</w:t>
      </w:r>
    </w:p>
    <w:p w14:paraId="0ADACE9F">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3.2由采购人按合同和采购文件、投标文件约定的要求和标准及中华人民共和国现行的验收规范和评定标准进行交货验收。</w:t>
      </w:r>
    </w:p>
    <w:p w14:paraId="007CEAF8">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3.3投标人货物经过双方检验认可后，签署验收报告，产品保修期自验收合格之日起算，由投标人提供产品保修文件。</w:t>
      </w:r>
    </w:p>
    <w:p w14:paraId="10D108DA">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3.4当满足以下条件时，采购人才向中标供应商签发货物验收报告：</w:t>
      </w:r>
    </w:p>
    <w:p w14:paraId="6C7F2E17">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（1）设备全新,外观无伤痕变形或明显修饰痕迹。</w:t>
      </w:r>
    </w:p>
    <w:p w14:paraId="4AAA79F5">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2）如有国标，需符合有关规定；如无国标，则按照行业标准；如无国标及行业标准，则按双方约定执行。投标文件提供的技术数据经实测证实是真实的。检验及质量保证期内达到的性能指标与要求一致，达到或优于相应标准。</w:t>
      </w:r>
    </w:p>
    <w:p w14:paraId="15D6462A">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（3）技术文件资料、备件等已按规定数量移交完毕。</w:t>
      </w:r>
    </w:p>
    <w:p w14:paraId="028BE679">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（4）按照采购文件要求及投标文件提供的技术要求验收需合格。</w:t>
      </w:r>
    </w:p>
    <w:p w14:paraId="056EE788">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（5）采购人应组成验收小组对采购项目进行验收。验收小组的成员应当具备与采购项目相关的专业知识和实践经验。</w:t>
      </w:r>
    </w:p>
    <w:p w14:paraId="7A2F4595">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（6）货物具备产品合格证。</w:t>
      </w:r>
    </w:p>
    <w:p w14:paraId="1E99E997">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（7）在货物安装调试合格后，所有技术指标达到技术规范书要求，经验收合格后，双方共同签署验收报告。</w:t>
      </w:r>
    </w:p>
    <w:p w14:paraId="568D08DB">
      <w:pPr>
        <w:spacing w:line="360" w:lineRule="auto"/>
        <w:ind w:firstLine="420" w:firstLineChars="200"/>
        <w:rPr>
          <w:rFonts w:hint="eastAsia" w:ascii="Times New Roman" w:hAnsi="Times New Roman" w:eastAsia="宋体" w:cs="Times New Roman"/>
          <w:color w:val="auto"/>
        </w:rPr>
      </w:pPr>
      <w:r>
        <w:rPr>
          <w:rFonts w:hint="eastAsia" w:ascii="Times New Roman" w:hAnsi="Times New Roman" w:eastAsia="宋体" w:cs="Times New Roman"/>
          <w:color w:val="auto"/>
        </w:rPr>
        <w:t>（8）后期验收标准，采购单位可按照现行有效的国家标准、行业标准或地方标准进行检测验收</w:t>
      </w:r>
    </w:p>
    <w:p w14:paraId="1A2E8FEA">
      <w:pPr>
        <w:spacing w:line="360" w:lineRule="auto"/>
        <w:ind w:firstLine="422" w:firstLineChars="200"/>
        <w:rPr>
          <w:b/>
          <w:bCs/>
          <w:color w:val="auto"/>
        </w:rPr>
      </w:pPr>
      <w:r>
        <w:rPr>
          <w:rFonts w:hint="eastAsia"/>
          <w:b/>
          <w:bCs/>
          <w:color w:val="auto"/>
        </w:rPr>
        <w:t>四、其他要求</w:t>
      </w:r>
    </w:p>
    <w:p w14:paraId="44DAEB95">
      <w:pPr>
        <w:spacing w:line="360" w:lineRule="auto"/>
        <w:ind w:firstLine="420" w:firstLineChars="200"/>
        <w:rPr>
          <w:rFonts w:hint="eastAsia"/>
          <w:color w:val="auto"/>
        </w:rPr>
      </w:pPr>
      <w:r>
        <w:rPr>
          <w:rFonts w:hint="eastAsia"/>
          <w:color w:val="auto"/>
        </w:rPr>
        <w:t>供货时要求投标人就所投产品提供生产厂家完整的随机资料，包括完整的使用和维修手册、产品说明书等，</w:t>
      </w:r>
      <w:r>
        <w:rPr>
          <w:color w:val="auto"/>
        </w:rPr>
        <w:t>以及</w:t>
      </w:r>
      <w:r>
        <w:rPr>
          <w:rFonts w:hint="eastAsia"/>
          <w:color w:val="auto"/>
        </w:rPr>
        <w:t>厂家三</w:t>
      </w:r>
      <w:r>
        <w:rPr>
          <w:color w:val="auto"/>
        </w:rPr>
        <w:t>年售后服务承诺</w:t>
      </w:r>
      <w:r>
        <w:rPr>
          <w:rFonts w:hint="eastAsia"/>
          <w:color w:val="auto"/>
        </w:rPr>
        <w:t>书。</w:t>
      </w:r>
    </w:p>
    <w:p w14:paraId="1D3957C7">
      <w:pPr>
        <w:spacing w:line="360" w:lineRule="auto"/>
        <w:ind w:firstLine="42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五、人员要求</w:t>
      </w:r>
    </w:p>
    <w:p w14:paraId="3ADE11E8">
      <w:pPr>
        <w:pStyle w:val="3"/>
        <w:rPr>
          <w:rFonts w:hint="default"/>
          <w:color w:val="auto"/>
          <w:lang w:val="en-US" w:eastAsia="zh-CN"/>
        </w:rPr>
      </w:pPr>
      <w:r>
        <w:rPr>
          <w:rFonts w:hint="eastAsia" w:ascii="宋体" w:hAnsi="宋体" w:eastAsia="宋体" w:cs="宋体"/>
          <w:i w:val="0"/>
          <w:iCs w:val="0"/>
          <w:color w:val="auto"/>
          <w:kern w:val="0"/>
          <w:sz w:val="21"/>
          <w:szCs w:val="21"/>
          <w:u w:val="none"/>
          <w:lang w:val="en-US" w:eastAsia="zh-CN" w:bidi="ar"/>
        </w:rPr>
        <w:t>投标人组建本项目不少于3人的实施团队（项目负责人、安装、调试人员）</w:t>
      </w:r>
      <w:r>
        <w:rPr>
          <w:rFonts w:hint="eastAsia"/>
          <w:color w:val="auto"/>
          <w:lang w:val="en-US" w:eastAsia="zh-CN"/>
        </w:rPr>
        <w:t>。</w:t>
      </w:r>
    </w:p>
    <w:p w14:paraId="494884AA">
      <w:pPr>
        <w:spacing w:line="360" w:lineRule="auto"/>
        <w:ind w:firstLine="422" w:firstLineChars="20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六、环境改造的要求</w:t>
      </w:r>
    </w:p>
    <w:p w14:paraId="5F5F6E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墙面：墙体裂缝处及吊顶接缝处使用牛皮纸带修补，批刮《升达》腻子2遍,细砂纸均匀打磨，修补平整，阴阳角90°顺直处理。安装时与墙面贴合，并且表面光滑平整无刮痕，含铲除原墙面腻子、墙皮，墙顶面基层找平。吸音处理：木制吸音板、隔音棉、岩棉。智慧黑板墙面处制作造型背景，造型局部制作暗藏灯带，安装氛围灯。墙体展示画面，背景造型位置安装氛围射灯。材料符合国家 E0 级环保标准，阻燃等级≥A级。</w:t>
      </w:r>
      <w:r>
        <w:rPr>
          <w:rFonts w:hint="eastAsia" w:ascii="Times New Roman" w:hAnsi="Times New Roman" w:eastAsia="宋体" w:cs="Times New Roman"/>
          <w:color w:val="auto"/>
        </w:rPr>
        <w:t>教室墙面定制装饰</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含</w:t>
      </w:r>
      <w:r>
        <w:rPr>
          <w:rFonts w:hint="eastAsia" w:ascii="Times New Roman" w:hAnsi="Times New Roman" w:eastAsia="宋体" w:cs="Times New Roman"/>
          <w:color w:val="auto"/>
        </w:rPr>
        <w:t>文化建设</w:t>
      </w:r>
      <w:r>
        <w:rPr>
          <w:rFonts w:hint="eastAsia" w:ascii="Times New Roman" w:hAnsi="Times New Roman" w:eastAsia="宋体" w:cs="Times New Roman"/>
          <w:color w:val="auto"/>
          <w:lang w:eastAsia="zh-CN"/>
        </w:rPr>
        <w:t>）</w:t>
      </w:r>
    </w:p>
    <w:p w14:paraId="6327521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吊顶：按设计吊顶标高弹水平线，保证所有吊顶平面在同一水平线上（特殊要求除外），与墙体/梁柱接缝密封，无光滑反光面。符合声学降噪、灯光均匀、设备适配、线路隐藏、安全合规需求，优先使用吸音型吊顶材料。</w:t>
      </w:r>
    </w:p>
    <w:p w14:paraId="44AAC5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地面：地面材料需同时满足防火、环保、低反射、减震、防滑、易清洁、耐磨损，优先选专用教育类地面材料。地面与墙体衔接处做圆弧收边条，无尖锐边角，防止师生磕碰；门口处若与走廊地面有高差做哑光防滑款高低差收边条，避免绊倒。地面处理需与吊顶、墙面、门窗、空调等设施形成整体。材料符合国家 E0 级环保标准，阻燃等级≥B1级。</w:t>
      </w:r>
    </w:p>
    <w:p w14:paraId="1BCB6E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电气线路及设备：墙面采用开槽预埋工艺。现场所有线路选用2.5平方（特变电工系列线缆）阻燃电线，包括防静电地板下及智慧讲台位电路铺设。所有线路铺设后装饰遮挡。采用4平方铜芯电缆线，复合国家安全标准，为了保证足够的用电负荷，空调设备电源单独回路；重新制作符合国标电气元件制作要求的配电箱，重新使用符合国标工系列电缆线铺设进入教室的主电缆线，包括电缆线。强弱电分离布线，强电（220V）与弱电（音频/视频/网线）水平间距≥300mm，交叉处做金属屏蔽处理。地面插座，隐藏式哑光款，与地面齐平，带防水防尘盖，接线牢固。音频、视频、录播控制线均采用屏蔽线，两端接地良好。</w:t>
      </w:r>
    </w:p>
    <w:p w14:paraId="10D074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拆除以及施工费用：教室原有墙面、地面、吊顶，装修、灯具、设备等拆除、移动，人工、辅料、上下楼，拆除垃圾装车倾倒至市政指定的垃圾车进行倾倒，人员施工，物流，保洁，搬运等全部费用。投标单位自行到单位测量面积，按校方要求，建设方出投标效果图并按要求进行装修。</w:t>
      </w:r>
    </w:p>
    <w:p w14:paraId="227526A4">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840" w:leftChars="200" w:hanging="420" w:hangingChars="200"/>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总体要求</w:t>
      </w:r>
    </w:p>
    <w:p w14:paraId="0D48B6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本项目涉及的根据教室面积。根据教室各种使用模式需求，以及相关技术规范对现有教室进行全新的空间环境改造，按照室各教学装备系统安装部署要求，总体效果要达到和谐、大方、实用、美观。</w:t>
      </w:r>
      <w:r>
        <w:rPr>
          <w:rFonts w:hint="eastAsia" w:ascii="Times New Roman" w:hAnsi="Times New Roman" w:eastAsia="宋体" w:cs="Times New Roman"/>
          <w:color w:val="auto"/>
        </w:rPr>
        <w:br w:type="textWrapping"/>
      </w:r>
      <w:r>
        <w:rPr>
          <w:rFonts w:hint="eastAsia" w:cs="Times New Roman"/>
          <w:color w:val="auto"/>
          <w:lang w:val="en-US" w:eastAsia="zh-CN"/>
        </w:rPr>
        <w:t xml:space="preserve">  </w:t>
      </w:r>
      <w:r>
        <w:rPr>
          <w:rFonts w:hint="eastAsia" w:ascii="Times New Roman" w:hAnsi="Times New Roman" w:eastAsia="宋体" w:cs="Times New Roman"/>
          <w:color w:val="auto"/>
        </w:rPr>
        <w:t>二、照明要求</w:t>
      </w:r>
    </w:p>
    <w:p w14:paraId="253F3F9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在教室环境建设过程中，为了录播系统智能化的整体效果，总原则是：灯光要“均匀密布，均匀布光，宁亮勿暗”；教室内部，布局简洁、色调保持浅色柔和色系。</w:t>
      </w:r>
      <w:r>
        <w:rPr>
          <w:rFonts w:hint="eastAsia" w:ascii="Times New Roman" w:hAnsi="Times New Roman" w:eastAsia="宋体" w:cs="Times New Roman"/>
          <w:color w:val="auto"/>
        </w:rPr>
        <w:br w:type="textWrapping"/>
      </w:r>
      <w:r>
        <w:rPr>
          <w:rFonts w:hint="eastAsia" w:ascii="Times New Roman" w:hAnsi="Times New Roman" w:eastAsia="宋体" w:cs="Times New Roman"/>
          <w:color w:val="auto"/>
        </w:rPr>
        <w:t>灯光具体要求单独列出。</w:t>
      </w:r>
      <w:r>
        <w:rPr>
          <w:rFonts w:hint="eastAsia" w:ascii="Times New Roman" w:hAnsi="Times New Roman" w:eastAsia="宋体" w:cs="Times New Roman"/>
          <w:color w:val="auto"/>
        </w:rPr>
        <w:br w:type="textWrapping"/>
      </w:r>
      <w:r>
        <w:rPr>
          <w:rFonts w:hint="eastAsia" w:cs="Times New Roman"/>
          <w:color w:val="auto"/>
          <w:lang w:val="en-US" w:eastAsia="zh-CN"/>
        </w:rPr>
        <w:t xml:space="preserve">  </w:t>
      </w:r>
      <w:r>
        <w:rPr>
          <w:rFonts w:hint="eastAsia" w:ascii="Times New Roman" w:hAnsi="Times New Roman" w:eastAsia="宋体" w:cs="Times New Roman"/>
          <w:color w:val="auto"/>
        </w:rPr>
        <w:t>三、墙面、地面及吊顶要求</w:t>
      </w:r>
    </w:p>
    <w:p w14:paraId="0FBEF6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0" w:leftChars="0" w:firstLine="420" w:firstLineChars="200"/>
        <w:textAlignment w:val="auto"/>
        <w:rPr>
          <w:rFonts w:hint="eastAsia" w:ascii="宋体" w:hAnsi="宋体" w:eastAsia="宋体" w:cs="宋体"/>
          <w:color w:val="auto"/>
          <w:lang w:val="en-US" w:eastAsia="zh-CN"/>
        </w:rPr>
      </w:pPr>
      <w:r>
        <w:rPr>
          <w:rFonts w:hint="eastAsia" w:ascii="宋体" w:hAnsi="宋体" w:eastAsia="宋体" w:cs="宋体"/>
          <w:color w:val="auto"/>
        </w:rPr>
        <w:t>内墙墙面采用高效吸音材料装饰和保护，天花板采用矿棉吸音板吊顶。窗台大理石台面，地面采用PVC防静电地脚。绒布窗帘，带遮光层，颜色搭配符合装修风格，遮光、吸音、阻燃。地面采用塑胶地板铺贴。不低于1.5厚的塑胶地面铺设，颜色根据效果图确定。</w:t>
      </w:r>
    </w:p>
    <w:p w14:paraId="379DE86A">
      <w:pPr>
        <w:pStyle w:val="3"/>
        <w:rPr>
          <w:rFonts w:hint="default"/>
          <w:color w:val="auto"/>
          <w:lang w:val="en-US" w:eastAsia="zh-CN"/>
        </w:rPr>
      </w:pPr>
    </w:p>
    <w:p w14:paraId="16C17995">
      <w:pPr>
        <w:rPr>
          <w:rFonts w:hint="eastAsia" w:ascii="宋体" w:hAnsi="宋体"/>
          <w:color w:val="auto"/>
          <w:sz w:val="24"/>
        </w:rPr>
      </w:pPr>
    </w:p>
    <w:p w14:paraId="30A09AF4">
      <w:pPr>
        <w:rPr>
          <w:rFonts w:hint="eastAsia" w:ascii="宋体" w:hAnsi="宋体"/>
          <w:color w:val="auto"/>
          <w:sz w:val="24"/>
        </w:rPr>
      </w:pPr>
    </w:p>
    <w:p w14:paraId="418E4FF7">
      <w:pPr>
        <w:rPr>
          <w:rFonts w:hint="eastAsia" w:ascii="宋体" w:hAnsi="宋体"/>
          <w:color w:val="auto"/>
          <w:sz w:val="24"/>
        </w:rPr>
      </w:pPr>
    </w:p>
    <w:p w14:paraId="3EB7537C">
      <w:pPr>
        <w:rPr>
          <w:rFonts w:hint="eastAsia" w:ascii="宋体" w:hAnsi="宋体"/>
          <w:color w:val="auto"/>
          <w:sz w:val="24"/>
        </w:rPr>
      </w:pPr>
    </w:p>
    <w:p w14:paraId="4E38CA2B">
      <w:pPr>
        <w:rPr>
          <w:rFonts w:hint="eastAsia" w:ascii="宋体" w:hAnsi="宋体"/>
          <w:color w:val="auto"/>
          <w:sz w:val="24"/>
        </w:rPr>
      </w:pPr>
    </w:p>
    <w:p w14:paraId="407C20CA">
      <w:pPr>
        <w:rPr>
          <w:rFonts w:hint="eastAsia" w:ascii="宋体" w:hAnsi="宋体"/>
          <w:color w:val="auto"/>
          <w:sz w:val="24"/>
        </w:rPr>
      </w:pPr>
    </w:p>
    <w:p w14:paraId="6DCE515A">
      <w:pPr>
        <w:rPr>
          <w:rFonts w:hint="eastAsia" w:ascii="宋体" w:hAnsi="宋体"/>
          <w:color w:val="auto"/>
          <w:sz w:val="24"/>
        </w:rPr>
      </w:pPr>
    </w:p>
    <w:p w14:paraId="71FC5B28">
      <w:pPr>
        <w:rPr>
          <w:rFonts w:hint="eastAsia" w:ascii="宋体" w:hAnsi="宋体"/>
          <w:color w:val="auto"/>
          <w:sz w:val="24"/>
        </w:rPr>
      </w:pPr>
    </w:p>
    <w:p w14:paraId="7F61B80B">
      <w:pPr>
        <w:pStyle w:val="2"/>
        <w:rPr>
          <w:rFonts w:hint="eastAsia" w:ascii="宋体" w:hAnsi="宋体"/>
          <w:color w:val="auto"/>
          <w:sz w:val="24"/>
        </w:rPr>
      </w:pPr>
    </w:p>
    <w:p w14:paraId="335513D7">
      <w:pPr>
        <w:pStyle w:val="3"/>
        <w:rPr>
          <w:rFonts w:hint="eastAsia" w:ascii="宋体" w:hAnsi="宋体"/>
          <w:color w:val="auto"/>
          <w:sz w:val="24"/>
        </w:rPr>
      </w:pPr>
    </w:p>
    <w:p w14:paraId="024C2277">
      <w:pPr>
        <w:pStyle w:val="7"/>
        <w:numPr>
          <w:ilvl w:val="0"/>
          <w:numId w:val="11"/>
        </w:numPr>
        <w:rPr>
          <w:rFonts w:hint="eastAsia" w:ascii="方正小标宋_GBK" w:hAnsi="方正小标宋_GBK" w:eastAsia="方正小标宋_GBK" w:cs="方正小标宋_GBK"/>
          <w:color w:val="auto"/>
          <w:sz w:val="32"/>
          <w:szCs w:val="32"/>
        </w:rPr>
      </w:pPr>
      <w:r>
        <w:rPr>
          <w:rFonts w:hint="eastAsia" w:ascii="方正小标宋_GBK" w:hAnsi="方正小标宋_GBK" w:eastAsia="方正小标宋_GBK" w:cs="方正小标宋_GBK"/>
          <w:color w:val="auto"/>
          <w:sz w:val="32"/>
          <w:szCs w:val="32"/>
        </w:rPr>
        <w:t>投标文件组成要求及格式</w:t>
      </w:r>
    </w:p>
    <w:p w14:paraId="5EBCA81B">
      <w:pPr>
        <w:rPr>
          <w:rFonts w:hint="eastAsia"/>
          <w:color w:val="auto"/>
        </w:rPr>
      </w:pPr>
    </w:p>
    <w:p w14:paraId="2D75F34F">
      <w:pPr>
        <w:pStyle w:val="2"/>
        <w:rPr>
          <w:rFonts w:hint="eastAsia" w:ascii="方正小标宋_GBK" w:hAnsi="方正小标宋_GBK" w:eastAsia="方正小标宋_GBK" w:cs="方正小标宋_GBK"/>
          <w:b w:val="0"/>
          <w:bCs/>
          <w:color w:val="auto"/>
          <w:sz w:val="72"/>
          <w:szCs w:val="72"/>
        </w:rPr>
      </w:pPr>
    </w:p>
    <w:p w14:paraId="21B8A55A">
      <w:pPr>
        <w:pStyle w:val="3"/>
        <w:rPr>
          <w:rFonts w:hint="eastAsia"/>
          <w:color w:val="auto"/>
        </w:rPr>
      </w:pPr>
    </w:p>
    <w:p w14:paraId="5F5BB9DB">
      <w:pPr>
        <w:jc w:val="center"/>
        <w:rPr>
          <w:b/>
          <w:color w:val="auto"/>
          <w:sz w:val="72"/>
          <w:szCs w:val="72"/>
        </w:rPr>
      </w:pPr>
      <w:r>
        <w:rPr>
          <w:rFonts w:hint="eastAsia" w:ascii="方正小标宋_GBK" w:hAnsi="方正小标宋_GBK" w:eastAsia="方正小标宋_GBK" w:cs="方正小标宋_GBK"/>
          <w:b w:val="0"/>
          <w:bCs/>
          <w:color w:val="auto"/>
          <w:sz w:val="72"/>
          <w:szCs w:val="72"/>
        </w:rPr>
        <w:t>政府采购</w:t>
      </w:r>
      <w:r>
        <w:rPr>
          <w:rFonts w:hint="eastAsia" w:ascii="方正小标宋_GBK" w:hAnsi="方正小标宋_GBK" w:eastAsia="方正小标宋_GBK" w:cs="方正小标宋_GBK"/>
          <w:b w:val="0"/>
          <w:bCs/>
          <w:color w:val="auto"/>
          <w:sz w:val="72"/>
          <w:szCs w:val="72"/>
          <w:lang w:val="en-US" w:eastAsia="zh-CN"/>
        </w:rPr>
        <w:t>投标</w:t>
      </w:r>
      <w:r>
        <w:rPr>
          <w:rFonts w:hint="eastAsia" w:ascii="方正小标宋_GBK" w:hAnsi="方正小标宋_GBK" w:eastAsia="方正小标宋_GBK" w:cs="方正小标宋_GBK"/>
          <w:b w:val="0"/>
          <w:bCs/>
          <w:color w:val="auto"/>
          <w:sz w:val="72"/>
          <w:szCs w:val="72"/>
        </w:rPr>
        <w:t>文件</w:t>
      </w:r>
    </w:p>
    <w:p w14:paraId="20B9BBA9">
      <w:pPr>
        <w:pStyle w:val="129"/>
        <w:ind w:left="0" w:leftChars="0" w:firstLine="0" w:firstLineChars="0"/>
        <w:jc w:val="center"/>
        <w:rPr>
          <w:rFonts w:hint="eastAsia" w:ascii="方正小标宋_GBK" w:hAnsi="方正小标宋_GBK" w:eastAsia="方正小标宋_GBK" w:cs="方正小标宋_GBK"/>
          <w:b/>
          <w:bCs/>
          <w:color w:val="auto"/>
          <w:sz w:val="48"/>
          <w:szCs w:val="40"/>
          <w:lang w:val="en-US" w:eastAsia="zh-CN"/>
        </w:rPr>
      </w:pPr>
      <w:r>
        <w:rPr>
          <w:rFonts w:hint="eastAsia" w:ascii="方正小标宋_GBK" w:hAnsi="方正小标宋_GBK" w:eastAsia="方正小标宋_GBK" w:cs="方正小标宋_GBK"/>
          <w:b/>
          <w:bCs/>
          <w:color w:val="auto"/>
          <w:sz w:val="48"/>
          <w:szCs w:val="40"/>
          <w:lang w:val="en-US" w:eastAsia="zh-CN"/>
        </w:rPr>
        <w:t>（货物类）</w:t>
      </w:r>
    </w:p>
    <w:p w14:paraId="79A01636">
      <w:pPr>
        <w:pStyle w:val="129"/>
        <w:ind w:left="0" w:leftChars="0" w:firstLine="0" w:firstLineChars="0"/>
        <w:jc w:val="both"/>
        <w:rPr>
          <w:rFonts w:hint="eastAsia" w:eastAsia="宋体"/>
          <w:b/>
          <w:bCs/>
          <w:color w:val="auto"/>
          <w:sz w:val="32"/>
          <w:lang w:val="en-US" w:eastAsia="zh-CN"/>
        </w:rPr>
      </w:pPr>
    </w:p>
    <w:p w14:paraId="5C546FC2">
      <w:pPr>
        <w:pStyle w:val="129"/>
        <w:ind w:left="0" w:leftChars="0" w:firstLine="0" w:firstLineChars="0"/>
        <w:jc w:val="both"/>
        <w:rPr>
          <w:rFonts w:hint="eastAsia" w:eastAsia="宋体"/>
          <w:b/>
          <w:bCs/>
          <w:color w:val="auto"/>
          <w:sz w:val="32"/>
          <w:lang w:val="en-US" w:eastAsia="zh-CN"/>
        </w:rPr>
      </w:pPr>
    </w:p>
    <w:p w14:paraId="5AD7A69B">
      <w:pPr>
        <w:pStyle w:val="129"/>
        <w:ind w:left="0" w:leftChars="0" w:firstLine="0" w:firstLineChars="0"/>
        <w:jc w:val="both"/>
        <w:rPr>
          <w:rFonts w:hint="eastAsia" w:eastAsia="宋体"/>
          <w:b/>
          <w:bCs/>
          <w:color w:val="auto"/>
          <w:sz w:val="32"/>
          <w:lang w:val="en-US" w:eastAsia="zh-CN"/>
        </w:rPr>
      </w:pPr>
    </w:p>
    <w:p w14:paraId="29C43566">
      <w:pPr>
        <w:pStyle w:val="129"/>
        <w:ind w:left="0" w:leftChars="0" w:firstLine="0" w:firstLineChars="0"/>
        <w:jc w:val="both"/>
        <w:rPr>
          <w:rFonts w:hint="eastAsia" w:eastAsia="宋体"/>
          <w:b/>
          <w:bCs/>
          <w:color w:val="auto"/>
          <w:sz w:val="32"/>
          <w:lang w:val="en-US" w:eastAsia="zh-CN"/>
        </w:rPr>
      </w:pPr>
    </w:p>
    <w:p w14:paraId="509F3BE2">
      <w:pPr>
        <w:pStyle w:val="129"/>
        <w:ind w:left="0" w:leftChars="0" w:firstLine="321" w:firstLineChars="100"/>
        <w:jc w:val="both"/>
        <w:rPr>
          <w:rFonts w:hint="eastAsia" w:ascii="方正小标宋_GBK" w:hAnsi="方正小标宋_GBK" w:eastAsia="方正小标宋_GBK" w:cs="方正小标宋_GBK"/>
          <w:b/>
          <w:bCs/>
          <w:color w:val="auto"/>
          <w:sz w:val="32"/>
          <w:lang w:val="en-US" w:eastAsia="zh-CN"/>
        </w:rPr>
      </w:pPr>
      <w:r>
        <w:rPr>
          <w:rFonts w:hint="eastAsia" w:ascii="方正小标宋_GBK" w:hAnsi="方正小标宋_GBK" w:eastAsia="方正小标宋_GBK" w:cs="方正小标宋_GBK"/>
          <w:b/>
          <w:bCs/>
          <w:color w:val="auto"/>
          <w:sz w:val="32"/>
          <w:lang w:val="en-US" w:eastAsia="zh-CN"/>
        </w:rPr>
        <w:t>项目名称：</w:t>
      </w:r>
    </w:p>
    <w:p w14:paraId="4877FD66">
      <w:pPr>
        <w:pStyle w:val="129"/>
        <w:ind w:left="0" w:leftChars="0" w:firstLine="321" w:firstLineChars="100"/>
        <w:jc w:val="both"/>
        <w:rPr>
          <w:rFonts w:hint="eastAsia" w:ascii="方正小标宋_GBK" w:hAnsi="方正小标宋_GBK" w:eastAsia="方正小标宋_GBK" w:cs="方正小标宋_GBK"/>
          <w:b/>
          <w:bCs/>
          <w:color w:val="auto"/>
          <w:sz w:val="32"/>
          <w:lang w:val="en-US" w:eastAsia="zh-CN"/>
        </w:rPr>
      </w:pPr>
      <w:r>
        <w:rPr>
          <w:rFonts w:hint="eastAsia" w:ascii="方正小标宋_GBK" w:hAnsi="方正小标宋_GBK" w:eastAsia="方正小标宋_GBK" w:cs="方正小标宋_GBK"/>
          <w:b/>
          <w:bCs/>
          <w:color w:val="auto"/>
          <w:sz w:val="32"/>
          <w:lang w:val="en-US" w:eastAsia="zh-CN"/>
        </w:rPr>
        <w:t>项目编号：</w:t>
      </w:r>
    </w:p>
    <w:p w14:paraId="40A50716">
      <w:pPr>
        <w:pStyle w:val="129"/>
        <w:ind w:left="0" w:leftChars="0" w:firstLine="321" w:firstLineChars="100"/>
        <w:jc w:val="both"/>
        <w:rPr>
          <w:rFonts w:hint="eastAsia" w:ascii="方正小标宋_GBK" w:hAnsi="方正小标宋_GBK" w:eastAsia="方正小标宋_GBK" w:cs="方正小标宋_GBK"/>
          <w:b/>
          <w:bCs/>
          <w:color w:val="auto"/>
          <w:sz w:val="32"/>
          <w:lang w:val="en-US" w:eastAsia="zh-CN"/>
        </w:rPr>
      </w:pPr>
      <w:r>
        <w:rPr>
          <w:rFonts w:hint="eastAsia" w:ascii="方正小标宋_GBK" w:hAnsi="方正小标宋_GBK" w:eastAsia="方正小标宋_GBK" w:cs="方正小标宋_GBK"/>
          <w:b/>
          <w:bCs/>
          <w:color w:val="auto"/>
          <w:sz w:val="32"/>
          <w:lang w:val="en-US" w:eastAsia="zh-CN"/>
        </w:rPr>
        <w:t>单位名称：</w:t>
      </w:r>
    </w:p>
    <w:p w14:paraId="4820DBDA">
      <w:pPr>
        <w:pStyle w:val="129"/>
        <w:ind w:left="0" w:leftChars="0" w:firstLine="321" w:firstLineChars="100"/>
        <w:jc w:val="both"/>
        <w:rPr>
          <w:rFonts w:hint="eastAsia" w:ascii="方正小标宋_GBK" w:hAnsi="方正小标宋_GBK" w:eastAsia="方正小标宋_GBK" w:cs="方正小标宋_GBK"/>
          <w:b/>
          <w:bCs/>
          <w:color w:val="auto"/>
          <w:sz w:val="32"/>
          <w:lang w:val="en-US" w:eastAsia="zh-CN"/>
        </w:rPr>
      </w:pPr>
      <w:r>
        <w:rPr>
          <w:rFonts w:hint="eastAsia" w:ascii="方正小标宋_GBK" w:hAnsi="方正小标宋_GBK" w:eastAsia="方正小标宋_GBK" w:cs="方正小标宋_GBK"/>
          <w:b/>
          <w:bCs/>
          <w:color w:val="auto"/>
          <w:sz w:val="32"/>
          <w:lang w:val="en-US" w:eastAsia="zh-CN"/>
        </w:rPr>
        <w:t>法定代表人：</w:t>
      </w:r>
    </w:p>
    <w:p w14:paraId="03AAD134">
      <w:pPr>
        <w:pStyle w:val="129"/>
        <w:ind w:left="0" w:leftChars="0" w:firstLine="321" w:firstLineChars="100"/>
        <w:jc w:val="both"/>
        <w:rPr>
          <w:rFonts w:hint="default" w:ascii="方正小标宋_GBK" w:hAnsi="方正小标宋_GBK" w:eastAsia="方正小标宋_GBK" w:cs="方正小标宋_GBK"/>
          <w:b/>
          <w:bCs/>
          <w:color w:val="auto"/>
          <w:sz w:val="32"/>
          <w:lang w:val="en-US" w:eastAsia="zh-CN"/>
        </w:rPr>
      </w:pPr>
      <w:r>
        <w:rPr>
          <w:rFonts w:hint="eastAsia" w:ascii="方正小标宋_GBK" w:hAnsi="方正小标宋_GBK" w:eastAsia="方正小标宋_GBK" w:cs="方正小标宋_GBK"/>
          <w:b/>
          <w:bCs/>
          <w:color w:val="auto"/>
          <w:sz w:val="32"/>
          <w:lang w:val="en-US" w:eastAsia="zh-CN"/>
        </w:rPr>
        <w:t>日  期：</w:t>
      </w:r>
    </w:p>
    <w:p w14:paraId="518A0DB9">
      <w:pPr>
        <w:numPr>
          <w:ilvl w:val="0"/>
          <w:numId w:val="0"/>
        </w:numPr>
        <w:rPr>
          <w:rFonts w:hint="eastAsia"/>
          <w:color w:val="auto"/>
        </w:rPr>
      </w:pPr>
    </w:p>
    <w:p w14:paraId="0B934FC5">
      <w:pPr>
        <w:pStyle w:val="2"/>
        <w:rPr>
          <w:rFonts w:hint="eastAsia"/>
          <w:color w:val="auto"/>
        </w:rPr>
      </w:pPr>
    </w:p>
    <w:p w14:paraId="28624B2D">
      <w:pPr>
        <w:pStyle w:val="3"/>
        <w:rPr>
          <w:rFonts w:hint="eastAsia"/>
          <w:color w:val="auto"/>
        </w:rPr>
      </w:pPr>
    </w:p>
    <w:p w14:paraId="60F98491">
      <w:pPr>
        <w:rPr>
          <w:rFonts w:hint="eastAsia"/>
          <w:color w:val="auto"/>
        </w:rPr>
      </w:pPr>
    </w:p>
    <w:p w14:paraId="0186B5D7">
      <w:pPr>
        <w:pStyle w:val="2"/>
        <w:rPr>
          <w:rFonts w:hint="eastAsia"/>
          <w:color w:val="auto"/>
        </w:rPr>
      </w:pPr>
    </w:p>
    <w:p w14:paraId="2708B875">
      <w:pPr>
        <w:ind w:firstLine="464" w:firstLineChars="200"/>
        <w:rPr>
          <w:rFonts w:hint="eastAsia" w:ascii="宋体" w:hAnsi="宋体"/>
          <w:b/>
          <w:bCs/>
          <w:color w:val="auto"/>
          <w:sz w:val="24"/>
        </w:rPr>
      </w:pPr>
      <w:r>
        <w:rPr>
          <w:rFonts w:hint="eastAsia" w:ascii="方正小标宋_GBK" w:hAnsi="方正小标宋_GBK" w:eastAsia="方正小标宋_GBK" w:cs="方正小标宋_GBK"/>
          <w:color w:val="auto"/>
          <w:spacing w:val="-4"/>
          <w:kern w:val="0"/>
          <w:sz w:val="24"/>
          <w:szCs w:val="24"/>
        </w:rPr>
        <w:t>投标前，需充分知悉参与政府采购活动时的重大风险事项，并签署政府采购违法行为风险知悉确认书！！！</w:t>
      </w:r>
    </w:p>
    <w:p w14:paraId="137287F9">
      <w:pPr>
        <w:jc w:val="left"/>
        <w:outlineLvl w:val="0"/>
        <w:rPr>
          <w:rFonts w:hint="eastAsia" w:ascii="宋体" w:hAnsi="宋体"/>
          <w:b/>
          <w:bCs/>
          <w:color w:val="auto"/>
          <w:sz w:val="24"/>
        </w:rPr>
      </w:pPr>
      <w:r>
        <w:rPr>
          <w:rFonts w:hint="eastAsia" w:ascii="宋体" w:hAnsi="宋体"/>
          <w:b/>
          <w:bCs/>
          <w:color w:val="auto"/>
          <w:sz w:val="24"/>
        </w:rPr>
        <w:t>1.投标文件正文，主要包括以下内容：</w:t>
      </w:r>
    </w:p>
    <w:p w14:paraId="68BB0833">
      <w:pPr>
        <w:jc w:val="left"/>
        <w:rPr>
          <w:color w:val="auto"/>
        </w:rPr>
      </w:pPr>
      <w:r>
        <w:rPr>
          <w:rFonts w:hint="eastAsia"/>
          <w:color w:val="auto"/>
        </w:rPr>
        <w:t>（1）</w:t>
      </w:r>
      <w:bookmarkStart w:id="73" w:name="_Hlk72070784"/>
      <w:r>
        <w:rPr>
          <w:rFonts w:hint="eastAsia"/>
          <w:color w:val="auto"/>
        </w:rPr>
        <w:t>投标函</w:t>
      </w:r>
      <w:bookmarkEnd w:id="73"/>
    </w:p>
    <w:p w14:paraId="7EEEB58F">
      <w:pPr>
        <w:jc w:val="left"/>
        <w:rPr>
          <w:color w:val="auto"/>
        </w:rPr>
      </w:pPr>
      <w:r>
        <w:rPr>
          <w:rFonts w:hint="eastAsia"/>
          <w:color w:val="auto"/>
        </w:rPr>
        <w:t>（2）</w:t>
      </w:r>
      <w:bookmarkStart w:id="74" w:name="_Hlk72062521"/>
      <w:r>
        <w:rPr>
          <w:rFonts w:hint="eastAsia"/>
          <w:color w:val="auto"/>
        </w:rPr>
        <w:t>政府采购投标及履约承诺函</w:t>
      </w:r>
      <w:bookmarkEnd w:id="74"/>
    </w:p>
    <w:p w14:paraId="74FC557A">
      <w:pPr>
        <w:jc w:val="left"/>
        <w:rPr>
          <w:color w:val="auto"/>
        </w:rPr>
      </w:pPr>
      <w:r>
        <w:rPr>
          <w:rFonts w:hint="eastAsia"/>
          <w:color w:val="auto"/>
        </w:rPr>
        <w:t>（3）投标单位反商业贿赂承诺书</w:t>
      </w:r>
    </w:p>
    <w:p w14:paraId="118BEC7C">
      <w:pPr>
        <w:jc w:val="left"/>
        <w:rPr>
          <w:color w:val="auto"/>
        </w:rPr>
      </w:pPr>
      <w:r>
        <w:rPr>
          <w:rFonts w:hint="eastAsia"/>
          <w:color w:val="auto"/>
        </w:rPr>
        <w:t>（4）具备履行合同所需的设备和专业技术能力的声明函</w:t>
      </w:r>
    </w:p>
    <w:p w14:paraId="2E4AC151">
      <w:pPr>
        <w:jc w:val="left"/>
        <w:rPr>
          <w:color w:val="auto"/>
        </w:rPr>
      </w:pPr>
      <w:r>
        <w:rPr>
          <w:rFonts w:hint="eastAsia"/>
          <w:color w:val="auto"/>
        </w:rPr>
        <w:t>（5）投标人资格证明文件（营业执照、资质证书、财务状况、税收、社保、中小企业、残疾人福利性单位、监狱企业声明函、节能、环保、信用查询、授权委托书、投标保证金、联合体协议书、分包协议等）</w:t>
      </w:r>
    </w:p>
    <w:p w14:paraId="0EE6D85A">
      <w:pPr>
        <w:jc w:val="left"/>
        <w:rPr>
          <w:color w:val="auto"/>
        </w:rPr>
      </w:pPr>
      <w:bookmarkStart w:id="75" w:name="_Hlk72257201"/>
      <w:r>
        <w:rPr>
          <w:rFonts w:hint="eastAsia"/>
          <w:color w:val="auto"/>
        </w:rPr>
        <w:t>（6）开标一览表</w:t>
      </w:r>
    </w:p>
    <w:p w14:paraId="2CCBFE12">
      <w:pPr>
        <w:jc w:val="left"/>
        <w:rPr>
          <w:color w:val="auto"/>
        </w:rPr>
      </w:pPr>
      <w:r>
        <w:rPr>
          <w:rFonts w:hint="eastAsia"/>
          <w:color w:val="auto"/>
        </w:rPr>
        <w:t>（7）分项报价表</w:t>
      </w:r>
    </w:p>
    <w:p w14:paraId="1B15D93B">
      <w:pPr>
        <w:jc w:val="left"/>
        <w:rPr>
          <w:rFonts w:hint="eastAsia" w:ascii="宋体" w:hAnsi="宋体" w:cs="宋体"/>
          <w:color w:val="auto"/>
        </w:rPr>
      </w:pPr>
      <w:r>
        <w:rPr>
          <w:rFonts w:hint="eastAsia" w:ascii="宋体" w:hAnsi="宋体" w:cs="宋体"/>
          <w:color w:val="auto"/>
        </w:rPr>
        <w:t>（8）实质性条款响应偏离表</w:t>
      </w:r>
    </w:p>
    <w:p w14:paraId="52AA2EDF">
      <w:pPr>
        <w:pStyle w:val="41"/>
        <w:spacing w:line="240" w:lineRule="auto"/>
        <w:ind w:firstLine="0" w:firstLineChars="0"/>
        <w:rPr>
          <w:rFonts w:hint="eastAsia" w:cs="宋体"/>
          <w:color w:val="auto"/>
        </w:rPr>
      </w:pPr>
      <w:r>
        <w:rPr>
          <w:rFonts w:hint="eastAsia" w:cs="宋体"/>
          <w:color w:val="auto"/>
        </w:rPr>
        <w:t>（9）重要技术参数响应偏离表</w:t>
      </w:r>
    </w:p>
    <w:p w14:paraId="4E5980A5">
      <w:pPr>
        <w:rPr>
          <w:color w:val="auto"/>
        </w:rPr>
      </w:pPr>
      <w:r>
        <w:rPr>
          <w:rFonts w:hint="eastAsia" w:cs="宋体"/>
          <w:color w:val="auto"/>
        </w:rPr>
        <w:t>（10）商务条款偏离表</w:t>
      </w:r>
    </w:p>
    <w:p w14:paraId="58B4CEFB">
      <w:pPr>
        <w:jc w:val="left"/>
        <w:rPr>
          <w:rFonts w:hint="eastAsia" w:ascii="宋体" w:hAnsi="宋体" w:cs="宋体"/>
          <w:color w:val="auto"/>
        </w:rPr>
      </w:pPr>
      <w:r>
        <w:rPr>
          <w:rFonts w:hint="eastAsia" w:ascii="宋体" w:hAnsi="宋体" w:cs="宋体"/>
          <w:color w:val="auto"/>
        </w:rPr>
        <w:t>（11）项目实施方案（根据商务技术评审因素，逐条响应）格式自定</w:t>
      </w:r>
    </w:p>
    <w:p w14:paraId="0CC88690">
      <w:pPr>
        <w:jc w:val="left"/>
        <w:rPr>
          <w:rFonts w:hint="eastAsia" w:ascii="宋体" w:hAnsi="宋体" w:cs="宋体"/>
          <w:color w:val="auto"/>
        </w:rPr>
      </w:pPr>
    </w:p>
    <w:p w14:paraId="5181BEC6">
      <w:pPr>
        <w:ind w:firstLine="1417" w:firstLineChars="675"/>
        <w:jc w:val="left"/>
        <w:rPr>
          <w:color w:val="auto"/>
        </w:rPr>
      </w:pPr>
    </w:p>
    <w:bookmarkEnd w:id="75"/>
    <w:p w14:paraId="3BF274AE">
      <w:pPr>
        <w:jc w:val="left"/>
        <w:outlineLvl w:val="0"/>
        <w:rPr>
          <w:rFonts w:hint="eastAsia" w:ascii="宋体" w:hAnsi="宋体"/>
          <w:b/>
          <w:bCs/>
          <w:color w:val="auto"/>
          <w:sz w:val="24"/>
        </w:rPr>
      </w:pPr>
      <w:r>
        <w:rPr>
          <w:rFonts w:hint="eastAsia" w:ascii="宋体" w:hAnsi="宋体"/>
          <w:b/>
          <w:bCs/>
          <w:color w:val="auto"/>
          <w:sz w:val="24"/>
        </w:rPr>
        <w:t>2.投标文件附件，主要包括以下内容：</w:t>
      </w:r>
    </w:p>
    <w:p w14:paraId="080F1F57">
      <w:pPr>
        <w:jc w:val="left"/>
        <w:rPr>
          <w:color w:val="auto"/>
        </w:rPr>
      </w:pPr>
      <w:r>
        <w:rPr>
          <w:rFonts w:hint="eastAsia"/>
          <w:color w:val="auto"/>
        </w:rPr>
        <w:t>（1）法定代表人（负责人）证明书</w:t>
      </w:r>
    </w:p>
    <w:p w14:paraId="75A7205B">
      <w:pPr>
        <w:jc w:val="left"/>
        <w:rPr>
          <w:color w:val="auto"/>
        </w:rPr>
      </w:pPr>
      <w:r>
        <w:rPr>
          <w:rFonts w:hint="eastAsia"/>
          <w:color w:val="auto"/>
        </w:rPr>
        <w:t>（2）投标文件签署授权委托书</w:t>
      </w:r>
    </w:p>
    <w:p w14:paraId="267541B0">
      <w:pPr>
        <w:jc w:val="left"/>
        <w:rPr>
          <w:color w:val="auto"/>
        </w:rPr>
      </w:pPr>
      <w:r>
        <w:rPr>
          <w:rFonts w:hint="eastAsia"/>
          <w:color w:val="auto"/>
        </w:rPr>
        <w:t>（3）投标保证金缴纳凭证</w:t>
      </w:r>
    </w:p>
    <w:p w14:paraId="2B81BA62">
      <w:pPr>
        <w:jc w:val="left"/>
        <w:rPr>
          <w:color w:val="auto"/>
        </w:rPr>
      </w:pPr>
      <w:r>
        <w:rPr>
          <w:rFonts w:hint="eastAsia"/>
          <w:color w:val="auto"/>
        </w:rPr>
        <w:t>（4）联合体协议书</w:t>
      </w:r>
    </w:p>
    <w:p w14:paraId="29AF13F3">
      <w:pPr>
        <w:jc w:val="left"/>
        <w:rPr>
          <w:color w:val="auto"/>
        </w:rPr>
      </w:pPr>
      <w:r>
        <w:rPr>
          <w:rFonts w:hint="eastAsia"/>
          <w:color w:val="auto"/>
        </w:rPr>
        <w:t>（5）分包意向协议</w:t>
      </w:r>
    </w:p>
    <w:p w14:paraId="49471EF9">
      <w:pPr>
        <w:jc w:val="left"/>
        <w:rPr>
          <w:rFonts w:hint="eastAsia" w:eastAsia="宋体"/>
          <w:color w:val="auto"/>
          <w:lang w:val="en-GB" w:eastAsia="zh-CN"/>
        </w:rPr>
      </w:pPr>
      <w:r>
        <w:rPr>
          <w:rFonts w:hint="eastAsia"/>
          <w:color w:val="auto"/>
        </w:rPr>
        <w:t>（6）中小企业声明函、残疾人福利性单位声明函及监狱企业声明函</w:t>
      </w:r>
      <w:r>
        <w:rPr>
          <w:rFonts w:hint="eastAsia"/>
          <w:color w:val="auto"/>
          <w:lang w:eastAsia="zh-CN"/>
        </w:rPr>
        <w:t>、关于符合本国产品标准的声明函</w:t>
      </w:r>
    </w:p>
    <w:p w14:paraId="34DD85FE">
      <w:pPr>
        <w:jc w:val="left"/>
        <w:rPr>
          <w:rFonts w:hint="eastAsia" w:ascii="宋体" w:hAnsi="宋体" w:cs="宋体"/>
          <w:color w:val="auto"/>
        </w:rPr>
      </w:pPr>
      <w:r>
        <w:rPr>
          <w:rFonts w:hint="eastAsia" w:ascii="宋体" w:hAnsi="宋体" w:cs="宋体"/>
          <w:color w:val="auto"/>
        </w:rPr>
        <w:t>（7）供应商产品认证情况</w:t>
      </w:r>
      <w:r>
        <w:rPr>
          <w:rFonts w:hint="eastAsia" w:ascii="宋体" w:hAnsi="宋体"/>
          <w:color w:val="auto"/>
        </w:rPr>
        <w:t>（</w:t>
      </w:r>
      <w:r>
        <w:rPr>
          <w:rFonts w:hint="eastAsia" w:ascii="宋体" w:hAnsi="宋体" w:cs="宋体"/>
          <w:color w:val="auto"/>
        </w:rPr>
        <w:t>中国国家强制性产品认证证书（CCC）、节能产品明细清单、环保产品明细清单）</w:t>
      </w:r>
    </w:p>
    <w:p w14:paraId="7FC6FB7F">
      <w:pPr>
        <w:jc w:val="left"/>
        <w:rPr>
          <w:rFonts w:hint="eastAsia" w:ascii="宋体" w:hAnsi="宋体"/>
          <w:color w:val="auto"/>
        </w:rPr>
      </w:pPr>
      <w:r>
        <w:rPr>
          <w:rFonts w:hint="eastAsia" w:ascii="宋体" w:hAnsi="宋体" w:cs="宋体"/>
          <w:color w:val="auto"/>
        </w:rPr>
        <w:t>（8）</w:t>
      </w:r>
      <w:r>
        <w:rPr>
          <w:rFonts w:hint="eastAsia" w:ascii="宋体" w:hAnsi="宋体"/>
          <w:color w:val="auto"/>
        </w:rPr>
        <w:t>供应商同类项目业绩情况</w:t>
      </w:r>
    </w:p>
    <w:p w14:paraId="776E4012">
      <w:pPr>
        <w:pStyle w:val="9"/>
        <w:ind w:firstLine="0"/>
        <w:jc w:val="left"/>
        <w:rPr>
          <w:rFonts w:hint="eastAsia" w:ascii="宋体" w:hAnsi="宋体"/>
          <w:color w:val="auto"/>
        </w:rPr>
      </w:pPr>
      <w:r>
        <w:rPr>
          <w:rFonts w:hint="eastAsia" w:ascii="宋体" w:hAnsi="宋体"/>
          <w:color w:val="auto"/>
        </w:rPr>
        <w:t>（9）拟安排的项目负责人情况</w:t>
      </w:r>
    </w:p>
    <w:p w14:paraId="71E21345">
      <w:pPr>
        <w:rPr>
          <w:rFonts w:hint="eastAsia" w:ascii="宋体" w:hAnsi="宋体"/>
          <w:color w:val="auto"/>
        </w:rPr>
      </w:pPr>
      <w:r>
        <w:rPr>
          <w:rFonts w:hint="eastAsia" w:ascii="宋体" w:hAnsi="宋体"/>
          <w:color w:val="auto"/>
        </w:rPr>
        <w:t>（10）拟安排的项目主要团队成员（主要技术人员）情况（项目负责人除外）</w:t>
      </w:r>
    </w:p>
    <w:p w14:paraId="43C14094">
      <w:pPr>
        <w:pStyle w:val="9"/>
        <w:ind w:firstLine="0"/>
        <w:jc w:val="left"/>
        <w:rPr>
          <w:rFonts w:hint="eastAsia" w:ascii="宋体" w:hAnsi="宋体"/>
          <w:color w:val="auto"/>
        </w:rPr>
      </w:pPr>
      <w:r>
        <w:rPr>
          <w:rFonts w:hint="eastAsia" w:ascii="宋体" w:hAnsi="宋体"/>
          <w:color w:val="auto"/>
        </w:rPr>
        <w:t>（11）项目服务承诺（格式自定）</w:t>
      </w:r>
    </w:p>
    <w:p w14:paraId="3647FC60">
      <w:pPr>
        <w:pStyle w:val="9"/>
        <w:ind w:firstLine="0"/>
        <w:jc w:val="left"/>
        <w:rPr>
          <w:rFonts w:hint="eastAsia" w:ascii="宋体" w:hAnsi="宋体"/>
          <w:color w:val="auto"/>
        </w:rPr>
      </w:pPr>
      <w:r>
        <w:rPr>
          <w:rFonts w:hint="eastAsia" w:ascii="宋体" w:hAnsi="宋体"/>
          <w:color w:val="auto"/>
        </w:rPr>
        <w:t>（12）违约承诺（格式自定）</w:t>
      </w:r>
    </w:p>
    <w:p w14:paraId="25D8B326">
      <w:pPr>
        <w:rPr>
          <w:rFonts w:hint="eastAsia" w:ascii="宋体" w:hAnsi="宋体"/>
          <w:color w:val="auto"/>
        </w:rPr>
      </w:pPr>
    </w:p>
    <w:p w14:paraId="7A203BF4">
      <w:pPr>
        <w:jc w:val="left"/>
        <w:outlineLvl w:val="0"/>
        <w:rPr>
          <w:rFonts w:hint="eastAsia" w:ascii="宋体" w:hAnsi="宋体"/>
          <w:b/>
          <w:bCs/>
          <w:color w:val="auto"/>
          <w:sz w:val="24"/>
        </w:rPr>
      </w:pPr>
      <w:r>
        <w:rPr>
          <w:rFonts w:hint="eastAsia" w:ascii="宋体" w:hAnsi="宋体"/>
          <w:b/>
          <w:bCs/>
          <w:color w:val="auto"/>
          <w:sz w:val="24"/>
        </w:rPr>
        <w:t>3.投标文件增项，主要包括以下内容：</w:t>
      </w:r>
    </w:p>
    <w:p w14:paraId="07F43908">
      <w:pPr>
        <w:rPr>
          <w:color w:val="auto"/>
        </w:rPr>
      </w:pPr>
      <w:r>
        <w:rPr>
          <w:rFonts w:hint="eastAsia" w:ascii="宋体" w:hAnsi="宋体"/>
          <w:color w:val="auto"/>
        </w:rPr>
        <w:t>（1）供应商获奖情况（格式自定）</w:t>
      </w:r>
    </w:p>
    <w:p w14:paraId="64078FF5">
      <w:pPr>
        <w:jc w:val="left"/>
        <w:rPr>
          <w:color w:val="auto"/>
        </w:rPr>
      </w:pPr>
      <w:r>
        <w:rPr>
          <w:rFonts w:hint="eastAsia" w:ascii="宋体" w:hAnsi="宋体"/>
          <w:color w:val="auto"/>
        </w:rPr>
        <w:t>（2）供应商自主知识产权产品（专利、软著、创新、设计）（格式自定）</w:t>
      </w:r>
    </w:p>
    <w:p w14:paraId="34FDA4AC">
      <w:pPr>
        <w:pStyle w:val="9"/>
        <w:ind w:firstLine="0"/>
        <w:jc w:val="left"/>
        <w:rPr>
          <w:rFonts w:hint="eastAsia" w:ascii="宋体" w:hAnsi="宋体"/>
          <w:color w:val="auto"/>
        </w:rPr>
      </w:pPr>
      <w:r>
        <w:rPr>
          <w:rFonts w:hint="eastAsia" w:ascii="宋体" w:hAnsi="宋体"/>
          <w:color w:val="auto"/>
        </w:rPr>
        <w:t>（3）拟投入的服务资源（车辆、场地、工具、机器等）情况（格式自定）</w:t>
      </w:r>
    </w:p>
    <w:p w14:paraId="187D528E">
      <w:pPr>
        <w:pStyle w:val="9"/>
        <w:ind w:firstLine="0"/>
        <w:jc w:val="left"/>
        <w:rPr>
          <w:rFonts w:hint="eastAsia" w:ascii="方正小标宋_GBK" w:hAnsi="方正小标宋_GBK" w:eastAsia="方正小标宋_GBK" w:cs="方正小标宋_GBK"/>
          <w:b/>
          <w:bCs/>
          <w:color w:val="auto"/>
          <w:sz w:val="44"/>
          <w:szCs w:val="44"/>
        </w:rPr>
      </w:pPr>
      <w:r>
        <w:rPr>
          <w:rFonts w:hint="eastAsia" w:ascii="宋体" w:hAnsi="宋体"/>
          <w:color w:val="auto"/>
        </w:rPr>
        <w:t>（4）</w:t>
      </w:r>
      <w:r>
        <w:rPr>
          <w:rFonts w:hint="eastAsia"/>
          <w:color w:val="auto"/>
        </w:rPr>
        <w:t>投标人认为需要加以说明的其他内容（格式自定）</w:t>
      </w:r>
    </w:p>
    <w:p w14:paraId="64C8BBE8">
      <w:pPr>
        <w:outlineLvl w:val="1"/>
        <w:rPr>
          <w:rFonts w:hint="eastAsia" w:ascii="宋体" w:hAnsi="宋体"/>
          <w:b/>
          <w:color w:val="auto"/>
          <w:sz w:val="28"/>
          <w:szCs w:val="28"/>
        </w:rPr>
      </w:pPr>
    </w:p>
    <w:p w14:paraId="17A6309E">
      <w:pPr>
        <w:jc w:val="center"/>
        <w:rPr>
          <w:rFonts w:hint="eastAsia" w:ascii="黑体" w:hAnsi="宋体" w:eastAsia="黑体"/>
          <w:b/>
          <w:bCs/>
          <w:color w:val="auto"/>
          <w:sz w:val="28"/>
          <w:szCs w:val="28"/>
        </w:rPr>
      </w:pPr>
    </w:p>
    <w:p w14:paraId="1EB2F384">
      <w:pPr>
        <w:spacing w:after="145" w:afterLines="50"/>
        <w:jc w:val="center"/>
        <w:rPr>
          <w:rFonts w:hint="eastAsia" w:ascii="方正小标宋_GBK" w:hAnsi="方正小标宋_GBK" w:eastAsia="方正小标宋_GBK" w:cs="方正小标宋_GBK"/>
          <w:b/>
          <w:bCs/>
          <w:color w:val="auto"/>
          <w:sz w:val="44"/>
          <w:szCs w:val="44"/>
        </w:rPr>
      </w:pPr>
      <w:r>
        <w:rPr>
          <w:rFonts w:hint="eastAsia" w:ascii="方正小标宋_GBK" w:hAnsi="方正小标宋_GBK" w:eastAsia="方正小标宋_GBK" w:cs="方正小标宋_GBK"/>
          <w:b/>
          <w:bCs/>
          <w:color w:val="auto"/>
          <w:sz w:val="44"/>
          <w:szCs w:val="44"/>
        </w:rPr>
        <w:t>政府采购违法行为风险知悉确认书</w:t>
      </w:r>
    </w:p>
    <w:p w14:paraId="241965F1">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本公司在投标前已充分知悉以下情形为参与政府采购活动时的重大风险事项，并承诺已对下述风险提示事项重点排查，做到严谨、诚信、依法依规参与政府采购活动。</w:t>
      </w:r>
    </w:p>
    <w:p w14:paraId="36F60A49">
      <w:pPr>
        <w:spacing w:line="360" w:lineRule="auto"/>
        <w:ind w:firstLine="422" w:firstLineChars="200"/>
        <w:rPr>
          <w:b/>
          <w:bCs/>
          <w:color w:val="auto"/>
        </w:rPr>
      </w:pPr>
      <w:r>
        <w:rPr>
          <w:rFonts w:hint="eastAsia" w:ascii="宋体" w:hAnsi="宋体"/>
          <w:b/>
          <w:bCs/>
          <w:color w:val="auto"/>
        </w:rPr>
        <w:t>一、本公司已充分知悉</w:t>
      </w:r>
      <w:r>
        <w:rPr>
          <w:rFonts w:hint="eastAsia"/>
          <w:b/>
          <w:bCs/>
          <w:color w:val="auto"/>
        </w:rPr>
        <w:t>“</w:t>
      </w:r>
      <w:r>
        <w:rPr>
          <w:rFonts w:hint="eastAsia" w:ascii="宋体" w:hAnsi="宋体"/>
          <w:b/>
          <w:bCs/>
          <w:color w:val="auto"/>
        </w:rPr>
        <w:t>隐瞒真实情况，提供虚假资料</w:t>
      </w:r>
      <w:r>
        <w:rPr>
          <w:rFonts w:hint="eastAsia"/>
          <w:b/>
          <w:bCs/>
          <w:color w:val="auto"/>
        </w:rPr>
        <w:t>”</w:t>
      </w:r>
      <w:r>
        <w:rPr>
          <w:rFonts w:hint="eastAsia" w:ascii="宋体" w:hAnsi="宋体"/>
          <w:b/>
          <w:bCs/>
          <w:color w:val="auto"/>
        </w:rPr>
        <w:t>的法定情形，相关情形包括但不限于：</w:t>
      </w:r>
    </w:p>
    <w:p w14:paraId="531693AE">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（一）通过转让或者租借等方式从其他单位获取资格或者资质证书投标的。</w:t>
      </w:r>
    </w:p>
    <w:p w14:paraId="26519E1C">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（二）由其他单位或者其他单位负责人在投标供应商编制的投标文件上加盖印章或者签字的。</w:t>
      </w:r>
    </w:p>
    <w:p w14:paraId="6E1CC16E">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（三）项目负责人或者主要技术人员不是本单位人员的。</w:t>
      </w:r>
    </w:p>
    <w:p w14:paraId="34FFA90B">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（四）投标保证金不是从投标供应商基本账户转出的。</w:t>
      </w:r>
    </w:p>
    <w:p w14:paraId="42271285">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（五）其他隐瞒真实情况、提供虚假资料的行为。</w:t>
      </w:r>
    </w:p>
    <w:p w14:paraId="749F9F69">
      <w:pPr>
        <w:spacing w:line="360" w:lineRule="auto"/>
        <w:ind w:firstLine="422" w:firstLineChars="200"/>
        <w:rPr>
          <w:b/>
          <w:bCs/>
          <w:color w:val="auto"/>
        </w:rPr>
      </w:pPr>
      <w:r>
        <w:rPr>
          <w:rFonts w:hint="eastAsia" w:ascii="宋体" w:hAnsi="宋体"/>
          <w:b/>
          <w:bCs/>
          <w:color w:val="auto"/>
        </w:rPr>
        <w:t>二、本公司已充分知悉</w:t>
      </w:r>
      <w:r>
        <w:rPr>
          <w:rFonts w:hint="eastAsia"/>
          <w:b/>
          <w:bCs/>
          <w:color w:val="auto"/>
        </w:rPr>
        <w:t>“</w:t>
      </w:r>
      <w:r>
        <w:rPr>
          <w:rFonts w:hint="eastAsia" w:ascii="宋体" w:hAnsi="宋体"/>
          <w:b/>
          <w:bCs/>
          <w:color w:val="auto"/>
        </w:rPr>
        <w:t>与其他采购参加人串通投标</w:t>
      </w:r>
      <w:r>
        <w:rPr>
          <w:rFonts w:hint="eastAsia"/>
          <w:b/>
          <w:bCs/>
          <w:color w:val="auto"/>
        </w:rPr>
        <w:t>”</w:t>
      </w:r>
      <w:r>
        <w:rPr>
          <w:rFonts w:hint="eastAsia" w:ascii="宋体" w:hAnsi="宋体"/>
          <w:b/>
          <w:bCs/>
          <w:color w:val="auto"/>
        </w:rPr>
        <w:t>的法定情形，相关情形包括但不限于：</w:t>
      </w:r>
    </w:p>
    <w:p w14:paraId="08D3A10D">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（一）投标供应商之间相互约定给予未中标的供应商利益补偿。</w:t>
      </w:r>
    </w:p>
    <w:p w14:paraId="65A172AF">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（二）不同投标供应商的法定代表人、主要经营负责人、项目投标授权代表人、项目负责人、主要技术人员为同一人、属同一单位或者在同一单位缴纳社会保险。</w:t>
      </w:r>
    </w:p>
    <w:p w14:paraId="68284608">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（三）不同投标供应商的投标文件由同一单位或者同一人编制，或者由同一人分阶段参与编制的。</w:t>
      </w:r>
    </w:p>
    <w:p w14:paraId="51E35768">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（四）不同投标供应商的投标文件或部分投标文件相互混装。</w:t>
      </w:r>
    </w:p>
    <w:p w14:paraId="7FEF4191">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（五）不同投标供应商的投标文件内容存在非正常一致。</w:t>
      </w:r>
    </w:p>
    <w:p w14:paraId="2AD87E24">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（六）由同一单位工作人员为两家以上（含两家）供应商进行同一项投标活动的。</w:t>
      </w:r>
    </w:p>
    <w:p w14:paraId="01853782">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（七）不同投标人的投标报价呈规律性差异。</w:t>
      </w:r>
    </w:p>
    <w:p w14:paraId="7A37442F">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（八）不同投标人的投标保证金从同一单位或者个人的账户转出。</w:t>
      </w:r>
    </w:p>
    <w:p w14:paraId="5157158E">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（九）主管部门依照法律、法规认定的其他情形。</w:t>
      </w:r>
    </w:p>
    <w:p w14:paraId="3910694F">
      <w:pPr>
        <w:spacing w:line="360" w:lineRule="auto"/>
        <w:ind w:firstLine="422" w:firstLineChars="200"/>
        <w:rPr>
          <w:b/>
          <w:bCs/>
          <w:color w:val="auto"/>
        </w:rPr>
      </w:pPr>
      <w:r>
        <w:rPr>
          <w:rFonts w:hint="eastAsia" w:ascii="宋体" w:hAnsi="宋体"/>
          <w:b/>
          <w:bCs/>
          <w:color w:val="auto"/>
        </w:rPr>
        <w:t>三、本公司已充分知悉下列情形所对应的法律风险，并在投标前已对相关风险事项进行排查。</w:t>
      </w:r>
    </w:p>
    <w:p w14:paraId="71714F5F">
      <w:pPr>
        <w:autoSpaceDE w:val="0"/>
        <w:autoSpaceDN w:val="0"/>
        <w:spacing w:line="360" w:lineRule="auto"/>
        <w:ind w:firstLine="404" w:firstLineChars="200"/>
        <w:rPr>
          <w:rFonts w:hint="eastAsia" w:ascii="宋体" w:hAnsi="宋体"/>
          <w:b/>
          <w:bCs/>
          <w:color w:val="auto"/>
          <w:spacing w:val="-4"/>
          <w:kern w:val="0"/>
        </w:rPr>
      </w:pPr>
      <w:r>
        <w:rPr>
          <w:rFonts w:hint="eastAsia" w:ascii="宋体" w:hAnsi="宋体"/>
          <w:color w:val="auto"/>
          <w:spacing w:val="-4"/>
          <w:kern w:val="0"/>
        </w:rPr>
        <w:t>（一）对于从其他主体获取的投标资料，供应商应审慎核查，确保投标资料的真实性。</w:t>
      </w:r>
      <w:r>
        <w:rPr>
          <w:rFonts w:hint="eastAsia" w:ascii="宋体" w:hAnsi="宋体"/>
          <w:b/>
          <w:bCs/>
          <w:color w:val="auto"/>
          <w:spacing w:val="-4"/>
          <w:kern w:val="0"/>
        </w:rPr>
        <w:t>如主管部门查实投标文件中存在虚假资料的，无论相关资料是否由第三方或本公司员工提供，均不影响主管部门对供应商存在“隐瞒真实情况，提供虚假资料”违法行为的认定。</w:t>
      </w:r>
    </w:p>
    <w:p w14:paraId="3707DB32">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（二）对于涉及国家机关出具的公文、证件、证明材料等文件，一旦涉嫌虚假，经查实，主管部门将依法从严处理，并移送有关部门追究法律责任；涉嫌犯罪的，主管部门将一并移送司法机关追究法律责任。</w:t>
      </w:r>
    </w:p>
    <w:p w14:paraId="7681BDA3">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（三）对于涉及安全生产、特种作业、抢险救灾、防疫等政府采购项目，供应商实施提供虚假资料、串通投标等违法行为的，主管部门将依法从严处理。</w:t>
      </w:r>
    </w:p>
    <w:p w14:paraId="15F8F0EB">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3E766727">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五）供应商对投标电子密钥负有妥善保管、及时变更和续期等主体责任。供应商使用电子密钥在新疆政府采购网站进行的活动，均具有法律效力，须承担相应的法律后果。供应商擅自将投标密钥出借他人使用所造成的法律后果，由供应商自行承担。</w:t>
      </w:r>
    </w:p>
    <w:p w14:paraId="7E803527">
      <w:pPr>
        <w:pStyle w:val="37"/>
        <w:autoSpaceDE w:val="0"/>
        <w:autoSpaceDN w:val="0"/>
        <w:spacing w:before="0" w:beforeAutospacing="0" w:after="0" w:afterAutospacing="0" w:line="360" w:lineRule="auto"/>
        <w:ind w:firstLine="404" w:firstLineChars="200"/>
        <w:jc w:val="both"/>
        <w:rPr>
          <w:rFonts w:hint="eastAsia"/>
          <w:color w:val="auto"/>
          <w:spacing w:val="-4"/>
          <w:sz w:val="21"/>
          <w:szCs w:val="21"/>
        </w:rPr>
      </w:pPr>
      <w:r>
        <w:rPr>
          <w:rFonts w:hint="eastAsia"/>
          <w:color w:val="auto"/>
          <w:spacing w:val="-4"/>
          <w:sz w:val="21"/>
          <w:szCs w:val="21"/>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4F924FB8">
      <w:pPr>
        <w:pStyle w:val="37"/>
        <w:autoSpaceDE w:val="0"/>
        <w:autoSpaceDN w:val="0"/>
        <w:spacing w:before="0" w:beforeAutospacing="0" w:after="0" w:afterAutospacing="0" w:line="360" w:lineRule="auto"/>
        <w:ind w:firstLine="422" w:firstLineChars="200"/>
        <w:jc w:val="both"/>
        <w:rPr>
          <w:rFonts w:hint="eastAsia"/>
          <w:b/>
          <w:bCs/>
          <w:color w:val="auto"/>
          <w:sz w:val="21"/>
          <w:szCs w:val="21"/>
        </w:rPr>
      </w:pPr>
      <w:r>
        <w:rPr>
          <w:rFonts w:hint="eastAsia"/>
          <w:b/>
          <w:bCs/>
          <w:color w:val="auto"/>
          <w:sz w:val="21"/>
          <w:szCs w:val="21"/>
        </w:rPr>
        <w:t>四、本公司已充分知悉政府采购违法、违规行为的法律后果。</w:t>
      </w:r>
    </w:p>
    <w:p w14:paraId="6CA1DEDE">
      <w:pPr>
        <w:pStyle w:val="37"/>
        <w:autoSpaceDE w:val="0"/>
        <w:autoSpaceDN w:val="0"/>
        <w:spacing w:before="0" w:beforeAutospacing="0" w:after="0" w:afterAutospacing="0" w:line="360" w:lineRule="auto"/>
        <w:ind w:firstLine="404" w:firstLineChars="200"/>
        <w:jc w:val="both"/>
        <w:rPr>
          <w:rFonts w:hint="eastAsia"/>
          <w:b/>
          <w:bCs/>
          <w:color w:val="auto"/>
          <w:spacing w:val="-4"/>
          <w:sz w:val="21"/>
          <w:szCs w:val="21"/>
        </w:rPr>
      </w:pPr>
      <w:r>
        <w:rPr>
          <w:rFonts w:hint="eastAsia"/>
          <w:color w:val="auto"/>
          <w:spacing w:val="-4"/>
          <w:sz w:val="21"/>
          <w:szCs w:val="21"/>
        </w:rPr>
        <w:t>经查实，若投标供应商存在政府采购违法、违规行为，财政主管部门将依据政府采购法律法规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r>
        <w:rPr>
          <w:rFonts w:hint="eastAsia"/>
          <w:b/>
          <w:bCs/>
          <w:color w:val="auto"/>
          <w:spacing w:val="-4"/>
          <w:sz w:val="21"/>
          <w:szCs w:val="21"/>
        </w:rPr>
        <w:t>以下文字请投标供应商抄写并确认：“本公司已仔细阅读《政府采购违法行为风险知悉确认书》，充分知悉违法行为的法律后果，并承诺将严谨、诚信、依法依规参与政府采购活动”。</w:t>
      </w:r>
    </w:p>
    <w:tbl>
      <w:tblPr>
        <w:tblStyle w:val="42"/>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9"/>
      </w:tblGrid>
      <w:tr w14:paraId="0877478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D0EC30E">
            <w:pPr>
              <w:pStyle w:val="37"/>
              <w:autoSpaceDE w:val="0"/>
              <w:autoSpaceDN w:val="0"/>
              <w:spacing w:before="0" w:beforeAutospacing="0" w:after="0" w:afterAutospacing="0" w:line="360" w:lineRule="auto"/>
              <w:jc w:val="both"/>
              <w:rPr>
                <w:rFonts w:hint="eastAsia"/>
                <w:color w:val="auto"/>
                <w:spacing w:val="-4"/>
                <w:sz w:val="21"/>
                <w:szCs w:val="21"/>
              </w:rPr>
            </w:pPr>
          </w:p>
        </w:tc>
      </w:tr>
      <w:tr w14:paraId="2D9D0F6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323CCD6">
            <w:pPr>
              <w:pStyle w:val="37"/>
              <w:autoSpaceDE w:val="0"/>
              <w:autoSpaceDN w:val="0"/>
              <w:spacing w:before="0" w:beforeAutospacing="0" w:after="0" w:afterAutospacing="0" w:line="360" w:lineRule="auto"/>
              <w:jc w:val="both"/>
              <w:rPr>
                <w:rFonts w:hint="eastAsia"/>
                <w:color w:val="auto"/>
                <w:spacing w:val="-4"/>
                <w:sz w:val="21"/>
                <w:szCs w:val="21"/>
              </w:rPr>
            </w:pPr>
          </w:p>
        </w:tc>
      </w:tr>
      <w:tr w14:paraId="72CB475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4606F4D4">
            <w:pPr>
              <w:pStyle w:val="37"/>
              <w:autoSpaceDE w:val="0"/>
              <w:autoSpaceDN w:val="0"/>
              <w:spacing w:before="0" w:beforeAutospacing="0" w:after="0" w:afterAutospacing="0" w:line="360" w:lineRule="auto"/>
              <w:jc w:val="both"/>
              <w:rPr>
                <w:rFonts w:hint="eastAsia"/>
                <w:color w:val="auto"/>
                <w:spacing w:val="-4"/>
                <w:sz w:val="21"/>
                <w:szCs w:val="21"/>
              </w:rPr>
            </w:pPr>
          </w:p>
        </w:tc>
      </w:tr>
      <w:tr w14:paraId="2CF5022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c>
          <w:tcPr>
            <w:tcW w:w="8529" w:type="dxa"/>
            <w:tcBorders>
              <w:top w:val="single" w:color="000000" w:sz="8" w:space="0"/>
              <w:left w:val="nil"/>
              <w:bottom w:val="single" w:color="auto" w:sz="8" w:space="0"/>
              <w:right w:val="nil"/>
            </w:tcBorders>
          </w:tcPr>
          <w:p w14:paraId="50BD9831">
            <w:pPr>
              <w:pStyle w:val="37"/>
              <w:autoSpaceDE w:val="0"/>
              <w:autoSpaceDN w:val="0"/>
              <w:spacing w:before="0" w:beforeAutospacing="0" w:after="0" w:afterAutospacing="0" w:line="360" w:lineRule="auto"/>
              <w:jc w:val="both"/>
              <w:rPr>
                <w:rFonts w:hint="eastAsia"/>
                <w:color w:val="auto"/>
                <w:spacing w:val="-4"/>
                <w:sz w:val="21"/>
                <w:szCs w:val="21"/>
              </w:rPr>
            </w:pPr>
          </w:p>
        </w:tc>
      </w:tr>
    </w:tbl>
    <w:p w14:paraId="5AC02EE2">
      <w:pPr>
        <w:pStyle w:val="37"/>
        <w:autoSpaceDE w:val="0"/>
        <w:autoSpaceDN w:val="0"/>
        <w:spacing w:before="0" w:beforeAutospacing="0" w:after="0" w:afterAutospacing="0" w:line="360" w:lineRule="auto"/>
        <w:jc w:val="both"/>
        <w:rPr>
          <w:rFonts w:hint="eastAsia"/>
          <w:b/>
          <w:bCs/>
          <w:color w:val="auto"/>
          <w:spacing w:val="-4"/>
          <w:sz w:val="21"/>
          <w:szCs w:val="21"/>
        </w:rPr>
      </w:pPr>
      <w:r>
        <w:rPr>
          <w:rFonts w:hint="eastAsia"/>
          <w:b/>
          <w:bCs/>
          <w:color w:val="auto"/>
          <w:spacing w:val="-4"/>
          <w:sz w:val="21"/>
          <w:szCs w:val="21"/>
        </w:rPr>
        <w:t>注：1.政府采购违法行为风险知悉确认书为必填项，但不作为资格性审查及符合性审查条件。</w:t>
      </w:r>
    </w:p>
    <w:p w14:paraId="6A9A8BBB">
      <w:pPr>
        <w:pStyle w:val="37"/>
        <w:autoSpaceDE w:val="0"/>
        <w:autoSpaceDN w:val="0"/>
        <w:spacing w:before="0" w:beforeAutospacing="0" w:after="0" w:afterAutospacing="0" w:line="360" w:lineRule="auto"/>
        <w:ind w:firstLine="406" w:firstLineChars="200"/>
        <w:jc w:val="both"/>
        <w:rPr>
          <w:rFonts w:hint="eastAsia"/>
          <w:color w:val="auto"/>
          <w:spacing w:val="-4"/>
          <w:sz w:val="21"/>
          <w:szCs w:val="21"/>
        </w:rPr>
      </w:pPr>
      <w:r>
        <w:rPr>
          <w:rFonts w:hint="eastAsia"/>
          <w:b/>
          <w:bCs/>
          <w:color w:val="auto"/>
          <w:spacing w:val="-4"/>
          <w:sz w:val="21"/>
          <w:szCs w:val="21"/>
        </w:rPr>
        <w:t>2.投标供应商负责人或投标授权代表签字并加盖单位公章后，扫描上传至投标文件一并提交。</w:t>
      </w:r>
    </w:p>
    <w:p w14:paraId="1D9CE6D8">
      <w:pPr>
        <w:pStyle w:val="37"/>
        <w:wordWrap w:val="0"/>
        <w:autoSpaceDE w:val="0"/>
        <w:autoSpaceDN w:val="0"/>
        <w:spacing w:before="0" w:beforeAutospacing="0" w:after="0" w:afterAutospacing="0" w:line="360" w:lineRule="auto"/>
        <w:ind w:firstLine="404" w:firstLineChars="200"/>
        <w:jc w:val="center"/>
        <w:rPr>
          <w:rFonts w:hint="eastAsia"/>
          <w:color w:val="auto"/>
          <w:spacing w:val="-4"/>
          <w:sz w:val="21"/>
          <w:szCs w:val="21"/>
        </w:rPr>
      </w:pPr>
      <w:r>
        <w:rPr>
          <w:rFonts w:hint="eastAsia"/>
          <w:color w:val="auto"/>
          <w:spacing w:val="-4"/>
          <w:sz w:val="21"/>
          <w:szCs w:val="21"/>
        </w:rPr>
        <w:t xml:space="preserve">                                       </w:t>
      </w:r>
    </w:p>
    <w:p w14:paraId="45233B32">
      <w:pPr>
        <w:pStyle w:val="37"/>
        <w:wordWrap w:val="0"/>
        <w:autoSpaceDE w:val="0"/>
        <w:autoSpaceDN w:val="0"/>
        <w:spacing w:before="0" w:beforeAutospacing="0" w:after="0" w:afterAutospacing="0" w:line="360" w:lineRule="auto"/>
        <w:ind w:firstLine="404" w:firstLineChars="200"/>
        <w:jc w:val="center"/>
        <w:rPr>
          <w:rFonts w:hint="eastAsia"/>
          <w:color w:val="auto"/>
          <w:spacing w:val="-4"/>
          <w:sz w:val="21"/>
          <w:szCs w:val="21"/>
        </w:rPr>
      </w:pPr>
      <w:r>
        <w:rPr>
          <w:rFonts w:hint="eastAsia"/>
          <w:color w:val="auto"/>
          <w:spacing w:val="-4"/>
          <w:sz w:val="21"/>
          <w:szCs w:val="21"/>
        </w:rPr>
        <w:t xml:space="preserve">                                      负责人/投标授权代表签名：     </w:t>
      </w:r>
    </w:p>
    <w:p w14:paraId="0B9A469F">
      <w:pPr>
        <w:pStyle w:val="37"/>
        <w:wordWrap w:val="0"/>
        <w:autoSpaceDE w:val="0"/>
        <w:autoSpaceDN w:val="0"/>
        <w:spacing w:before="0" w:beforeAutospacing="0" w:after="0" w:afterAutospacing="0" w:line="360" w:lineRule="auto"/>
        <w:ind w:firstLine="404" w:firstLineChars="200"/>
        <w:jc w:val="center"/>
        <w:rPr>
          <w:rFonts w:hint="eastAsia"/>
          <w:color w:val="auto"/>
          <w:spacing w:val="-4"/>
          <w:sz w:val="21"/>
          <w:szCs w:val="21"/>
        </w:rPr>
      </w:pPr>
      <w:r>
        <w:rPr>
          <w:rFonts w:hint="eastAsia"/>
          <w:color w:val="auto"/>
          <w:spacing w:val="-4"/>
          <w:sz w:val="21"/>
          <w:szCs w:val="21"/>
        </w:rPr>
        <w:t xml:space="preserve">                              知悉人（公章）：     </w:t>
      </w:r>
    </w:p>
    <w:p w14:paraId="0632DEC6">
      <w:pPr>
        <w:pStyle w:val="37"/>
        <w:wordWrap w:val="0"/>
        <w:autoSpaceDE w:val="0"/>
        <w:autoSpaceDN w:val="0"/>
        <w:spacing w:before="0" w:beforeAutospacing="0" w:after="0" w:afterAutospacing="0" w:line="360" w:lineRule="auto"/>
        <w:ind w:firstLine="404" w:firstLineChars="200"/>
        <w:jc w:val="center"/>
        <w:rPr>
          <w:rFonts w:hint="eastAsia"/>
          <w:color w:val="auto"/>
          <w:spacing w:val="-4"/>
          <w:sz w:val="21"/>
          <w:szCs w:val="21"/>
        </w:rPr>
      </w:pPr>
      <w:r>
        <w:rPr>
          <w:rFonts w:hint="eastAsia"/>
          <w:color w:val="auto"/>
          <w:spacing w:val="-4"/>
          <w:sz w:val="21"/>
          <w:szCs w:val="21"/>
        </w:rPr>
        <w:t xml:space="preserve">                    日期：     </w:t>
      </w:r>
    </w:p>
    <w:p w14:paraId="0CFEBE69">
      <w:pPr>
        <w:outlineLvl w:val="1"/>
        <w:rPr>
          <w:rFonts w:ascii="黑体" w:eastAsia="黑体"/>
          <w:b/>
          <w:color w:val="auto"/>
          <w:kern w:val="0"/>
          <w:sz w:val="24"/>
        </w:rPr>
      </w:pPr>
      <w:r>
        <w:rPr>
          <w:rFonts w:hint="eastAsia" w:ascii="宋体" w:hAnsi="宋体"/>
          <w:b/>
          <w:color w:val="auto"/>
          <w:sz w:val="28"/>
          <w:szCs w:val="28"/>
        </w:rPr>
        <w:t>投标文件正文</w:t>
      </w:r>
    </w:p>
    <w:p w14:paraId="2EA98465">
      <w:pPr>
        <w:pStyle w:val="5"/>
        <w:ind w:firstLine="361"/>
        <w:jc w:val="center"/>
        <w:rPr>
          <w:rFonts w:ascii="黑体" w:eastAsia="黑体"/>
          <w:b/>
          <w:bCs w:val="0"/>
          <w:color w:val="auto"/>
          <w:kern w:val="0"/>
          <w:sz w:val="24"/>
        </w:rPr>
      </w:pPr>
      <w:r>
        <w:rPr>
          <w:rFonts w:hint="eastAsia" w:ascii="黑体" w:eastAsia="黑体"/>
          <w:b/>
          <w:bCs w:val="0"/>
          <w:color w:val="auto"/>
          <w:kern w:val="0"/>
          <w:sz w:val="24"/>
        </w:rPr>
        <w:t>一、投标函</w:t>
      </w:r>
    </w:p>
    <w:p w14:paraId="3444DF72">
      <w:pPr>
        <w:spacing w:line="360" w:lineRule="auto"/>
        <w:rPr>
          <w:rFonts w:hint="eastAsia" w:ascii="宋体" w:hAnsi="宋体"/>
          <w:color w:val="auto"/>
        </w:rPr>
      </w:pPr>
      <w:r>
        <w:rPr>
          <w:rFonts w:hint="eastAsia" w:ascii="宋体" w:hAnsi="宋体"/>
          <w:color w:val="auto"/>
        </w:rPr>
        <w:t>致：</w:t>
      </w:r>
      <w:r>
        <w:rPr>
          <w:rFonts w:hint="eastAsia" w:ascii="宋体" w:hAnsi="宋体"/>
          <w:color w:val="auto"/>
          <w:u w:val="single"/>
        </w:rPr>
        <w:t xml:space="preserve">  巴音郭楞蒙古自治州政务服务和公共资源交易中心  </w:t>
      </w:r>
      <w:r>
        <w:rPr>
          <w:rFonts w:hint="eastAsia" w:ascii="宋体" w:hAnsi="宋体"/>
          <w:color w:val="auto"/>
        </w:rPr>
        <w:t xml:space="preserve"> </w:t>
      </w:r>
      <w:r>
        <w:rPr>
          <w:rFonts w:hint="eastAsia" w:ascii="宋体" w:hAnsi="宋体"/>
          <w:color w:val="auto"/>
          <w:u w:val="single"/>
        </w:rPr>
        <w:t xml:space="preserve">  </w:t>
      </w:r>
    </w:p>
    <w:p w14:paraId="6C1FF46B">
      <w:pPr>
        <w:ind w:firstLine="420" w:firstLineChars="200"/>
        <w:rPr>
          <w:rFonts w:hint="eastAsia" w:ascii="宋体" w:hAnsi="宋体"/>
          <w:color w:val="auto"/>
        </w:rPr>
      </w:pPr>
      <w:bookmarkStart w:id="76" w:name="_Hlk73818812"/>
      <w:r>
        <w:rPr>
          <w:rFonts w:hint="eastAsia"/>
          <w:color w:val="auto"/>
        </w:rPr>
        <w:t>1、根据已收到贵单位的项目编号为</w:t>
      </w:r>
      <w:r>
        <w:rPr>
          <w:color w:val="auto"/>
          <w:u w:val="single"/>
        </w:rPr>
        <w:t xml:space="preserve">   </w:t>
      </w:r>
      <w:r>
        <w:rPr>
          <w:rFonts w:hint="eastAsia"/>
          <w:color w:val="auto"/>
          <w:u w:val="single"/>
        </w:rPr>
        <w:t xml:space="preserve">     </w:t>
      </w:r>
      <w:r>
        <w:rPr>
          <w:rFonts w:hint="eastAsia"/>
          <w:color w:val="auto"/>
        </w:rPr>
        <w:t>的</w:t>
      </w:r>
      <w:r>
        <w:rPr>
          <w:rFonts w:hint="eastAsia"/>
          <w:color w:val="auto"/>
          <w:u w:val="single"/>
        </w:rPr>
        <w:t xml:space="preserve">               </w:t>
      </w:r>
      <w:r>
        <w:rPr>
          <w:rFonts w:hint="eastAsia"/>
          <w:color w:val="auto"/>
        </w:rPr>
        <w:t>项目的招标文件，遵照《政府采购法》和《政府采购法实施条例》等有关规定，我单位经研究上述招标文件的专用条款及通用条款后，</w:t>
      </w:r>
      <w:bookmarkStart w:id="77" w:name="_Hlk72263588"/>
      <w:r>
        <w:rPr>
          <w:rFonts w:hint="eastAsia"/>
          <w:color w:val="auto"/>
        </w:rPr>
        <w:t>愿意按照招标文件要求承包上述项目并修补其任何缺陷。</w:t>
      </w:r>
      <w:bookmarkEnd w:id="77"/>
    </w:p>
    <w:p w14:paraId="50877B86">
      <w:pPr>
        <w:ind w:firstLine="420" w:firstLineChars="200"/>
        <w:rPr>
          <w:rFonts w:hint="eastAsia" w:ascii="宋体" w:hAnsi="宋体"/>
          <w:color w:val="auto"/>
        </w:rPr>
      </w:pPr>
      <w:r>
        <w:rPr>
          <w:rFonts w:ascii="宋体" w:hAnsi="宋体"/>
          <w:color w:val="auto"/>
        </w:rPr>
        <w:t>2</w:t>
      </w:r>
      <w:r>
        <w:rPr>
          <w:rFonts w:hint="eastAsia" w:ascii="宋体" w:hAnsi="宋体"/>
          <w:color w:val="auto"/>
        </w:rPr>
        <w:t>、投标价格见</w:t>
      </w:r>
      <w:r>
        <w:rPr>
          <w:rFonts w:hint="eastAsia"/>
          <w:color w:val="auto"/>
        </w:rPr>
        <w:t>投标书编制软件中《开标一览表》中填写的投标报价。</w:t>
      </w:r>
    </w:p>
    <w:p w14:paraId="63AAD370">
      <w:pPr>
        <w:ind w:firstLine="420" w:firstLineChars="200"/>
        <w:rPr>
          <w:rFonts w:hint="eastAsia" w:ascii="宋体" w:hAnsi="宋体"/>
          <w:color w:val="auto"/>
        </w:rPr>
      </w:pPr>
      <w:r>
        <w:rPr>
          <w:rFonts w:hint="eastAsia" w:ascii="宋体" w:hAnsi="宋体"/>
          <w:color w:val="auto"/>
        </w:rPr>
        <w:t>3、如果我单位中标，我单位将按照招标文件的要求提交履约担保。</w:t>
      </w:r>
    </w:p>
    <w:p w14:paraId="7C4E9D65">
      <w:pPr>
        <w:ind w:firstLine="420" w:firstLineChars="200"/>
        <w:rPr>
          <w:rFonts w:hint="eastAsia" w:ascii="宋体" w:hAnsi="宋体"/>
          <w:color w:val="auto"/>
        </w:rPr>
      </w:pPr>
      <w:r>
        <w:rPr>
          <w:rFonts w:hint="eastAsia" w:ascii="宋体" w:hAnsi="宋体"/>
          <w:color w:val="auto"/>
        </w:rPr>
        <w:t>4、我单位同意所递交的投标文件在“对通用条款的补充内容”中明确的投标有效期内有效，在此期间内我单位的投标有可能中标，我方将受此约束。</w:t>
      </w:r>
    </w:p>
    <w:p w14:paraId="31376B5E">
      <w:pPr>
        <w:ind w:firstLine="420" w:firstLineChars="200"/>
        <w:rPr>
          <w:rFonts w:hint="eastAsia" w:ascii="宋体" w:hAnsi="宋体"/>
          <w:color w:val="auto"/>
        </w:rPr>
      </w:pPr>
      <w:r>
        <w:rPr>
          <w:rFonts w:hint="eastAsia" w:ascii="宋体" w:hAnsi="宋体"/>
          <w:color w:val="auto"/>
        </w:rPr>
        <w:t>5、除非另外达成协议并生效，贵单位的中标通知书和本投标文件将构成合同的重要内容。</w:t>
      </w:r>
    </w:p>
    <w:p w14:paraId="62ED86FC">
      <w:pPr>
        <w:ind w:left="525" w:leftChars="200" w:hanging="105" w:hangingChars="50"/>
        <w:rPr>
          <w:rFonts w:hint="eastAsia" w:ascii="宋体" w:hAnsi="宋体"/>
          <w:color w:val="auto"/>
        </w:rPr>
      </w:pPr>
      <w:r>
        <w:rPr>
          <w:rFonts w:hint="eastAsia" w:ascii="宋体" w:hAnsi="宋体"/>
          <w:color w:val="auto"/>
        </w:rPr>
        <w:t>6、我单位理解贵单位将不受必须接受所收到的最低报价或其它任何投标文件的约束。</w:t>
      </w:r>
      <w:bookmarkEnd w:id="76"/>
    </w:p>
    <w:p w14:paraId="6C42FB24">
      <w:pPr>
        <w:ind w:firstLine="420" w:firstLineChars="200"/>
        <w:rPr>
          <w:rFonts w:hint="eastAsia" w:ascii="宋体" w:hAnsi="宋体"/>
          <w:color w:val="auto"/>
        </w:rPr>
      </w:pPr>
      <w:r>
        <w:rPr>
          <w:rFonts w:hint="eastAsia" w:ascii="宋体" w:hAnsi="宋体"/>
          <w:color w:val="auto"/>
        </w:rPr>
        <w:t>7.如我单位提交样品，且未在规定时间内取回样品的，视同放弃取回，同意巴州政务服务和公共资源交易中心对我单位提交的样品进行清理。</w:t>
      </w:r>
    </w:p>
    <w:p w14:paraId="0540D3EE">
      <w:pPr>
        <w:ind w:firstLine="420" w:firstLineChars="200"/>
        <w:rPr>
          <w:color w:val="auto"/>
          <w:u w:val="single"/>
        </w:rPr>
      </w:pPr>
      <w:r>
        <w:rPr>
          <w:rFonts w:hint="eastAsia"/>
          <w:color w:val="auto"/>
        </w:rPr>
        <w:t>投标人：</w:t>
      </w:r>
      <w:r>
        <w:rPr>
          <w:rFonts w:hint="eastAsia"/>
          <w:color w:val="auto"/>
          <w:u w:val="single"/>
        </w:rPr>
        <w:t xml:space="preserve">                   </w:t>
      </w:r>
      <w:r>
        <w:rPr>
          <w:rFonts w:hint="eastAsia"/>
          <w:color w:val="auto"/>
        </w:rPr>
        <w:t xml:space="preserve">    单位地址：</w:t>
      </w:r>
      <w:r>
        <w:rPr>
          <w:rFonts w:hint="eastAsia"/>
          <w:color w:val="auto"/>
          <w:u w:val="single"/>
        </w:rPr>
        <w:t xml:space="preserve">               </w:t>
      </w:r>
    </w:p>
    <w:p w14:paraId="366BD5F5">
      <w:pPr>
        <w:ind w:left="540" w:leftChars="257"/>
        <w:rPr>
          <w:color w:val="auto"/>
          <w:u w:val="single"/>
        </w:rPr>
      </w:pPr>
      <w:r>
        <w:rPr>
          <w:rFonts w:hint="eastAsia"/>
          <w:color w:val="auto"/>
        </w:rPr>
        <w:t>法定代表人（负责人）或其委托代理人：</w:t>
      </w:r>
      <w:r>
        <w:rPr>
          <w:rFonts w:hint="eastAsia"/>
          <w:color w:val="auto"/>
          <w:u w:val="single"/>
        </w:rPr>
        <w:t xml:space="preserve">                   </w:t>
      </w:r>
    </w:p>
    <w:p w14:paraId="42A02A03">
      <w:pPr>
        <w:ind w:left="540" w:leftChars="257"/>
        <w:rPr>
          <w:color w:val="auto"/>
          <w:u w:val="single"/>
        </w:rPr>
      </w:pPr>
      <w:r>
        <w:rPr>
          <w:rFonts w:hint="eastAsia"/>
          <w:color w:val="auto"/>
        </w:rPr>
        <w:t>邮政编码：</w:t>
      </w:r>
      <w:r>
        <w:rPr>
          <w:rFonts w:hint="eastAsia"/>
          <w:color w:val="auto"/>
          <w:u w:val="single"/>
        </w:rPr>
        <w:t xml:space="preserve">          </w:t>
      </w:r>
      <w:r>
        <w:rPr>
          <w:rFonts w:hint="eastAsia"/>
          <w:color w:val="auto"/>
        </w:rPr>
        <w:t xml:space="preserve">  电话：</w:t>
      </w:r>
      <w:r>
        <w:rPr>
          <w:rFonts w:hint="eastAsia"/>
          <w:color w:val="auto"/>
          <w:u w:val="single"/>
        </w:rPr>
        <w:t xml:space="preserve">          </w:t>
      </w:r>
      <w:r>
        <w:rPr>
          <w:rFonts w:hint="eastAsia"/>
          <w:color w:val="auto"/>
        </w:rPr>
        <w:t xml:space="preserve">  邮箱：</w:t>
      </w:r>
      <w:r>
        <w:rPr>
          <w:rFonts w:hint="eastAsia"/>
          <w:color w:val="auto"/>
          <w:u w:val="single"/>
        </w:rPr>
        <w:t xml:space="preserve">            </w:t>
      </w:r>
    </w:p>
    <w:p w14:paraId="4AE68218">
      <w:pPr>
        <w:ind w:left="540" w:leftChars="257"/>
        <w:rPr>
          <w:color w:val="auto"/>
        </w:rPr>
      </w:pPr>
      <w:r>
        <w:rPr>
          <w:rFonts w:hint="eastAsia"/>
          <w:color w:val="auto"/>
        </w:rPr>
        <w:t>开户银行名称：</w:t>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ab/>
      </w:r>
      <w:r>
        <w:rPr>
          <w:rFonts w:hint="eastAsia"/>
          <w:color w:val="auto"/>
        </w:rPr>
        <w:tab/>
      </w:r>
      <w:r>
        <w:rPr>
          <w:rFonts w:hint="eastAsia"/>
          <w:color w:val="auto"/>
        </w:rPr>
        <w:t>开户银行账号：</w:t>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ab/>
      </w:r>
    </w:p>
    <w:p w14:paraId="7316EA9B">
      <w:pPr>
        <w:ind w:left="540" w:leftChars="257"/>
        <w:rPr>
          <w:color w:val="auto"/>
        </w:rPr>
      </w:pPr>
      <w:r>
        <w:rPr>
          <w:rFonts w:hint="eastAsia"/>
          <w:color w:val="auto"/>
        </w:rPr>
        <w:t>开户银行地址：</w:t>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ab/>
      </w:r>
      <w:r>
        <w:rPr>
          <w:rFonts w:hint="eastAsia"/>
          <w:color w:val="auto"/>
        </w:rPr>
        <w:tab/>
      </w:r>
      <w:r>
        <w:rPr>
          <w:rFonts w:hint="eastAsia"/>
          <w:color w:val="auto"/>
        </w:rPr>
        <w:t>开户银行电话：</w:t>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ab/>
      </w:r>
    </w:p>
    <w:p w14:paraId="26419521">
      <w:pPr>
        <w:ind w:firstLine="616" w:firstLineChars="257"/>
        <w:rPr>
          <w:color w:val="auto"/>
          <w:sz w:val="24"/>
        </w:rPr>
      </w:pPr>
      <w:r>
        <w:rPr>
          <w:rFonts w:hint="eastAsia"/>
          <w:color w:val="auto"/>
          <w:sz w:val="24"/>
        </w:rPr>
        <w:t xml:space="preserve">                               </w:t>
      </w:r>
    </w:p>
    <w:p w14:paraId="05F79EC1">
      <w:pPr>
        <w:rPr>
          <w:rFonts w:hint="eastAsia" w:ascii="黑体" w:hAnsi="宋体" w:eastAsia="黑体"/>
          <w:color w:val="auto"/>
        </w:rPr>
      </w:pPr>
      <w:r>
        <w:rPr>
          <w:rFonts w:hint="eastAsia" w:ascii="黑体" w:hAnsi="宋体" w:eastAsia="黑体"/>
          <w:color w:val="auto"/>
        </w:rPr>
        <w:t xml:space="preserve"> </w:t>
      </w:r>
    </w:p>
    <w:p w14:paraId="60754ED7">
      <w:pPr>
        <w:jc w:val="center"/>
        <w:rPr>
          <w:color w:val="auto"/>
        </w:rPr>
      </w:pPr>
      <w:r>
        <w:rPr>
          <w:rFonts w:hint="eastAsia"/>
          <w:color w:val="auto"/>
        </w:rPr>
        <w:t xml:space="preserve">                                                     </w:t>
      </w:r>
      <w:r>
        <w:rPr>
          <w:color w:val="auto"/>
        </w:rPr>
        <w:t>投标人</w:t>
      </w:r>
      <w:r>
        <w:rPr>
          <w:rFonts w:hint="eastAsia"/>
          <w:color w:val="auto"/>
        </w:rPr>
        <w:t>（</w:t>
      </w:r>
      <w:r>
        <w:rPr>
          <w:color w:val="auto"/>
        </w:rPr>
        <w:t>签章</w:t>
      </w:r>
      <w:r>
        <w:rPr>
          <w:rFonts w:hint="eastAsia"/>
          <w:color w:val="auto"/>
        </w:rPr>
        <w:t>）</w:t>
      </w:r>
      <w:r>
        <w:rPr>
          <w:color w:val="auto"/>
        </w:rPr>
        <w:t>：_________________</w:t>
      </w:r>
    </w:p>
    <w:p w14:paraId="658D8B2A">
      <w:pPr>
        <w:jc w:val="center"/>
        <w:rPr>
          <w:color w:val="auto"/>
        </w:rPr>
      </w:pPr>
      <w:r>
        <w:rPr>
          <w:rFonts w:hint="eastAsia"/>
          <w:color w:val="auto"/>
        </w:rPr>
        <w:t xml:space="preserve">                                                 </w:t>
      </w:r>
      <w:r>
        <w:rPr>
          <w:rFonts w:hint="eastAsia" w:ascii="宋体" w:hAnsi="宋体"/>
          <w:color w:val="auto"/>
        </w:rPr>
        <w:t>日期：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r>
        <w:rPr>
          <w:rFonts w:hint="eastAsia"/>
          <w:color w:val="auto"/>
          <w:sz w:val="24"/>
        </w:rPr>
        <w:t xml:space="preserve"> </w:t>
      </w:r>
    </w:p>
    <w:p w14:paraId="6273BEC4">
      <w:pPr>
        <w:pStyle w:val="2"/>
        <w:rPr>
          <w:color w:val="auto"/>
        </w:rPr>
      </w:pPr>
    </w:p>
    <w:p w14:paraId="341FB8A2">
      <w:pPr>
        <w:rPr>
          <w:rFonts w:hint="eastAsia" w:ascii="黑体" w:hAnsi="宋体" w:eastAsia="黑体"/>
          <w:color w:val="auto"/>
        </w:rPr>
      </w:pPr>
    </w:p>
    <w:p w14:paraId="53A18C74">
      <w:pPr>
        <w:pStyle w:val="5"/>
        <w:ind w:firstLine="361"/>
        <w:jc w:val="center"/>
        <w:rPr>
          <w:rFonts w:ascii="黑体" w:eastAsia="黑体"/>
          <w:b/>
          <w:bCs w:val="0"/>
          <w:color w:val="auto"/>
          <w:kern w:val="0"/>
          <w:sz w:val="24"/>
        </w:rPr>
      </w:pPr>
      <w:r>
        <w:rPr>
          <w:rFonts w:hint="eastAsia" w:ascii="黑体" w:eastAsia="黑体"/>
          <w:b/>
          <w:bCs w:val="0"/>
          <w:color w:val="auto"/>
          <w:kern w:val="0"/>
          <w:sz w:val="24"/>
        </w:rPr>
        <w:t>二、政府采购投标及履约承诺函</w:t>
      </w:r>
    </w:p>
    <w:p w14:paraId="0932CD20">
      <w:pPr>
        <w:rPr>
          <w:rFonts w:hint="eastAsia" w:ascii="宋体" w:hAnsi="宋体"/>
          <w:color w:val="auto"/>
          <w:sz w:val="24"/>
        </w:rPr>
      </w:pPr>
    </w:p>
    <w:p w14:paraId="70C256DF">
      <w:pPr>
        <w:rPr>
          <w:rFonts w:hint="eastAsia" w:ascii="宋体" w:hAnsi="宋体"/>
          <w:color w:val="auto"/>
        </w:rPr>
      </w:pPr>
      <w:r>
        <w:rPr>
          <w:rFonts w:hint="eastAsia" w:ascii="宋体" w:hAnsi="宋体"/>
          <w:color w:val="auto"/>
        </w:rPr>
        <w:t>致：</w:t>
      </w:r>
      <w:r>
        <w:rPr>
          <w:rFonts w:hint="eastAsia" w:ascii="宋体" w:hAnsi="宋体"/>
          <w:color w:val="auto"/>
          <w:u w:val="single"/>
        </w:rPr>
        <w:t xml:space="preserve">  巴州政务服务和公共资源交易中心</w:t>
      </w:r>
    </w:p>
    <w:p w14:paraId="77646A5B">
      <w:pPr>
        <w:ind w:right="-815" w:firstLine="420" w:firstLineChars="200"/>
        <w:rPr>
          <w:rFonts w:hint="eastAsia" w:ascii="宋体" w:hAnsi="宋体"/>
          <w:color w:val="auto"/>
        </w:rPr>
      </w:pPr>
      <w:r>
        <w:rPr>
          <w:rFonts w:hint="eastAsia" w:ascii="宋体" w:hAnsi="宋体"/>
          <w:color w:val="auto"/>
        </w:rPr>
        <w:t>我单位承诺：</w:t>
      </w:r>
    </w:p>
    <w:p w14:paraId="656B0EFF">
      <w:pPr>
        <w:ind w:firstLine="420" w:firstLineChars="200"/>
        <w:rPr>
          <w:rFonts w:hint="eastAsia" w:ascii="宋体" w:hAnsi="宋体"/>
          <w:color w:val="auto"/>
        </w:rPr>
      </w:pPr>
      <w:r>
        <w:rPr>
          <w:rFonts w:hint="eastAsia" w:ascii="宋体" w:hAnsi="宋体"/>
          <w:color w:val="auto"/>
        </w:rPr>
        <w:t>1.我单位参与本项目所投标（响应）的货物、工程或服务，不存在侵犯知识产权的情况；已知悉并同意中标（成交）结果信息公示（公开）的内容。</w:t>
      </w:r>
    </w:p>
    <w:p w14:paraId="2848E1FE">
      <w:pPr>
        <w:ind w:firstLine="420" w:firstLineChars="200"/>
        <w:rPr>
          <w:rFonts w:hint="eastAsia" w:ascii="宋体" w:hAnsi="宋体"/>
          <w:color w:val="auto"/>
        </w:rPr>
      </w:pPr>
      <w:r>
        <w:rPr>
          <w:rFonts w:hint="eastAsia" w:ascii="宋体" w:hAnsi="宋体"/>
          <w:color w:val="auto"/>
        </w:rPr>
        <w:t>2.我单位参与本项目投标前三年内，在经营活动中没有因违法经营受到刑事处罚或者责令停产停业、吊销许可证或者执照、较大数额罚款等行政处罚。</w:t>
      </w:r>
    </w:p>
    <w:p w14:paraId="4F9DA684">
      <w:pPr>
        <w:ind w:firstLine="420" w:firstLineChars="200"/>
        <w:rPr>
          <w:rFonts w:hint="eastAsia" w:ascii="宋体" w:hAnsi="宋体"/>
          <w:color w:val="auto"/>
        </w:rPr>
      </w:pPr>
      <w:r>
        <w:rPr>
          <w:rFonts w:hint="eastAsia" w:ascii="宋体" w:hAnsi="宋体"/>
          <w:color w:val="auto"/>
        </w:rPr>
        <w:t>3.我单位参与本项目</w:t>
      </w:r>
      <w:r>
        <w:rPr>
          <w:rFonts w:hint="eastAsia"/>
          <w:color w:val="auto"/>
        </w:rPr>
        <w:t>政府采购活动时不存在被有关部门禁止参与政府采购活动且在有效期内的情况。</w:t>
      </w:r>
    </w:p>
    <w:p w14:paraId="4EA99848">
      <w:pPr>
        <w:ind w:firstLine="420" w:firstLineChars="200"/>
        <w:rPr>
          <w:rFonts w:hint="eastAsia" w:ascii="宋体" w:hAnsi="宋体"/>
          <w:color w:val="auto"/>
        </w:rPr>
      </w:pPr>
      <w:r>
        <w:rPr>
          <w:rFonts w:hint="eastAsia" w:ascii="宋体" w:hAnsi="宋体"/>
          <w:color w:val="auto"/>
        </w:rPr>
        <w:t>4.我单位具备《中华人民共和国政府采购法》第二十二条第一款规定的六项条件。</w:t>
      </w:r>
    </w:p>
    <w:p w14:paraId="28D0FD5E">
      <w:pPr>
        <w:ind w:firstLine="420" w:firstLineChars="200"/>
        <w:rPr>
          <w:rFonts w:hint="eastAsia" w:ascii="宋体" w:hAnsi="宋体"/>
          <w:color w:val="auto"/>
        </w:rPr>
      </w:pPr>
      <w:r>
        <w:rPr>
          <w:rFonts w:hint="eastAsia" w:ascii="宋体" w:hAnsi="宋体"/>
          <w:color w:val="auto"/>
        </w:rPr>
        <w:t>5.我单位</w:t>
      </w:r>
      <w:r>
        <w:rPr>
          <w:rFonts w:hint="eastAsia"/>
          <w:color w:val="auto"/>
        </w:rPr>
        <w:t>未被列入失信被执行人、重大税收违法案件当事人名单、政府采购严重违法失信行为记录名单</w:t>
      </w:r>
    </w:p>
    <w:p w14:paraId="253FF415">
      <w:pPr>
        <w:ind w:firstLine="420" w:firstLineChars="200"/>
        <w:rPr>
          <w:rFonts w:hint="eastAsia" w:ascii="宋体" w:hAnsi="宋体"/>
          <w:color w:val="auto"/>
        </w:rPr>
      </w:pPr>
      <w:r>
        <w:rPr>
          <w:rFonts w:hint="eastAsia" w:ascii="宋体" w:hAnsi="宋体"/>
          <w:color w:val="auto"/>
        </w:rPr>
        <w:t>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13F5DCBC">
      <w:pPr>
        <w:ind w:firstLine="420" w:firstLineChars="200"/>
        <w:rPr>
          <w:rFonts w:hint="eastAsia" w:ascii="宋体" w:hAnsi="宋体"/>
          <w:color w:val="auto"/>
        </w:rPr>
      </w:pPr>
      <w:r>
        <w:rPr>
          <w:rFonts w:hint="eastAsia" w:ascii="宋体" w:hAnsi="宋体"/>
          <w:color w:val="auto"/>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0B370D72">
      <w:pPr>
        <w:ind w:firstLine="420" w:firstLineChars="200"/>
        <w:rPr>
          <w:rFonts w:hint="eastAsia" w:ascii="宋体" w:hAnsi="宋体"/>
          <w:color w:val="auto"/>
        </w:rPr>
      </w:pPr>
      <w:r>
        <w:rPr>
          <w:rFonts w:hint="eastAsia" w:ascii="宋体" w:hAnsi="宋体"/>
          <w:color w:val="auto"/>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A567655">
      <w:pPr>
        <w:ind w:firstLine="420" w:firstLineChars="200"/>
        <w:rPr>
          <w:rFonts w:hint="eastAsia" w:ascii="宋体" w:hAnsi="宋体"/>
          <w:color w:val="auto"/>
        </w:rPr>
      </w:pPr>
      <w:r>
        <w:rPr>
          <w:rFonts w:ascii="宋体" w:hAnsi="宋体"/>
          <w:color w:val="auto"/>
        </w:rPr>
        <w:t>8</w:t>
      </w:r>
      <w:r>
        <w:rPr>
          <w:rFonts w:hint="eastAsia" w:ascii="宋体" w:hAnsi="宋体"/>
          <w:color w:val="auto"/>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3E2C1728">
      <w:pPr>
        <w:ind w:firstLine="420" w:firstLineChars="200"/>
        <w:rPr>
          <w:rFonts w:hint="eastAsia" w:ascii="宋体" w:hAnsi="宋体"/>
          <w:color w:val="auto"/>
        </w:rPr>
      </w:pPr>
      <w:r>
        <w:rPr>
          <w:rFonts w:ascii="宋体" w:hAnsi="宋体"/>
          <w:color w:val="auto"/>
        </w:rPr>
        <w:t>9</w:t>
      </w:r>
      <w:r>
        <w:rPr>
          <w:rFonts w:hint="eastAsia" w:ascii="宋体" w:hAnsi="宋体"/>
          <w:color w:val="auto"/>
        </w:rPr>
        <w:t>.我单位承诺中标后项目不转包，未经采购人同意不进行分包。</w:t>
      </w:r>
    </w:p>
    <w:p w14:paraId="687049B6">
      <w:pPr>
        <w:ind w:firstLine="420" w:firstLineChars="200"/>
        <w:rPr>
          <w:rFonts w:hint="eastAsia" w:ascii="宋体" w:hAnsi="宋体"/>
          <w:color w:val="auto"/>
        </w:rPr>
      </w:pPr>
      <w:r>
        <w:rPr>
          <w:rFonts w:hint="eastAsia" w:ascii="宋体" w:hAnsi="宋体"/>
          <w:color w:val="auto"/>
        </w:rPr>
        <w:t>1</w:t>
      </w:r>
      <w:r>
        <w:rPr>
          <w:rFonts w:ascii="宋体" w:hAnsi="宋体"/>
          <w:color w:val="auto"/>
        </w:rPr>
        <w:t>0.</w:t>
      </w:r>
      <w:r>
        <w:rPr>
          <w:rFonts w:hint="eastAsia" w:ascii="宋体" w:hAnsi="宋体"/>
          <w:color w:val="auto"/>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7AD479D7">
      <w:pPr>
        <w:ind w:firstLine="420" w:firstLineChars="200"/>
        <w:rPr>
          <w:rFonts w:hint="eastAsia" w:ascii="宋体" w:hAnsi="宋体"/>
          <w:color w:val="auto"/>
        </w:rPr>
      </w:pPr>
      <w:r>
        <w:rPr>
          <w:rFonts w:ascii="宋体" w:hAnsi="宋体"/>
          <w:color w:val="auto"/>
        </w:rPr>
        <w:t>11.</w:t>
      </w:r>
      <w:r>
        <w:rPr>
          <w:rFonts w:hint="eastAsia" w:ascii="宋体" w:hAnsi="宋体"/>
          <w:color w:val="auto"/>
        </w:rPr>
        <w:t>我单位保证，若所投货物涉及</w:t>
      </w:r>
      <w:r>
        <w:rPr>
          <w:rFonts w:ascii="宋体" w:hAnsi="宋体"/>
          <w:color w:val="auto"/>
        </w:rPr>
        <w:t>《</w:t>
      </w:r>
      <w:r>
        <w:rPr>
          <w:rFonts w:hint="eastAsia" w:ascii="宋体" w:hAnsi="宋体"/>
          <w:color w:val="auto"/>
        </w:rPr>
        <w:t>财政部生态环境部关于印发节能产品政府采购品目清单的通知》（财库〔20</w:t>
      </w:r>
      <w:r>
        <w:rPr>
          <w:rFonts w:ascii="宋体" w:hAnsi="宋体"/>
          <w:color w:val="auto"/>
        </w:rPr>
        <w:t>19</w:t>
      </w:r>
      <w:r>
        <w:rPr>
          <w:rFonts w:hint="eastAsia" w:ascii="宋体" w:hAnsi="宋体"/>
          <w:color w:val="auto"/>
        </w:rPr>
        <w:t>〕</w:t>
      </w:r>
      <w:r>
        <w:rPr>
          <w:rFonts w:ascii="宋体" w:hAnsi="宋体"/>
          <w:color w:val="auto"/>
        </w:rPr>
        <w:t>19</w:t>
      </w:r>
      <w:r>
        <w:rPr>
          <w:rFonts w:hint="eastAsia" w:ascii="宋体" w:hAnsi="宋体"/>
          <w:color w:val="auto"/>
        </w:rPr>
        <w:t>号）列明的政府采购强制产品，则所投该产品符合节能产品的认证要求。</w:t>
      </w:r>
    </w:p>
    <w:p w14:paraId="78B190DE">
      <w:pPr>
        <w:ind w:firstLine="420" w:firstLineChars="200"/>
        <w:rPr>
          <w:rFonts w:hint="eastAsia" w:ascii="宋体" w:hAnsi="宋体"/>
          <w:color w:val="auto"/>
        </w:rPr>
      </w:pPr>
      <w:r>
        <w:rPr>
          <w:rFonts w:hint="eastAsia" w:ascii="宋体" w:hAnsi="宋体"/>
          <w:color w:val="auto"/>
        </w:rPr>
        <w:t>1</w:t>
      </w:r>
      <w:r>
        <w:rPr>
          <w:rFonts w:ascii="宋体" w:hAnsi="宋体"/>
          <w:color w:val="auto"/>
        </w:rPr>
        <w:t>2.</w:t>
      </w:r>
      <w:r>
        <w:rPr>
          <w:rFonts w:hint="eastAsia" w:ascii="宋体" w:hAnsi="宋体"/>
          <w:color w:val="auto"/>
        </w:rPr>
        <w:t>我单位保证，不存在“单位负责人为同一人或者存在直接控股、管理关系的不同供应商，不得参加同一合同项下的政府采购活动；为采购项目提供整体设计、规范编制或者项目管理、监理、检测等服务的供应商，不得再参加该采购项目的其他采购活动”的情形。</w:t>
      </w:r>
    </w:p>
    <w:p w14:paraId="4E897E6A">
      <w:pPr>
        <w:ind w:firstLine="420" w:firstLineChars="200"/>
        <w:rPr>
          <w:rFonts w:hint="eastAsia" w:ascii="宋体" w:hAnsi="宋体"/>
          <w:color w:val="auto"/>
        </w:rPr>
      </w:pPr>
      <w:r>
        <w:rPr>
          <w:rFonts w:hint="eastAsia" w:ascii="宋体" w:hAnsi="宋体"/>
          <w:color w:val="auto"/>
        </w:rPr>
        <w:t>13.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27422065">
      <w:pPr>
        <w:ind w:firstLine="420" w:firstLineChars="200"/>
        <w:rPr>
          <w:rFonts w:hint="eastAsia" w:ascii="宋体" w:hAnsi="宋体"/>
          <w:color w:val="auto"/>
        </w:rPr>
      </w:pPr>
    </w:p>
    <w:p w14:paraId="4ADAC637">
      <w:pPr>
        <w:ind w:firstLine="420" w:firstLineChars="200"/>
        <w:rPr>
          <w:rFonts w:hint="eastAsia" w:ascii="宋体" w:hAnsi="宋体"/>
          <w:color w:val="auto"/>
        </w:rPr>
      </w:pPr>
      <w:r>
        <w:rPr>
          <w:rFonts w:hint="eastAsia" w:ascii="宋体" w:hAnsi="宋体"/>
          <w:color w:val="auto"/>
        </w:rPr>
        <w:t>以上承诺，如有违反，愿依照国家相关法律法规处理，并承担由此给采购人带来的损失。</w:t>
      </w:r>
    </w:p>
    <w:p w14:paraId="482479B2">
      <w:pPr>
        <w:spacing w:before="72" w:beforeLines="25" w:after="72" w:afterLines="25"/>
        <w:ind w:firstLine="5460" w:firstLineChars="2600"/>
        <w:rPr>
          <w:rFonts w:hint="eastAsia" w:ascii="宋体" w:hAnsi="宋体"/>
          <w:color w:val="auto"/>
        </w:rPr>
      </w:pPr>
      <w:r>
        <w:rPr>
          <w:rFonts w:hint="eastAsia" w:ascii="宋体" w:hAnsi="宋体"/>
          <w:color w:val="auto"/>
        </w:rPr>
        <w:t xml:space="preserve">                                    </w:t>
      </w:r>
    </w:p>
    <w:p w14:paraId="1FA20813">
      <w:pPr>
        <w:jc w:val="center"/>
        <w:rPr>
          <w:color w:val="auto"/>
        </w:rPr>
      </w:pPr>
      <w:r>
        <w:rPr>
          <w:rFonts w:hint="eastAsia"/>
          <w:color w:val="auto"/>
        </w:rPr>
        <w:t xml:space="preserve">                                                     </w:t>
      </w:r>
      <w:r>
        <w:rPr>
          <w:color w:val="auto"/>
        </w:rPr>
        <w:t>投标人</w:t>
      </w:r>
      <w:r>
        <w:rPr>
          <w:rFonts w:hint="eastAsia"/>
          <w:color w:val="auto"/>
        </w:rPr>
        <w:t>（</w:t>
      </w:r>
      <w:r>
        <w:rPr>
          <w:color w:val="auto"/>
        </w:rPr>
        <w:t>签章</w:t>
      </w:r>
      <w:r>
        <w:rPr>
          <w:rFonts w:hint="eastAsia"/>
          <w:color w:val="auto"/>
        </w:rPr>
        <w:t>）</w:t>
      </w:r>
      <w:r>
        <w:rPr>
          <w:color w:val="auto"/>
        </w:rPr>
        <w:t>：_________________</w:t>
      </w:r>
    </w:p>
    <w:p w14:paraId="3EDFEC0E">
      <w:pPr>
        <w:jc w:val="center"/>
        <w:rPr>
          <w:color w:val="auto"/>
        </w:rPr>
      </w:pPr>
      <w:r>
        <w:rPr>
          <w:rFonts w:hint="eastAsia"/>
          <w:color w:val="auto"/>
        </w:rPr>
        <w:t xml:space="preserve">                                                 </w:t>
      </w:r>
      <w:r>
        <w:rPr>
          <w:rFonts w:hint="eastAsia" w:ascii="宋体" w:hAnsi="宋体"/>
          <w:color w:val="auto"/>
        </w:rPr>
        <w:t>日期：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r>
        <w:rPr>
          <w:rFonts w:hint="eastAsia"/>
          <w:color w:val="auto"/>
          <w:sz w:val="24"/>
        </w:rPr>
        <w:t xml:space="preserve"> </w:t>
      </w:r>
    </w:p>
    <w:p w14:paraId="251B4E1E">
      <w:pPr>
        <w:ind w:firstLine="645"/>
        <w:rPr>
          <w:rFonts w:hint="eastAsia" w:ascii="宋体" w:hAnsi="宋体"/>
          <w:color w:val="auto"/>
        </w:rPr>
      </w:pPr>
    </w:p>
    <w:p w14:paraId="51B476BF">
      <w:pPr>
        <w:rPr>
          <w:rFonts w:hint="eastAsia" w:ascii="宋体" w:hAnsi="宋体"/>
          <w:color w:val="auto"/>
        </w:rPr>
      </w:pPr>
    </w:p>
    <w:p w14:paraId="66038E5A">
      <w:pPr>
        <w:ind w:firstLine="420" w:firstLineChars="200"/>
        <w:jc w:val="center"/>
        <w:rPr>
          <w:rFonts w:hint="eastAsia" w:ascii="宋体" w:hAnsi="宋体"/>
          <w:color w:val="auto"/>
        </w:rPr>
      </w:pPr>
    </w:p>
    <w:p w14:paraId="328C1AF8">
      <w:pPr>
        <w:ind w:firstLine="420" w:firstLineChars="200"/>
        <w:jc w:val="center"/>
        <w:rPr>
          <w:rFonts w:hint="eastAsia" w:ascii="宋体" w:hAnsi="宋体"/>
          <w:color w:val="auto"/>
        </w:rPr>
      </w:pPr>
    </w:p>
    <w:p w14:paraId="7C5020BC">
      <w:pPr>
        <w:ind w:firstLine="420" w:firstLineChars="200"/>
        <w:jc w:val="center"/>
        <w:rPr>
          <w:rFonts w:hint="eastAsia" w:ascii="宋体" w:hAnsi="宋体"/>
          <w:color w:val="auto"/>
        </w:rPr>
      </w:pPr>
    </w:p>
    <w:p w14:paraId="0496FDEA">
      <w:pPr>
        <w:ind w:firstLine="482" w:firstLineChars="200"/>
        <w:jc w:val="center"/>
        <w:rPr>
          <w:rFonts w:ascii="黑体" w:eastAsia="黑体"/>
          <w:b/>
          <w:color w:val="auto"/>
          <w:kern w:val="0"/>
          <w:sz w:val="24"/>
          <w:szCs w:val="32"/>
        </w:rPr>
      </w:pPr>
      <w:r>
        <w:rPr>
          <w:rFonts w:hint="eastAsia" w:ascii="黑体" w:eastAsia="黑体"/>
          <w:b/>
          <w:color w:val="auto"/>
          <w:kern w:val="0"/>
          <w:sz w:val="24"/>
          <w:szCs w:val="32"/>
        </w:rPr>
        <w:t>三、投标单位反商业贿赂承诺书</w:t>
      </w:r>
    </w:p>
    <w:p w14:paraId="261062DE">
      <w:pPr>
        <w:ind w:firstLine="420" w:firstLineChars="200"/>
        <w:rPr>
          <w:rFonts w:hint="eastAsia" w:ascii="宋体" w:hAnsi="宋体"/>
          <w:color w:val="auto"/>
        </w:rPr>
      </w:pPr>
      <w:r>
        <w:rPr>
          <w:rFonts w:hint="eastAsia" w:ascii="宋体" w:hAnsi="宋体"/>
          <w:color w:val="auto"/>
        </w:rPr>
        <w:t> </w:t>
      </w:r>
    </w:p>
    <w:p w14:paraId="5686D821">
      <w:pPr>
        <w:ind w:firstLine="420" w:firstLineChars="200"/>
        <w:rPr>
          <w:rFonts w:hint="eastAsia" w:ascii="宋体" w:hAnsi="宋体"/>
          <w:color w:val="auto"/>
        </w:rPr>
      </w:pPr>
      <w:r>
        <w:rPr>
          <w:rFonts w:hint="eastAsia" w:ascii="宋体" w:hAnsi="宋体"/>
          <w:color w:val="auto"/>
        </w:rPr>
        <w:t> 我公司承诺在</w:t>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rPr>
        <w:t>招投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328595AF">
      <w:pPr>
        <w:ind w:firstLine="420" w:firstLineChars="200"/>
        <w:rPr>
          <w:rFonts w:hint="eastAsia" w:ascii="宋体" w:hAnsi="宋体"/>
          <w:color w:val="auto"/>
        </w:rPr>
      </w:pPr>
    </w:p>
    <w:p w14:paraId="7729EE01">
      <w:pPr>
        <w:ind w:firstLine="420" w:firstLineChars="200"/>
        <w:jc w:val="right"/>
        <w:rPr>
          <w:rFonts w:hint="eastAsia" w:ascii="宋体" w:hAnsi="宋体"/>
          <w:color w:val="auto"/>
        </w:rPr>
      </w:pPr>
      <w:r>
        <w:rPr>
          <w:rFonts w:hint="eastAsia" w:ascii="宋体" w:hAnsi="宋体"/>
          <w:color w:val="auto"/>
        </w:rPr>
        <w:t>投标供应商名称：  （盖章）</w:t>
      </w:r>
    </w:p>
    <w:p w14:paraId="5716CD10">
      <w:pPr>
        <w:ind w:firstLine="420" w:firstLineChars="200"/>
        <w:jc w:val="right"/>
        <w:rPr>
          <w:rFonts w:hint="eastAsia" w:ascii="宋体" w:hAnsi="宋体"/>
          <w:color w:val="auto"/>
        </w:rPr>
      </w:pPr>
      <w:r>
        <w:rPr>
          <w:rFonts w:hint="eastAsia" w:ascii="宋体" w:hAnsi="宋体"/>
          <w:color w:val="auto"/>
        </w:rPr>
        <w:t>公司法定代表人：  （签字）</w:t>
      </w:r>
    </w:p>
    <w:p w14:paraId="1C6CD6F4">
      <w:pPr>
        <w:ind w:firstLine="420" w:firstLineChars="200"/>
        <w:jc w:val="right"/>
        <w:rPr>
          <w:rFonts w:hint="eastAsia" w:ascii="宋体" w:hAnsi="宋体"/>
          <w:color w:val="auto"/>
        </w:rPr>
      </w:pPr>
      <w:r>
        <w:rPr>
          <w:rFonts w:hint="eastAsia" w:ascii="宋体" w:hAnsi="宋体"/>
          <w:color w:val="auto"/>
        </w:rPr>
        <w:t>委托代理人：      （签字）</w:t>
      </w:r>
    </w:p>
    <w:p w14:paraId="67161A2A">
      <w:pPr>
        <w:pStyle w:val="3"/>
        <w:ind w:firstLine="0" w:firstLineChars="0"/>
        <w:rPr>
          <w:color w:val="auto"/>
        </w:rPr>
      </w:pPr>
    </w:p>
    <w:p w14:paraId="7E0B4CBA">
      <w:pPr>
        <w:ind w:firstLine="482" w:firstLineChars="200"/>
        <w:jc w:val="center"/>
        <w:rPr>
          <w:rFonts w:ascii="黑体" w:eastAsia="黑体"/>
          <w:b/>
          <w:color w:val="auto"/>
          <w:kern w:val="0"/>
          <w:sz w:val="24"/>
          <w:szCs w:val="32"/>
        </w:rPr>
      </w:pPr>
    </w:p>
    <w:p w14:paraId="0CBF82A4">
      <w:pPr>
        <w:ind w:firstLine="482" w:firstLineChars="200"/>
        <w:jc w:val="center"/>
        <w:rPr>
          <w:rFonts w:ascii="黑体" w:eastAsia="黑体"/>
          <w:b/>
          <w:color w:val="auto"/>
          <w:kern w:val="0"/>
          <w:sz w:val="24"/>
          <w:szCs w:val="32"/>
        </w:rPr>
      </w:pPr>
      <w:r>
        <w:rPr>
          <w:rFonts w:hint="eastAsia" w:ascii="黑体" w:eastAsia="黑体"/>
          <w:b/>
          <w:color w:val="auto"/>
          <w:kern w:val="0"/>
          <w:sz w:val="24"/>
          <w:szCs w:val="32"/>
        </w:rPr>
        <w:t>四、具备履行合同所必需的设备和专业技术能力的书面声明</w:t>
      </w:r>
    </w:p>
    <w:p w14:paraId="654BCD3E">
      <w:pPr>
        <w:ind w:firstLine="420" w:firstLineChars="200"/>
        <w:rPr>
          <w:rFonts w:hint="eastAsia" w:ascii="宋体" w:hAnsi="宋体"/>
          <w:color w:val="auto"/>
        </w:rPr>
      </w:pPr>
    </w:p>
    <w:p w14:paraId="11C020BF">
      <w:pPr>
        <w:ind w:firstLine="420" w:firstLineChars="200"/>
        <w:rPr>
          <w:rFonts w:hint="eastAsia" w:ascii="宋体" w:hAnsi="宋体"/>
          <w:color w:val="auto"/>
        </w:rPr>
      </w:pPr>
      <w:r>
        <w:rPr>
          <w:rFonts w:hint="eastAsia" w:ascii="宋体" w:hAnsi="宋体"/>
          <w:color w:val="auto"/>
        </w:rPr>
        <w:t>我单位郑重声明：我单位具备履行本项采购合同所必需的设备和专业技术能力，为履行本项采购合同我公司具备如下主要设备和主要专业技术能力：</w:t>
      </w:r>
    </w:p>
    <w:p w14:paraId="544F382A">
      <w:pPr>
        <w:ind w:firstLine="420" w:firstLineChars="200"/>
        <w:rPr>
          <w:rFonts w:hint="eastAsia" w:ascii="宋体" w:hAnsi="宋体"/>
          <w:color w:val="auto"/>
        </w:rPr>
      </w:pPr>
      <w:r>
        <w:rPr>
          <w:rFonts w:hint="eastAsia" w:ascii="宋体" w:hAnsi="宋体"/>
          <w:color w:val="auto"/>
        </w:rPr>
        <w:t>主要设备有：</w:t>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 xml:space="preserve"> </w:t>
      </w:r>
      <w:r>
        <w:rPr>
          <w:rFonts w:hint="eastAsia" w:ascii="宋体" w:hAnsi="宋体"/>
          <w:color w:val="auto"/>
          <w:u w:val="single"/>
        </w:rPr>
        <w:tab/>
      </w:r>
      <w:r>
        <w:rPr>
          <w:rFonts w:hint="eastAsia" w:ascii="宋体" w:hAnsi="宋体"/>
          <w:color w:val="auto"/>
          <w:u w:val="single"/>
        </w:rPr>
        <w:t xml:space="preserve">                 </w:t>
      </w:r>
      <w:r>
        <w:rPr>
          <w:rFonts w:hint="eastAsia" w:ascii="宋体" w:hAnsi="宋体"/>
          <w:color w:val="auto"/>
        </w:rPr>
        <w:t xml:space="preserve">                                                    </w:t>
      </w:r>
    </w:p>
    <w:p w14:paraId="158A8589">
      <w:pPr>
        <w:ind w:firstLine="420" w:firstLineChars="200"/>
        <w:rPr>
          <w:rFonts w:hint="eastAsia" w:ascii="宋体" w:hAnsi="宋体"/>
          <w:color w:val="auto"/>
        </w:rPr>
      </w:pPr>
      <w:r>
        <w:rPr>
          <w:rFonts w:hint="eastAsia" w:ascii="宋体" w:hAnsi="宋体"/>
          <w:color w:val="auto"/>
        </w:rPr>
        <w:t>主要专业技术能力有：</w:t>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u w:val="single"/>
        </w:rPr>
        <w:tab/>
      </w:r>
      <w:r>
        <w:rPr>
          <w:rFonts w:hint="eastAsia" w:ascii="宋体" w:hAnsi="宋体"/>
          <w:color w:val="auto"/>
        </w:rPr>
        <w:t xml:space="preserve">                                           </w:t>
      </w:r>
    </w:p>
    <w:p w14:paraId="67F2BFB3">
      <w:pPr>
        <w:ind w:firstLine="420" w:firstLineChars="200"/>
        <w:rPr>
          <w:rFonts w:hint="eastAsia" w:ascii="宋体" w:hAnsi="宋体"/>
          <w:color w:val="auto"/>
        </w:rPr>
      </w:pPr>
      <w:r>
        <w:rPr>
          <w:rFonts w:hint="eastAsia" w:ascii="宋体" w:hAnsi="宋体"/>
          <w:color w:val="auto"/>
        </w:rPr>
        <w:t xml:space="preserve">                                     </w:t>
      </w:r>
    </w:p>
    <w:p w14:paraId="602D8642">
      <w:pPr>
        <w:ind w:firstLine="420" w:firstLineChars="200"/>
        <w:rPr>
          <w:rFonts w:hint="eastAsia" w:ascii="宋体" w:hAnsi="宋体"/>
          <w:color w:val="auto"/>
        </w:rPr>
      </w:pPr>
    </w:p>
    <w:p w14:paraId="140437F4">
      <w:pPr>
        <w:ind w:firstLine="420" w:firstLineChars="200"/>
        <w:rPr>
          <w:rFonts w:hint="eastAsia" w:ascii="宋体" w:hAnsi="宋体"/>
          <w:color w:val="auto"/>
        </w:rPr>
      </w:pPr>
    </w:p>
    <w:p w14:paraId="28318E47">
      <w:pPr>
        <w:jc w:val="center"/>
        <w:rPr>
          <w:color w:val="auto"/>
        </w:rPr>
      </w:pPr>
      <w:r>
        <w:rPr>
          <w:rFonts w:hint="eastAsia"/>
          <w:color w:val="auto"/>
        </w:rPr>
        <w:t xml:space="preserve">                                                </w:t>
      </w:r>
      <w:r>
        <w:rPr>
          <w:color w:val="auto"/>
        </w:rPr>
        <w:t>投标人</w:t>
      </w:r>
      <w:r>
        <w:rPr>
          <w:rFonts w:hint="eastAsia"/>
          <w:color w:val="auto"/>
        </w:rPr>
        <w:t>（</w:t>
      </w:r>
      <w:r>
        <w:rPr>
          <w:color w:val="auto"/>
        </w:rPr>
        <w:t>签章</w:t>
      </w:r>
      <w:r>
        <w:rPr>
          <w:rFonts w:hint="eastAsia"/>
          <w:color w:val="auto"/>
        </w:rPr>
        <w:t>）：</w:t>
      </w:r>
      <w:r>
        <w:rPr>
          <w:rFonts w:hint="eastAsia"/>
          <w:color w:val="auto"/>
          <w:u w:val="single"/>
        </w:rPr>
        <w:t xml:space="preserve">         </w:t>
      </w:r>
      <w:r>
        <w:rPr>
          <w:rFonts w:hint="eastAsia"/>
          <w:color w:val="auto"/>
        </w:rPr>
        <w:tab/>
      </w:r>
      <w:r>
        <w:rPr>
          <w:rFonts w:hint="eastAsia"/>
          <w:color w:val="auto"/>
        </w:rPr>
        <w:t xml:space="preserve">  </w:t>
      </w:r>
    </w:p>
    <w:p w14:paraId="0BE536D7">
      <w:pPr>
        <w:jc w:val="center"/>
        <w:rPr>
          <w:color w:val="auto"/>
        </w:rPr>
      </w:pPr>
      <w:r>
        <w:rPr>
          <w:rFonts w:hint="eastAsia"/>
          <w:color w:val="auto"/>
        </w:rPr>
        <w:t xml:space="preserve">                                                 </w:t>
      </w:r>
      <w:r>
        <w:rPr>
          <w:rFonts w:hint="eastAsia" w:ascii="宋体" w:hAnsi="宋体"/>
          <w:color w:val="auto"/>
        </w:rPr>
        <w:t>日期：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r>
        <w:rPr>
          <w:rFonts w:hint="eastAsia"/>
          <w:color w:val="auto"/>
          <w:sz w:val="24"/>
        </w:rPr>
        <w:t xml:space="preserve"> </w:t>
      </w:r>
    </w:p>
    <w:p w14:paraId="4B04C63A">
      <w:pPr>
        <w:pStyle w:val="5"/>
        <w:spacing w:before="120" w:after="120"/>
        <w:ind w:firstLine="361"/>
        <w:rPr>
          <w:rFonts w:ascii="黑体" w:eastAsia="黑体"/>
          <w:b/>
          <w:bCs w:val="0"/>
          <w:color w:val="auto"/>
          <w:kern w:val="0"/>
          <w:sz w:val="24"/>
        </w:rPr>
      </w:pPr>
    </w:p>
    <w:p w14:paraId="3E2D361C">
      <w:pPr>
        <w:pStyle w:val="5"/>
        <w:spacing w:before="120" w:after="120"/>
        <w:ind w:firstLine="361"/>
        <w:jc w:val="center"/>
        <w:rPr>
          <w:rFonts w:ascii="黑体" w:eastAsia="黑体"/>
          <w:b/>
          <w:bCs w:val="0"/>
          <w:color w:val="auto"/>
          <w:kern w:val="0"/>
          <w:sz w:val="24"/>
        </w:rPr>
      </w:pPr>
    </w:p>
    <w:p w14:paraId="773B717F">
      <w:pPr>
        <w:pStyle w:val="5"/>
        <w:spacing w:before="120" w:after="120"/>
        <w:ind w:firstLine="361"/>
        <w:jc w:val="center"/>
        <w:rPr>
          <w:rFonts w:ascii="黑体" w:hAnsi="Times New Roman" w:eastAsia="黑体" w:cs="Times New Roman"/>
          <w:b/>
          <w:bCs w:val="0"/>
          <w:color w:val="auto"/>
          <w:kern w:val="0"/>
          <w:sz w:val="24"/>
        </w:rPr>
      </w:pPr>
      <w:r>
        <w:rPr>
          <w:rFonts w:hint="eastAsia" w:ascii="黑体" w:hAnsi="Times New Roman" w:eastAsia="黑体" w:cs="Times New Roman"/>
          <w:b/>
          <w:bCs w:val="0"/>
          <w:color w:val="auto"/>
          <w:kern w:val="0"/>
          <w:sz w:val="24"/>
        </w:rPr>
        <w:t>五、投标人情况及资格证明文件</w:t>
      </w:r>
    </w:p>
    <w:p w14:paraId="721C9DD2">
      <w:pPr>
        <w:tabs>
          <w:tab w:val="left" w:pos="900"/>
        </w:tabs>
        <w:spacing w:line="360" w:lineRule="auto"/>
        <w:ind w:firstLine="420" w:firstLineChars="200"/>
        <w:rPr>
          <w:rFonts w:hint="eastAsia" w:ascii="宋体" w:hAnsi="宋体" w:cs="宋体"/>
          <w:color w:val="auto"/>
        </w:rPr>
      </w:pPr>
    </w:p>
    <w:p w14:paraId="3799B349">
      <w:pPr>
        <w:ind w:firstLine="420" w:firstLineChars="200"/>
        <w:rPr>
          <w:color w:val="auto"/>
        </w:rPr>
      </w:pPr>
      <w:r>
        <w:rPr>
          <w:rFonts w:hint="eastAsia"/>
          <w:color w:val="auto"/>
        </w:rPr>
        <w:t>特别提示：投标人须按《资格性审查表》提供相应的资格证明资料，未提供或提供不完整、不符合要求的，将作投标无效处理。</w:t>
      </w:r>
    </w:p>
    <w:p w14:paraId="77EAAFAD">
      <w:pPr>
        <w:tabs>
          <w:tab w:val="left" w:pos="900"/>
        </w:tabs>
        <w:ind w:firstLine="420" w:firstLineChars="200"/>
        <w:rPr>
          <w:rFonts w:hint="eastAsia" w:ascii="宋体" w:hAnsi="宋体" w:cs="宋体"/>
          <w:color w:val="auto"/>
        </w:rPr>
      </w:pPr>
      <w:r>
        <w:rPr>
          <w:rFonts w:hint="eastAsia" w:ascii="宋体" w:hAnsi="宋体" w:cs="宋体"/>
          <w:color w:val="auto"/>
        </w:rPr>
        <w:t>如：</w:t>
      </w:r>
    </w:p>
    <w:p w14:paraId="1E3699A9">
      <w:pPr>
        <w:ind w:firstLine="420" w:firstLineChars="200"/>
        <w:rPr>
          <w:color w:val="auto"/>
        </w:rPr>
      </w:pPr>
      <w:r>
        <w:rPr>
          <w:rFonts w:hint="eastAsia"/>
          <w:color w:val="auto"/>
        </w:rPr>
        <w:t>1.具有独立承担民事责任的能力：在中华人民共和国境内注册的法人或其他组织或自然人， 投标（响应）时提交有效的营业执照（或事业法人登记证或身份证等相关证明） 副本复印件。分支机构投标的（仅限银行、保险、石油石化、电力、电信 、邮政、铁路等特殊行业），须提供总公司和分公司营业执照扫描件，总公司出具给分支机构的授权书。</w:t>
      </w:r>
    </w:p>
    <w:p w14:paraId="27F48A4D">
      <w:pPr>
        <w:ind w:firstLine="420" w:firstLineChars="200"/>
        <w:rPr>
          <w:color w:val="auto"/>
        </w:rPr>
      </w:pPr>
      <w:r>
        <w:rPr>
          <w:rFonts w:hint="eastAsia"/>
          <w:color w:val="auto"/>
        </w:rPr>
        <w:t>2.具有良好的商业信誉和健全的财务会计制度，须提供最近一个年度的财务状况报告（资产负债表、利润表）或财务审计报告，成立不满一年不需提供；</w:t>
      </w:r>
    </w:p>
    <w:p w14:paraId="7F1E5FE5">
      <w:pPr>
        <w:ind w:firstLine="420" w:firstLineChars="200"/>
        <w:rPr>
          <w:color w:val="auto"/>
        </w:rPr>
      </w:pPr>
      <w:r>
        <w:rPr>
          <w:rFonts w:hint="eastAsia"/>
          <w:color w:val="auto"/>
        </w:rPr>
        <w:t>3.依法缴纳税收和社会保障资金的良好记录，须提供开标时间截止前6个月内至少三个月依法缴纳税收及缴纳社会保障资金的证明材料。投标人依法享受缓缴、免缴税收、社会保障资金的提供证明材料；</w:t>
      </w:r>
    </w:p>
    <w:p w14:paraId="6AF2F382">
      <w:pPr>
        <w:ind w:firstLine="420" w:firstLineChars="200"/>
        <w:rPr>
          <w:color w:val="auto"/>
        </w:rPr>
      </w:pPr>
      <w:r>
        <w:rPr>
          <w:rFonts w:hint="eastAsia"/>
          <w:color w:val="auto"/>
        </w:rPr>
        <w:t>4.供应商参加政府采购活动前三年内，在经营活动中没有重大违法记录：须提供未被“</w:t>
      </w:r>
      <w:r>
        <w:rPr>
          <w:rFonts w:hint="eastAsia" w:ascii="宋体" w:hAnsi="宋体" w:cs="宋体"/>
          <w:color w:val="auto"/>
        </w:rPr>
        <w:t>投标供应商须提供参加政府采购活动前三年内，在经营活动中没有重大违法记录的书面声明（重大违法记录是指供应商因违法经营受到刑事处罚或者责令停产停业、吊销许可证或者执照、较大数额罚款等行政处罚）；2.未被列入失信被执行人、重大税收违法案件当事人名单、政府采购严重违法失信行为记录名单（信用中国网站、政府采购网）。</w:t>
      </w:r>
      <w:r>
        <w:rPr>
          <w:rFonts w:hint="eastAsia"/>
          <w:color w:val="auto"/>
        </w:rPr>
        <w:t>；</w:t>
      </w:r>
    </w:p>
    <w:p w14:paraId="5753EFFC">
      <w:pPr>
        <w:ind w:firstLine="420" w:firstLineChars="200"/>
        <w:rPr>
          <w:color w:val="auto"/>
        </w:rPr>
      </w:pPr>
      <w:r>
        <w:rPr>
          <w:rFonts w:hint="eastAsia"/>
          <w:color w:val="auto"/>
        </w:rPr>
        <w:t>5.特定资质证明材料；</w:t>
      </w:r>
    </w:p>
    <w:p w14:paraId="536FDB13">
      <w:pPr>
        <w:ind w:firstLine="420" w:firstLineChars="200"/>
        <w:rPr>
          <w:color w:val="auto"/>
        </w:rPr>
      </w:pPr>
      <w:r>
        <w:rPr>
          <w:rFonts w:hint="eastAsia"/>
          <w:color w:val="auto"/>
        </w:rPr>
        <w:t>6.落实的政府采购政策：中小企业、残疾人福利性单位、监狱企业、强制节能、环保等；</w:t>
      </w:r>
    </w:p>
    <w:p w14:paraId="4619FFDB">
      <w:pPr>
        <w:ind w:firstLine="420" w:firstLineChars="200"/>
        <w:rPr>
          <w:color w:val="auto"/>
        </w:rPr>
      </w:pPr>
      <w:r>
        <w:rPr>
          <w:rFonts w:hint="eastAsia"/>
          <w:color w:val="auto"/>
        </w:rPr>
        <w:t>7.法人授权委托书；</w:t>
      </w:r>
    </w:p>
    <w:p w14:paraId="3B76EB30">
      <w:pPr>
        <w:ind w:firstLine="420" w:firstLineChars="200"/>
        <w:rPr>
          <w:color w:val="auto"/>
        </w:rPr>
      </w:pPr>
      <w:r>
        <w:rPr>
          <w:rFonts w:hint="eastAsia"/>
          <w:color w:val="auto"/>
        </w:rPr>
        <w:t>8.投标保证金缴纳凭证或投标保函；</w:t>
      </w:r>
    </w:p>
    <w:p w14:paraId="0000B993">
      <w:pPr>
        <w:ind w:firstLine="420" w:firstLineChars="200"/>
        <w:rPr>
          <w:color w:val="auto"/>
        </w:rPr>
      </w:pPr>
      <w:r>
        <w:rPr>
          <w:rFonts w:hint="eastAsia"/>
          <w:color w:val="auto"/>
        </w:rPr>
        <w:t>9.联合体协议书；</w:t>
      </w:r>
    </w:p>
    <w:p w14:paraId="05E477E8">
      <w:pPr>
        <w:ind w:firstLine="420" w:firstLineChars="200"/>
        <w:rPr>
          <w:color w:val="auto"/>
        </w:rPr>
      </w:pPr>
      <w:r>
        <w:rPr>
          <w:rFonts w:hint="eastAsia"/>
          <w:color w:val="auto"/>
        </w:rPr>
        <w:t>10.分包协议书；</w:t>
      </w:r>
    </w:p>
    <w:p w14:paraId="2493C9E4">
      <w:pPr>
        <w:pStyle w:val="41"/>
        <w:spacing w:line="240" w:lineRule="auto"/>
        <w:rPr>
          <w:rFonts w:ascii="Times New Roman" w:hAnsi="Times New Roman"/>
          <w:color w:val="auto"/>
        </w:rPr>
      </w:pPr>
      <w:r>
        <w:rPr>
          <w:rFonts w:hint="eastAsia" w:ascii="Times New Roman" w:hAnsi="Times New Roman"/>
          <w:color w:val="auto"/>
        </w:rPr>
        <w:t>11.....</w:t>
      </w:r>
    </w:p>
    <w:p w14:paraId="384DF40E">
      <w:pPr>
        <w:ind w:firstLine="420" w:firstLineChars="200"/>
        <w:rPr>
          <w:color w:val="auto"/>
        </w:rPr>
      </w:pPr>
      <w:r>
        <w:rPr>
          <w:rFonts w:hint="eastAsia"/>
          <w:color w:val="auto"/>
        </w:rPr>
        <w:t>12.....</w:t>
      </w:r>
    </w:p>
    <w:p w14:paraId="183C3D89">
      <w:pPr>
        <w:pStyle w:val="41"/>
        <w:spacing w:line="240" w:lineRule="auto"/>
        <w:rPr>
          <w:rFonts w:hint="eastAsia"/>
          <w:color w:val="auto"/>
        </w:rPr>
      </w:pPr>
      <w:r>
        <w:rPr>
          <w:rFonts w:hint="eastAsia" w:ascii="Times New Roman" w:hAnsi="Times New Roman"/>
          <w:color w:val="auto"/>
        </w:rPr>
        <w:t>13.....</w:t>
      </w:r>
    </w:p>
    <w:p w14:paraId="666F1B11">
      <w:pPr>
        <w:pStyle w:val="2"/>
        <w:rPr>
          <w:rFonts w:hint="eastAsia" w:ascii="黑体" w:hAnsi="宋体" w:eastAsia="黑体"/>
          <w:bCs/>
          <w:color w:val="auto"/>
          <w:kern w:val="0"/>
          <w:sz w:val="24"/>
          <w:szCs w:val="32"/>
        </w:rPr>
      </w:pPr>
    </w:p>
    <w:p w14:paraId="0526D12F">
      <w:pPr>
        <w:pStyle w:val="35"/>
        <w:jc w:val="both"/>
        <w:rPr>
          <w:b/>
          <w:bCs/>
          <w:color w:val="auto"/>
        </w:rPr>
      </w:pPr>
    </w:p>
    <w:p w14:paraId="3898CAE5">
      <w:pPr>
        <w:pStyle w:val="5"/>
        <w:ind w:firstLine="3494" w:firstLineChars="1450"/>
        <w:rPr>
          <w:rFonts w:ascii="黑体" w:hAnsi="Times New Roman" w:eastAsia="黑体" w:cs="Times New Roman"/>
          <w:b/>
          <w:bCs w:val="0"/>
          <w:color w:val="auto"/>
          <w:sz w:val="24"/>
          <w:szCs w:val="24"/>
        </w:rPr>
      </w:pPr>
      <w:bookmarkStart w:id="78" w:name="_Toc106616779"/>
      <w:r>
        <w:rPr>
          <w:rFonts w:hint="eastAsia" w:ascii="黑体" w:hAnsi="Times New Roman" w:eastAsia="黑体" w:cs="Times New Roman"/>
          <w:b/>
          <w:bCs w:val="0"/>
          <w:color w:val="auto"/>
          <w:sz w:val="24"/>
          <w:szCs w:val="24"/>
        </w:rPr>
        <w:t>六、开标一览表</w:t>
      </w:r>
      <w:bookmarkEnd w:id="78"/>
    </w:p>
    <w:tbl>
      <w:tblPr>
        <w:tblStyle w:val="42"/>
        <w:tblpPr w:leftFromText="45" w:rightFromText="45" w:vertAnchor="text" w:tblpXSpec="center"/>
        <w:tblW w:w="0" w:type="auto"/>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29"/>
        <w:gridCol w:w="6035"/>
      </w:tblGrid>
      <w:tr w14:paraId="4D825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CellSpacing w:w="0" w:type="dxa"/>
          <w:jc w:val="center"/>
        </w:trPr>
        <w:tc>
          <w:tcPr>
            <w:tcW w:w="2929" w:type="dxa"/>
            <w:vAlign w:val="center"/>
          </w:tcPr>
          <w:p w14:paraId="6339F533">
            <w:pPr>
              <w:tabs>
                <w:tab w:val="left" w:pos="142"/>
              </w:tabs>
              <w:spacing w:line="360" w:lineRule="auto"/>
              <w:jc w:val="center"/>
              <w:rPr>
                <w:rFonts w:hint="eastAsia" w:ascii="宋体" w:hAnsi="宋体" w:cs="宋体"/>
                <w:color w:val="auto"/>
              </w:rPr>
            </w:pPr>
            <w:r>
              <w:rPr>
                <w:rFonts w:hint="eastAsia" w:ascii="宋体" w:hAnsi="宋体" w:cs="宋体"/>
                <w:color w:val="auto"/>
              </w:rPr>
              <w:t>项目名称</w:t>
            </w:r>
          </w:p>
        </w:tc>
        <w:tc>
          <w:tcPr>
            <w:tcW w:w="6035" w:type="dxa"/>
            <w:vAlign w:val="center"/>
          </w:tcPr>
          <w:p w14:paraId="538A0EB6">
            <w:pPr>
              <w:tabs>
                <w:tab w:val="left" w:pos="142"/>
              </w:tabs>
              <w:spacing w:line="360" w:lineRule="auto"/>
              <w:ind w:firstLine="420" w:firstLineChars="200"/>
              <w:jc w:val="left"/>
              <w:rPr>
                <w:rFonts w:hint="eastAsia" w:ascii="宋体" w:hAnsi="宋体" w:cs="宋体"/>
                <w:color w:val="auto"/>
              </w:rPr>
            </w:pPr>
            <w:r>
              <w:rPr>
                <w:rFonts w:hint="eastAsia" w:ascii="宋体" w:hAnsi="宋体" w:cs="宋体"/>
                <w:color w:val="auto"/>
              </w:rPr>
              <w:t xml:space="preserve">  </w:t>
            </w:r>
          </w:p>
        </w:tc>
      </w:tr>
      <w:tr w14:paraId="22F0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blCellSpacing w:w="0" w:type="dxa"/>
          <w:jc w:val="center"/>
        </w:trPr>
        <w:tc>
          <w:tcPr>
            <w:tcW w:w="2929" w:type="dxa"/>
            <w:vAlign w:val="center"/>
          </w:tcPr>
          <w:p w14:paraId="272B1B4D">
            <w:pPr>
              <w:tabs>
                <w:tab w:val="left" w:pos="142"/>
              </w:tabs>
              <w:spacing w:line="500" w:lineRule="exact"/>
              <w:jc w:val="center"/>
              <w:rPr>
                <w:rFonts w:hint="eastAsia" w:ascii="宋体" w:hAnsi="宋体" w:cs="宋体"/>
                <w:color w:val="auto"/>
              </w:rPr>
            </w:pPr>
            <w:r>
              <w:rPr>
                <w:rFonts w:hint="eastAsia" w:ascii="宋体" w:hAnsi="宋体" w:cs="宋体"/>
                <w:color w:val="auto"/>
              </w:rPr>
              <w:t>项目编号</w:t>
            </w:r>
          </w:p>
        </w:tc>
        <w:tc>
          <w:tcPr>
            <w:tcW w:w="6035" w:type="dxa"/>
            <w:vAlign w:val="center"/>
          </w:tcPr>
          <w:p w14:paraId="2C42D2A8">
            <w:pPr>
              <w:tabs>
                <w:tab w:val="left" w:pos="142"/>
              </w:tabs>
              <w:spacing w:line="500" w:lineRule="exact"/>
              <w:ind w:firstLine="420" w:firstLineChars="200"/>
              <w:jc w:val="left"/>
              <w:rPr>
                <w:rFonts w:hint="eastAsia" w:ascii="宋体" w:hAnsi="宋体" w:cs="宋体"/>
                <w:color w:val="auto"/>
              </w:rPr>
            </w:pPr>
            <w:r>
              <w:rPr>
                <w:rFonts w:hint="eastAsia" w:ascii="宋体" w:hAnsi="宋体" w:cs="宋体"/>
                <w:color w:val="auto"/>
              </w:rPr>
              <w:t xml:space="preserve">  </w:t>
            </w:r>
          </w:p>
        </w:tc>
      </w:tr>
      <w:tr w14:paraId="1CB5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8" w:hRule="atLeast"/>
          <w:tblCellSpacing w:w="0" w:type="dxa"/>
          <w:jc w:val="center"/>
        </w:trPr>
        <w:tc>
          <w:tcPr>
            <w:tcW w:w="2929" w:type="dxa"/>
            <w:vAlign w:val="center"/>
          </w:tcPr>
          <w:p w14:paraId="5D6C12F6">
            <w:pPr>
              <w:tabs>
                <w:tab w:val="left" w:pos="142"/>
              </w:tabs>
              <w:spacing w:line="500" w:lineRule="exact"/>
              <w:jc w:val="center"/>
              <w:rPr>
                <w:rFonts w:hint="eastAsia" w:ascii="宋体" w:hAnsi="宋体" w:cs="宋体"/>
                <w:color w:val="auto"/>
              </w:rPr>
            </w:pPr>
            <w:r>
              <w:rPr>
                <w:rFonts w:hint="eastAsia" w:ascii="宋体" w:hAnsi="宋体" w:cs="宋体"/>
                <w:color w:val="auto"/>
              </w:rPr>
              <w:t>投标报价（元/%）</w:t>
            </w:r>
          </w:p>
        </w:tc>
        <w:tc>
          <w:tcPr>
            <w:tcW w:w="6035" w:type="dxa"/>
            <w:vAlign w:val="center"/>
          </w:tcPr>
          <w:p w14:paraId="3F990E65">
            <w:pPr>
              <w:tabs>
                <w:tab w:val="left" w:pos="142"/>
              </w:tabs>
              <w:spacing w:line="500" w:lineRule="exact"/>
              <w:ind w:firstLine="420" w:firstLineChars="200"/>
              <w:jc w:val="left"/>
              <w:rPr>
                <w:rFonts w:hint="eastAsia" w:ascii="宋体" w:hAnsi="宋体" w:cs="宋体"/>
                <w:color w:val="auto"/>
              </w:rPr>
            </w:pPr>
            <w:r>
              <w:rPr>
                <w:rFonts w:hint="eastAsia" w:ascii="宋体" w:hAnsi="宋体" w:cs="宋体"/>
                <w:color w:val="auto"/>
              </w:rPr>
              <w:t>￥</w:t>
            </w:r>
            <w:r>
              <w:rPr>
                <w:rFonts w:hint="eastAsia" w:ascii="宋体" w:hAnsi="宋体" w:cs="宋体"/>
                <w:color w:val="auto"/>
                <w:u w:val="single"/>
              </w:rPr>
              <w:t xml:space="preserve">                      </w:t>
            </w:r>
            <w:r>
              <w:rPr>
                <w:rFonts w:hint="eastAsia" w:ascii="宋体" w:hAnsi="宋体" w:cs="宋体"/>
                <w:color w:val="auto"/>
              </w:rPr>
              <w:t>元整</w:t>
            </w:r>
          </w:p>
          <w:p w14:paraId="2F0AFA56">
            <w:pPr>
              <w:tabs>
                <w:tab w:val="left" w:pos="142"/>
              </w:tabs>
              <w:spacing w:line="500" w:lineRule="exact"/>
              <w:ind w:firstLine="420" w:firstLineChars="200"/>
              <w:jc w:val="left"/>
              <w:rPr>
                <w:rFonts w:hint="eastAsia" w:ascii="宋体" w:hAnsi="宋体" w:cs="宋体"/>
                <w:color w:val="auto"/>
              </w:rPr>
            </w:pPr>
            <w:r>
              <w:rPr>
                <w:rFonts w:hint="eastAsia" w:ascii="宋体" w:hAnsi="宋体" w:cs="宋体"/>
                <w:color w:val="auto"/>
              </w:rPr>
              <w:t>人民币 (大写):</w:t>
            </w:r>
            <w:r>
              <w:rPr>
                <w:rFonts w:hint="eastAsia" w:ascii="宋体" w:hAnsi="宋体" w:cs="宋体"/>
                <w:color w:val="auto"/>
                <w:u w:val="single"/>
              </w:rPr>
              <w:t xml:space="preserve">              </w:t>
            </w:r>
            <w:r>
              <w:rPr>
                <w:rFonts w:hint="eastAsia" w:ascii="宋体" w:hAnsi="宋体" w:cs="宋体"/>
                <w:color w:val="auto"/>
              </w:rPr>
              <w:t xml:space="preserve">                 </w:t>
            </w:r>
          </w:p>
        </w:tc>
      </w:tr>
      <w:tr w14:paraId="0C8C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3" w:hRule="atLeast"/>
          <w:tblCellSpacing w:w="0" w:type="dxa"/>
          <w:jc w:val="center"/>
        </w:trPr>
        <w:tc>
          <w:tcPr>
            <w:tcW w:w="2929" w:type="dxa"/>
            <w:vAlign w:val="center"/>
          </w:tcPr>
          <w:p w14:paraId="64370F1C">
            <w:pPr>
              <w:tabs>
                <w:tab w:val="left" w:pos="142"/>
              </w:tabs>
              <w:spacing w:line="500" w:lineRule="exact"/>
              <w:jc w:val="center"/>
              <w:rPr>
                <w:rFonts w:hint="eastAsia" w:ascii="宋体" w:hAnsi="宋体" w:cs="宋体"/>
                <w:color w:val="auto"/>
              </w:rPr>
            </w:pPr>
            <w:r>
              <w:rPr>
                <w:rFonts w:hint="eastAsia" w:ascii="宋体" w:hAnsi="宋体" w:cs="宋体"/>
                <w:color w:val="auto"/>
              </w:rPr>
              <w:t>合同履约期限</w:t>
            </w:r>
          </w:p>
        </w:tc>
        <w:tc>
          <w:tcPr>
            <w:tcW w:w="6035" w:type="dxa"/>
            <w:vAlign w:val="center"/>
          </w:tcPr>
          <w:p w14:paraId="16746AF3">
            <w:pPr>
              <w:tabs>
                <w:tab w:val="left" w:pos="142"/>
              </w:tabs>
              <w:spacing w:line="500" w:lineRule="exact"/>
              <w:ind w:firstLine="420" w:firstLineChars="200"/>
              <w:jc w:val="left"/>
              <w:rPr>
                <w:rFonts w:hint="eastAsia" w:ascii="宋体" w:hAnsi="宋体" w:cs="宋体"/>
                <w:color w:val="auto"/>
              </w:rPr>
            </w:pPr>
          </w:p>
        </w:tc>
      </w:tr>
      <w:tr w14:paraId="3E05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tblCellSpacing w:w="0" w:type="dxa"/>
          <w:jc w:val="center"/>
        </w:trPr>
        <w:tc>
          <w:tcPr>
            <w:tcW w:w="2929" w:type="dxa"/>
            <w:vAlign w:val="center"/>
          </w:tcPr>
          <w:p w14:paraId="669F07E3">
            <w:pPr>
              <w:tabs>
                <w:tab w:val="left" w:pos="142"/>
              </w:tabs>
              <w:spacing w:line="500" w:lineRule="exact"/>
              <w:jc w:val="center"/>
              <w:rPr>
                <w:rFonts w:hint="eastAsia" w:ascii="宋体" w:hAnsi="宋体" w:cs="宋体"/>
                <w:color w:val="auto"/>
              </w:rPr>
            </w:pPr>
            <w:r>
              <w:rPr>
                <w:rFonts w:hint="eastAsia" w:ascii="宋体" w:hAnsi="宋体" w:cs="宋体"/>
                <w:color w:val="auto"/>
              </w:rPr>
              <w:t>质保期</w:t>
            </w:r>
          </w:p>
        </w:tc>
        <w:tc>
          <w:tcPr>
            <w:tcW w:w="6035" w:type="dxa"/>
            <w:vAlign w:val="center"/>
          </w:tcPr>
          <w:p w14:paraId="6F010906">
            <w:pPr>
              <w:tabs>
                <w:tab w:val="left" w:pos="142"/>
              </w:tabs>
              <w:spacing w:line="500" w:lineRule="exact"/>
              <w:ind w:firstLine="420" w:firstLineChars="200"/>
              <w:jc w:val="left"/>
              <w:rPr>
                <w:rFonts w:hint="eastAsia" w:ascii="宋体" w:hAnsi="宋体" w:cs="宋体"/>
                <w:color w:val="auto"/>
              </w:rPr>
            </w:pPr>
          </w:p>
        </w:tc>
      </w:tr>
      <w:tr w14:paraId="6FA23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4" w:hRule="atLeast"/>
          <w:tblCellSpacing w:w="0" w:type="dxa"/>
          <w:jc w:val="center"/>
        </w:trPr>
        <w:tc>
          <w:tcPr>
            <w:tcW w:w="2929" w:type="dxa"/>
            <w:vAlign w:val="center"/>
          </w:tcPr>
          <w:p w14:paraId="56DE3CB2">
            <w:pPr>
              <w:tabs>
                <w:tab w:val="left" w:pos="142"/>
              </w:tabs>
              <w:spacing w:line="500" w:lineRule="exact"/>
              <w:jc w:val="center"/>
              <w:rPr>
                <w:rFonts w:hint="eastAsia" w:ascii="宋体" w:hAnsi="宋体" w:cs="宋体"/>
                <w:color w:val="auto"/>
              </w:rPr>
            </w:pPr>
            <w:r>
              <w:rPr>
                <w:rFonts w:hint="eastAsia" w:ascii="宋体" w:hAnsi="宋体" w:cs="宋体"/>
                <w:color w:val="auto"/>
              </w:rPr>
              <w:t>项目负责人</w:t>
            </w:r>
          </w:p>
        </w:tc>
        <w:tc>
          <w:tcPr>
            <w:tcW w:w="6035" w:type="dxa"/>
            <w:vAlign w:val="center"/>
          </w:tcPr>
          <w:p w14:paraId="2AFA9864">
            <w:pPr>
              <w:tabs>
                <w:tab w:val="left" w:pos="142"/>
              </w:tabs>
              <w:spacing w:line="500" w:lineRule="exact"/>
              <w:ind w:firstLine="420" w:firstLineChars="200"/>
              <w:jc w:val="left"/>
              <w:rPr>
                <w:rFonts w:hint="eastAsia" w:ascii="宋体" w:hAnsi="宋体" w:cs="宋体"/>
                <w:color w:val="auto"/>
              </w:rPr>
            </w:pPr>
          </w:p>
        </w:tc>
      </w:tr>
    </w:tbl>
    <w:p w14:paraId="0479D7B0">
      <w:pPr>
        <w:jc w:val="center"/>
        <w:rPr>
          <w:color w:val="auto"/>
        </w:rPr>
      </w:pPr>
      <w:r>
        <w:rPr>
          <w:rFonts w:hint="eastAsia"/>
          <w:color w:val="auto"/>
        </w:rPr>
        <w:t xml:space="preserve">                                                     </w:t>
      </w:r>
    </w:p>
    <w:p w14:paraId="72A5C6B4">
      <w:pPr>
        <w:jc w:val="center"/>
        <w:rPr>
          <w:color w:val="auto"/>
        </w:rPr>
      </w:pPr>
      <w:r>
        <w:rPr>
          <w:rFonts w:hint="eastAsia"/>
          <w:color w:val="auto"/>
        </w:rPr>
        <w:t xml:space="preserve">                                                     </w:t>
      </w:r>
      <w:r>
        <w:rPr>
          <w:color w:val="auto"/>
        </w:rPr>
        <w:t>投标人</w:t>
      </w:r>
      <w:r>
        <w:rPr>
          <w:rFonts w:hint="eastAsia"/>
          <w:color w:val="auto"/>
        </w:rPr>
        <w:t>（</w:t>
      </w:r>
      <w:r>
        <w:rPr>
          <w:color w:val="auto"/>
        </w:rPr>
        <w:t>签章</w:t>
      </w:r>
      <w:r>
        <w:rPr>
          <w:rFonts w:hint="eastAsia"/>
          <w:color w:val="auto"/>
        </w:rPr>
        <w:t>）</w:t>
      </w:r>
      <w:r>
        <w:rPr>
          <w:color w:val="auto"/>
        </w:rPr>
        <w:t>：_________________</w:t>
      </w:r>
    </w:p>
    <w:p w14:paraId="3298BB7C">
      <w:pPr>
        <w:jc w:val="center"/>
        <w:rPr>
          <w:color w:val="auto"/>
        </w:rPr>
      </w:pPr>
      <w:r>
        <w:rPr>
          <w:rFonts w:hint="eastAsia"/>
          <w:color w:val="auto"/>
        </w:rPr>
        <w:t xml:space="preserve">                                                 </w:t>
      </w:r>
      <w:r>
        <w:rPr>
          <w:rFonts w:hint="eastAsia" w:ascii="宋体" w:hAnsi="宋体"/>
          <w:color w:val="auto"/>
        </w:rPr>
        <w:t>日期：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r>
        <w:rPr>
          <w:rFonts w:hint="eastAsia"/>
          <w:color w:val="auto"/>
          <w:sz w:val="24"/>
        </w:rPr>
        <w:t xml:space="preserve"> </w:t>
      </w:r>
    </w:p>
    <w:p w14:paraId="5FAD7493">
      <w:pPr>
        <w:rPr>
          <w:color w:val="auto"/>
        </w:rPr>
      </w:pPr>
    </w:p>
    <w:p w14:paraId="641949D5">
      <w:pPr>
        <w:rPr>
          <w:color w:val="auto"/>
        </w:rPr>
      </w:pPr>
    </w:p>
    <w:p w14:paraId="78F386F1">
      <w:pPr>
        <w:rPr>
          <w:color w:val="auto"/>
        </w:rPr>
      </w:pPr>
      <w:r>
        <w:rPr>
          <w:rFonts w:hint="eastAsia"/>
          <w:color w:val="auto"/>
        </w:rPr>
        <w:t>注:</w:t>
      </w:r>
    </w:p>
    <w:p w14:paraId="19C5AF9A">
      <w:pPr>
        <w:numPr>
          <w:ilvl w:val="0"/>
          <w:numId w:val="12"/>
        </w:numPr>
        <w:ind w:firstLine="420" w:firstLineChars="200"/>
        <w:rPr>
          <w:rFonts w:hint="eastAsia" w:ascii="宋体" w:hAnsi="宋体"/>
          <w:color w:val="auto"/>
          <w:kern w:val="0"/>
          <w:szCs w:val="20"/>
        </w:rPr>
      </w:pPr>
      <w:r>
        <w:rPr>
          <w:rFonts w:hint="eastAsia"/>
          <w:color w:val="auto"/>
        </w:rPr>
        <w:t>投标总报</w:t>
      </w:r>
      <w:r>
        <w:rPr>
          <w:rFonts w:hint="eastAsia" w:ascii="宋体" w:hAnsi="宋体"/>
          <w:color w:val="auto"/>
          <w:kern w:val="0"/>
          <w:szCs w:val="20"/>
        </w:rPr>
        <w:t>价应包含本项目实施期间的所有含税费用。</w:t>
      </w:r>
    </w:p>
    <w:p w14:paraId="38965BBB">
      <w:pPr>
        <w:pStyle w:val="41"/>
        <w:numPr>
          <w:ilvl w:val="0"/>
          <w:numId w:val="12"/>
        </w:numPr>
        <w:spacing w:line="240" w:lineRule="auto"/>
        <w:rPr>
          <w:rFonts w:hint="eastAsia"/>
          <w:color w:val="auto"/>
          <w:kern w:val="0"/>
        </w:rPr>
      </w:pPr>
      <w:r>
        <w:rPr>
          <w:rFonts w:hint="eastAsia"/>
          <w:color w:val="auto"/>
          <w:kern w:val="0"/>
        </w:rPr>
        <w:t>投标人的投标报价不得超过预算金额，否则将导致投标被否决。</w:t>
      </w:r>
    </w:p>
    <w:p w14:paraId="0C76AA40">
      <w:pPr>
        <w:pStyle w:val="41"/>
        <w:numPr>
          <w:ilvl w:val="0"/>
          <w:numId w:val="12"/>
        </w:numPr>
        <w:spacing w:line="240" w:lineRule="auto"/>
        <w:rPr>
          <w:rFonts w:hint="eastAsia"/>
          <w:color w:val="auto"/>
          <w:kern w:val="0"/>
        </w:rPr>
      </w:pPr>
      <w:r>
        <w:rPr>
          <w:rFonts w:hint="eastAsia"/>
          <w:color w:val="auto"/>
          <w:kern w:val="0"/>
        </w:rPr>
        <w:t>投标文件中开标一览表（报价表）内容与投标文件中响应内容不一致的，以开标一览表（报价表）为准。</w:t>
      </w:r>
    </w:p>
    <w:p w14:paraId="42CBE4FD">
      <w:pPr>
        <w:rPr>
          <w:rFonts w:hint="eastAsia" w:ascii="宋体" w:hAnsi="宋体"/>
          <w:color w:val="auto"/>
          <w:kern w:val="0"/>
          <w:szCs w:val="20"/>
        </w:rPr>
      </w:pPr>
    </w:p>
    <w:p w14:paraId="5CD9BA8D">
      <w:pPr>
        <w:pStyle w:val="2"/>
        <w:rPr>
          <w:rFonts w:hint="eastAsia" w:ascii="宋体" w:hAnsi="宋体" w:eastAsia="宋体"/>
          <w:color w:val="auto"/>
          <w:kern w:val="0"/>
          <w:sz w:val="21"/>
          <w:szCs w:val="20"/>
        </w:rPr>
      </w:pPr>
    </w:p>
    <w:p w14:paraId="2FAFE6CC">
      <w:pPr>
        <w:rPr>
          <w:rFonts w:hint="eastAsia" w:ascii="宋体" w:hAnsi="宋体"/>
          <w:color w:val="auto"/>
          <w:kern w:val="0"/>
          <w:szCs w:val="20"/>
        </w:rPr>
      </w:pPr>
    </w:p>
    <w:p w14:paraId="1B504CF8">
      <w:pPr>
        <w:pStyle w:val="2"/>
        <w:rPr>
          <w:rFonts w:hint="eastAsia" w:ascii="宋体" w:hAnsi="宋体" w:eastAsia="宋体"/>
          <w:color w:val="auto"/>
          <w:kern w:val="0"/>
          <w:sz w:val="21"/>
          <w:szCs w:val="20"/>
        </w:rPr>
      </w:pPr>
    </w:p>
    <w:p w14:paraId="1D70F237">
      <w:pPr>
        <w:rPr>
          <w:color w:val="auto"/>
        </w:rPr>
        <w:sectPr>
          <w:pgSz w:w="11906" w:h="16838"/>
          <w:pgMar w:top="1418" w:right="1588" w:bottom="1418" w:left="1366" w:header="851" w:footer="907" w:gutter="0"/>
          <w:cols w:space="720" w:num="1"/>
          <w:docGrid w:type="lines" w:linePitch="290" w:charSpace="0"/>
        </w:sectPr>
      </w:pPr>
    </w:p>
    <w:p w14:paraId="44489333">
      <w:pPr>
        <w:pStyle w:val="5"/>
        <w:spacing w:before="0" w:after="0" w:line="240" w:lineRule="auto"/>
        <w:ind w:firstLine="0" w:firstLineChars="0"/>
        <w:jc w:val="center"/>
        <w:rPr>
          <w:rFonts w:eastAsia="黑体"/>
          <w:b/>
          <w:color w:val="auto"/>
          <w:sz w:val="24"/>
          <w:szCs w:val="24"/>
        </w:rPr>
      </w:pPr>
      <w:r>
        <w:rPr>
          <w:rFonts w:hint="eastAsia" w:ascii="黑体" w:eastAsia="黑体"/>
          <w:b/>
          <w:color w:val="auto"/>
          <w:sz w:val="24"/>
          <w:szCs w:val="24"/>
        </w:rPr>
        <w:t>七、分项报价表</w:t>
      </w:r>
    </w:p>
    <w:p w14:paraId="57BC56CC">
      <w:pPr>
        <w:pStyle w:val="17"/>
        <w:ind w:left="0"/>
        <w:jc w:val="center"/>
        <w:rPr>
          <w:color w:val="auto"/>
        </w:rPr>
      </w:pPr>
      <w:r>
        <w:rPr>
          <w:rFonts w:hint="eastAsia"/>
          <w:color w:val="auto"/>
        </w:rPr>
        <w:t>（供应商请按照采购需求清单内容自行填写此表）</w:t>
      </w:r>
    </w:p>
    <w:p w14:paraId="0858D97B">
      <w:pPr>
        <w:pStyle w:val="17"/>
        <w:ind w:left="0"/>
        <w:rPr>
          <w:color w:val="auto"/>
        </w:rPr>
      </w:pPr>
      <w:r>
        <w:rPr>
          <w:rFonts w:hint="eastAsia"/>
          <w:color w:val="auto"/>
        </w:rPr>
        <w:t xml:space="preserve"> </w:t>
      </w:r>
    </w:p>
    <w:p w14:paraId="7BDA9AF0">
      <w:pPr>
        <w:rPr>
          <w:color w:val="auto"/>
        </w:rPr>
      </w:pPr>
      <w:r>
        <w:rPr>
          <w:color w:val="auto"/>
        </w:rPr>
        <w:t>货币及单位：人民币/元</w:t>
      </w:r>
    </w:p>
    <w:tbl>
      <w:tblPr>
        <w:tblStyle w:val="42"/>
        <w:tblpPr w:leftFromText="180" w:rightFromText="180" w:vertAnchor="text" w:horzAnchor="page" w:tblpX="1879" w:tblpY="110"/>
        <w:tblOverlap w:val="never"/>
        <w:tblW w:w="13503"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31"/>
        <w:gridCol w:w="2203"/>
        <w:gridCol w:w="1824"/>
        <w:gridCol w:w="1571"/>
        <w:gridCol w:w="1015"/>
        <w:gridCol w:w="916"/>
        <w:gridCol w:w="1243"/>
        <w:gridCol w:w="993"/>
        <w:gridCol w:w="1266"/>
        <w:gridCol w:w="1941"/>
      </w:tblGrid>
      <w:tr w14:paraId="1E0B86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blHeader/>
        </w:trPr>
        <w:tc>
          <w:tcPr>
            <w:tcW w:w="531" w:type="dxa"/>
            <w:vAlign w:val="center"/>
          </w:tcPr>
          <w:p w14:paraId="193F5ECC">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序号</w:t>
            </w:r>
          </w:p>
        </w:tc>
        <w:tc>
          <w:tcPr>
            <w:tcW w:w="2203" w:type="dxa"/>
            <w:vAlign w:val="center"/>
          </w:tcPr>
          <w:p w14:paraId="558426AC">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产品名称</w:t>
            </w:r>
          </w:p>
        </w:tc>
        <w:tc>
          <w:tcPr>
            <w:tcW w:w="1824" w:type="dxa"/>
            <w:vAlign w:val="center"/>
          </w:tcPr>
          <w:p w14:paraId="3A689EF3">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规格型号</w:t>
            </w:r>
          </w:p>
        </w:tc>
        <w:tc>
          <w:tcPr>
            <w:tcW w:w="1571" w:type="dxa"/>
            <w:vAlign w:val="center"/>
          </w:tcPr>
          <w:p w14:paraId="20038535">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技术参数</w:t>
            </w:r>
          </w:p>
          <w:p w14:paraId="3BBDE234">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（特征描述）</w:t>
            </w:r>
          </w:p>
        </w:tc>
        <w:tc>
          <w:tcPr>
            <w:tcW w:w="1015" w:type="dxa"/>
            <w:vAlign w:val="center"/>
          </w:tcPr>
          <w:p w14:paraId="0EF64763">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品牌</w:t>
            </w:r>
          </w:p>
        </w:tc>
        <w:tc>
          <w:tcPr>
            <w:tcW w:w="916" w:type="dxa"/>
            <w:vAlign w:val="center"/>
          </w:tcPr>
          <w:p w14:paraId="26B31D18">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产地</w:t>
            </w:r>
          </w:p>
        </w:tc>
        <w:tc>
          <w:tcPr>
            <w:tcW w:w="1243" w:type="dxa"/>
            <w:vAlign w:val="center"/>
          </w:tcPr>
          <w:p w14:paraId="66BB4944">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制造商名称</w:t>
            </w:r>
          </w:p>
        </w:tc>
        <w:tc>
          <w:tcPr>
            <w:tcW w:w="993" w:type="dxa"/>
            <w:vAlign w:val="center"/>
          </w:tcPr>
          <w:p w14:paraId="1EC45B39">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单价</w:t>
            </w:r>
          </w:p>
        </w:tc>
        <w:tc>
          <w:tcPr>
            <w:tcW w:w="1266" w:type="dxa"/>
            <w:vAlign w:val="center"/>
          </w:tcPr>
          <w:p w14:paraId="0685484E">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数量</w:t>
            </w:r>
          </w:p>
        </w:tc>
        <w:tc>
          <w:tcPr>
            <w:tcW w:w="1941" w:type="dxa"/>
            <w:vAlign w:val="center"/>
          </w:tcPr>
          <w:p w14:paraId="665294DA">
            <w:pPr>
              <w:snapToGrid w:val="0"/>
              <w:ind w:left="0" w:leftChars="0" w:right="0" w:rightChars="0" w:firstLine="0" w:firstLineChars="0"/>
              <w:jc w:val="center"/>
              <w:rPr>
                <w:rFonts w:hint="eastAsia" w:ascii="宋体" w:hAnsi="宋体" w:cs="宋体"/>
                <w:b/>
                <w:color w:val="auto"/>
              </w:rPr>
            </w:pPr>
            <w:r>
              <w:rPr>
                <w:rFonts w:hint="eastAsia" w:ascii="宋体" w:hAnsi="宋体" w:cs="宋体"/>
                <w:b/>
                <w:color w:val="auto"/>
              </w:rPr>
              <w:t>总价</w:t>
            </w:r>
          </w:p>
        </w:tc>
      </w:tr>
      <w:tr w14:paraId="0757A92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3503" w:type="dxa"/>
            <w:gridSpan w:val="10"/>
            <w:vAlign w:val="center"/>
          </w:tcPr>
          <w:p w14:paraId="313C3537">
            <w:pPr>
              <w:snapToGrid w:val="0"/>
              <w:ind w:left="0" w:leftChars="0" w:right="0" w:rightChars="0" w:firstLine="0" w:firstLineChars="0"/>
              <w:jc w:val="center"/>
              <w:rPr>
                <w:rFonts w:hint="eastAsia" w:ascii="宋体" w:hAnsi="宋体" w:cs="宋体"/>
                <w:color w:val="auto"/>
              </w:rPr>
            </w:pPr>
            <w:r>
              <w:rPr>
                <w:rFonts w:hint="eastAsia" w:ascii="仿宋" w:hAnsi="仿宋" w:eastAsia="仿宋" w:cs="宋体"/>
                <w:b/>
                <w:bCs/>
                <w:color w:val="auto"/>
                <w:kern w:val="0"/>
                <w:sz w:val="24"/>
                <w:szCs w:val="24"/>
              </w:rPr>
              <w:t>一、全光校园网络建设</w:t>
            </w:r>
          </w:p>
        </w:tc>
      </w:tr>
      <w:tr w14:paraId="6DE73B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0955E2B">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1</w:t>
            </w:r>
          </w:p>
        </w:tc>
        <w:tc>
          <w:tcPr>
            <w:tcW w:w="2203" w:type="dxa"/>
            <w:shd w:val="clear" w:color="auto" w:fill="auto"/>
            <w:vAlign w:val="center"/>
          </w:tcPr>
          <w:p w14:paraId="25DEE355">
            <w:pPr>
              <w:widowControl/>
              <w:snapToGrid w:val="0"/>
              <w:ind w:left="0" w:leftChars="0" w:right="0" w:rightChars="0" w:firstLine="0" w:firstLineChars="0"/>
              <w:jc w:val="center"/>
              <w:rPr>
                <w:rFonts w:hint="eastAsia" w:ascii="宋体" w:hAnsi="仿宋" w:eastAsia="宋体" w:cs="宋体"/>
                <w:color w:val="auto"/>
                <w:kern w:val="0"/>
                <w:sz w:val="21"/>
                <w:szCs w:val="21"/>
                <w:lang w:val="en-US" w:eastAsia="zh-CN" w:bidi="ar-SA"/>
              </w:rPr>
            </w:pPr>
            <w:r>
              <w:rPr>
                <w:rFonts w:hint="eastAsia" w:ascii="宋体" w:hAnsi="仿宋" w:eastAsia="宋体"/>
                <w:color w:val="auto"/>
                <w:sz w:val="21"/>
              </w:rPr>
              <w:t>网络控制器</w:t>
            </w:r>
          </w:p>
        </w:tc>
        <w:tc>
          <w:tcPr>
            <w:tcW w:w="1824" w:type="dxa"/>
            <w:vAlign w:val="center"/>
          </w:tcPr>
          <w:p w14:paraId="590A18B3">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932BB8F">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0932B2D">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89A7C55">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BB0E0D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AEE32E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F1F536D">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01A40E8">
            <w:pPr>
              <w:snapToGrid w:val="0"/>
              <w:ind w:left="0" w:leftChars="0" w:right="0" w:rightChars="0" w:firstLine="0" w:firstLineChars="0"/>
              <w:jc w:val="center"/>
              <w:rPr>
                <w:rFonts w:hint="eastAsia" w:ascii="宋体" w:hAnsi="宋体" w:eastAsia="宋体" w:cs="宋体"/>
                <w:color w:val="auto"/>
                <w:sz w:val="21"/>
              </w:rPr>
            </w:pPr>
          </w:p>
        </w:tc>
      </w:tr>
      <w:tr w14:paraId="004E620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7872C9A9">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2</w:t>
            </w:r>
          </w:p>
        </w:tc>
        <w:tc>
          <w:tcPr>
            <w:tcW w:w="2203" w:type="dxa"/>
            <w:shd w:val="clear" w:color="auto" w:fill="auto"/>
            <w:vAlign w:val="center"/>
          </w:tcPr>
          <w:p w14:paraId="1D6266E5">
            <w:pPr>
              <w:widowControl/>
              <w:snapToGrid w:val="0"/>
              <w:ind w:left="0" w:leftChars="0" w:right="0" w:rightChars="0" w:firstLine="0" w:firstLineChars="0"/>
              <w:jc w:val="center"/>
              <w:rPr>
                <w:rFonts w:hint="eastAsia" w:ascii="宋体" w:hAnsi="仿宋" w:eastAsia="宋体" w:cs="宋体"/>
                <w:color w:val="auto"/>
                <w:kern w:val="0"/>
                <w:sz w:val="21"/>
                <w:szCs w:val="21"/>
                <w:lang w:val="en-US" w:eastAsia="zh-CN" w:bidi="ar-SA"/>
              </w:rPr>
            </w:pPr>
            <w:r>
              <w:rPr>
                <w:rFonts w:hint="eastAsia" w:ascii="宋体" w:hAnsi="仿宋" w:eastAsia="宋体"/>
                <w:color w:val="auto"/>
                <w:sz w:val="21"/>
              </w:rPr>
              <w:t>SDN网络管理中心</w:t>
            </w:r>
          </w:p>
        </w:tc>
        <w:tc>
          <w:tcPr>
            <w:tcW w:w="1824" w:type="dxa"/>
            <w:vAlign w:val="center"/>
          </w:tcPr>
          <w:p w14:paraId="22D4E162">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9D57D91">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9C22DEA">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41047A7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88147C7">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14B1F70">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647342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BBDEDE7">
            <w:pPr>
              <w:snapToGrid w:val="0"/>
              <w:ind w:left="0" w:leftChars="0" w:right="0" w:rightChars="0" w:firstLine="0" w:firstLineChars="0"/>
              <w:jc w:val="center"/>
              <w:rPr>
                <w:rFonts w:hint="eastAsia" w:ascii="宋体" w:hAnsi="宋体" w:eastAsia="宋体" w:cs="宋体"/>
                <w:color w:val="auto"/>
                <w:sz w:val="21"/>
              </w:rPr>
            </w:pPr>
          </w:p>
        </w:tc>
      </w:tr>
      <w:tr w14:paraId="4B6B265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6299C5F">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3</w:t>
            </w:r>
          </w:p>
        </w:tc>
        <w:tc>
          <w:tcPr>
            <w:tcW w:w="2203" w:type="dxa"/>
            <w:shd w:val="clear" w:color="auto" w:fill="auto"/>
            <w:vAlign w:val="center"/>
          </w:tcPr>
          <w:p w14:paraId="31ED1BC8">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统一认证平台</w:t>
            </w:r>
          </w:p>
        </w:tc>
        <w:tc>
          <w:tcPr>
            <w:tcW w:w="1824" w:type="dxa"/>
            <w:vAlign w:val="center"/>
          </w:tcPr>
          <w:p w14:paraId="534D0668">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1AEF449">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13D8EF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B1F4A0B">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55474C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C06281B">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BE6ABB7">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4D3B86CE">
            <w:pPr>
              <w:snapToGrid w:val="0"/>
              <w:ind w:left="0" w:leftChars="0" w:right="0" w:rightChars="0" w:firstLine="0" w:firstLineChars="0"/>
              <w:jc w:val="center"/>
              <w:rPr>
                <w:rFonts w:hint="eastAsia" w:ascii="宋体" w:hAnsi="宋体" w:eastAsia="宋体" w:cs="宋体"/>
                <w:color w:val="auto"/>
                <w:sz w:val="21"/>
              </w:rPr>
            </w:pPr>
          </w:p>
        </w:tc>
      </w:tr>
      <w:tr w14:paraId="003C5C3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42DA945">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4</w:t>
            </w:r>
          </w:p>
        </w:tc>
        <w:tc>
          <w:tcPr>
            <w:tcW w:w="2203" w:type="dxa"/>
            <w:shd w:val="clear" w:color="auto" w:fill="auto"/>
            <w:vAlign w:val="center"/>
          </w:tcPr>
          <w:p w14:paraId="32505951">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终端分析管理组件</w:t>
            </w:r>
          </w:p>
        </w:tc>
        <w:tc>
          <w:tcPr>
            <w:tcW w:w="1824" w:type="dxa"/>
            <w:vAlign w:val="center"/>
          </w:tcPr>
          <w:p w14:paraId="1B442E1D">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0057B6F">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D7F6636">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398E80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1B0ADF6">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54A4EC2F">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58F3857">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42E04D58">
            <w:pPr>
              <w:snapToGrid w:val="0"/>
              <w:ind w:left="0" w:leftChars="0" w:right="0" w:rightChars="0" w:firstLine="0" w:firstLineChars="0"/>
              <w:jc w:val="center"/>
              <w:rPr>
                <w:rFonts w:hint="eastAsia" w:ascii="宋体" w:hAnsi="宋体" w:eastAsia="宋体" w:cs="宋体"/>
                <w:color w:val="auto"/>
                <w:sz w:val="21"/>
              </w:rPr>
            </w:pPr>
          </w:p>
        </w:tc>
      </w:tr>
      <w:tr w14:paraId="6C54AAC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6F649CF">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5</w:t>
            </w:r>
          </w:p>
        </w:tc>
        <w:tc>
          <w:tcPr>
            <w:tcW w:w="2203" w:type="dxa"/>
            <w:shd w:val="clear" w:color="auto" w:fill="auto"/>
            <w:vAlign w:val="center"/>
          </w:tcPr>
          <w:p w14:paraId="5DE98A9E">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核心交换机</w:t>
            </w:r>
          </w:p>
        </w:tc>
        <w:tc>
          <w:tcPr>
            <w:tcW w:w="1824" w:type="dxa"/>
            <w:vAlign w:val="center"/>
          </w:tcPr>
          <w:p w14:paraId="36D4FD5B">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46CD9D3">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C1E139B">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D82926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DC24B6A">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1F7F4E73">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99A5976">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1CB991B">
            <w:pPr>
              <w:snapToGrid w:val="0"/>
              <w:ind w:left="0" w:leftChars="0" w:right="0" w:rightChars="0" w:firstLine="0" w:firstLineChars="0"/>
              <w:jc w:val="center"/>
              <w:rPr>
                <w:rFonts w:hint="eastAsia" w:ascii="宋体" w:hAnsi="宋体" w:eastAsia="宋体" w:cs="宋体"/>
                <w:color w:val="auto"/>
                <w:sz w:val="21"/>
              </w:rPr>
            </w:pPr>
          </w:p>
        </w:tc>
      </w:tr>
      <w:tr w14:paraId="5AB04AD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39BA0E9">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6</w:t>
            </w:r>
          </w:p>
        </w:tc>
        <w:tc>
          <w:tcPr>
            <w:tcW w:w="2203" w:type="dxa"/>
            <w:shd w:val="clear" w:color="auto" w:fill="auto"/>
            <w:vAlign w:val="center"/>
          </w:tcPr>
          <w:p w14:paraId="339D1BA8">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防火墙</w:t>
            </w:r>
          </w:p>
        </w:tc>
        <w:tc>
          <w:tcPr>
            <w:tcW w:w="1824" w:type="dxa"/>
            <w:vAlign w:val="center"/>
          </w:tcPr>
          <w:p w14:paraId="293F0AEF">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F2B16C2">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8FDDA8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DBE090B">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513BC3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1059C5E9">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CADC0D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2461854">
            <w:pPr>
              <w:snapToGrid w:val="0"/>
              <w:ind w:left="0" w:leftChars="0" w:right="0" w:rightChars="0" w:firstLine="0" w:firstLineChars="0"/>
              <w:jc w:val="center"/>
              <w:rPr>
                <w:rFonts w:hint="eastAsia" w:ascii="宋体" w:hAnsi="宋体" w:eastAsia="宋体" w:cs="宋体"/>
                <w:color w:val="auto"/>
                <w:sz w:val="21"/>
              </w:rPr>
            </w:pPr>
          </w:p>
        </w:tc>
      </w:tr>
      <w:tr w14:paraId="7500BB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941CFCD">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7</w:t>
            </w:r>
          </w:p>
        </w:tc>
        <w:tc>
          <w:tcPr>
            <w:tcW w:w="2203" w:type="dxa"/>
            <w:shd w:val="clear" w:color="auto" w:fill="auto"/>
            <w:vAlign w:val="center"/>
          </w:tcPr>
          <w:p w14:paraId="2EBBE0C7">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POE汇聚交换机</w:t>
            </w:r>
          </w:p>
        </w:tc>
        <w:tc>
          <w:tcPr>
            <w:tcW w:w="1824" w:type="dxa"/>
            <w:vAlign w:val="center"/>
          </w:tcPr>
          <w:p w14:paraId="3773338C">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56D36CB">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74A4CA9">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0080FFC">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C4BE8C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148D291">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D11F9B4">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B5E878D">
            <w:pPr>
              <w:snapToGrid w:val="0"/>
              <w:ind w:left="0" w:leftChars="0" w:right="0" w:rightChars="0" w:firstLine="0" w:firstLineChars="0"/>
              <w:jc w:val="center"/>
              <w:rPr>
                <w:rFonts w:hint="eastAsia" w:ascii="宋体" w:hAnsi="宋体" w:eastAsia="宋体" w:cs="宋体"/>
                <w:color w:val="auto"/>
                <w:sz w:val="21"/>
              </w:rPr>
            </w:pPr>
          </w:p>
        </w:tc>
      </w:tr>
      <w:tr w14:paraId="05168F4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CEEA408">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8</w:t>
            </w:r>
          </w:p>
        </w:tc>
        <w:tc>
          <w:tcPr>
            <w:tcW w:w="2203" w:type="dxa"/>
            <w:shd w:val="clear" w:color="auto" w:fill="auto"/>
            <w:vAlign w:val="center"/>
          </w:tcPr>
          <w:p w14:paraId="00CF4AFC">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AP+4网口</w:t>
            </w:r>
          </w:p>
        </w:tc>
        <w:tc>
          <w:tcPr>
            <w:tcW w:w="1824" w:type="dxa"/>
            <w:vAlign w:val="center"/>
          </w:tcPr>
          <w:p w14:paraId="37A2CD94">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364B0884">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C4E6E0C">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56ECCD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F3CEA75">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A59376B">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670ED69">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35E701D">
            <w:pPr>
              <w:snapToGrid w:val="0"/>
              <w:ind w:left="0" w:leftChars="0" w:right="0" w:rightChars="0" w:firstLine="0" w:firstLineChars="0"/>
              <w:jc w:val="center"/>
              <w:rPr>
                <w:rFonts w:hint="eastAsia" w:ascii="宋体" w:hAnsi="宋体" w:eastAsia="宋体" w:cs="宋体"/>
                <w:color w:val="auto"/>
                <w:sz w:val="21"/>
              </w:rPr>
            </w:pPr>
          </w:p>
        </w:tc>
      </w:tr>
      <w:tr w14:paraId="38A170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7E648BF">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9</w:t>
            </w:r>
          </w:p>
        </w:tc>
        <w:tc>
          <w:tcPr>
            <w:tcW w:w="2203" w:type="dxa"/>
            <w:shd w:val="clear" w:color="auto" w:fill="auto"/>
            <w:vAlign w:val="center"/>
          </w:tcPr>
          <w:p w14:paraId="561C7C6B">
            <w:pPr>
              <w:widowControl/>
              <w:snapToGrid w:val="0"/>
              <w:ind w:left="0" w:leftChars="0" w:right="0" w:rightChars="0" w:firstLine="0" w:firstLineChars="0"/>
              <w:jc w:val="center"/>
              <w:rPr>
                <w:rFonts w:hint="eastAsia" w:ascii="宋体" w:hAnsi="仿宋" w:eastAsia="宋体" w:cs="Times New Roman"/>
                <w:color w:val="auto"/>
                <w:kern w:val="2"/>
                <w:sz w:val="21"/>
                <w:szCs w:val="21"/>
                <w:highlight w:val="none"/>
                <w:lang w:val="en-US" w:eastAsia="zh-CN" w:bidi="ar-SA"/>
              </w:rPr>
            </w:pPr>
            <w:r>
              <w:rPr>
                <w:rFonts w:hint="eastAsia" w:ascii="宋体" w:hAnsi="仿宋" w:eastAsia="宋体"/>
                <w:color w:val="auto"/>
                <w:sz w:val="21"/>
                <w:highlight w:val="none"/>
              </w:rPr>
              <w:t>楼层机柜</w:t>
            </w:r>
          </w:p>
        </w:tc>
        <w:tc>
          <w:tcPr>
            <w:tcW w:w="1824" w:type="dxa"/>
            <w:vAlign w:val="center"/>
          </w:tcPr>
          <w:p w14:paraId="0D906A1F">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3EB8FB6">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B2AC7AA">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C8A9B9C">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6E4D5F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9A64652">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153B32D">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8B8AA77">
            <w:pPr>
              <w:snapToGrid w:val="0"/>
              <w:ind w:left="0" w:leftChars="0" w:right="0" w:rightChars="0" w:firstLine="0" w:firstLineChars="0"/>
              <w:jc w:val="center"/>
              <w:rPr>
                <w:rFonts w:hint="eastAsia" w:ascii="宋体" w:hAnsi="宋体" w:eastAsia="宋体" w:cs="宋体"/>
                <w:color w:val="auto"/>
                <w:sz w:val="21"/>
              </w:rPr>
            </w:pPr>
          </w:p>
        </w:tc>
      </w:tr>
      <w:tr w14:paraId="12ACEA4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36CC976">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10</w:t>
            </w:r>
          </w:p>
        </w:tc>
        <w:tc>
          <w:tcPr>
            <w:tcW w:w="2203" w:type="dxa"/>
            <w:shd w:val="clear" w:color="auto" w:fill="auto"/>
            <w:vAlign w:val="center"/>
          </w:tcPr>
          <w:p w14:paraId="13B43FA9">
            <w:pPr>
              <w:widowControl/>
              <w:snapToGrid w:val="0"/>
              <w:ind w:left="0" w:leftChars="0" w:right="0" w:rightChars="0" w:firstLine="0" w:firstLineChars="0"/>
              <w:jc w:val="center"/>
              <w:rPr>
                <w:rFonts w:hint="eastAsia" w:ascii="宋体" w:hAnsi="仿宋" w:eastAsia="宋体" w:cs="Times New Roman"/>
                <w:color w:val="auto"/>
                <w:kern w:val="2"/>
                <w:sz w:val="21"/>
                <w:szCs w:val="21"/>
                <w:highlight w:val="none"/>
                <w:lang w:val="en-US" w:eastAsia="zh-CN" w:bidi="ar-SA"/>
              </w:rPr>
            </w:pPr>
            <w:r>
              <w:rPr>
                <w:rFonts w:hint="eastAsia" w:ascii="宋体" w:hAnsi="仿宋" w:eastAsia="宋体"/>
                <w:color w:val="auto"/>
                <w:sz w:val="21"/>
                <w:highlight w:val="none"/>
              </w:rPr>
              <w:t>机房机柜</w:t>
            </w:r>
          </w:p>
        </w:tc>
        <w:tc>
          <w:tcPr>
            <w:tcW w:w="1824" w:type="dxa"/>
            <w:vAlign w:val="center"/>
          </w:tcPr>
          <w:p w14:paraId="417241AC">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D1BE263">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10770ED">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78AE42F">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4BD22D8">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79A00CD">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00FB480">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B5CCA7A">
            <w:pPr>
              <w:snapToGrid w:val="0"/>
              <w:ind w:left="0" w:leftChars="0" w:right="0" w:rightChars="0" w:firstLine="0" w:firstLineChars="0"/>
              <w:jc w:val="center"/>
              <w:rPr>
                <w:rFonts w:hint="eastAsia" w:ascii="宋体" w:hAnsi="宋体" w:eastAsia="宋体" w:cs="宋体"/>
                <w:color w:val="auto"/>
                <w:sz w:val="21"/>
              </w:rPr>
            </w:pPr>
          </w:p>
        </w:tc>
      </w:tr>
      <w:tr w14:paraId="4475F3E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1618AD0B">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11</w:t>
            </w:r>
          </w:p>
        </w:tc>
        <w:tc>
          <w:tcPr>
            <w:tcW w:w="2203" w:type="dxa"/>
            <w:shd w:val="clear" w:color="auto" w:fill="auto"/>
            <w:vAlign w:val="center"/>
          </w:tcPr>
          <w:p w14:paraId="3402F006">
            <w:pPr>
              <w:widowControl/>
              <w:snapToGrid w:val="0"/>
              <w:ind w:left="0" w:leftChars="0" w:right="0" w:rightChars="0" w:firstLine="0" w:firstLineChars="0"/>
              <w:jc w:val="center"/>
              <w:rPr>
                <w:rFonts w:hint="eastAsia" w:ascii="宋体" w:hAnsi="仿宋" w:eastAsia="宋体" w:cs="Times New Roman"/>
                <w:color w:val="auto"/>
                <w:kern w:val="2"/>
                <w:sz w:val="21"/>
                <w:szCs w:val="21"/>
                <w:highlight w:val="none"/>
                <w:lang w:val="en-US" w:eastAsia="zh-CN" w:bidi="ar-SA"/>
              </w:rPr>
            </w:pPr>
            <w:r>
              <w:rPr>
                <w:rFonts w:hint="eastAsia" w:ascii="宋体" w:hAnsi="仿宋" w:eastAsia="宋体"/>
                <w:color w:val="auto"/>
                <w:sz w:val="21"/>
                <w:highlight w:val="none"/>
              </w:rPr>
              <w:t>网线</w:t>
            </w:r>
          </w:p>
        </w:tc>
        <w:tc>
          <w:tcPr>
            <w:tcW w:w="1824" w:type="dxa"/>
            <w:vAlign w:val="center"/>
          </w:tcPr>
          <w:p w14:paraId="3C60870E">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44F0412">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F677F1F">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45DF209">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5C788C2">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10612A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4DE96A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D7DFFFE">
            <w:pPr>
              <w:snapToGrid w:val="0"/>
              <w:ind w:left="0" w:leftChars="0" w:right="0" w:rightChars="0" w:firstLine="0" w:firstLineChars="0"/>
              <w:jc w:val="center"/>
              <w:rPr>
                <w:rFonts w:hint="eastAsia" w:ascii="宋体" w:hAnsi="宋体" w:eastAsia="宋体" w:cs="宋体"/>
                <w:color w:val="auto"/>
                <w:sz w:val="21"/>
              </w:rPr>
            </w:pPr>
          </w:p>
        </w:tc>
      </w:tr>
      <w:tr w14:paraId="312B2AF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B60454C">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12</w:t>
            </w:r>
          </w:p>
        </w:tc>
        <w:tc>
          <w:tcPr>
            <w:tcW w:w="2203" w:type="dxa"/>
            <w:shd w:val="clear" w:color="auto" w:fill="auto"/>
            <w:vAlign w:val="center"/>
          </w:tcPr>
          <w:p w14:paraId="3522E4CB">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光模块（万兆）</w:t>
            </w:r>
          </w:p>
        </w:tc>
        <w:tc>
          <w:tcPr>
            <w:tcW w:w="1824" w:type="dxa"/>
            <w:vAlign w:val="center"/>
          </w:tcPr>
          <w:p w14:paraId="005BE60C">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355FD525">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2E62B9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980DC4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310264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BBF1D0A">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132AA99">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EB541A2">
            <w:pPr>
              <w:snapToGrid w:val="0"/>
              <w:ind w:left="0" w:leftChars="0" w:right="0" w:rightChars="0" w:firstLine="0" w:firstLineChars="0"/>
              <w:jc w:val="center"/>
              <w:rPr>
                <w:rFonts w:hint="eastAsia" w:ascii="宋体" w:hAnsi="宋体" w:eastAsia="宋体" w:cs="宋体"/>
                <w:color w:val="auto"/>
                <w:sz w:val="21"/>
              </w:rPr>
            </w:pPr>
          </w:p>
        </w:tc>
      </w:tr>
      <w:tr w14:paraId="6C04BB3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79DC51D">
            <w:pPr>
              <w:snapToGrid w:val="0"/>
              <w:ind w:left="0" w:leftChars="0" w:right="0" w:rightChars="0" w:firstLine="0" w:firstLineChars="0"/>
              <w:jc w:val="center"/>
              <w:rPr>
                <w:rFonts w:hint="eastAsia" w:ascii="宋体" w:hAnsi="宋体" w:eastAsia="宋体" w:cs="宋体"/>
                <w:color w:val="auto"/>
                <w:sz w:val="21"/>
              </w:rPr>
            </w:pPr>
            <w:r>
              <w:rPr>
                <w:rFonts w:hint="eastAsia" w:ascii="宋体" w:hAnsi="宋体" w:eastAsia="宋体" w:cs="宋体"/>
                <w:color w:val="auto"/>
                <w:sz w:val="21"/>
              </w:rPr>
              <w:t>13</w:t>
            </w:r>
          </w:p>
        </w:tc>
        <w:tc>
          <w:tcPr>
            <w:tcW w:w="2203" w:type="dxa"/>
            <w:shd w:val="clear" w:color="auto" w:fill="auto"/>
            <w:vAlign w:val="center"/>
          </w:tcPr>
          <w:p w14:paraId="35F71F9A">
            <w:pPr>
              <w:widowControl/>
              <w:snapToGrid w:val="0"/>
              <w:ind w:left="0" w:leftChars="0" w:right="0" w:rightChars="0" w:firstLine="0" w:firstLineChars="0"/>
              <w:jc w:val="center"/>
              <w:rPr>
                <w:rFonts w:hint="eastAsia" w:ascii="宋体" w:hAnsi="仿宋" w:eastAsia="宋体" w:cs="Times New Roman"/>
                <w:color w:val="auto"/>
                <w:kern w:val="2"/>
                <w:sz w:val="21"/>
                <w:szCs w:val="21"/>
                <w:lang w:val="en-US" w:eastAsia="zh-CN" w:bidi="ar-SA"/>
              </w:rPr>
            </w:pPr>
            <w:r>
              <w:rPr>
                <w:rFonts w:hint="eastAsia" w:ascii="宋体" w:hAnsi="仿宋" w:eastAsia="宋体"/>
                <w:color w:val="auto"/>
                <w:sz w:val="21"/>
              </w:rPr>
              <w:t>实施+辅材</w:t>
            </w:r>
          </w:p>
        </w:tc>
        <w:tc>
          <w:tcPr>
            <w:tcW w:w="1824" w:type="dxa"/>
            <w:vAlign w:val="center"/>
          </w:tcPr>
          <w:p w14:paraId="38B5581A">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1BE1706">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BB37960">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4BD4072">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1C4714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90DA360">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9BF2C61">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75186F4">
            <w:pPr>
              <w:snapToGrid w:val="0"/>
              <w:ind w:left="0" w:leftChars="0" w:right="0" w:rightChars="0" w:firstLine="0" w:firstLineChars="0"/>
              <w:jc w:val="center"/>
              <w:rPr>
                <w:rFonts w:hint="eastAsia" w:ascii="宋体" w:hAnsi="宋体" w:eastAsia="宋体" w:cs="宋体"/>
                <w:color w:val="auto"/>
                <w:sz w:val="21"/>
              </w:rPr>
            </w:pPr>
          </w:p>
        </w:tc>
      </w:tr>
      <w:tr w14:paraId="7A1B40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3503" w:type="dxa"/>
            <w:gridSpan w:val="10"/>
            <w:vAlign w:val="center"/>
          </w:tcPr>
          <w:p w14:paraId="1A1CDE88">
            <w:pPr>
              <w:snapToGrid w:val="0"/>
              <w:ind w:left="0" w:leftChars="0" w:right="0" w:rightChars="0" w:firstLine="0" w:firstLineChars="0"/>
              <w:jc w:val="center"/>
              <w:rPr>
                <w:rFonts w:hint="eastAsia" w:ascii="宋体" w:hAnsi="宋体" w:cs="宋体"/>
                <w:color w:val="auto"/>
              </w:rPr>
            </w:pPr>
            <w:r>
              <w:rPr>
                <w:rFonts w:hint="eastAsia" w:ascii="仿宋" w:hAnsi="仿宋" w:eastAsia="仿宋" w:cs="仿宋"/>
                <w:b/>
                <w:bCs/>
                <w:i w:val="0"/>
                <w:iCs w:val="0"/>
                <w:color w:val="auto"/>
                <w:kern w:val="0"/>
                <w:sz w:val="24"/>
                <w:szCs w:val="24"/>
                <w:u w:val="none"/>
                <w:lang w:val="en-US" w:eastAsia="zh-CN" w:bidi="ar"/>
              </w:rPr>
              <w:t>二、校园数字IP广播建设</w:t>
            </w:r>
          </w:p>
        </w:tc>
      </w:tr>
      <w:tr w14:paraId="2580E95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8FFEADA">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14</w:t>
            </w:r>
          </w:p>
        </w:tc>
        <w:tc>
          <w:tcPr>
            <w:tcW w:w="2203" w:type="dxa"/>
            <w:vAlign w:val="center"/>
          </w:tcPr>
          <w:p w14:paraId="49020FEC">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auto"/>
                <w:kern w:val="0"/>
                <w:sz w:val="21"/>
                <w:szCs w:val="20"/>
              </w:rPr>
            </w:pPr>
            <w:r>
              <w:rPr>
                <w:rFonts w:hint="eastAsia" w:ascii="宋体" w:hAnsi="仿宋" w:eastAsia="宋体"/>
                <w:color w:val="auto"/>
                <w:sz w:val="21"/>
              </w:rPr>
              <w:t>IP网络广播控制中心</w:t>
            </w:r>
          </w:p>
        </w:tc>
        <w:tc>
          <w:tcPr>
            <w:tcW w:w="1824" w:type="dxa"/>
            <w:vAlign w:val="center"/>
          </w:tcPr>
          <w:p w14:paraId="69669E10">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6664A42">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B8994B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D80CDE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C72AE06">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6F11902">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603989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F04E395">
            <w:pPr>
              <w:snapToGrid w:val="0"/>
              <w:ind w:left="0" w:leftChars="0" w:right="0" w:rightChars="0" w:firstLine="0" w:firstLineChars="0"/>
              <w:jc w:val="center"/>
              <w:rPr>
                <w:rFonts w:hint="eastAsia" w:ascii="宋体" w:hAnsi="宋体" w:eastAsia="宋体" w:cs="宋体"/>
                <w:color w:val="auto"/>
                <w:sz w:val="21"/>
              </w:rPr>
            </w:pPr>
          </w:p>
        </w:tc>
      </w:tr>
      <w:tr w14:paraId="7EA1877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D140198">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15</w:t>
            </w:r>
          </w:p>
        </w:tc>
        <w:tc>
          <w:tcPr>
            <w:tcW w:w="2203" w:type="dxa"/>
            <w:vAlign w:val="center"/>
          </w:tcPr>
          <w:p w14:paraId="48E11B62">
            <w:pPr>
              <w:keepNext w:val="0"/>
              <w:keepLines w:val="0"/>
              <w:widowControl/>
              <w:suppressLineNumbers w:val="0"/>
              <w:snapToGrid w:val="0"/>
              <w:ind w:left="0" w:leftChars="0" w:right="0" w:rightChars="0" w:firstLine="0" w:firstLineChars="0"/>
              <w:jc w:val="center"/>
              <w:textAlignment w:val="center"/>
              <w:rPr>
                <w:rFonts w:hint="eastAsia" w:ascii="宋体" w:hAnsi="宋体" w:eastAsia="宋体" w:cs="宋体"/>
                <w:color w:val="auto"/>
                <w:kern w:val="0"/>
                <w:sz w:val="21"/>
                <w:szCs w:val="20"/>
              </w:rPr>
            </w:pPr>
            <w:r>
              <w:rPr>
                <w:rFonts w:hint="eastAsia" w:ascii="宋体" w:hAnsi="仿宋" w:eastAsia="宋体" w:cs="仿宋"/>
                <w:i w:val="0"/>
                <w:iCs w:val="0"/>
                <w:color w:val="auto"/>
                <w:kern w:val="0"/>
                <w:sz w:val="21"/>
                <w:szCs w:val="21"/>
                <w:u w:val="none"/>
                <w:lang w:val="en-US" w:eastAsia="zh-CN" w:bidi="ar"/>
              </w:rPr>
              <w:t>互联网云广播平台管理软件</w:t>
            </w:r>
          </w:p>
        </w:tc>
        <w:tc>
          <w:tcPr>
            <w:tcW w:w="1824" w:type="dxa"/>
            <w:vAlign w:val="center"/>
          </w:tcPr>
          <w:p w14:paraId="0EB91C47">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A85C2E1">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2F5D050">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9BE2A13">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C7B96F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6BADA4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5C6BFA4">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E7BFE88">
            <w:pPr>
              <w:snapToGrid w:val="0"/>
              <w:ind w:left="0" w:leftChars="0" w:right="0" w:rightChars="0" w:firstLine="0" w:firstLineChars="0"/>
              <w:jc w:val="center"/>
              <w:rPr>
                <w:rFonts w:hint="eastAsia" w:ascii="宋体" w:hAnsi="宋体" w:eastAsia="宋体" w:cs="宋体"/>
                <w:color w:val="auto"/>
                <w:sz w:val="21"/>
              </w:rPr>
            </w:pPr>
          </w:p>
        </w:tc>
      </w:tr>
      <w:tr w14:paraId="6C09D7E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4FA4C22">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16</w:t>
            </w:r>
          </w:p>
        </w:tc>
        <w:tc>
          <w:tcPr>
            <w:tcW w:w="2203" w:type="dxa"/>
            <w:vAlign w:val="center"/>
          </w:tcPr>
          <w:p w14:paraId="5C9569E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消防联动模块</w:t>
            </w:r>
          </w:p>
        </w:tc>
        <w:tc>
          <w:tcPr>
            <w:tcW w:w="1824" w:type="dxa"/>
            <w:vAlign w:val="center"/>
          </w:tcPr>
          <w:p w14:paraId="28970088">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220784F">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250778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69F8283">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ADDAC2D">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855FA19">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B8B322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4BF8D5E4">
            <w:pPr>
              <w:snapToGrid w:val="0"/>
              <w:ind w:left="0" w:leftChars="0" w:right="0" w:rightChars="0" w:firstLine="0" w:firstLineChars="0"/>
              <w:jc w:val="center"/>
              <w:rPr>
                <w:rFonts w:hint="eastAsia" w:ascii="宋体" w:hAnsi="宋体" w:eastAsia="宋体" w:cs="宋体"/>
                <w:color w:val="auto"/>
                <w:sz w:val="21"/>
              </w:rPr>
            </w:pPr>
          </w:p>
        </w:tc>
      </w:tr>
      <w:tr w14:paraId="234489E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318B63F">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17</w:t>
            </w:r>
          </w:p>
        </w:tc>
        <w:tc>
          <w:tcPr>
            <w:tcW w:w="2203" w:type="dxa"/>
            <w:vAlign w:val="center"/>
          </w:tcPr>
          <w:p w14:paraId="5AF0B097">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DVD播放器</w:t>
            </w:r>
          </w:p>
        </w:tc>
        <w:tc>
          <w:tcPr>
            <w:tcW w:w="1824" w:type="dxa"/>
            <w:vAlign w:val="center"/>
          </w:tcPr>
          <w:p w14:paraId="355B36AD">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DD2E35B">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45E588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33D05CC">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A5A7734">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5061D38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68A473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16FF4CA7">
            <w:pPr>
              <w:snapToGrid w:val="0"/>
              <w:ind w:left="0" w:leftChars="0" w:right="0" w:rightChars="0" w:firstLine="0" w:firstLineChars="0"/>
              <w:jc w:val="center"/>
              <w:rPr>
                <w:rFonts w:hint="eastAsia" w:ascii="宋体" w:hAnsi="宋体" w:eastAsia="宋体" w:cs="宋体"/>
                <w:color w:val="auto"/>
                <w:sz w:val="21"/>
              </w:rPr>
            </w:pPr>
          </w:p>
        </w:tc>
      </w:tr>
      <w:tr w14:paraId="4231FCC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21B6553">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18</w:t>
            </w:r>
          </w:p>
        </w:tc>
        <w:tc>
          <w:tcPr>
            <w:tcW w:w="2203" w:type="dxa"/>
            <w:vAlign w:val="center"/>
          </w:tcPr>
          <w:p w14:paraId="1F186DD7">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数字调谐器</w:t>
            </w:r>
          </w:p>
        </w:tc>
        <w:tc>
          <w:tcPr>
            <w:tcW w:w="1824" w:type="dxa"/>
            <w:vAlign w:val="center"/>
          </w:tcPr>
          <w:p w14:paraId="641264BA">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EE4DF39">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B6D98E7">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5137BC6">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E844D6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C378532">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C35B004">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4848773">
            <w:pPr>
              <w:snapToGrid w:val="0"/>
              <w:ind w:left="0" w:leftChars="0" w:right="0" w:rightChars="0" w:firstLine="0" w:firstLineChars="0"/>
              <w:jc w:val="center"/>
              <w:rPr>
                <w:rFonts w:hint="eastAsia" w:ascii="宋体" w:hAnsi="宋体" w:eastAsia="宋体" w:cs="宋体"/>
                <w:color w:val="auto"/>
                <w:sz w:val="21"/>
              </w:rPr>
            </w:pPr>
          </w:p>
        </w:tc>
      </w:tr>
      <w:tr w14:paraId="579373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969F655">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19</w:t>
            </w:r>
          </w:p>
        </w:tc>
        <w:tc>
          <w:tcPr>
            <w:tcW w:w="2203" w:type="dxa"/>
            <w:vAlign w:val="center"/>
          </w:tcPr>
          <w:p w14:paraId="125C19D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机架式互联网云广播音频采集器</w:t>
            </w:r>
          </w:p>
        </w:tc>
        <w:tc>
          <w:tcPr>
            <w:tcW w:w="1824" w:type="dxa"/>
            <w:vAlign w:val="center"/>
          </w:tcPr>
          <w:p w14:paraId="176B974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E415AB8">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D62F5B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32A62C9">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9538C8A">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96078B9">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683B5B7">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7248755">
            <w:pPr>
              <w:snapToGrid w:val="0"/>
              <w:ind w:left="0" w:leftChars="0" w:right="0" w:rightChars="0" w:firstLine="0" w:firstLineChars="0"/>
              <w:jc w:val="center"/>
              <w:rPr>
                <w:rFonts w:hint="eastAsia" w:ascii="宋体" w:hAnsi="宋体" w:eastAsia="宋体" w:cs="宋体"/>
                <w:color w:val="auto"/>
                <w:sz w:val="21"/>
              </w:rPr>
            </w:pPr>
          </w:p>
        </w:tc>
      </w:tr>
      <w:tr w14:paraId="65F99B7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B983456">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20</w:t>
            </w:r>
          </w:p>
        </w:tc>
        <w:tc>
          <w:tcPr>
            <w:tcW w:w="2203" w:type="dxa"/>
            <w:vAlign w:val="center"/>
          </w:tcPr>
          <w:p w14:paraId="391B36A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互联网云广播远程寻呼话筒</w:t>
            </w:r>
          </w:p>
        </w:tc>
        <w:tc>
          <w:tcPr>
            <w:tcW w:w="1824" w:type="dxa"/>
            <w:vAlign w:val="center"/>
          </w:tcPr>
          <w:p w14:paraId="79DC607B">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910BC5C">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C26E7D7">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C483FA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CBF2745">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47E35D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879373B">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3291F5F">
            <w:pPr>
              <w:snapToGrid w:val="0"/>
              <w:ind w:left="0" w:leftChars="0" w:right="0" w:rightChars="0" w:firstLine="0" w:firstLineChars="0"/>
              <w:jc w:val="center"/>
              <w:rPr>
                <w:rFonts w:hint="eastAsia" w:ascii="宋体" w:hAnsi="宋体" w:eastAsia="宋体" w:cs="宋体"/>
                <w:color w:val="auto"/>
                <w:sz w:val="21"/>
              </w:rPr>
            </w:pPr>
          </w:p>
        </w:tc>
      </w:tr>
      <w:tr w14:paraId="03D0698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2C68757">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21</w:t>
            </w:r>
          </w:p>
        </w:tc>
        <w:tc>
          <w:tcPr>
            <w:tcW w:w="2203" w:type="dxa"/>
            <w:vAlign w:val="center"/>
          </w:tcPr>
          <w:p w14:paraId="7314B7F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电源时序器</w:t>
            </w:r>
          </w:p>
        </w:tc>
        <w:tc>
          <w:tcPr>
            <w:tcW w:w="1824" w:type="dxa"/>
            <w:vAlign w:val="center"/>
          </w:tcPr>
          <w:p w14:paraId="64CB7EE5">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784B934">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C2411A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C73AD85">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CFC921A">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0D7CE07">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74CEB79">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CB42D3D">
            <w:pPr>
              <w:snapToGrid w:val="0"/>
              <w:ind w:left="0" w:leftChars="0" w:right="0" w:rightChars="0" w:firstLine="0" w:firstLineChars="0"/>
              <w:jc w:val="center"/>
              <w:rPr>
                <w:rFonts w:hint="eastAsia" w:ascii="宋体" w:hAnsi="宋体" w:eastAsia="宋体" w:cs="宋体"/>
                <w:color w:val="auto"/>
                <w:sz w:val="21"/>
              </w:rPr>
            </w:pPr>
          </w:p>
        </w:tc>
      </w:tr>
      <w:tr w14:paraId="3FD7413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6D4AFC5">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22</w:t>
            </w:r>
          </w:p>
        </w:tc>
        <w:tc>
          <w:tcPr>
            <w:tcW w:w="2203" w:type="dxa"/>
            <w:vAlign w:val="center"/>
          </w:tcPr>
          <w:p w14:paraId="46F4D914">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互联网云广播网络有源音箱</w:t>
            </w:r>
          </w:p>
        </w:tc>
        <w:tc>
          <w:tcPr>
            <w:tcW w:w="1824" w:type="dxa"/>
            <w:vAlign w:val="center"/>
          </w:tcPr>
          <w:p w14:paraId="08B7CF9D">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68827D8">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EDE6BAA">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FC1650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DE8728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AF447F6">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1567A14">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1BAF03A9">
            <w:pPr>
              <w:snapToGrid w:val="0"/>
              <w:ind w:left="0" w:leftChars="0" w:right="0" w:rightChars="0" w:firstLine="0" w:firstLineChars="0"/>
              <w:jc w:val="center"/>
              <w:rPr>
                <w:rFonts w:hint="eastAsia" w:ascii="宋体" w:hAnsi="宋体" w:eastAsia="宋体" w:cs="宋体"/>
                <w:color w:val="auto"/>
                <w:sz w:val="21"/>
              </w:rPr>
            </w:pPr>
          </w:p>
        </w:tc>
      </w:tr>
      <w:tr w14:paraId="70CDD2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199C2A9A">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23</w:t>
            </w:r>
          </w:p>
        </w:tc>
        <w:tc>
          <w:tcPr>
            <w:tcW w:w="2203" w:type="dxa"/>
            <w:vAlign w:val="center"/>
          </w:tcPr>
          <w:p w14:paraId="2951A322">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室内壁挂音箱</w:t>
            </w:r>
          </w:p>
        </w:tc>
        <w:tc>
          <w:tcPr>
            <w:tcW w:w="1824" w:type="dxa"/>
            <w:vAlign w:val="center"/>
          </w:tcPr>
          <w:p w14:paraId="3C713C1D">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5149043">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6140971">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436B69C">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82D603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AFE0B97">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735449D">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302A1CE">
            <w:pPr>
              <w:snapToGrid w:val="0"/>
              <w:ind w:left="0" w:leftChars="0" w:right="0" w:rightChars="0" w:firstLine="0" w:firstLineChars="0"/>
              <w:jc w:val="center"/>
              <w:rPr>
                <w:rFonts w:hint="eastAsia" w:ascii="宋体" w:hAnsi="宋体" w:eastAsia="宋体" w:cs="宋体"/>
                <w:color w:val="auto"/>
                <w:sz w:val="21"/>
              </w:rPr>
            </w:pPr>
          </w:p>
        </w:tc>
      </w:tr>
      <w:tr w14:paraId="32238B8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2ADDCF9">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24</w:t>
            </w:r>
          </w:p>
        </w:tc>
        <w:tc>
          <w:tcPr>
            <w:tcW w:w="2203" w:type="dxa"/>
            <w:vAlign w:val="center"/>
          </w:tcPr>
          <w:p w14:paraId="6BC938C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互联网云广播网络功率放大器</w:t>
            </w:r>
          </w:p>
        </w:tc>
        <w:tc>
          <w:tcPr>
            <w:tcW w:w="1824" w:type="dxa"/>
            <w:vAlign w:val="center"/>
          </w:tcPr>
          <w:p w14:paraId="2C862DE5">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308466E">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108D112">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F1E4B8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F480BEA">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B03B098">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7AC04E1">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3C5B660">
            <w:pPr>
              <w:snapToGrid w:val="0"/>
              <w:ind w:left="0" w:leftChars="0" w:right="0" w:rightChars="0" w:firstLine="0" w:firstLineChars="0"/>
              <w:jc w:val="center"/>
              <w:rPr>
                <w:rFonts w:hint="eastAsia" w:ascii="宋体" w:hAnsi="宋体" w:eastAsia="宋体" w:cs="宋体"/>
                <w:color w:val="auto"/>
                <w:sz w:val="21"/>
              </w:rPr>
            </w:pPr>
          </w:p>
        </w:tc>
      </w:tr>
      <w:tr w14:paraId="2C3243E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888899B">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25</w:t>
            </w:r>
          </w:p>
        </w:tc>
        <w:tc>
          <w:tcPr>
            <w:tcW w:w="2203" w:type="dxa"/>
            <w:vAlign w:val="center"/>
          </w:tcPr>
          <w:p w14:paraId="3035EB6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大型室外远程防水音柱</w:t>
            </w:r>
          </w:p>
        </w:tc>
        <w:tc>
          <w:tcPr>
            <w:tcW w:w="1824" w:type="dxa"/>
            <w:vAlign w:val="center"/>
          </w:tcPr>
          <w:p w14:paraId="677D341C">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2B8784A">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5CF2EED">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3C0969D">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65E5BF6">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18FCBC3">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DF3692C">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1E1195E3">
            <w:pPr>
              <w:snapToGrid w:val="0"/>
              <w:ind w:left="0" w:leftChars="0" w:right="0" w:rightChars="0" w:firstLine="0" w:firstLineChars="0"/>
              <w:jc w:val="center"/>
              <w:rPr>
                <w:rFonts w:hint="eastAsia" w:ascii="宋体" w:hAnsi="宋体" w:eastAsia="宋体" w:cs="宋体"/>
                <w:color w:val="auto"/>
                <w:sz w:val="21"/>
              </w:rPr>
            </w:pPr>
          </w:p>
        </w:tc>
      </w:tr>
      <w:tr w14:paraId="518382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1A0D4AC">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26</w:t>
            </w:r>
          </w:p>
        </w:tc>
        <w:tc>
          <w:tcPr>
            <w:tcW w:w="2203" w:type="dxa"/>
            <w:vAlign w:val="center"/>
          </w:tcPr>
          <w:p w14:paraId="3DF8563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纯后级广播功放</w:t>
            </w:r>
          </w:p>
        </w:tc>
        <w:tc>
          <w:tcPr>
            <w:tcW w:w="1824" w:type="dxa"/>
            <w:vAlign w:val="center"/>
          </w:tcPr>
          <w:p w14:paraId="3CD0B637">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51CD760">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E03D709">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A93E034">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B4FF61D">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E96F2D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865BF50">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EF5390F">
            <w:pPr>
              <w:snapToGrid w:val="0"/>
              <w:ind w:left="0" w:leftChars="0" w:right="0" w:rightChars="0" w:firstLine="0" w:firstLineChars="0"/>
              <w:jc w:val="center"/>
              <w:rPr>
                <w:rFonts w:hint="eastAsia" w:ascii="宋体" w:hAnsi="宋体" w:eastAsia="宋体" w:cs="宋体"/>
                <w:color w:val="auto"/>
                <w:sz w:val="21"/>
              </w:rPr>
            </w:pPr>
          </w:p>
        </w:tc>
      </w:tr>
      <w:tr w14:paraId="09257C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146BE48">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27</w:t>
            </w:r>
          </w:p>
        </w:tc>
        <w:tc>
          <w:tcPr>
            <w:tcW w:w="2203" w:type="dxa"/>
            <w:vAlign w:val="center"/>
          </w:tcPr>
          <w:p w14:paraId="586B197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互联网云广播网络解码器</w:t>
            </w:r>
          </w:p>
        </w:tc>
        <w:tc>
          <w:tcPr>
            <w:tcW w:w="1824" w:type="dxa"/>
            <w:vAlign w:val="center"/>
          </w:tcPr>
          <w:p w14:paraId="53B8006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234C0B4">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E73DC2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EE0C1FF">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D1AE3C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D138E05">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303345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603B329">
            <w:pPr>
              <w:snapToGrid w:val="0"/>
              <w:ind w:left="0" w:leftChars="0" w:right="0" w:rightChars="0" w:firstLine="0" w:firstLineChars="0"/>
              <w:jc w:val="center"/>
              <w:rPr>
                <w:rFonts w:hint="eastAsia" w:ascii="宋体" w:hAnsi="宋体" w:eastAsia="宋体" w:cs="宋体"/>
                <w:color w:val="auto"/>
                <w:sz w:val="21"/>
              </w:rPr>
            </w:pPr>
          </w:p>
        </w:tc>
      </w:tr>
      <w:tr w14:paraId="0BF5595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FBA77B7">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28</w:t>
            </w:r>
          </w:p>
        </w:tc>
        <w:tc>
          <w:tcPr>
            <w:tcW w:w="2203" w:type="dxa"/>
            <w:vAlign w:val="center"/>
          </w:tcPr>
          <w:p w14:paraId="2E4B4C3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前置放大器</w:t>
            </w:r>
          </w:p>
        </w:tc>
        <w:tc>
          <w:tcPr>
            <w:tcW w:w="1824" w:type="dxa"/>
            <w:vAlign w:val="center"/>
          </w:tcPr>
          <w:p w14:paraId="7C3A7228">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0B20652">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8CB35E2">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581FEFE">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192C13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0E81916">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0BE321C">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606FA73">
            <w:pPr>
              <w:snapToGrid w:val="0"/>
              <w:ind w:left="0" w:leftChars="0" w:right="0" w:rightChars="0" w:firstLine="0" w:firstLineChars="0"/>
              <w:jc w:val="center"/>
              <w:rPr>
                <w:rFonts w:hint="eastAsia" w:ascii="宋体" w:hAnsi="宋体" w:eastAsia="宋体" w:cs="宋体"/>
                <w:color w:val="auto"/>
                <w:sz w:val="21"/>
              </w:rPr>
            </w:pPr>
          </w:p>
        </w:tc>
      </w:tr>
      <w:tr w14:paraId="1B769DC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5B24878">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29</w:t>
            </w:r>
          </w:p>
        </w:tc>
        <w:tc>
          <w:tcPr>
            <w:tcW w:w="2203" w:type="dxa"/>
            <w:vAlign w:val="center"/>
          </w:tcPr>
          <w:p w14:paraId="0A5EFF7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广播避雷器</w:t>
            </w:r>
          </w:p>
        </w:tc>
        <w:tc>
          <w:tcPr>
            <w:tcW w:w="1824" w:type="dxa"/>
            <w:vAlign w:val="center"/>
          </w:tcPr>
          <w:p w14:paraId="0560169E">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B9DF8BC">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443B48C">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58D192F">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75D71CA">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0386EC9">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C1BEE4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068691C">
            <w:pPr>
              <w:snapToGrid w:val="0"/>
              <w:ind w:left="0" w:leftChars="0" w:right="0" w:rightChars="0" w:firstLine="0" w:firstLineChars="0"/>
              <w:jc w:val="center"/>
              <w:rPr>
                <w:rFonts w:hint="eastAsia" w:ascii="宋体" w:hAnsi="宋体" w:eastAsia="宋体" w:cs="宋体"/>
                <w:color w:val="auto"/>
                <w:sz w:val="21"/>
              </w:rPr>
            </w:pPr>
          </w:p>
        </w:tc>
      </w:tr>
      <w:tr w14:paraId="54503A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896D7AB">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30</w:t>
            </w:r>
          </w:p>
        </w:tc>
        <w:tc>
          <w:tcPr>
            <w:tcW w:w="2203" w:type="dxa"/>
            <w:vAlign w:val="center"/>
          </w:tcPr>
          <w:p w14:paraId="386A9A8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大功率电源时序器</w:t>
            </w:r>
          </w:p>
        </w:tc>
        <w:tc>
          <w:tcPr>
            <w:tcW w:w="1824" w:type="dxa"/>
            <w:vAlign w:val="center"/>
          </w:tcPr>
          <w:p w14:paraId="0E93B1BF">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DEF295C">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BF9B53F">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3B5279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BD802A5">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7AAD044">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5456642">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5AF26C0">
            <w:pPr>
              <w:snapToGrid w:val="0"/>
              <w:ind w:left="0" w:leftChars="0" w:right="0" w:rightChars="0" w:firstLine="0" w:firstLineChars="0"/>
              <w:jc w:val="center"/>
              <w:rPr>
                <w:rFonts w:hint="eastAsia" w:ascii="宋体" w:hAnsi="宋体" w:eastAsia="宋体" w:cs="宋体"/>
                <w:color w:val="auto"/>
                <w:sz w:val="21"/>
              </w:rPr>
            </w:pPr>
          </w:p>
        </w:tc>
      </w:tr>
      <w:tr w14:paraId="233CB7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C9A0D50">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31</w:t>
            </w:r>
          </w:p>
        </w:tc>
        <w:tc>
          <w:tcPr>
            <w:tcW w:w="2203" w:type="dxa"/>
            <w:vAlign w:val="center"/>
          </w:tcPr>
          <w:p w14:paraId="2A1CF2B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大型室外远程防水音柱</w:t>
            </w:r>
          </w:p>
        </w:tc>
        <w:tc>
          <w:tcPr>
            <w:tcW w:w="1824" w:type="dxa"/>
            <w:vAlign w:val="center"/>
          </w:tcPr>
          <w:p w14:paraId="580CEB9E">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EB28B74">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B709A35">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1993DA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DA95CC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06DA1A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AA2872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A878E37">
            <w:pPr>
              <w:snapToGrid w:val="0"/>
              <w:ind w:left="0" w:leftChars="0" w:right="0" w:rightChars="0" w:firstLine="0" w:firstLineChars="0"/>
              <w:jc w:val="center"/>
              <w:rPr>
                <w:rFonts w:hint="eastAsia" w:ascii="宋体" w:hAnsi="宋体" w:eastAsia="宋体" w:cs="宋体"/>
                <w:color w:val="auto"/>
                <w:sz w:val="21"/>
              </w:rPr>
            </w:pPr>
          </w:p>
        </w:tc>
      </w:tr>
      <w:tr w14:paraId="25FE6C2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71DC1A2">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32</w:t>
            </w:r>
          </w:p>
        </w:tc>
        <w:tc>
          <w:tcPr>
            <w:tcW w:w="2203" w:type="dxa"/>
            <w:vAlign w:val="center"/>
          </w:tcPr>
          <w:p w14:paraId="7E79FC0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纯后级广播功放</w:t>
            </w:r>
          </w:p>
        </w:tc>
        <w:tc>
          <w:tcPr>
            <w:tcW w:w="1824" w:type="dxa"/>
            <w:vAlign w:val="center"/>
          </w:tcPr>
          <w:p w14:paraId="2F1C86E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E3F5098">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1633DF1">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3E9827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E345FE6">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5058555B">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911C28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8F1929B">
            <w:pPr>
              <w:snapToGrid w:val="0"/>
              <w:ind w:left="0" w:leftChars="0" w:right="0" w:rightChars="0" w:firstLine="0" w:firstLineChars="0"/>
              <w:jc w:val="center"/>
              <w:rPr>
                <w:rFonts w:hint="eastAsia" w:ascii="宋体" w:hAnsi="宋体" w:eastAsia="宋体" w:cs="宋体"/>
                <w:color w:val="auto"/>
                <w:sz w:val="21"/>
              </w:rPr>
            </w:pPr>
          </w:p>
        </w:tc>
      </w:tr>
      <w:tr w14:paraId="40BCE9F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7774DE4">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33</w:t>
            </w:r>
          </w:p>
        </w:tc>
        <w:tc>
          <w:tcPr>
            <w:tcW w:w="2203" w:type="dxa"/>
            <w:vAlign w:val="center"/>
          </w:tcPr>
          <w:p w14:paraId="1B80615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互联网云广播网络解码器</w:t>
            </w:r>
          </w:p>
        </w:tc>
        <w:tc>
          <w:tcPr>
            <w:tcW w:w="1824" w:type="dxa"/>
            <w:vAlign w:val="center"/>
          </w:tcPr>
          <w:p w14:paraId="1CDD1753">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A9F876E">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7568270">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568C9F9">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2A1E03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FD08560">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71F327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3A9B4E4">
            <w:pPr>
              <w:snapToGrid w:val="0"/>
              <w:ind w:left="0" w:leftChars="0" w:right="0" w:rightChars="0" w:firstLine="0" w:firstLineChars="0"/>
              <w:jc w:val="center"/>
              <w:rPr>
                <w:rFonts w:hint="eastAsia" w:ascii="宋体" w:hAnsi="宋体" w:eastAsia="宋体" w:cs="宋体"/>
                <w:color w:val="auto"/>
                <w:sz w:val="21"/>
              </w:rPr>
            </w:pPr>
          </w:p>
        </w:tc>
      </w:tr>
      <w:tr w14:paraId="6D21C94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84F1AA6">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34</w:t>
            </w:r>
          </w:p>
        </w:tc>
        <w:tc>
          <w:tcPr>
            <w:tcW w:w="2203" w:type="dxa"/>
            <w:vAlign w:val="center"/>
          </w:tcPr>
          <w:p w14:paraId="494F7742">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真分集可调频无线咪 双手持(一拖二)</w:t>
            </w:r>
          </w:p>
        </w:tc>
        <w:tc>
          <w:tcPr>
            <w:tcW w:w="1824" w:type="dxa"/>
            <w:vAlign w:val="center"/>
          </w:tcPr>
          <w:p w14:paraId="707E5310">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5EAFBC4">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9D4BEE5">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022EB2B">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3C6688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D56E6A5">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221FBA8">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72B9964">
            <w:pPr>
              <w:snapToGrid w:val="0"/>
              <w:ind w:left="0" w:leftChars="0" w:right="0" w:rightChars="0" w:firstLine="0" w:firstLineChars="0"/>
              <w:jc w:val="center"/>
              <w:rPr>
                <w:rFonts w:hint="eastAsia" w:ascii="宋体" w:hAnsi="宋体" w:eastAsia="宋体" w:cs="宋体"/>
                <w:color w:val="auto"/>
                <w:sz w:val="21"/>
              </w:rPr>
            </w:pPr>
          </w:p>
        </w:tc>
      </w:tr>
      <w:tr w14:paraId="22D02B2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506CC10">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35</w:t>
            </w:r>
          </w:p>
        </w:tc>
        <w:tc>
          <w:tcPr>
            <w:tcW w:w="2203" w:type="dxa"/>
            <w:vAlign w:val="center"/>
          </w:tcPr>
          <w:p w14:paraId="6FBFEA3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指向性天线放大套器</w:t>
            </w:r>
          </w:p>
        </w:tc>
        <w:tc>
          <w:tcPr>
            <w:tcW w:w="1824" w:type="dxa"/>
            <w:vAlign w:val="center"/>
          </w:tcPr>
          <w:p w14:paraId="0530092B">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0639612">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8589490">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753449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F51C7D2">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1838270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1C58E6A">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00EA5D0">
            <w:pPr>
              <w:snapToGrid w:val="0"/>
              <w:ind w:left="0" w:leftChars="0" w:right="0" w:rightChars="0" w:firstLine="0" w:firstLineChars="0"/>
              <w:jc w:val="center"/>
              <w:rPr>
                <w:rFonts w:hint="eastAsia" w:ascii="宋体" w:hAnsi="宋体" w:eastAsia="宋体" w:cs="宋体"/>
                <w:color w:val="auto"/>
                <w:sz w:val="21"/>
              </w:rPr>
            </w:pPr>
          </w:p>
        </w:tc>
      </w:tr>
      <w:tr w14:paraId="1BF8FFD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73B7FC6">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36</w:t>
            </w:r>
          </w:p>
        </w:tc>
        <w:tc>
          <w:tcPr>
            <w:tcW w:w="2203" w:type="dxa"/>
            <w:vAlign w:val="center"/>
          </w:tcPr>
          <w:p w14:paraId="7FD1E43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互联网云广播网络无线遥控终端</w:t>
            </w:r>
          </w:p>
        </w:tc>
        <w:tc>
          <w:tcPr>
            <w:tcW w:w="1824" w:type="dxa"/>
            <w:vAlign w:val="center"/>
          </w:tcPr>
          <w:p w14:paraId="3EF30F72">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1CAAB7F">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CF5EB09">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ACBB485">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07603BC">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8B284E3">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73D65BD">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AA2F3C6">
            <w:pPr>
              <w:snapToGrid w:val="0"/>
              <w:ind w:left="0" w:leftChars="0" w:right="0" w:rightChars="0" w:firstLine="0" w:firstLineChars="0"/>
              <w:jc w:val="center"/>
              <w:rPr>
                <w:rFonts w:hint="eastAsia" w:ascii="宋体" w:hAnsi="宋体" w:eastAsia="宋体" w:cs="宋体"/>
                <w:color w:val="auto"/>
                <w:sz w:val="21"/>
              </w:rPr>
            </w:pPr>
          </w:p>
        </w:tc>
      </w:tr>
      <w:tr w14:paraId="7BE194E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5DAC1DC">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37</w:t>
            </w:r>
          </w:p>
        </w:tc>
        <w:tc>
          <w:tcPr>
            <w:tcW w:w="2203" w:type="dxa"/>
            <w:vAlign w:val="center"/>
          </w:tcPr>
          <w:p w14:paraId="05E7E877">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广播避雷器</w:t>
            </w:r>
          </w:p>
        </w:tc>
        <w:tc>
          <w:tcPr>
            <w:tcW w:w="1824" w:type="dxa"/>
            <w:vAlign w:val="center"/>
          </w:tcPr>
          <w:p w14:paraId="0FF021E8">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264C89D">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4EBE2D9">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7D1EED4">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EFEE2D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97AED66">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95FD350">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A98352A">
            <w:pPr>
              <w:snapToGrid w:val="0"/>
              <w:ind w:left="0" w:leftChars="0" w:right="0" w:rightChars="0" w:firstLine="0" w:firstLineChars="0"/>
              <w:jc w:val="center"/>
              <w:rPr>
                <w:rFonts w:hint="eastAsia" w:ascii="宋体" w:hAnsi="宋体" w:eastAsia="宋体" w:cs="宋体"/>
                <w:color w:val="auto"/>
                <w:sz w:val="21"/>
              </w:rPr>
            </w:pPr>
          </w:p>
        </w:tc>
      </w:tr>
      <w:tr w14:paraId="738C1E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7197EFE6">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38</w:t>
            </w:r>
          </w:p>
        </w:tc>
        <w:tc>
          <w:tcPr>
            <w:tcW w:w="2203" w:type="dxa"/>
            <w:vAlign w:val="center"/>
          </w:tcPr>
          <w:p w14:paraId="58AB1A82">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大功率电源时序器</w:t>
            </w:r>
          </w:p>
        </w:tc>
        <w:tc>
          <w:tcPr>
            <w:tcW w:w="1824" w:type="dxa"/>
            <w:vAlign w:val="center"/>
          </w:tcPr>
          <w:p w14:paraId="2679BA65">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97A0555">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650D84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B9C5C7B">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730D3928">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F0F3B3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E4CDCC8">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D631B4F">
            <w:pPr>
              <w:snapToGrid w:val="0"/>
              <w:ind w:left="0" w:leftChars="0" w:right="0" w:rightChars="0" w:firstLine="0" w:firstLineChars="0"/>
              <w:jc w:val="center"/>
              <w:rPr>
                <w:rFonts w:hint="eastAsia" w:ascii="宋体" w:hAnsi="宋体" w:eastAsia="宋体" w:cs="宋体"/>
                <w:color w:val="auto"/>
                <w:sz w:val="21"/>
              </w:rPr>
            </w:pPr>
          </w:p>
        </w:tc>
      </w:tr>
      <w:tr w14:paraId="3AAB546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7DFF356E">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39</w:t>
            </w:r>
          </w:p>
        </w:tc>
        <w:tc>
          <w:tcPr>
            <w:tcW w:w="2203" w:type="dxa"/>
            <w:vAlign w:val="center"/>
          </w:tcPr>
          <w:p w14:paraId="710B930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线材辅材</w:t>
            </w:r>
          </w:p>
        </w:tc>
        <w:tc>
          <w:tcPr>
            <w:tcW w:w="1824" w:type="dxa"/>
            <w:vAlign w:val="center"/>
          </w:tcPr>
          <w:p w14:paraId="35F9E110">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601B5BC">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EC0AC6B">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FF8E439">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620726B">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F1C13F0">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840184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0B4150B">
            <w:pPr>
              <w:snapToGrid w:val="0"/>
              <w:ind w:left="0" w:leftChars="0" w:right="0" w:rightChars="0" w:firstLine="0" w:firstLineChars="0"/>
              <w:jc w:val="center"/>
              <w:rPr>
                <w:rFonts w:hint="eastAsia" w:ascii="宋体" w:hAnsi="宋体" w:eastAsia="宋体" w:cs="宋体"/>
                <w:color w:val="auto"/>
                <w:sz w:val="21"/>
              </w:rPr>
            </w:pPr>
          </w:p>
        </w:tc>
      </w:tr>
      <w:tr w14:paraId="03574B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73787355">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40</w:t>
            </w:r>
          </w:p>
        </w:tc>
        <w:tc>
          <w:tcPr>
            <w:tcW w:w="2203" w:type="dxa"/>
            <w:vAlign w:val="center"/>
          </w:tcPr>
          <w:p w14:paraId="26311343">
            <w:pPr>
              <w:keepNext w:val="0"/>
              <w:keepLines w:val="0"/>
              <w:widowControl/>
              <w:suppressLineNumbers w:val="0"/>
              <w:snapToGrid w:val="0"/>
              <w:ind w:left="0" w:leftChars="0" w:right="0" w:rightChars="0" w:firstLine="0" w:firstLineChars="0"/>
              <w:jc w:val="center"/>
              <w:textAlignment w:val="center"/>
              <w:rPr>
                <w:rFonts w:hint="default"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项目实施</w:t>
            </w:r>
          </w:p>
        </w:tc>
        <w:tc>
          <w:tcPr>
            <w:tcW w:w="1824" w:type="dxa"/>
            <w:vAlign w:val="center"/>
          </w:tcPr>
          <w:p w14:paraId="4FC2D0AA">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5B7DEA8">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B19114F">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6C6DA6F">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6ECB655">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E2DC860">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9A34D7D">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7463627">
            <w:pPr>
              <w:snapToGrid w:val="0"/>
              <w:ind w:left="0" w:leftChars="0" w:right="0" w:rightChars="0" w:firstLine="0" w:firstLineChars="0"/>
              <w:jc w:val="center"/>
              <w:rPr>
                <w:rFonts w:hint="eastAsia" w:ascii="宋体" w:hAnsi="宋体" w:eastAsia="宋体" w:cs="宋体"/>
                <w:color w:val="auto"/>
                <w:sz w:val="21"/>
              </w:rPr>
            </w:pPr>
          </w:p>
        </w:tc>
      </w:tr>
      <w:tr w14:paraId="2724DF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3503" w:type="dxa"/>
            <w:gridSpan w:val="10"/>
            <w:vAlign w:val="center"/>
          </w:tcPr>
          <w:p w14:paraId="4F8BD533">
            <w:pPr>
              <w:snapToGrid w:val="0"/>
              <w:ind w:left="0" w:leftChars="0" w:right="0" w:rightChars="0" w:firstLine="0" w:firstLineChars="0"/>
              <w:jc w:val="center"/>
              <w:rPr>
                <w:rFonts w:hint="eastAsia" w:ascii="宋体" w:hAnsi="宋体" w:cs="宋体"/>
                <w:color w:val="auto"/>
              </w:rPr>
            </w:pPr>
            <w:r>
              <w:rPr>
                <w:rFonts w:hint="eastAsia" w:ascii="仿宋" w:hAnsi="仿宋" w:eastAsia="仿宋" w:cs="仿宋"/>
                <w:b/>
                <w:bCs/>
                <w:i w:val="0"/>
                <w:iCs w:val="0"/>
                <w:color w:val="auto"/>
                <w:kern w:val="0"/>
                <w:sz w:val="24"/>
                <w:szCs w:val="24"/>
                <w:u w:val="none"/>
                <w:lang w:val="en-US" w:eastAsia="zh-CN" w:bidi="ar"/>
              </w:rPr>
              <w:t>三、班班通设备</w:t>
            </w:r>
          </w:p>
        </w:tc>
      </w:tr>
      <w:tr w14:paraId="66AAA23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970FE04">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w:t>
            </w:r>
          </w:p>
        </w:tc>
        <w:tc>
          <w:tcPr>
            <w:tcW w:w="2203" w:type="dxa"/>
            <w:vAlign w:val="center"/>
          </w:tcPr>
          <w:p w14:paraId="168BFE6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智慧互联黑板</w:t>
            </w:r>
          </w:p>
        </w:tc>
        <w:tc>
          <w:tcPr>
            <w:tcW w:w="1824" w:type="dxa"/>
            <w:vAlign w:val="center"/>
          </w:tcPr>
          <w:p w14:paraId="653A9712">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4ECE6B7">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6C4E720">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B9EEDB2">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979D908">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A42ABB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27E7B7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6F22A69">
            <w:pPr>
              <w:snapToGrid w:val="0"/>
              <w:ind w:left="0" w:leftChars="0" w:right="0" w:rightChars="0" w:firstLine="0" w:firstLineChars="0"/>
              <w:jc w:val="center"/>
              <w:rPr>
                <w:rFonts w:hint="eastAsia" w:ascii="宋体" w:hAnsi="宋体" w:eastAsia="宋体" w:cs="宋体"/>
                <w:color w:val="auto"/>
                <w:sz w:val="21"/>
              </w:rPr>
            </w:pPr>
          </w:p>
        </w:tc>
      </w:tr>
      <w:tr w14:paraId="15C29EA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3503" w:type="dxa"/>
            <w:gridSpan w:val="10"/>
            <w:vAlign w:val="center"/>
          </w:tcPr>
          <w:p w14:paraId="7F8D4582">
            <w:pPr>
              <w:snapToGrid w:val="0"/>
              <w:ind w:left="0" w:leftChars="0" w:right="0" w:rightChars="0" w:firstLine="0" w:firstLineChars="0"/>
              <w:jc w:val="center"/>
              <w:rPr>
                <w:rFonts w:hint="eastAsia" w:ascii="宋体" w:hAnsi="宋体" w:cs="宋体"/>
                <w:color w:val="auto"/>
              </w:rPr>
            </w:pPr>
            <w:r>
              <w:rPr>
                <w:rFonts w:hint="eastAsia" w:ascii="仿宋" w:hAnsi="仿宋" w:eastAsia="仿宋" w:cs="仿宋"/>
                <w:b/>
                <w:bCs/>
                <w:i w:val="0"/>
                <w:iCs w:val="0"/>
                <w:color w:val="auto"/>
                <w:kern w:val="0"/>
                <w:sz w:val="24"/>
                <w:szCs w:val="24"/>
                <w:u w:val="none"/>
                <w:lang w:val="en-US" w:eastAsia="zh-CN" w:bidi="ar"/>
              </w:rPr>
              <w:t>四、校园直播/虚拟电视台</w:t>
            </w:r>
          </w:p>
        </w:tc>
      </w:tr>
      <w:tr w14:paraId="23EB93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2F423F5">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w:t>
            </w:r>
          </w:p>
        </w:tc>
        <w:tc>
          <w:tcPr>
            <w:tcW w:w="2203" w:type="dxa"/>
            <w:vAlign w:val="center"/>
          </w:tcPr>
          <w:p w14:paraId="43D0CE2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虚拟互动演录播工作站</w:t>
            </w:r>
          </w:p>
        </w:tc>
        <w:tc>
          <w:tcPr>
            <w:tcW w:w="1824" w:type="dxa"/>
            <w:vAlign w:val="center"/>
          </w:tcPr>
          <w:p w14:paraId="12DFC3CA">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4058674">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EBB3F72">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3EF4C99">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A780C3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57E1D1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5D6CDA6">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25EF0C1">
            <w:pPr>
              <w:snapToGrid w:val="0"/>
              <w:ind w:left="0" w:leftChars="0" w:right="0" w:rightChars="0" w:firstLine="0" w:firstLineChars="0"/>
              <w:jc w:val="center"/>
              <w:rPr>
                <w:rFonts w:hint="eastAsia" w:ascii="宋体" w:hAnsi="宋体" w:eastAsia="宋体" w:cs="宋体"/>
                <w:color w:val="auto"/>
                <w:sz w:val="21"/>
              </w:rPr>
            </w:pPr>
          </w:p>
        </w:tc>
      </w:tr>
      <w:tr w14:paraId="1B57878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79C5FFD">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2</w:t>
            </w:r>
          </w:p>
        </w:tc>
        <w:tc>
          <w:tcPr>
            <w:tcW w:w="2203" w:type="dxa"/>
            <w:vAlign w:val="center"/>
          </w:tcPr>
          <w:p w14:paraId="3E792C27">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真三维虚拟演播系统</w:t>
            </w:r>
          </w:p>
        </w:tc>
        <w:tc>
          <w:tcPr>
            <w:tcW w:w="1824" w:type="dxa"/>
            <w:vAlign w:val="center"/>
          </w:tcPr>
          <w:p w14:paraId="5F06ADD7">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B7C8082">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B79BEB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424BBE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53FC9C2">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634A500">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CE19DD0">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B5F4790">
            <w:pPr>
              <w:snapToGrid w:val="0"/>
              <w:ind w:left="0" w:leftChars="0" w:right="0" w:rightChars="0" w:firstLine="0" w:firstLineChars="0"/>
              <w:jc w:val="center"/>
              <w:rPr>
                <w:rFonts w:hint="eastAsia" w:ascii="宋体" w:hAnsi="宋体" w:eastAsia="宋体" w:cs="宋体"/>
                <w:color w:val="auto"/>
                <w:sz w:val="21"/>
              </w:rPr>
            </w:pPr>
          </w:p>
        </w:tc>
      </w:tr>
      <w:tr w14:paraId="001F5F4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45E45FD">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3</w:t>
            </w:r>
          </w:p>
        </w:tc>
        <w:tc>
          <w:tcPr>
            <w:tcW w:w="2203" w:type="dxa"/>
            <w:vAlign w:val="center"/>
          </w:tcPr>
          <w:p w14:paraId="592FD94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流媒体系统</w:t>
            </w:r>
          </w:p>
        </w:tc>
        <w:tc>
          <w:tcPr>
            <w:tcW w:w="1824" w:type="dxa"/>
            <w:vAlign w:val="center"/>
          </w:tcPr>
          <w:p w14:paraId="649FAA02">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987C621">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186CA8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525CF4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1C76D33">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529864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7CFA99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601EA32">
            <w:pPr>
              <w:snapToGrid w:val="0"/>
              <w:ind w:left="0" w:leftChars="0" w:right="0" w:rightChars="0" w:firstLine="0" w:firstLineChars="0"/>
              <w:jc w:val="center"/>
              <w:rPr>
                <w:rFonts w:hint="eastAsia" w:ascii="宋体" w:hAnsi="宋体" w:eastAsia="宋体" w:cs="宋体"/>
                <w:color w:val="auto"/>
                <w:sz w:val="21"/>
              </w:rPr>
            </w:pPr>
          </w:p>
        </w:tc>
      </w:tr>
      <w:tr w14:paraId="34E4936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C037E95">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4</w:t>
            </w:r>
          </w:p>
        </w:tc>
        <w:tc>
          <w:tcPr>
            <w:tcW w:w="2203" w:type="dxa"/>
            <w:vAlign w:val="center"/>
          </w:tcPr>
          <w:p w14:paraId="0690BEB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非线性编辑系统</w:t>
            </w:r>
          </w:p>
        </w:tc>
        <w:tc>
          <w:tcPr>
            <w:tcW w:w="1824" w:type="dxa"/>
            <w:vAlign w:val="center"/>
          </w:tcPr>
          <w:p w14:paraId="4459EFA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9FF5B7A">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8ADE7D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B205DB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4CCF000">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4036C7D">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29B58F4">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038EB25">
            <w:pPr>
              <w:snapToGrid w:val="0"/>
              <w:ind w:left="0" w:leftChars="0" w:right="0" w:rightChars="0" w:firstLine="0" w:firstLineChars="0"/>
              <w:jc w:val="center"/>
              <w:rPr>
                <w:rFonts w:hint="eastAsia" w:ascii="宋体" w:hAnsi="宋体" w:eastAsia="宋体" w:cs="宋体"/>
                <w:color w:val="auto"/>
                <w:sz w:val="21"/>
              </w:rPr>
            </w:pPr>
          </w:p>
        </w:tc>
      </w:tr>
      <w:tr w14:paraId="5BCAFDE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1C39982">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5</w:t>
            </w:r>
          </w:p>
        </w:tc>
        <w:tc>
          <w:tcPr>
            <w:tcW w:w="2203" w:type="dxa"/>
            <w:vAlign w:val="center"/>
          </w:tcPr>
          <w:p w14:paraId="31EC198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专业高清摄像机</w:t>
            </w:r>
          </w:p>
        </w:tc>
        <w:tc>
          <w:tcPr>
            <w:tcW w:w="1824" w:type="dxa"/>
            <w:vAlign w:val="center"/>
          </w:tcPr>
          <w:p w14:paraId="3CE3A25A">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37BA485A">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2442826">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6A3145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C697FE2">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2109B82">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09C8F0D">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CBA455F">
            <w:pPr>
              <w:snapToGrid w:val="0"/>
              <w:ind w:left="0" w:leftChars="0" w:right="0" w:rightChars="0" w:firstLine="0" w:firstLineChars="0"/>
              <w:jc w:val="center"/>
              <w:rPr>
                <w:rFonts w:hint="eastAsia" w:ascii="宋体" w:hAnsi="宋体" w:eastAsia="宋体" w:cs="宋体"/>
                <w:color w:val="auto"/>
                <w:sz w:val="21"/>
              </w:rPr>
            </w:pPr>
          </w:p>
        </w:tc>
      </w:tr>
      <w:tr w14:paraId="0F6E478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BBF3B52">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6</w:t>
            </w:r>
          </w:p>
        </w:tc>
        <w:tc>
          <w:tcPr>
            <w:tcW w:w="2203" w:type="dxa"/>
            <w:vAlign w:val="center"/>
          </w:tcPr>
          <w:p w14:paraId="10C4E13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高速存储卡</w:t>
            </w:r>
          </w:p>
        </w:tc>
        <w:tc>
          <w:tcPr>
            <w:tcW w:w="1824" w:type="dxa"/>
            <w:vAlign w:val="center"/>
          </w:tcPr>
          <w:p w14:paraId="56ED56F9">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34C745E5">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255E0D6">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525650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C44AC96">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018081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622E1F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103E8307">
            <w:pPr>
              <w:snapToGrid w:val="0"/>
              <w:ind w:left="0" w:leftChars="0" w:right="0" w:rightChars="0" w:firstLine="0" w:firstLineChars="0"/>
              <w:jc w:val="center"/>
              <w:rPr>
                <w:rFonts w:hint="eastAsia" w:ascii="宋体" w:hAnsi="宋体" w:eastAsia="宋体" w:cs="宋体"/>
                <w:color w:val="auto"/>
                <w:sz w:val="21"/>
              </w:rPr>
            </w:pPr>
          </w:p>
        </w:tc>
      </w:tr>
      <w:tr w14:paraId="1961903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0CF600D">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7</w:t>
            </w:r>
          </w:p>
        </w:tc>
        <w:tc>
          <w:tcPr>
            <w:tcW w:w="2203" w:type="dxa"/>
            <w:vAlign w:val="center"/>
          </w:tcPr>
          <w:p w14:paraId="3B22A1F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三角架</w:t>
            </w:r>
          </w:p>
        </w:tc>
        <w:tc>
          <w:tcPr>
            <w:tcW w:w="1824" w:type="dxa"/>
            <w:vAlign w:val="center"/>
          </w:tcPr>
          <w:p w14:paraId="11498F91">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EC96DA2">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83127E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645C94F">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5396852">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796B799">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665422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2DB2FA9">
            <w:pPr>
              <w:snapToGrid w:val="0"/>
              <w:ind w:left="0" w:leftChars="0" w:right="0" w:rightChars="0" w:firstLine="0" w:firstLineChars="0"/>
              <w:jc w:val="center"/>
              <w:rPr>
                <w:rFonts w:hint="eastAsia" w:ascii="宋体" w:hAnsi="宋体" w:eastAsia="宋体" w:cs="宋体"/>
                <w:color w:val="auto"/>
                <w:sz w:val="21"/>
              </w:rPr>
            </w:pPr>
          </w:p>
        </w:tc>
      </w:tr>
      <w:tr w14:paraId="372A3C1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9571A26">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8</w:t>
            </w:r>
          </w:p>
        </w:tc>
        <w:tc>
          <w:tcPr>
            <w:tcW w:w="2203" w:type="dxa"/>
            <w:vAlign w:val="center"/>
          </w:tcPr>
          <w:p w14:paraId="1469CDF0">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4K显示器</w:t>
            </w:r>
          </w:p>
        </w:tc>
        <w:tc>
          <w:tcPr>
            <w:tcW w:w="1824" w:type="dxa"/>
            <w:vAlign w:val="center"/>
          </w:tcPr>
          <w:p w14:paraId="70285FEB">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8DD180A">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28A797B">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A068EDB">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519F933">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9980946">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302ED1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124043A3">
            <w:pPr>
              <w:snapToGrid w:val="0"/>
              <w:ind w:left="0" w:leftChars="0" w:right="0" w:rightChars="0" w:firstLine="0" w:firstLineChars="0"/>
              <w:jc w:val="center"/>
              <w:rPr>
                <w:rFonts w:hint="eastAsia" w:ascii="宋体" w:hAnsi="宋体" w:eastAsia="宋体" w:cs="宋体"/>
                <w:color w:val="auto"/>
                <w:sz w:val="21"/>
              </w:rPr>
            </w:pPr>
          </w:p>
        </w:tc>
      </w:tr>
      <w:tr w14:paraId="6751789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7C2A97E">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9</w:t>
            </w:r>
          </w:p>
        </w:tc>
        <w:tc>
          <w:tcPr>
            <w:tcW w:w="2203" w:type="dxa"/>
            <w:vAlign w:val="center"/>
          </w:tcPr>
          <w:p w14:paraId="4C88428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无线麦克风</w:t>
            </w:r>
          </w:p>
        </w:tc>
        <w:tc>
          <w:tcPr>
            <w:tcW w:w="1824" w:type="dxa"/>
            <w:vAlign w:val="center"/>
          </w:tcPr>
          <w:p w14:paraId="3890BA62">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9D21F97">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B86F9C3">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213AFD5">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1577FF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06E949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0CC3C9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1DE49034">
            <w:pPr>
              <w:snapToGrid w:val="0"/>
              <w:ind w:left="0" w:leftChars="0" w:right="0" w:rightChars="0" w:firstLine="0" w:firstLineChars="0"/>
              <w:jc w:val="center"/>
              <w:rPr>
                <w:rFonts w:hint="eastAsia" w:ascii="宋体" w:hAnsi="宋体" w:eastAsia="宋体" w:cs="宋体"/>
                <w:color w:val="auto"/>
                <w:sz w:val="21"/>
              </w:rPr>
            </w:pPr>
          </w:p>
        </w:tc>
      </w:tr>
      <w:tr w14:paraId="72FF1CE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30ED87B">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10</w:t>
            </w:r>
          </w:p>
        </w:tc>
        <w:tc>
          <w:tcPr>
            <w:tcW w:w="2203" w:type="dxa"/>
            <w:vAlign w:val="center"/>
          </w:tcPr>
          <w:p w14:paraId="344F9F6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调音台</w:t>
            </w:r>
          </w:p>
        </w:tc>
        <w:tc>
          <w:tcPr>
            <w:tcW w:w="1824" w:type="dxa"/>
            <w:vAlign w:val="center"/>
          </w:tcPr>
          <w:p w14:paraId="5FF24939">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15C8C7F">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E78D5AC">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83B484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9CB537B">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4BDBA2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61FFFA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45030777">
            <w:pPr>
              <w:snapToGrid w:val="0"/>
              <w:ind w:left="0" w:leftChars="0" w:right="0" w:rightChars="0" w:firstLine="0" w:firstLineChars="0"/>
              <w:jc w:val="center"/>
              <w:rPr>
                <w:rFonts w:hint="eastAsia" w:ascii="宋体" w:hAnsi="宋体" w:eastAsia="宋体" w:cs="宋体"/>
                <w:color w:val="auto"/>
                <w:sz w:val="21"/>
              </w:rPr>
            </w:pPr>
          </w:p>
        </w:tc>
      </w:tr>
      <w:tr w14:paraId="71A170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3F808BB">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11</w:t>
            </w:r>
          </w:p>
        </w:tc>
        <w:tc>
          <w:tcPr>
            <w:tcW w:w="2203" w:type="dxa"/>
            <w:vAlign w:val="center"/>
          </w:tcPr>
          <w:p w14:paraId="1736D03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监听耳机</w:t>
            </w:r>
          </w:p>
        </w:tc>
        <w:tc>
          <w:tcPr>
            <w:tcW w:w="1824" w:type="dxa"/>
            <w:vAlign w:val="center"/>
          </w:tcPr>
          <w:p w14:paraId="2D39F58D">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2BC8E4B">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3E25F0F">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C385CF1">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D6C38DB">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B1F5C21">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E9BC530">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0A41E46">
            <w:pPr>
              <w:snapToGrid w:val="0"/>
              <w:ind w:left="0" w:leftChars="0" w:right="0" w:rightChars="0" w:firstLine="0" w:firstLineChars="0"/>
              <w:jc w:val="center"/>
              <w:rPr>
                <w:rFonts w:hint="eastAsia" w:ascii="宋体" w:hAnsi="宋体" w:eastAsia="宋体" w:cs="宋体"/>
                <w:color w:val="auto"/>
                <w:sz w:val="21"/>
              </w:rPr>
            </w:pPr>
          </w:p>
        </w:tc>
      </w:tr>
      <w:tr w14:paraId="577F381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8048D62">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12</w:t>
            </w:r>
          </w:p>
        </w:tc>
        <w:tc>
          <w:tcPr>
            <w:tcW w:w="2203" w:type="dxa"/>
            <w:vAlign w:val="center"/>
          </w:tcPr>
          <w:p w14:paraId="6A59A26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音箱</w:t>
            </w:r>
          </w:p>
        </w:tc>
        <w:tc>
          <w:tcPr>
            <w:tcW w:w="1824" w:type="dxa"/>
            <w:vAlign w:val="center"/>
          </w:tcPr>
          <w:p w14:paraId="6550317C">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3DB4E7F">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C542FA5">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9E6FFD5">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797E0D4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1D5F0CE2">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A070A4C">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46AAF4CD">
            <w:pPr>
              <w:snapToGrid w:val="0"/>
              <w:ind w:left="0" w:leftChars="0" w:right="0" w:rightChars="0" w:firstLine="0" w:firstLineChars="0"/>
              <w:jc w:val="center"/>
              <w:rPr>
                <w:rFonts w:hint="eastAsia" w:ascii="宋体" w:hAnsi="宋体" w:eastAsia="宋体" w:cs="宋体"/>
                <w:color w:val="auto"/>
                <w:sz w:val="21"/>
              </w:rPr>
            </w:pPr>
          </w:p>
        </w:tc>
      </w:tr>
      <w:tr w14:paraId="281E72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6212689">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13</w:t>
            </w:r>
          </w:p>
        </w:tc>
        <w:tc>
          <w:tcPr>
            <w:tcW w:w="2203" w:type="dxa"/>
            <w:vAlign w:val="center"/>
          </w:tcPr>
          <w:p w14:paraId="18F886C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提词器</w:t>
            </w:r>
          </w:p>
        </w:tc>
        <w:tc>
          <w:tcPr>
            <w:tcW w:w="1824" w:type="dxa"/>
            <w:vAlign w:val="center"/>
          </w:tcPr>
          <w:p w14:paraId="5BF7189F">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6CD00A4">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7379D7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3DBAC26">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C0D2A40">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D6604D2">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CC03639">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172887E">
            <w:pPr>
              <w:snapToGrid w:val="0"/>
              <w:ind w:left="0" w:leftChars="0" w:right="0" w:rightChars="0" w:firstLine="0" w:firstLineChars="0"/>
              <w:jc w:val="center"/>
              <w:rPr>
                <w:rFonts w:hint="eastAsia" w:ascii="宋体" w:hAnsi="宋体" w:eastAsia="宋体" w:cs="宋体"/>
                <w:color w:val="auto"/>
                <w:sz w:val="21"/>
              </w:rPr>
            </w:pPr>
          </w:p>
        </w:tc>
      </w:tr>
      <w:tr w14:paraId="7755385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7382A406">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14</w:t>
            </w:r>
          </w:p>
        </w:tc>
        <w:tc>
          <w:tcPr>
            <w:tcW w:w="2203" w:type="dxa"/>
            <w:vAlign w:val="center"/>
          </w:tcPr>
          <w:p w14:paraId="53084975">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预览电视机</w:t>
            </w:r>
          </w:p>
        </w:tc>
        <w:tc>
          <w:tcPr>
            <w:tcW w:w="1824" w:type="dxa"/>
            <w:vAlign w:val="center"/>
          </w:tcPr>
          <w:p w14:paraId="3DC0F06A">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FBD93C5">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6337DA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4C9A535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827A30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17E0333">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CDEB5B9">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577F2FB">
            <w:pPr>
              <w:snapToGrid w:val="0"/>
              <w:ind w:left="0" w:leftChars="0" w:right="0" w:rightChars="0" w:firstLine="0" w:firstLineChars="0"/>
              <w:jc w:val="center"/>
              <w:rPr>
                <w:rFonts w:hint="eastAsia" w:ascii="宋体" w:hAnsi="宋体" w:eastAsia="宋体" w:cs="宋体"/>
                <w:color w:val="auto"/>
                <w:sz w:val="21"/>
              </w:rPr>
            </w:pPr>
          </w:p>
        </w:tc>
      </w:tr>
      <w:tr w14:paraId="3A3FEE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7D9BE26">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15</w:t>
            </w:r>
          </w:p>
        </w:tc>
        <w:tc>
          <w:tcPr>
            <w:tcW w:w="2203" w:type="dxa"/>
            <w:vAlign w:val="center"/>
          </w:tcPr>
          <w:p w14:paraId="1AEAAFD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U型蓝箱</w:t>
            </w:r>
          </w:p>
        </w:tc>
        <w:tc>
          <w:tcPr>
            <w:tcW w:w="1824" w:type="dxa"/>
            <w:vAlign w:val="center"/>
          </w:tcPr>
          <w:p w14:paraId="76EA34EF">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34A11E60">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3FBF6A3">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12D3C98">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FAF08D4">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1EE31BCD">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193B55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47F21E0F">
            <w:pPr>
              <w:snapToGrid w:val="0"/>
              <w:ind w:left="0" w:leftChars="0" w:right="0" w:rightChars="0" w:firstLine="0" w:firstLineChars="0"/>
              <w:jc w:val="center"/>
              <w:rPr>
                <w:rFonts w:hint="eastAsia" w:ascii="宋体" w:hAnsi="宋体" w:eastAsia="宋体" w:cs="宋体"/>
                <w:color w:val="auto"/>
                <w:sz w:val="21"/>
              </w:rPr>
            </w:pPr>
          </w:p>
        </w:tc>
      </w:tr>
      <w:tr w14:paraId="3A4399B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1758C91">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16</w:t>
            </w:r>
          </w:p>
        </w:tc>
        <w:tc>
          <w:tcPr>
            <w:tcW w:w="2203" w:type="dxa"/>
            <w:vAlign w:val="center"/>
          </w:tcPr>
          <w:p w14:paraId="2E0E67C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线材</w:t>
            </w:r>
          </w:p>
        </w:tc>
        <w:tc>
          <w:tcPr>
            <w:tcW w:w="1824" w:type="dxa"/>
            <w:vAlign w:val="center"/>
          </w:tcPr>
          <w:p w14:paraId="1FF70AA1">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419087C">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9A605E1">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239C4C3">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7A92B9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A296C29">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37F7D3A">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299DED4">
            <w:pPr>
              <w:snapToGrid w:val="0"/>
              <w:ind w:left="0" w:leftChars="0" w:right="0" w:rightChars="0" w:firstLine="0" w:firstLineChars="0"/>
              <w:jc w:val="center"/>
              <w:rPr>
                <w:rFonts w:hint="eastAsia" w:ascii="宋体" w:hAnsi="宋体" w:eastAsia="宋体" w:cs="宋体"/>
                <w:color w:val="auto"/>
                <w:sz w:val="21"/>
              </w:rPr>
            </w:pPr>
          </w:p>
        </w:tc>
      </w:tr>
      <w:tr w14:paraId="08958D5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ACD3B19">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17</w:t>
            </w:r>
          </w:p>
        </w:tc>
        <w:tc>
          <w:tcPr>
            <w:tcW w:w="2203" w:type="dxa"/>
            <w:vAlign w:val="center"/>
          </w:tcPr>
          <w:p w14:paraId="6A59FEC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LED灯</w:t>
            </w:r>
          </w:p>
        </w:tc>
        <w:tc>
          <w:tcPr>
            <w:tcW w:w="1824" w:type="dxa"/>
            <w:vAlign w:val="center"/>
          </w:tcPr>
          <w:p w14:paraId="6B231752">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A4DC524">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CFBAFA2">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A91D8B9">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D7A0B93">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5DE70F66">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85E8188">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D358ADC">
            <w:pPr>
              <w:snapToGrid w:val="0"/>
              <w:ind w:left="0" w:leftChars="0" w:right="0" w:rightChars="0" w:firstLine="0" w:firstLineChars="0"/>
              <w:jc w:val="center"/>
              <w:rPr>
                <w:rFonts w:hint="eastAsia" w:ascii="宋体" w:hAnsi="宋体" w:eastAsia="宋体" w:cs="宋体"/>
                <w:color w:val="auto"/>
                <w:sz w:val="21"/>
              </w:rPr>
            </w:pPr>
          </w:p>
        </w:tc>
      </w:tr>
      <w:tr w14:paraId="7CD1B1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F25B60F">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18</w:t>
            </w:r>
          </w:p>
        </w:tc>
        <w:tc>
          <w:tcPr>
            <w:tcW w:w="2203" w:type="dxa"/>
            <w:vAlign w:val="center"/>
          </w:tcPr>
          <w:p w14:paraId="63E3D3F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LED聚光灯</w:t>
            </w:r>
          </w:p>
        </w:tc>
        <w:tc>
          <w:tcPr>
            <w:tcW w:w="1824" w:type="dxa"/>
            <w:vAlign w:val="center"/>
          </w:tcPr>
          <w:p w14:paraId="4191E712">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8656EBC">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C13E9CD">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6C5C52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754818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E11B701">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B0E3A5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F1DB65E">
            <w:pPr>
              <w:snapToGrid w:val="0"/>
              <w:ind w:left="0" w:leftChars="0" w:right="0" w:rightChars="0" w:firstLine="0" w:firstLineChars="0"/>
              <w:jc w:val="center"/>
              <w:rPr>
                <w:rFonts w:hint="eastAsia" w:ascii="宋体" w:hAnsi="宋体" w:eastAsia="宋体" w:cs="宋体"/>
                <w:color w:val="auto"/>
                <w:sz w:val="21"/>
              </w:rPr>
            </w:pPr>
          </w:p>
        </w:tc>
      </w:tr>
      <w:tr w14:paraId="5E3E7F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8DB470F">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19</w:t>
            </w:r>
          </w:p>
        </w:tc>
        <w:tc>
          <w:tcPr>
            <w:tcW w:w="2203" w:type="dxa"/>
            <w:vAlign w:val="center"/>
          </w:tcPr>
          <w:p w14:paraId="4DA7F33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数字调光台</w:t>
            </w:r>
          </w:p>
        </w:tc>
        <w:tc>
          <w:tcPr>
            <w:tcW w:w="1824" w:type="dxa"/>
            <w:vAlign w:val="center"/>
          </w:tcPr>
          <w:p w14:paraId="4D9B9A4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E1CCDDA">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FB0C223">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485D4F0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ADE2397">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1E454B34">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A0DB12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71F3286">
            <w:pPr>
              <w:snapToGrid w:val="0"/>
              <w:ind w:left="0" w:leftChars="0" w:right="0" w:rightChars="0" w:firstLine="0" w:firstLineChars="0"/>
              <w:jc w:val="center"/>
              <w:rPr>
                <w:rFonts w:hint="eastAsia" w:ascii="宋体" w:hAnsi="宋体" w:eastAsia="宋体" w:cs="宋体"/>
                <w:color w:val="auto"/>
                <w:sz w:val="21"/>
              </w:rPr>
            </w:pPr>
          </w:p>
        </w:tc>
      </w:tr>
      <w:tr w14:paraId="29453C8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F7433CC">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20</w:t>
            </w:r>
          </w:p>
        </w:tc>
        <w:tc>
          <w:tcPr>
            <w:tcW w:w="2203" w:type="dxa"/>
            <w:vAlign w:val="center"/>
          </w:tcPr>
          <w:p w14:paraId="2E4EA35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阻燃电缆</w:t>
            </w:r>
          </w:p>
        </w:tc>
        <w:tc>
          <w:tcPr>
            <w:tcW w:w="1824" w:type="dxa"/>
            <w:vAlign w:val="center"/>
          </w:tcPr>
          <w:p w14:paraId="7E1F8EA0">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69B1505">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F398635">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7FE858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2EF1F26">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7830551">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094510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18CF2C3">
            <w:pPr>
              <w:snapToGrid w:val="0"/>
              <w:ind w:left="0" w:leftChars="0" w:right="0" w:rightChars="0" w:firstLine="0" w:firstLineChars="0"/>
              <w:jc w:val="center"/>
              <w:rPr>
                <w:rFonts w:hint="eastAsia" w:ascii="宋体" w:hAnsi="宋体" w:eastAsia="宋体" w:cs="宋体"/>
                <w:color w:val="auto"/>
                <w:sz w:val="21"/>
              </w:rPr>
            </w:pPr>
          </w:p>
        </w:tc>
      </w:tr>
      <w:tr w14:paraId="3C0DAA2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19356EE5">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21</w:t>
            </w:r>
          </w:p>
        </w:tc>
        <w:tc>
          <w:tcPr>
            <w:tcW w:w="2203" w:type="dxa"/>
            <w:vAlign w:val="center"/>
          </w:tcPr>
          <w:p w14:paraId="232D1BD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灯具号码牌</w:t>
            </w:r>
          </w:p>
        </w:tc>
        <w:tc>
          <w:tcPr>
            <w:tcW w:w="1824" w:type="dxa"/>
            <w:vAlign w:val="center"/>
          </w:tcPr>
          <w:p w14:paraId="524CE600">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F1A5E41">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BDEAA8D">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7AFDC88">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32F0FF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8E19099">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F0A53D6">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B0E8988">
            <w:pPr>
              <w:snapToGrid w:val="0"/>
              <w:ind w:left="0" w:leftChars="0" w:right="0" w:rightChars="0" w:firstLine="0" w:firstLineChars="0"/>
              <w:jc w:val="center"/>
              <w:rPr>
                <w:rFonts w:hint="eastAsia" w:ascii="宋体" w:hAnsi="宋体" w:eastAsia="宋体" w:cs="宋体"/>
                <w:color w:val="auto"/>
                <w:sz w:val="21"/>
              </w:rPr>
            </w:pPr>
          </w:p>
        </w:tc>
      </w:tr>
      <w:tr w14:paraId="6585AF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E6D2EDA">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22</w:t>
            </w:r>
          </w:p>
        </w:tc>
        <w:tc>
          <w:tcPr>
            <w:tcW w:w="2203" w:type="dxa"/>
            <w:vAlign w:val="center"/>
          </w:tcPr>
          <w:p w14:paraId="611F6B2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保险链</w:t>
            </w:r>
          </w:p>
        </w:tc>
        <w:tc>
          <w:tcPr>
            <w:tcW w:w="1824" w:type="dxa"/>
            <w:vAlign w:val="center"/>
          </w:tcPr>
          <w:p w14:paraId="425712D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00CF3DE">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CCC696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E0DE724">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7572B0D6">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1720687">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8D01BF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4EA08E49">
            <w:pPr>
              <w:snapToGrid w:val="0"/>
              <w:ind w:left="0" w:leftChars="0" w:right="0" w:rightChars="0" w:firstLine="0" w:firstLineChars="0"/>
              <w:jc w:val="center"/>
              <w:rPr>
                <w:rFonts w:hint="eastAsia" w:ascii="宋体" w:hAnsi="宋体" w:eastAsia="宋体" w:cs="宋体"/>
                <w:color w:val="auto"/>
                <w:sz w:val="21"/>
              </w:rPr>
            </w:pPr>
          </w:p>
        </w:tc>
      </w:tr>
      <w:tr w14:paraId="0F2A35A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2772DB6">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23</w:t>
            </w:r>
          </w:p>
        </w:tc>
        <w:tc>
          <w:tcPr>
            <w:tcW w:w="2203" w:type="dxa"/>
            <w:vAlign w:val="center"/>
          </w:tcPr>
          <w:p w14:paraId="1EAB4C4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信号线</w:t>
            </w:r>
          </w:p>
        </w:tc>
        <w:tc>
          <w:tcPr>
            <w:tcW w:w="1824" w:type="dxa"/>
            <w:vAlign w:val="center"/>
          </w:tcPr>
          <w:p w14:paraId="1D0EB0E8">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896AE38">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AD6EC07">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C6DD435">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71129593">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C318EE0">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A518DD7">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8ACAAC6">
            <w:pPr>
              <w:snapToGrid w:val="0"/>
              <w:ind w:left="0" w:leftChars="0" w:right="0" w:rightChars="0" w:firstLine="0" w:firstLineChars="0"/>
              <w:jc w:val="center"/>
              <w:rPr>
                <w:rFonts w:hint="eastAsia" w:ascii="宋体" w:hAnsi="宋体" w:eastAsia="宋体" w:cs="宋体"/>
                <w:color w:val="auto"/>
                <w:sz w:val="21"/>
              </w:rPr>
            </w:pPr>
          </w:p>
        </w:tc>
      </w:tr>
      <w:tr w14:paraId="12B1D7E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B36ABAA">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24</w:t>
            </w:r>
          </w:p>
        </w:tc>
        <w:tc>
          <w:tcPr>
            <w:tcW w:w="2203" w:type="dxa"/>
            <w:vAlign w:val="center"/>
          </w:tcPr>
          <w:p w14:paraId="1C456DE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信号放大器</w:t>
            </w:r>
          </w:p>
        </w:tc>
        <w:tc>
          <w:tcPr>
            <w:tcW w:w="1824" w:type="dxa"/>
            <w:vAlign w:val="center"/>
          </w:tcPr>
          <w:p w14:paraId="525C2A9D">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919B53D">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88CE752">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FD8CFEE">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89AA7C2">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1E4B03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6E59B221">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139E1EB">
            <w:pPr>
              <w:snapToGrid w:val="0"/>
              <w:ind w:left="0" w:leftChars="0" w:right="0" w:rightChars="0" w:firstLine="0" w:firstLineChars="0"/>
              <w:jc w:val="center"/>
              <w:rPr>
                <w:rFonts w:hint="eastAsia" w:ascii="宋体" w:hAnsi="宋体" w:eastAsia="宋体" w:cs="宋体"/>
                <w:color w:val="auto"/>
                <w:sz w:val="21"/>
              </w:rPr>
            </w:pPr>
          </w:p>
        </w:tc>
      </w:tr>
      <w:tr w14:paraId="5D90377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54BB93B">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25</w:t>
            </w:r>
          </w:p>
        </w:tc>
        <w:tc>
          <w:tcPr>
            <w:tcW w:w="2203" w:type="dxa"/>
            <w:vAlign w:val="center"/>
          </w:tcPr>
          <w:p w14:paraId="40BC0685">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恒力铰链</w:t>
            </w:r>
          </w:p>
        </w:tc>
        <w:tc>
          <w:tcPr>
            <w:tcW w:w="1824" w:type="dxa"/>
            <w:vAlign w:val="center"/>
          </w:tcPr>
          <w:p w14:paraId="436B1D5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7417A95">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235D6A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3CD90B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0F859C9">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47E20F1">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D8F8C0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FB1C417">
            <w:pPr>
              <w:snapToGrid w:val="0"/>
              <w:ind w:left="0" w:leftChars="0" w:right="0" w:rightChars="0" w:firstLine="0" w:firstLineChars="0"/>
              <w:jc w:val="center"/>
              <w:rPr>
                <w:rFonts w:hint="eastAsia" w:ascii="宋体" w:hAnsi="宋体" w:eastAsia="宋体" w:cs="宋体"/>
                <w:color w:val="auto"/>
                <w:sz w:val="21"/>
              </w:rPr>
            </w:pPr>
          </w:p>
        </w:tc>
      </w:tr>
      <w:tr w14:paraId="65E02C6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13A975C9">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26</w:t>
            </w:r>
          </w:p>
        </w:tc>
        <w:tc>
          <w:tcPr>
            <w:tcW w:w="2203" w:type="dxa"/>
            <w:vAlign w:val="center"/>
          </w:tcPr>
          <w:p w14:paraId="550C6AD3">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灯光系统辅材</w:t>
            </w:r>
          </w:p>
        </w:tc>
        <w:tc>
          <w:tcPr>
            <w:tcW w:w="1824" w:type="dxa"/>
            <w:vAlign w:val="center"/>
          </w:tcPr>
          <w:p w14:paraId="0DB6DCE7">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2ED92FD">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40330E5">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01ADE3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51B63C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F9634F3">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8F1769D">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2B3B46E">
            <w:pPr>
              <w:snapToGrid w:val="0"/>
              <w:ind w:left="0" w:leftChars="0" w:right="0" w:rightChars="0" w:firstLine="0" w:firstLineChars="0"/>
              <w:jc w:val="center"/>
              <w:rPr>
                <w:rFonts w:hint="eastAsia" w:ascii="宋体" w:hAnsi="宋体" w:eastAsia="宋体" w:cs="宋体"/>
                <w:color w:val="auto"/>
                <w:sz w:val="21"/>
              </w:rPr>
            </w:pPr>
          </w:p>
        </w:tc>
      </w:tr>
      <w:tr w14:paraId="63594B4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8B811E1">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27</w:t>
            </w:r>
          </w:p>
        </w:tc>
        <w:tc>
          <w:tcPr>
            <w:tcW w:w="2203" w:type="dxa"/>
            <w:vAlign w:val="center"/>
          </w:tcPr>
          <w:p w14:paraId="162FB4B0">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灯光系统安装调试</w:t>
            </w:r>
          </w:p>
        </w:tc>
        <w:tc>
          <w:tcPr>
            <w:tcW w:w="1824" w:type="dxa"/>
            <w:vAlign w:val="center"/>
          </w:tcPr>
          <w:p w14:paraId="487C04BF">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99AC804">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37D45E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119C90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25E1952">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9E4ACB5">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69D6E2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8FCBC67">
            <w:pPr>
              <w:snapToGrid w:val="0"/>
              <w:ind w:left="0" w:leftChars="0" w:right="0" w:rightChars="0" w:firstLine="0" w:firstLineChars="0"/>
              <w:jc w:val="center"/>
              <w:rPr>
                <w:rFonts w:hint="eastAsia" w:ascii="宋体" w:hAnsi="宋体" w:eastAsia="宋体" w:cs="宋体"/>
                <w:color w:val="auto"/>
                <w:sz w:val="21"/>
              </w:rPr>
            </w:pPr>
          </w:p>
        </w:tc>
      </w:tr>
      <w:tr w14:paraId="02F863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3503" w:type="dxa"/>
            <w:gridSpan w:val="10"/>
            <w:vAlign w:val="center"/>
          </w:tcPr>
          <w:p w14:paraId="580B94B3">
            <w:pPr>
              <w:snapToGrid w:val="0"/>
              <w:ind w:left="0" w:leftChars="0" w:right="0" w:rightChars="0" w:firstLine="0" w:firstLineChars="0"/>
              <w:jc w:val="center"/>
              <w:rPr>
                <w:rFonts w:hint="eastAsia" w:ascii="宋体" w:hAnsi="宋体" w:cs="宋体"/>
                <w:color w:val="auto"/>
              </w:rPr>
            </w:pPr>
            <w:r>
              <w:rPr>
                <w:rFonts w:hint="eastAsia" w:ascii="仿宋" w:hAnsi="仿宋" w:eastAsia="仿宋" w:cs="仿宋"/>
                <w:b/>
                <w:bCs/>
                <w:i w:val="0"/>
                <w:iCs w:val="0"/>
                <w:color w:val="auto"/>
                <w:kern w:val="0"/>
                <w:sz w:val="24"/>
                <w:szCs w:val="24"/>
                <w:u w:val="none"/>
                <w:lang w:val="en-US" w:eastAsia="zh-CN" w:bidi="ar"/>
              </w:rPr>
              <w:t>五、校园电视台环境改造</w:t>
            </w:r>
          </w:p>
        </w:tc>
      </w:tr>
      <w:tr w14:paraId="7633B681">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7C91FBC8">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w:t>
            </w:r>
          </w:p>
        </w:tc>
        <w:tc>
          <w:tcPr>
            <w:tcW w:w="2203" w:type="dxa"/>
            <w:vAlign w:val="center"/>
          </w:tcPr>
          <w:p w14:paraId="02F387F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隔墙</w:t>
            </w:r>
          </w:p>
        </w:tc>
        <w:tc>
          <w:tcPr>
            <w:tcW w:w="1824" w:type="dxa"/>
            <w:vAlign w:val="center"/>
          </w:tcPr>
          <w:p w14:paraId="6EF1A959">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89A2B39">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63ECF9F">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45BD658">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F2424A7">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A44D3E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EEA280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A021B06">
            <w:pPr>
              <w:snapToGrid w:val="0"/>
              <w:ind w:left="0" w:leftChars="0" w:right="0" w:rightChars="0" w:firstLine="0" w:firstLineChars="0"/>
              <w:jc w:val="center"/>
              <w:rPr>
                <w:rFonts w:hint="eastAsia" w:ascii="宋体" w:hAnsi="宋体" w:eastAsia="宋体" w:cs="宋体"/>
                <w:color w:val="auto"/>
                <w:sz w:val="21"/>
              </w:rPr>
            </w:pPr>
          </w:p>
        </w:tc>
      </w:tr>
      <w:tr w14:paraId="6F17AB8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5B84954">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2</w:t>
            </w:r>
          </w:p>
        </w:tc>
        <w:tc>
          <w:tcPr>
            <w:tcW w:w="2203" w:type="dxa"/>
            <w:vAlign w:val="center"/>
          </w:tcPr>
          <w:p w14:paraId="00E0424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演播室吸音板</w:t>
            </w:r>
          </w:p>
        </w:tc>
        <w:tc>
          <w:tcPr>
            <w:tcW w:w="1824" w:type="dxa"/>
            <w:vAlign w:val="center"/>
          </w:tcPr>
          <w:p w14:paraId="00F57E8E">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5FFE912">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8FD05AA">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E76546F">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E776DE5">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564F3143">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5856A98">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4F8685F7">
            <w:pPr>
              <w:snapToGrid w:val="0"/>
              <w:ind w:left="0" w:leftChars="0" w:right="0" w:rightChars="0" w:firstLine="0" w:firstLineChars="0"/>
              <w:jc w:val="center"/>
              <w:rPr>
                <w:rFonts w:hint="eastAsia" w:ascii="宋体" w:hAnsi="宋体" w:eastAsia="宋体" w:cs="宋体"/>
                <w:color w:val="auto"/>
                <w:sz w:val="21"/>
              </w:rPr>
            </w:pPr>
          </w:p>
        </w:tc>
      </w:tr>
      <w:tr w14:paraId="7268958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15CF3624">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3</w:t>
            </w:r>
          </w:p>
        </w:tc>
        <w:tc>
          <w:tcPr>
            <w:tcW w:w="2203" w:type="dxa"/>
            <w:vAlign w:val="center"/>
          </w:tcPr>
          <w:p w14:paraId="2009817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墙顶面</w:t>
            </w:r>
          </w:p>
        </w:tc>
        <w:tc>
          <w:tcPr>
            <w:tcW w:w="1824" w:type="dxa"/>
            <w:vAlign w:val="center"/>
          </w:tcPr>
          <w:p w14:paraId="79F1827A">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FFA3301">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727AA01">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40ED807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80FD6C6">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041436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02DEB3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E373547">
            <w:pPr>
              <w:snapToGrid w:val="0"/>
              <w:ind w:left="0" w:leftChars="0" w:right="0" w:rightChars="0" w:firstLine="0" w:firstLineChars="0"/>
              <w:jc w:val="center"/>
              <w:rPr>
                <w:rFonts w:hint="eastAsia" w:ascii="宋体" w:hAnsi="宋体" w:eastAsia="宋体" w:cs="宋体"/>
                <w:color w:val="auto"/>
                <w:sz w:val="21"/>
              </w:rPr>
            </w:pPr>
          </w:p>
        </w:tc>
      </w:tr>
      <w:tr w14:paraId="1399C76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79798D8">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4</w:t>
            </w:r>
          </w:p>
        </w:tc>
        <w:tc>
          <w:tcPr>
            <w:tcW w:w="2203" w:type="dxa"/>
            <w:vAlign w:val="center"/>
          </w:tcPr>
          <w:p w14:paraId="140EA2B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地面</w:t>
            </w:r>
          </w:p>
        </w:tc>
        <w:tc>
          <w:tcPr>
            <w:tcW w:w="1824" w:type="dxa"/>
            <w:vAlign w:val="center"/>
          </w:tcPr>
          <w:p w14:paraId="04E96581">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40EE44A">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E82E475">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BD60A3F">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2245542">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2E8F63B">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9342E89">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FA4423F">
            <w:pPr>
              <w:snapToGrid w:val="0"/>
              <w:ind w:left="0" w:leftChars="0" w:right="0" w:rightChars="0" w:firstLine="0" w:firstLineChars="0"/>
              <w:jc w:val="center"/>
              <w:rPr>
                <w:rFonts w:hint="eastAsia" w:ascii="宋体" w:hAnsi="宋体" w:eastAsia="宋体" w:cs="宋体"/>
                <w:color w:val="auto"/>
                <w:sz w:val="21"/>
              </w:rPr>
            </w:pPr>
          </w:p>
        </w:tc>
      </w:tr>
      <w:tr w14:paraId="0165D1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5D9402D">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5</w:t>
            </w:r>
          </w:p>
        </w:tc>
        <w:tc>
          <w:tcPr>
            <w:tcW w:w="2203" w:type="dxa"/>
            <w:vAlign w:val="center"/>
          </w:tcPr>
          <w:p w14:paraId="1BACB684">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墙体造型</w:t>
            </w:r>
          </w:p>
        </w:tc>
        <w:tc>
          <w:tcPr>
            <w:tcW w:w="1824" w:type="dxa"/>
            <w:vAlign w:val="center"/>
          </w:tcPr>
          <w:p w14:paraId="2F6EFA5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DC075D3">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CEE380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53022F3">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C3DB27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BAD0445">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BA00F21">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A1BF9A0">
            <w:pPr>
              <w:snapToGrid w:val="0"/>
              <w:ind w:left="0" w:leftChars="0" w:right="0" w:rightChars="0" w:firstLine="0" w:firstLineChars="0"/>
              <w:jc w:val="center"/>
              <w:rPr>
                <w:rFonts w:hint="eastAsia" w:ascii="宋体" w:hAnsi="宋体" w:eastAsia="宋体" w:cs="宋体"/>
                <w:color w:val="auto"/>
                <w:sz w:val="21"/>
              </w:rPr>
            </w:pPr>
          </w:p>
        </w:tc>
      </w:tr>
      <w:tr w14:paraId="2844E0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D2289A3">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6</w:t>
            </w:r>
          </w:p>
        </w:tc>
        <w:tc>
          <w:tcPr>
            <w:tcW w:w="2203" w:type="dxa"/>
            <w:vAlign w:val="center"/>
          </w:tcPr>
          <w:p w14:paraId="692A494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成品门</w:t>
            </w:r>
          </w:p>
        </w:tc>
        <w:tc>
          <w:tcPr>
            <w:tcW w:w="1824" w:type="dxa"/>
            <w:vAlign w:val="center"/>
          </w:tcPr>
          <w:p w14:paraId="6422D421">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16EB0C6F">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EFD850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D009934">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1A85E4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1F03169B">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77FEC4C">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CE401FA">
            <w:pPr>
              <w:snapToGrid w:val="0"/>
              <w:ind w:left="0" w:leftChars="0" w:right="0" w:rightChars="0" w:firstLine="0" w:firstLineChars="0"/>
              <w:jc w:val="center"/>
              <w:rPr>
                <w:rFonts w:hint="eastAsia" w:ascii="宋体" w:hAnsi="宋体" w:eastAsia="宋体" w:cs="宋体"/>
                <w:color w:val="auto"/>
                <w:sz w:val="21"/>
              </w:rPr>
            </w:pPr>
          </w:p>
        </w:tc>
      </w:tr>
      <w:tr w14:paraId="303B813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8FE091B">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7</w:t>
            </w:r>
          </w:p>
        </w:tc>
        <w:tc>
          <w:tcPr>
            <w:tcW w:w="2203" w:type="dxa"/>
            <w:vAlign w:val="center"/>
          </w:tcPr>
          <w:p w14:paraId="778284B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线路改造</w:t>
            </w:r>
          </w:p>
        </w:tc>
        <w:tc>
          <w:tcPr>
            <w:tcW w:w="1824" w:type="dxa"/>
            <w:vAlign w:val="center"/>
          </w:tcPr>
          <w:p w14:paraId="2CBACE4F">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23F6680">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AF3F3D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7768704">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74D1863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74671E9">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3F16EF9">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F4D8702">
            <w:pPr>
              <w:snapToGrid w:val="0"/>
              <w:ind w:left="0" w:leftChars="0" w:right="0" w:rightChars="0" w:firstLine="0" w:firstLineChars="0"/>
              <w:jc w:val="center"/>
              <w:rPr>
                <w:rFonts w:hint="eastAsia" w:ascii="宋体" w:hAnsi="宋体" w:eastAsia="宋体" w:cs="宋体"/>
                <w:color w:val="auto"/>
                <w:sz w:val="21"/>
              </w:rPr>
            </w:pPr>
          </w:p>
        </w:tc>
      </w:tr>
      <w:tr w14:paraId="3BDEAFE8">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5124E81">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8</w:t>
            </w:r>
          </w:p>
        </w:tc>
        <w:tc>
          <w:tcPr>
            <w:tcW w:w="2203" w:type="dxa"/>
            <w:vAlign w:val="center"/>
          </w:tcPr>
          <w:p w14:paraId="10763B4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演播室桌子及凳子</w:t>
            </w:r>
          </w:p>
        </w:tc>
        <w:tc>
          <w:tcPr>
            <w:tcW w:w="1824" w:type="dxa"/>
            <w:vAlign w:val="center"/>
          </w:tcPr>
          <w:p w14:paraId="26EC17F2">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7AF0ACD">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9E50DB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AC35394">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897D8A3">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91FED5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8E75ECD">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B7909DE">
            <w:pPr>
              <w:snapToGrid w:val="0"/>
              <w:ind w:left="0" w:leftChars="0" w:right="0" w:rightChars="0" w:firstLine="0" w:firstLineChars="0"/>
              <w:jc w:val="center"/>
              <w:rPr>
                <w:rFonts w:hint="eastAsia" w:ascii="宋体" w:hAnsi="宋体" w:eastAsia="宋体" w:cs="宋体"/>
                <w:color w:val="auto"/>
                <w:sz w:val="21"/>
              </w:rPr>
            </w:pPr>
          </w:p>
        </w:tc>
      </w:tr>
      <w:tr w14:paraId="129CE1D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E2917FC">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9</w:t>
            </w:r>
          </w:p>
        </w:tc>
        <w:tc>
          <w:tcPr>
            <w:tcW w:w="2203" w:type="dxa"/>
            <w:vAlign w:val="center"/>
          </w:tcPr>
          <w:p w14:paraId="7E26A96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系统集成</w:t>
            </w:r>
          </w:p>
        </w:tc>
        <w:tc>
          <w:tcPr>
            <w:tcW w:w="1824" w:type="dxa"/>
            <w:vAlign w:val="center"/>
          </w:tcPr>
          <w:p w14:paraId="23CB64CC">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378E761D">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DB9F86C">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8062A3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26E4B4E">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56AA637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6702E24">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33C9F6C">
            <w:pPr>
              <w:snapToGrid w:val="0"/>
              <w:ind w:left="0" w:leftChars="0" w:right="0" w:rightChars="0" w:firstLine="0" w:firstLineChars="0"/>
              <w:jc w:val="center"/>
              <w:rPr>
                <w:rFonts w:hint="eastAsia" w:ascii="宋体" w:hAnsi="宋体" w:eastAsia="宋体" w:cs="宋体"/>
                <w:color w:val="auto"/>
                <w:sz w:val="21"/>
              </w:rPr>
            </w:pPr>
          </w:p>
        </w:tc>
      </w:tr>
      <w:tr w14:paraId="5234497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1FDED0D8">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10</w:t>
            </w:r>
          </w:p>
        </w:tc>
        <w:tc>
          <w:tcPr>
            <w:tcW w:w="2203" w:type="dxa"/>
            <w:vAlign w:val="center"/>
          </w:tcPr>
          <w:p w14:paraId="08DD0A5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项目现场安装调试</w:t>
            </w:r>
          </w:p>
        </w:tc>
        <w:tc>
          <w:tcPr>
            <w:tcW w:w="1824" w:type="dxa"/>
            <w:vAlign w:val="center"/>
          </w:tcPr>
          <w:p w14:paraId="2387C3E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784EBD3">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E1C03D1">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1C2DA46">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85731D3">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1309054D">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2E41C42">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30640C6">
            <w:pPr>
              <w:snapToGrid w:val="0"/>
              <w:ind w:left="0" w:leftChars="0" w:right="0" w:rightChars="0" w:firstLine="0" w:firstLineChars="0"/>
              <w:jc w:val="center"/>
              <w:rPr>
                <w:rFonts w:hint="eastAsia" w:ascii="宋体" w:hAnsi="宋体" w:eastAsia="宋体" w:cs="宋体"/>
                <w:color w:val="auto"/>
                <w:sz w:val="21"/>
              </w:rPr>
            </w:pPr>
          </w:p>
        </w:tc>
      </w:tr>
      <w:tr w14:paraId="1195681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13503" w:type="dxa"/>
            <w:gridSpan w:val="10"/>
            <w:vAlign w:val="center"/>
          </w:tcPr>
          <w:p w14:paraId="1DB41CBC">
            <w:pPr>
              <w:snapToGrid w:val="0"/>
              <w:ind w:left="0" w:leftChars="0" w:right="0" w:rightChars="0" w:firstLine="0" w:firstLineChars="0"/>
              <w:jc w:val="center"/>
              <w:rPr>
                <w:rFonts w:hint="eastAsia" w:ascii="宋体" w:hAnsi="宋体" w:cs="宋体"/>
                <w:color w:val="auto"/>
              </w:rPr>
            </w:pPr>
            <w:r>
              <w:rPr>
                <w:rFonts w:hint="eastAsia" w:ascii="仿宋" w:hAnsi="仿宋" w:eastAsia="仿宋" w:cs="仿宋"/>
                <w:b/>
                <w:bCs/>
                <w:i w:val="0"/>
                <w:iCs w:val="0"/>
                <w:color w:val="auto"/>
                <w:kern w:val="0"/>
                <w:sz w:val="24"/>
                <w:szCs w:val="24"/>
                <w:u w:val="none"/>
                <w:lang w:val="en-US" w:eastAsia="zh-CN" w:bidi="ar"/>
              </w:rPr>
              <w:t>六、录播实训室</w:t>
            </w:r>
          </w:p>
        </w:tc>
      </w:tr>
      <w:tr w14:paraId="12BCC1B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F9608AB">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1</w:t>
            </w:r>
          </w:p>
        </w:tc>
        <w:tc>
          <w:tcPr>
            <w:tcW w:w="2203" w:type="dxa"/>
            <w:vAlign w:val="center"/>
          </w:tcPr>
          <w:p w14:paraId="6878649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资源管理平台</w:t>
            </w:r>
          </w:p>
        </w:tc>
        <w:tc>
          <w:tcPr>
            <w:tcW w:w="1824" w:type="dxa"/>
            <w:vAlign w:val="center"/>
          </w:tcPr>
          <w:p w14:paraId="1AA91730">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8247A5D">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B6A3597">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0AFB9B2">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744BE9E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F8D8CE9">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237D47B">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AE1F4A2">
            <w:pPr>
              <w:snapToGrid w:val="0"/>
              <w:ind w:left="0" w:leftChars="0" w:right="0" w:rightChars="0" w:firstLine="0" w:firstLineChars="0"/>
              <w:jc w:val="center"/>
              <w:rPr>
                <w:rFonts w:hint="eastAsia" w:ascii="宋体" w:hAnsi="宋体" w:eastAsia="宋体" w:cs="宋体"/>
                <w:color w:val="auto"/>
                <w:sz w:val="21"/>
              </w:rPr>
            </w:pPr>
          </w:p>
        </w:tc>
      </w:tr>
      <w:tr w14:paraId="54965B9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760CE0F0">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2</w:t>
            </w:r>
          </w:p>
        </w:tc>
        <w:tc>
          <w:tcPr>
            <w:tcW w:w="2203" w:type="dxa"/>
            <w:vAlign w:val="center"/>
          </w:tcPr>
          <w:p w14:paraId="738691A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服务器</w:t>
            </w:r>
          </w:p>
        </w:tc>
        <w:tc>
          <w:tcPr>
            <w:tcW w:w="1824" w:type="dxa"/>
            <w:vAlign w:val="center"/>
          </w:tcPr>
          <w:p w14:paraId="1CC49707">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32074C3E">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80D36C1">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E53524D">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75B75080">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773809F">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B52C2C8">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16270786">
            <w:pPr>
              <w:snapToGrid w:val="0"/>
              <w:ind w:left="0" w:leftChars="0" w:right="0" w:rightChars="0" w:firstLine="0" w:firstLineChars="0"/>
              <w:jc w:val="center"/>
              <w:rPr>
                <w:rFonts w:hint="eastAsia" w:ascii="宋体" w:hAnsi="宋体" w:eastAsia="宋体" w:cs="宋体"/>
                <w:color w:val="auto"/>
                <w:sz w:val="21"/>
              </w:rPr>
            </w:pPr>
          </w:p>
        </w:tc>
      </w:tr>
      <w:tr w14:paraId="01F6D1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8DEDDFD">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3</w:t>
            </w:r>
          </w:p>
        </w:tc>
        <w:tc>
          <w:tcPr>
            <w:tcW w:w="2203" w:type="dxa"/>
            <w:vAlign w:val="center"/>
          </w:tcPr>
          <w:p w14:paraId="3B5B3F9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4K录播一体机</w:t>
            </w:r>
          </w:p>
        </w:tc>
        <w:tc>
          <w:tcPr>
            <w:tcW w:w="1824" w:type="dxa"/>
            <w:vAlign w:val="center"/>
          </w:tcPr>
          <w:p w14:paraId="21DE9A7D">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D8D26FE">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97F4D8D">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C884FC5">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B8B3788">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024116B">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2CD286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C852A46">
            <w:pPr>
              <w:snapToGrid w:val="0"/>
              <w:ind w:left="0" w:leftChars="0" w:right="0" w:rightChars="0" w:firstLine="0" w:firstLineChars="0"/>
              <w:jc w:val="center"/>
              <w:rPr>
                <w:rFonts w:hint="eastAsia" w:ascii="宋体" w:hAnsi="宋体" w:eastAsia="宋体" w:cs="宋体"/>
                <w:color w:val="auto"/>
                <w:sz w:val="21"/>
              </w:rPr>
            </w:pPr>
          </w:p>
        </w:tc>
      </w:tr>
      <w:tr w14:paraId="7E6987F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75B3498">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4</w:t>
            </w:r>
          </w:p>
        </w:tc>
        <w:tc>
          <w:tcPr>
            <w:tcW w:w="2203" w:type="dxa"/>
            <w:vAlign w:val="center"/>
          </w:tcPr>
          <w:p w14:paraId="44E127E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嵌入式录播系统</w:t>
            </w:r>
          </w:p>
        </w:tc>
        <w:tc>
          <w:tcPr>
            <w:tcW w:w="1824" w:type="dxa"/>
            <w:vAlign w:val="center"/>
          </w:tcPr>
          <w:p w14:paraId="69C33E15">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7F92656">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CBF6899">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DB985C8">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B4B8D0C">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9AD795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99DFAB3">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F1921E0">
            <w:pPr>
              <w:snapToGrid w:val="0"/>
              <w:ind w:left="0" w:leftChars="0" w:right="0" w:rightChars="0" w:firstLine="0" w:firstLineChars="0"/>
              <w:jc w:val="center"/>
              <w:rPr>
                <w:rFonts w:hint="eastAsia" w:ascii="宋体" w:hAnsi="宋体" w:eastAsia="宋体" w:cs="宋体"/>
                <w:color w:val="auto"/>
                <w:sz w:val="21"/>
              </w:rPr>
            </w:pPr>
          </w:p>
        </w:tc>
      </w:tr>
      <w:tr w14:paraId="4A68F23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98E551D">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5</w:t>
            </w:r>
          </w:p>
        </w:tc>
        <w:tc>
          <w:tcPr>
            <w:tcW w:w="2203" w:type="dxa"/>
            <w:vAlign w:val="center"/>
          </w:tcPr>
          <w:p w14:paraId="0C3CC24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高清云台摄像机(特写)</w:t>
            </w:r>
          </w:p>
        </w:tc>
        <w:tc>
          <w:tcPr>
            <w:tcW w:w="1824" w:type="dxa"/>
            <w:vAlign w:val="center"/>
          </w:tcPr>
          <w:p w14:paraId="5A751A81">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43D0886">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416E2F5">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1074234">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74F6040">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DC7D4C4">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8FEE306">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7B61F3E">
            <w:pPr>
              <w:snapToGrid w:val="0"/>
              <w:ind w:left="0" w:leftChars="0" w:right="0" w:rightChars="0" w:firstLine="0" w:firstLineChars="0"/>
              <w:jc w:val="center"/>
              <w:rPr>
                <w:rFonts w:hint="eastAsia" w:ascii="宋体" w:hAnsi="宋体" w:eastAsia="宋体" w:cs="宋体"/>
                <w:color w:val="auto"/>
                <w:sz w:val="21"/>
              </w:rPr>
            </w:pPr>
          </w:p>
        </w:tc>
      </w:tr>
      <w:tr w14:paraId="25748A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FF10EC2">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6</w:t>
            </w:r>
          </w:p>
        </w:tc>
        <w:tc>
          <w:tcPr>
            <w:tcW w:w="2203" w:type="dxa"/>
            <w:vAlign w:val="center"/>
          </w:tcPr>
          <w:p w14:paraId="7B0A9AB4">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高清云台摄像机（全景）</w:t>
            </w:r>
          </w:p>
        </w:tc>
        <w:tc>
          <w:tcPr>
            <w:tcW w:w="1824" w:type="dxa"/>
            <w:vAlign w:val="center"/>
          </w:tcPr>
          <w:p w14:paraId="1FCF227C">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8BDDE50">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F3CDEE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8580F09">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059C864">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538C7633">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CE32668">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779B26E">
            <w:pPr>
              <w:snapToGrid w:val="0"/>
              <w:ind w:left="0" w:leftChars="0" w:right="0" w:rightChars="0" w:firstLine="0" w:firstLineChars="0"/>
              <w:jc w:val="center"/>
              <w:rPr>
                <w:rFonts w:hint="eastAsia" w:ascii="宋体" w:hAnsi="宋体" w:eastAsia="宋体" w:cs="宋体"/>
                <w:color w:val="auto"/>
                <w:sz w:val="21"/>
              </w:rPr>
            </w:pPr>
          </w:p>
        </w:tc>
      </w:tr>
      <w:tr w14:paraId="75335C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214B405">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7</w:t>
            </w:r>
          </w:p>
        </w:tc>
        <w:tc>
          <w:tcPr>
            <w:tcW w:w="2203" w:type="dxa"/>
            <w:vAlign w:val="center"/>
          </w:tcPr>
          <w:p w14:paraId="57F4352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指向性话筒</w:t>
            </w:r>
          </w:p>
        </w:tc>
        <w:tc>
          <w:tcPr>
            <w:tcW w:w="1824" w:type="dxa"/>
            <w:vAlign w:val="center"/>
          </w:tcPr>
          <w:p w14:paraId="00768649">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4D68D96">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EC39FC1">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45FA81EC">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47FA255">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1C76357">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18AC3E7">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A3E82CA">
            <w:pPr>
              <w:snapToGrid w:val="0"/>
              <w:ind w:left="0" w:leftChars="0" w:right="0" w:rightChars="0" w:firstLine="0" w:firstLineChars="0"/>
              <w:jc w:val="center"/>
              <w:rPr>
                <w:rFonts w:hint="eastAsia" w:ascii="宋体" w:hAnsi="宋体" w:eastAsia="宋体" w:cs="宋体"/>
                <w:color w:val="auto"/>
                <w:sz w:val="21"/>
              </w:rPr>
            </w:pPr>
          </w:p>
        </w:tc>
      </w:tr>
      <w:tr w14:paraId="24B46F9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F5E3447">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8</w:t>
            </w:r>
          </w:p>
        </w:tc>
        <w:tc>
          <w:tcPr>
            <w:tcW w:w="2203" w:type="dxa"/>
            <w:vAlign w:val="center"/>
          </w:tcPr>
          <w:p w14:paraId="50C5A4FC">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数字音频矩阵</w:t>
            </w:r>
          </w:p>
        </w:tc>
        <w:tc>
          <w:tcPr>
            <w:tcW w:w="1824" w:type="dxa"/>
            <w:vAlign w:val="center"/>
          </w:tcPr>
          <w:p w14:paraId="19323F30">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FD61D12">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6D9033D">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5DB9BF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1104314">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2255AC6">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1DCE40C">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1A18F4E7">
            <w:pPr>
              <w:snapToGrid w:val="0"/>
              <w:ind w:left="0" w:leftChars="0" w:right="0" w:rightChars="0" w:firstLine="0" w:firstLineChars="0"/>
              <w:jc w:val="center"/>
              <w:rPr>
                <w:rFonts w:hint="eastAsia" w:ascii="宋体" w:hAnsi="宋体" w:eastAsia="宋体" w:cs="宋体"/>
                <w:color w:val="auto"/>
                <w:sz w:val="21"/>
              </w:rPr>
            </w:pPr>
          </w:p>
        </w:tc>
      </w:tr>
      <w:tr w14:paraId="660BE09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86D0B76">
            <w:pPr>
              <w:snapToGrid w:val="0"/>
              <w:ind w:left="0" w:leftChars="0" w:right="0" w:rightChars="0" w:firstLine="0" w:firstLineChars="0"/>
              <w:jc w:val="center"/>
              <w:rPr>
                <w:rFonts w:hint="eastAsia" w:ascii="宋体" w:hAnsi="宋体" w:eastAsia="宋体" w:cs="宋体"/>
                <w:color w:val="auto"/>
                <w:sz w:val="21"/>
                <w:lang w:val="en-US" w:eastAsia="zh-CN"/>
              </w:rPr>
            </w:pPr>
            <w:r>
              <w:rPr>
                <w:rFonts w:hint="eastAsia" w:ascii="宋体" w:hAnsi="宋体" w:eastAsia="宋体" w:cs="宋体"/>
                <w:color w:val="auto"/>
                <w:sz w:val="21"/>
                <w:lang w:val="en-US" w:eastAsia="zh-CN"/>
              </w:rPr>
              <w:t>9</w:t>
            </w:r>
          </w:p>
        </w:tc>
        <w:tc>
          <w:tcPr>
            <w:tcW w:w="2203" w:type="dxa"/>
            <w:vAlign w:val="center"/>
          </w:tcPr>
          <w:p w14:paraId="36A0E97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智能分析主机</w:t>
            </w:r>
          </w:p>
        </w:tc>
        <w:tc>
          <w:tcPr>
            <w:tcW w:w="1824" w:type="dxa"/>
            <w:vAlign w:val="center"/>
          </w:tcPr>
          <w:p w14:paraId="7607DC7C">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A630DB5">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597250A">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0BA68859">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130A41B">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165E624">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C8EF728">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3CD7E4C">
            <w:pPr>
              <w:snapToGrid w:val="0"/>
              <w:ind w:left="0" w:leftChars="0" w:right="0" w:rightChars="0" w:firstLine="0" w:firstLineChars="0"/>
              <w:jc w:val="center"/>
              <w:rPr>
                <w:rFonts w:hint="eastAsia" w:ascii="宋体" w:hAnsi="宋体" w:eastAsia="宋体" w:cs="宋体"/>
                <w:color w:val="auto"/>
                <w:sz w:val="21"/>
              </w:rPr>
            </w:pPr>
          </w:p>
        </w:tc>
      </w:tr>
      <w:tr w14:paraId="7E85631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637533D">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10</w:t>
            </w:r>
          </w:p>
        </w:tc>
        <w:tc>
          <w:tcPr>
            <w:tcW w:w="2203" w:type="dxa"/>
            <w:vAlign w:val="center"/>
          </w:tcPr>
          <w:p w14:paraId="4C5CF25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图像跟踪系统</w:t>
            </w:r>
          </w:p>
        </w:tc>
        <w:tc>
          <w:tcPr>
            <w:tcW w:w="1824" w:type="dxa"/>
            <w:vAlign w:val="center"/>
          </w:tcPr>
          <w:p w14:paraId="3258C1B9">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04C1E1A">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E1666BC">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E1DA5D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54AA28A">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C73C410">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8338E11">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0757914">
            <w:pPr>
              <w:snapToGrid w:val="0"/>
              <w:ind w:left="0" w:leftChars="0" w:right="0" w:rightChars="0" w:firstLine="0" w:firstLineChars="0"/>
              <w:jc w:val="center"/>
              <w:rPr>
                <w:rFonts w:hint="eastAsia" w:ascii="宋体" w:hAnsi="宋体" w:eastAsia="宋体" w:cs="宋体"/>
                <w:color w:val="auto"/>
                <w:sz w:val="21"/>
              </w:rPr>
            </w:pPr>
          </w:p>
        </w:tc>
      </w:tr>
      <w:tr w14:paraId="0C2160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A14987F">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11</w:t>
            </w:r>
          </w:p>
        </w:tc>
        <w:tc>
          <w:tcPr>
            <w:tcW w:w="2203" w:type="dxa"/>
            <w:vAlign w:val="center"/>
          </w:tcPr>
          <w:p w14:paraId="6874FCC9">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跟踪半球</w:t>
            </w:r>
          </w:p>
        </w:tc>
        <w:tc>
          <w:tcPr>
            <w:tcW w:w="1824" w:type="dxa"/>
            <w:vAlign w:val="center"/>
          </w:tcPr>
          <w:p w14:paraId="35FDB5D0">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EAF81B9">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D08D2BA">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AE8B416">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4C9EC75">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E0543B5">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F6282BE">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02EF65C">
            <w:pPr>
              <w:snapToGrid w:val="0"/>
              <w:ind w:left="0" w:leftChars="0" w:right="0" w:rightChars="0" w:firstLine="0" w:firstLineChars="0"/>
              <w:jc w:val="center"/>
              <w:rPr>
                <w:rFonts w:hint="eastAsia" w:ascii="宋体" w:hAnsi="宋体" w:eastAsia="宋体" w:cs="宋体"/>
                <w:color w:val="auto"/>
                <w:sz w:val="21"/>
              </w:rPr>
            </w:pPr>
          </w:p>
        </w:tc>
      </w:tr>
      <w:tr w14:paraId="6BDD577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B2D0DC3">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12</w:t>
            </w:r>
          </w:p>
        </w:tc>
        <w:tc>
          <w:tcPr>
            <w:tcW w:w="2203" w:type="dxa"/>
            <w:vAlign w:val="center"/>
          </w:tcPr>
          <w:p w14:paraId="2055AE00">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桌面式触控面板</w:t>
            </w:r>
          </w:p>
        </w:tc>
        <w:tc>
          <w:tcPr>
            <w:tcW w:w="1824" w:type="dxa"/>
            <w:vAlign w:val="center"/>
          </w:tcPr>
          <w:p w14:paraId="2373CAC7">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C058B1F">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6B978F7">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A35A85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51B27DC">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146A0908">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D82160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A539253">
            <w:pPr>
              <w:snapToGrid w:val="0"/>
              <w:ind w:left="0" w:leftChars="0" w:right="0" w:rightChars="0" w:firstLine="0" w:firstLineChars="0"/>
              <w:jc w:val="center"/>
              <w:rPr>
                <w:rFonts w:hint="eastAsia" w:ascii="宋体" w:hAnsi="宋体" w:eastAsia="宋体" w:cs="宋体"/>
                <w:color w:val="auto"/>
                <w:sz w:val="21"/>
              </w:rPr>
            </w:pPr>
          </w:p>
        </w:tc>
      </w:tr>
      <w:tr w14:paraId="78061FFD">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C879D27">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13</w:t>
            </w:r>
          </w:p>
        </w:tc>
        <w:tc>
          <w:tcPr>
            <w:tcW w:w="2203" w:type="dxa"/>
            <w:vAlign w:val="center"/>
          </w:tcPr>
          <w:p w14:paraId="18FE32D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时序电源控制器</w:t>
            </w:r>
          </w:p>
        </w:tc>
        <w:tc>
          <w:tcPr>
            <w:tcW w:w="1824" w:type="dxa"/>
            <w:vAlign w:val="center"/>
          </w:tcPr>
          <w:p w14:paraId="5E4AFA0D">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052A89A5">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3169BC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F15F5D9">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8328BE4">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91163BC">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DEE66D4">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CA50AAB">
            <w:pPr>
              <w:snapToGrid w:val="0"/>
              <w:ind w:left="0" w:leftChars="0" w:right="0" w:rightChars="0" w:firstLine="0" w:firstLineChars="0"/>
              <w:jc w:val="center"/>
              <w:rPr>
                <w:rFonts w:hint="eastAsia" w:ascii="宋体" w:hAnsi="宋体" w:eastAsia="宋体" w:cs="宋体"/>
                <w:color w:val="auto"/>
                <w:sz w:val="21"/>
              </w:rPr>
            </w:pPr>
          </w:p>
        </w:tc>
      </w:tr>
      <w:tr w14:paraId="4F22B7D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37047C8">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14</w:t>
            </w:r>
          </w:p>
        </w:tc>
        <w:tc>
          <w:tcPr>
            <w:tcW w:w="2203" w:type="dxa"/>
            <w:vAlign w:val="center"/>
          </w:tcPr>
          <w:p w14:paraId="2DA8838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LED时钟</w:t>
            </w:r>
          </w:p>
        </w:tc>
        <w:tc>
          <w:tcPr>
            <w:tcW w:w="1824" w:type="dxa"/>
            <w:vAlign w:val="center"/>
          </w:tcPr>
          <w:p w14:paraId="26A9E0A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B5429EA">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564172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0D3CF65">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5C5B1AA">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551AA5A">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62D7848">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D09B6F0">
            <w:pPr>
              <w:snapToGrid w:val="0"/>
              <w:ind w:left="0" w:leftChars="0" w:right="0" w:rightChars="0" w:firstLine="0" w:firstLineChars="0"/>
              <w:jc w:val="center"/>
              <w:rPr>
                <w:rFonts w:hint="eastAsia" w:ascii="宋体" w:hAnsi="宋体" w:eastAsia="宋体" w:cs="宋体"/>
                <w:color w:val="auto"/>
                <w:sz w:val="21"/>
              </w:rPr>
            </w:pPr>
          </w:p>
        </w:tc>
      </w:tr>
      <w:tr w14:paraId="343DA7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185DB46A">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15</w:t>
            </w:r>
          </w:p>
        </w:tc>
        <w:tc>
          <w:tcPr>
            <w:tcW w:w="2203" w:type="dxa"/>
            <w:vAlign w:val="center"/>
          </w:tcPr>
          <w:p w14:paraId="28046B1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无线话筒（带领夹）</w:t>
            </w:r>
          </w:p>
        </w:tc>
        <w:tc>
          <w:tcPr>
            <w:tcW w:w="1824" w:type="dxa"/>
            <w:vAlign w:val="center"/>
          </w:tcPr>
          <w:p w14:paraId="399137F1">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A758530">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53C6D426">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446A051B">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B5B7AFA">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5E780B74">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677484A">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4097A1BC">
            <w:pPr>
              <w:snapToGrid w:val="0"/>
              <w:ind w:left="0" w:leftChars="0" w:right="0" w:rightChars="0" w:firstLine="0" w:firstLineChars="0"/>
              <w:jc w:val="center"/>
              <w:rPr>
                <w:rFonts w:hint="eastAsia" w:ascii="宋体" w:hAnsi="宋体" w:eastAsia="宋体" w:cs="宋体"/>
                <w:color w:val="auto"/>
                <w:sz w:val="21"/>
              </w:rPr>
            </w:pPr>
          </w:p>
        </w:tc>
      </w:tr>
      <w:tr w14:paraId="269E6DF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4B00A317">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16</w:t>
            </w:r>
          </w:p>
        </w:tc>
        <w:tc>
          <w:tcPr>
            <w:tcW w:w="2203" w:type="dxa"/>
            <w:vAlign w:val="center"/>
          </w:tcPr>
          <w:p w14:paraId="3017956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功放</w:t>
            </w:r>
          </w:p>
        </w:tc>
        <w:tc>
          <w:tcPr>
            <w:tcW w:w="1824" w:type="dxa"/>
            <w:vAlign w:val="center"/>
          </w:tcPr>
          <w:p w14:paraId="54240741">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296A9BD">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7959C40">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F1410A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5AC3D83">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1616055">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BED3DB6">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BD69926">
            <w:pPr>
              <w:snapToGrid w:val="0"/>
              <w:ind w:left="0" w:leftChars="0" w:right="0" w:rightChars="0" w:firstLine="0" w:firstLineChars="0"/>
              <w:jc w:val="center"/>
              <w:rPr>
                <w:rFonts w:hint="eastAsia" w:ascii="宋体" w:hAnsi="宋体" w:eastAsia="宋体" w:cs="宋体"/>
                <w:color w:val="auto"/>
                <w:sz w:val="21"/>
              </w:rPr>
            </w:pPr>
          </w:p>
        </w:tc>
      </w:tr>
      <w:tr w14:paraId="733AD02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64595FE">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17</w:t>
            </w:r>
          </w:p>
        </w:tc>
        <w:tc>
          <w:tcPr>
            <w:tcW w:w="2203" w:type="dxa"/>
            <w:vAlign w:val="center"/>
          </w:tcPr>
          <w:p w14:paraId="51326DF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音箱</w:t>
            </w:r>
          </w:p>
        </w:tc>
        <w:tc>
          <w:tcPr>
            <w:tcW w:w="1824" w:type="dxa"/>
            <w:vAlign w:val="center"/>
          </w:tcPr>
          <w:p w14:paraId="45C8F06E">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F0EF72C">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C22090A">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FCA8B2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407B1B4">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D3CAD91">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CE2FBA5">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15D9C32">
            <w:pPr>
              <w:snapToGrid w:val="0"/>
              <w:ind w:left="0" w:leftChars="0" w:right="0" w:rightChars="0" w:firstLine="0" w:firstLineChars="0"/>
              <w:jc w:val="center"/>
              <w:rPr>
                <w:rFonts w:hint="eastAsia" w:ascii="宋体" w:hAnsi="宋体" w:eastAsia="宋体" w:cs="宋体"/>
                <w:color w:val="auto"/>
                <w:sz w:val="21"/>
              </w:rPr>
            </w:pPr>
          </w:p>
        </w:tc>
      </w:tr>
      <w:tr w14:paraId="228BAE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A8A5352">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18</w:t>
            </w:r>
          </w:p>
        </w:tc>
        <w:tc>
          <w:tcPr>
            <w:tcW w:w="2203" w:type="dxa"/>
            <w:vAlign w:val="center"/>
          </w:tcPr>
          <w:p w14:paraId="7A81069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千兆交换机</w:t>
            </w:r>
          </w:p>
        </w:tc>
        <w:tc>
          <w:tcPr>
            <w:tcW w:w="1824" w:type="dxa"/>
            <w:vAlign w:val="center"/>
          </w:tcPr>
          <w:p w14:paraId="7F470FD1">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76D5528">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7442566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21382D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544C87FD">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046282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419D41F">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D2020FF">
            <w:pPr>
              <w:snapToGrid w:val="0"/>
              <w:ind w:left="0" w:leftChars="0" w:right="0" w:rightChars="0" w:firstLine="0" w:firstLineChars="0"/>
              <w:jc w:val="center"/>
              <w:rPr>
                <w:rFonts w:hint="eastAsia" w:ascii="宋体" w:hAnsi="宋体" w:eastAsia="宋体" w:cs="宋体"/>
                <w:color w:val="auto"/>
                <w:sz w:val="21"/>
              </w:rPr>
            </w:pPr>
          </w:p>
        </w:tc>
      </w:tr>
      <w:tr w14:paraId="3F4D654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97FD7D1">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19</w:t>
            </w:r>
          </w:p>
        </w:tc>
        <w:tc>
          <w:tcPr>
            <w:tcW w:w="2203" w:type="dxa"/>
            <w:vAlign w:val="center"/>
          </w:tcPr>
          <w:p w14:paraId="47E78022">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机柜</w:t>
            </w:r>
          </w:p>
        </w:tc>
        <w:tc>
          <w:tcPr>
            <w:tcW w:w="1824" w:type="dxa"/>
            <w:vAlign w:val="center"/>
          </w:tcPr>
          <w:p w14:paraId="7C91F1D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30847213">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662D306E">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48CF2B3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7550F75">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70124C3">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8D23D79">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15C49313">
            <w:pPr>
              <w:snapToGrid w:val="0"/>
              <w:ind w:left="0" w:leftChars="0" w:right="0" w:rightChars="0" w:firstLine="0" w:firstLineChars="0"/>
              <w:jc w:val="center"/>
              <w:rPr>
                <w:rFonts w:hint="eastAsia" w:ascii="宋体" w:hAnsi="宋体" w:eastAsia="宋体" w:cs="宋体"/>
                <w:color w:val="auto"/>
                <w:sz w:val="21"/>
              </w:rPr>
            </w:pPr>
          </w:p>
        </w:tc>
      </w:tr>
      <w:tr w14:paraId="7BD0400C">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11104FE9">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20</w:t>
            </w:r>
          </w:p>
        </w:tc>
        <w:tc>
          <w:tcPr>
            <w:tcW w:w="2203" w:type="dxa"/>
            <w:vAlign w:val="center"/>
          </w:tcPr>
          <w:p w14:paraId="3B116BA5">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立式空调</w:t>
            </w:r>
          </w:p>
        </w:tc>
        <w:tc>
          <w:tcPr>
            <w:tcW w:w="1824" w:type="dxa"/>
            <w:vAlign w:val="center"/>
          </w:tcPr>
          <w:p w14:paraId="0CB10A65">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F821F0C">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B961179">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2E6C3E1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0A0B8CDB">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06E3E3E">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E85A2A9">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EA95D0A">
            <w:pPr>
              <w:snapToGrid w:val="0"/>
              <w:ind w:left="0" w:leftChars="0" w:right="0" w:rightChars="0" w:firstLine="0" w:firstLineChars="0"/>
              <w:jc w:val="center"/>
              <w:rPr>
                <w:rFonts w:hint="eastAsia" w:ascii="宋体" w:hAnsi="宋体" w:eastAsia="宋体" w:cs="宋体"/>
                <w:color w:val="auto"/>
                <w:sz w:val="21"/>
              </w:rPr>
            </w:pPr>
          </w:p>
        </w:tc>
      </w:tr>
      <w:tr w14:paraId="3C4384C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2F47B1C7">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21</w:t>
            </w:r>
          </w:p>
        </w:tc>
        <w:tc>
          <w:tcPr>
            <w:tcW w:w="2203" w:type="dxa"/>
            <w:vAlign w:val="center"/>
          </w:tcPr>
          <w:p w14:paraId="7EEC7A16">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壁挂空调</w:t>
            </w:r>
          </w:p>
        </w:tc>
        <w:tc>
          <w:tcPr>
            <w:tcW w:w="1824" w:type="dxa"/>
            <w:vAlign w:val="center"/>
          </w:tcPr>
          <w:p w14:paraId="2D276218">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6466541">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03E5CF40">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1F9FC656">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6A2A3BC">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CD29D73">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100C71B2">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70280D39">
            <w:pPr>
              <w:snapToGrid w:val="0"/>
              <w:ind w:left="0" w:leftChars="0" w:right="0" w:rightChars="0" w:firstLine="0" w:firstLineChars="0"/>
              <w:jc w:val="center"/>
              <w:rPr>
                <w:rFonts w:hint="eastAsia" w:ascii="宋体" w:hAnsi="宋体" w:eastAsia="宋体" w:cs="宋体"/>
                <w:color w:val="auto"/>
                <w:sz w:val="21"/>
              </w:rPr>
            </w:pPr>
          </w:p>
        </w:tc>
      </w:tr>
      <w:tr w14:paraId="2EA0490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46E9300">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22</w:t>
            </w:r>
          </w:p>
        </w:tc>
        <w:tc>
          <w:tcPr>
            <w:tcW w:w="2203" w:type="dxa"/>
            <w:vAlign w:val="center"/>
          </w:tcPr>
          <w:p w14:paraId="22BB159D">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导播键盘</w:t>
            </w:r>
          </w:p>
        </w:tc>
        <w:tc>
          <w:tcPr>
            <w:tcW w:w="1824" w:type="dxa"/>
            <w:vAlign w:val="center"/>
          </w:tcPr>
          <w:p w14:paraId="25694C0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56AE649">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8EF7EC7">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8E9D140">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C2AED54">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3E32E26D">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44106D41">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91596FF">
            <w:pPr>
              <w:snapToGrid w:val="0"/>
              <w:ind w:left="0" w:leftChars="0" w:right="0" w:rightChars="0" w:firstLine="0" w:firstLineChars="0"/>
              <w:jc w:val="center"/>
              <w:rPr>
                <w:rFonts w:hint="eastAsia" w:ascii="宋体" w:hAnsi="宋体" w:eastAsia="宋体" w:cs="宋体"/>
                <w:color w:val="auto"/>
                <w:sz w:val="21"/>
              </w:rPr>
            </w:pPr>
          </w:p>
        </w:tc>
      </w:tr>
      <w:tr w14:paraId="00DD5DD6">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3445CDF">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23</w:t>
            </w:r>
          </w:p>
        </w:tc>
        <w:tc>
          <w:tcPr>
            <w:tcW w:w="2203" w:type="dxa"/>
            <w:vAlign w:val="center"/>
          </w:tcPr>
          <w:p w14:paraId="5DE79581">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中控室监听音箱</w:t>
            </w:r>
          </w:p>
        </w:tc>
        <w:tc>
          <w:tcPr>
            <w:tcW w:w="1824" w:type="dxa"/>
            <w:vAlign w:val="center"/>
          </w:tcPr>
          <w:p w14:paraId="2A8B201C">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5EA635DB">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46DC53B">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DB8D186">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7CA90900">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6D1F2CD8">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03C9DB0">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89F0959">
            <w:pPr>
              <w:snapToGrid w:val="0"/>
              <w:ind w:left="0" w:leftChars="0" w:right="0" w:rightChars="0" w:firstLine="0" w:firstLineChars="0"/>
              <w:jc w:val="center"/>
              <w:rPr>
                <w:rFonts w:hint="eastAsia" w:ascii="宋体" w:hAnsi="宋体" w:eastAsia="宋体" w:cs="宋体"/>
                <w:color w:val="auto"/>
                <w:sz w:val="21"/>
              </w:rPr>
            </w:pPr>
          </w:p>
        </w:tc>
      </w:tr>
      <w:tr w14:paraId="0A8F4C6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88627F2">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24</w:t>
            </w:r>
          </w:p>
        </w:tc>
        <w:tc>
          <w:tcPr>
            <w:tcW w:w="2203" w:type="dxa"/>
            <w:vAlign w:val="center"/>
          </w:tcPr>
          <w:p w14:paraId="7D4D90CE">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中控室操作台</w:t>
            </w:r>
          </w:p>
        </w:tc>
        <w:tc>
          <w:tcPr>
            <w:tcW w:w="1824" w:type="dxa"/>
            <w:vAlign w:val="center"/>
          </w:tcPr>
          <w:p w14:paraId="0A9E4BC0">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02C98BE">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FC4C4C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7D762B4E">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3F9282EF">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1EBF5F5">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04FD5A4B">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53628FC">
            <w:pPr>
              <w:snapToGrid w:val="0"/>
              <w:ind w:left="0" w:leftChars="0" w:right="0" w:rightChars="0" w:firstLine="0" w:firstLineChars="0"/>
              <w:jc w:val="center"/>
              <w:rPr>
                <w:rFonts w:hint="eastAsia" w:ascii="宋体" w:hAnsi="宋体" w:eastAsia="宋体" w:cs="宋体"/>
                <w:color w:val="auto"/>
                <w:sz w:val="21"/>
              </w:rPr>
            </w:pPr>
          </w:p>
        </w:tc>
      </w:tr>
      <w:tr w14:paraId="271886C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795ADF0C">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25</w:t>
            </w:r>
          </w:p>
        </w:tc>
        <w:tc>
          <w:tcPr>
            <w:tcW w:w="2203" w:type="dxa"/>
            <w:vAlign w:val="center"/>
          </w:tcPr>
          <w:p w14:paraId="2590150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导播电脑</w:t>
            </w:r>
          </w:p>
        </w:tc>
        <w:tc>
          <w:tcPr>
            <w:tcW w:w="1824" w:type="dxa"/>
            <w:vAlign w:val="center"/>
          </w:tcPr>
          <w:p w14:paraId="0A237E96">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96BBABA">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9CCA784">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4D955CBA">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45430347">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456FFA68">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39CFA2AB">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6EBB4E23">
            <w:pPr>
              <w:snapToGrid w:val="0"/>
              <w:ind w:left="0" w:leftChars="0" w:right="0" w:rightChars="0" w:firstLine="0" w:firstLineChars="0"/>
              <w:jc w:val="center"/>
              <w:rPr>
                <w:rFonts w:hint="eastAsia" w:ascii="宋体" w:hAnsi="宋体" w:eastAsia="宋体" w:cs="宋体"/>
                <w:color w:val="auto"/>
                <w:sz w:val="21"/>
              </w:rPr>
            </w:pPr>
          </w:p>
        </w:tc>
      </w:tr>
      <w:tr w14:paraId="6EBE4BF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7F73232">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26</w:t>
            </w:r>
          </w:p>
        </w:tc>
        <w:tc>
          <w:tcPr>
            <w:tcW w:w="2203" w:type="dxa"/>
            <w:vAlign w:val="center"/>
          </w:tcPr>
          <w:p w14:paraId="00355EAF">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观摩电视</w:t>
            </w:r>
          </w:p>
        </w:tc>
        <w:tc>
          <w:tcPr>
            <w:tcW w:w="1824" w:type="dxa"/>
            <w:vAlign w:val="center"/>
          </w:tcPr>
          <w:p w14:paraId="3934485A">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2FD5BC11">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2F02DF32">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623D5DD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27429EB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213056AD">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20468B2A">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3392570D">
            <w:pPr>
              <w:snapToGrid w:val="0"/>
              <w:ind w:left="0" w:leftChars="0" w:right="0" w:rightChars="0" w:firstLine="0" w:firstLineChars="0"/>
              <w:jc w:val="center"/>
              <w:rPr>
                <w:rFonts w:hint="eastAsia" w:ascii="宋体" w:hAnsi="宋体" w:eastAsia="宋体" w:cs="宋体"/>
                <w:color w:val="auto"/>
                <w:sz w:val="21"/>
              </w:rPr>
            </w:pPr>
          </w:p>
        </w:tc>
      </w:tr>
      <w:tr w14:paraId="0618CFB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6EA41578">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27</w:t>
            </w:r>
          </w:p>
        </w:tc>
        <w:tc>
          <w:tcPr>
            <w:tcW w:w="2203" w:type="dxa"/>
            <w:vAlign w:val="center"/>
          </w:tcPr>
          <w:p w14:paraId="6938D5BA">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学生课桌椅</w:t>
            </w:r>
          </w:p>
        </w:tc>
        <w:tc>
          <w:tcPr>
            <w:tcW w:w="1824" w:type="dxa"/>
            <w:vAlign w:val="center"/>
          </w:tcPr>
          <w:p w14:paraId="4183384A">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6F2FEFBD">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46207338">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51FDBF07">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09CC61D">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E0747EA">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31BB142">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2952C02D">
            <w:pPr>
              <w:snapToGrid w:val="0"/>
              <w:ind w:left="0" w:leftChars="0" w:right="0" w:rightChars="0" w:firstLine="0" w:firstLineChars="0"/>
              <w:jc w:val="center"/>
              <w:rPr>
                <w:rFonts w:hint="eastAsia" w:ascii="宋体" w:hAnsi="宋体" w:eastAsia="宋体" w:cs="宋体"/>
                <w:color w:val="auto"/>
                <w:sz w:val="21"/>
              </w:rPr>
            </w:pPr>
          </w:p>
        </w:tc>
      </w:tr>
      <w:tr w14:paraId="0295063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0C0F51FA">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28</w:t>
            </w:r>
          </w:p>
        </w:tc>
        <w:tc>
          <w:tcPr>
            <w:tcW w:w="2203" w:type="dxa"/>
            <w:vAlign w:val="center"/>
          </w:tcPr>
          <w:p w14:paraId="7E9A907B">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观摩室座椅</w:t>
            </w:r>
          </w:p>
        </w:tc>
        <w:tc>
          <w:tcPr>
            <w:tcW w:w="1824" w:type="dxa"/>
            <w:vAlign w:val="center"/>
          </w:tcPr>
          <w:p w14:paraId="63C3CDF7">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71ED4125">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14E2DC00">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3C8ADC0E">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190C2F53">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7BC36DF7">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5B3912BC">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573B41F3">
            <w:pPr>
              <w:snapToGrid w:val="0"/>
              <w:ind w:left="0" w:leftChars="0" w:right="0" w:rightChars="0" w:firstLine="0" w:firstLineChars="0"/>
              <w:jc w:val="center"/>
              <w:rPr>
                <w:rFonts w:hint="eastAsia" w:ascii="宋体" w:hAnsi="宋体" w:eastAsia="宋体" w:cs="宋体"/>
                <w:color w:val="auto"/>
                <w:sz w:val="21"/>
              </w:rPr>
            </w:pPr>
          </w:p>
        </w:tc>
      </w:tr>
      <w:tr w14:paraId="747EAA50">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56D0419E">
            <w:pPr>
              <w:snapToGrid w:val="0"/>
              <w:ind w:left="0" w:leftChars="0" w:right="0" w:rightChars="0" w:firstLine="0" w:firstLineChars="0"/>
              <w:jc w:val="center"/>
              <w:rPr>
                <w:rFonts w:hint="default" w:ascii="宋体" w:hAnsi="宋体" w:eastAsia="宋体" w:cs="宋体"/>
                <w:color w:val="auto"/>
                <w:sz w:val="21"/>
                <w:lang w:val="en-US" w:eastAsia="zh-CN"/>
              </w:rPr>
            </w:pPr>
            <w:r>
              <w:rPr>
                <w:rFonts w:hint="eastAsia" w:ascii="宋体" w:hAnsi="宋体" w:eastAsia="宋体" w:cs="宋体"/>
                <w:color w:val="auto"/>
                <w:sz w:val="21"/>
                <w:lang w:val="en-US" w:eastAsia="zh-CN"/>
              </w:rPr>
              <w:t>29</w:t>
            </w:r>
          </w:p>
        </w:tc>
        <w:tc>
          <w:tcPr>
            <w:tcW w:w="2203" w:type="dxa"/>
            <w:vAlign w:val="center"/>
          </w:tcPr>
          <w:p w14:paraId="23CB7828">
            <w:pPr>
              <w:keepNext w:val="0"/>
              <w:keepLines w:val="0"/>
              <w:widowControl/>
              <w:suppressLineNumbers w:val="0"/>
              <w:snapToGrid w:val="0"/>
              <w:ind w:left="0" w:leftChars="0" w:right="0" w:rightChars="0" w:firstLine="0" w:firstLineChars="0"/>
              <w:jc w:val="center"/>
              <w:textAlignment w:val="center"/>
              <w:rPr>
                <w:rFonts w:hint="eastAsia" w:ascii="宋体" w:hAnsi="仿宋" w:eastAsia="宋体" w:cs="仿宋"/>
                <w:i w:val="0"/>
                <w:iCs w:val="0"/>
                <w:color w:val="auto"/>
                <w:kern w:val="0"/>
                <w:sz w:val="21"/>
                <w:szCs w:val="21"/>
                <w:u w:val="none"/>
                <w:lang w:val="en-US" w:eastAsia="zh-CN" w:bidi="ar"/>
              </w:rPr>
            </w:pPr>
            <w:r>
              <w:rPr>
                <w:rFonts w:hint="eastAsia" w:ascii="宋体" w:hAnsi="仿宋" w:eastAsia="宋体" w:cs="仿宋"/>
                <w:i w:val="0"/>
                <w:iCs w:val="0"/>
                <w:color w:val="auto"/>
                <w:kern w:val="0"/>
                <w:sz w:val="21"/>
                <w:szCs w:val="21"/>
                <w:u w:val="none"/>
                <w:lang w:val="en-US" w:eastAsia="zh-CN" w:bidi="ar"/>
              </w:rPr>
              <w:t>系统集成</w:t>
            </w:r>
          </w:p>
        </w:tc>
        <w:tc>
          <w:tcPr>
            <w:tcW w:w="1824" w:type="dxa"/>
            <w:vAlign w:val="center"/>
          </w:tcPr>
          <w:p w14:paraId="63065328">
            <w:pPr>
              <w:snapToGrid w:val="0"/>
              <w:ind w:left="0" w:leftChars="0" w:right="0" w:rightChars="0" w:firstLine="0" w:firstLineChars="0"/>
              <w:jc w:val="left"/>
              <w:rPr>
                <w:rFonts w:hint="eastAsia" w:ascii="宋体" w:hAnsi="宋体" w:eastAsia="宋体" w:cs="宋体"/>
                <w:color w:val="auto"/>
                <w:sz w:val="21"/>
              </w:rPr>
            </w:pPr>
          </w:p>
        </w:tc>
        <w:tc>
          <w:tcPr>
            <w:tcW w:w="1571" w:type="dxa"/>
            <w:vAlign w:val="center"/>
          </w:tcPr>
          <w:p w14:paraId="4652E4CE">
            <w:pPr>
              <w:snapToGrid w:val="0"/>
              <w:ind w:left="0" w:leftChars="0" w:right="0" w:rightChars="0" w:firstLine="0" w:firstLineChars="0"/>
              <w:jc w:val="center"/>
              <w:rPr>
                <w:rFonts w:hint="eastAsia" w:ascii="宋体" w:hAnsi="宋体" w:eastAsia="宋体" w:cs="宋体"/>
                <w:color w:val="auto"/>
                <w:sz w:val="21"/>
              </w:rPr>
            </w:pPr>
          </w:p>
        </w:tc>
        <w:tc>
          <w:tcPr>
            <w:tcW w:w="1015" w:type="dxa"/>
            <w:vAlign w:val="center"/>
          </w:tcPr>
          <w:p w14:paraId="3C15AE25">
            <w:pPr>
              <w:snapToGrid w:val="0"/>
              <w:ind w:left="0" w:leftChars="0" w:right="0" w:rightChars="0" w:firstLine="0" w:firstLineChars="0"/>
              <w:jc w:val="center"/>
              <w:rPr>
                <w:rFonts w:hint="eastAsia" w:ascii="宋体" w:hAnsi="宋体" w:eastAsia="宋体" w:cs="宋体"/>
                <w:color w:val="auto"/>
                <w:sz w:val="21"/>
              </w:rPr>
            </w:pPr>
          </w:p>
        </w:tc>
        <w:tc>
          <w:tcPr>
            <w:tcW w:w="916" w:type="dxa"/>
            <w:vAlign w:val="center"/>
          </w:tcPr>
          <w:p w14:paraId="497835B2">
            <w:pPr>
              <w:snapToGrid w:val="0"/>
              <w:ind w:left="0" w:leftChars="0" w:right="0" w:rightChars="0" w:firstLine="0" w:firstLineChars="0"/>
              <w:jc w:val="center"/>
              <w:rPr>
                <w:rFonts w:hint="eastAsia" w:ascii="宋体" w:hAnsi="宋体" w:eastAsia="宋体" w:cs="宋体"/>
                <w:color w:val="auto"/>
                <w:sz w:val="21"/>
              </w:rPr>
            </w:pPr>
          </w:p>
        </w:tc>
        <w:tc>
          <w:tcPr>
            <w:tcW w:w="1243" w:type="dxa"/>
            <w:vAlign w:val="center"/>
          </w:tcPr>
          <w:p w14:paraId="6B60FDD1">
            <w:pPr>
              <w:snapToGrid w:val="0"/>
              <w:ind w:left="0" w:leftChars="0" w:right="0" w:rightChars="0" w:firstLine="0" w:firstLineChars="0"/>
              <w:jc w:val="center"/>
              <w:rPr>
                <w:rFonts w:hint="eastAsia" w:ascii="宋体" w:hAnsi="宋体" w:eastAsia="宋体" w:cs="宋体"/>
                <w:color w:val="auto"/>
                <w:sz w:val="21"/>
              </w:rPr>
            </w:pPr>
          </w:p>
        </w:tc>
        <w:tc>
          <w:tcPr>
            <w:tcW w:w="993" w:type="dxa"/>
            <w:vAlign w:val="center"/>
          </w:tcPr>
          <w:p w14:paraId="02D4504F">
            <w:pPr>
              <w:snapToGrid w:val="0"/>
              <w:ind w:left="0" w:leftChars="0" w:right="0" w:rightChars="0" w:firstLine="0" w:firstLineChars="0"/>
              <w:jc w:val="center"/>
              <w:rPr>
                <w:rFonts w:hint="eastAsia" w:ascii="宋体" w:hAnsi="宋体" w:eastAsia="宋体" w:cs="宋体"/>
                <w:color w:val="auto"/>
                <w:sz w:val="21"/>
              </w:rPr>
            </w:pPr>
          </w:p>
        </w:tc>
        <w:tc>
          <w:tcPr>
            <w:tcW w:w="1266" w:type="dxa"/>
            <w:vAlign w:val="center"/>
          </w:tcPr>
          <w:p w14:paraId="71D2489B">
            <w:pPr>
              <w:snapToGrid w:val="0"/>
              <w:ind w:left="0" w:leftChars="0" w:right="0" w:rightChars="0" w:firstLine="0" w:firstLineChars="0"/>
              <w:jc w:val="right"/>
              <w:rPr>
                <w:rFonts w:hint="eastAsia" w:ascii="宋体" w:hAnsi="宋体" w:eastAsia="宋体" w:cs="宋体"/>
                <w:color w:val="auto"/>
                <w:sz w:val="21"/>
              </w:rPr>
            </w:pPr>
          </w:p>
        </w:tc>
        <w:tc>
          <w:tcPr>
            <w:tcW w:w="1941" w:type="dxa"/>
            <w:vAlign w:val="center"/>
          </w:tcPr>
          <w:p w14:paraId="0CED23A0">
            <w:pPr>
              <w:snapToGrid w:val="0"/>
              <w:ind w:left="0" w:leftChars="0" w:right="0" w:rightChars="0" w:firstLine="0" w:firstLineChars="0"/>
              <w:jc w:val="center"/>
              <w:rPr>
                <w:rFonts w:hint="eastAsia" w:ascii="宋体" w:hAnsi="宋体" w:eastAsia="宋体" w:cs="宋体"/>
                <w:color w:val="auto"/>
                <w:sz w:val="21"/>
              </w:rPr>
            </w:pPr>
          </w:p>
        </w:tc>
      </w:tr>
      <w:tr w14:paraId="5A479B7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0" w:hRule="atLeast"/>
        </w:trPr>
        <w:tc>
          <w:tcPr>
            <w:tcW w:w="531" w:type="dxa"/>
            <w:vAlign w:val="center"/>
          </w:tcPr>
          <w:p w14:paraId="3440AEC2">
            <w:pPr>
              <w:snapToGrid w:val="0"/>
              <w:ind w:left="0" w:leftChars="0" w:right="0" w:rightChars="0" w:firstLine="0" w:firstLineChars="0"/>
              <w:jc w:val="center"/>
              <w:rPr>
                <w:rFonts w:hint="eastAsia" w:ascii="宋体" w:hAnsi="宋体" w:cs="宋体"/>
                <w:color w:val="auto"/>
              </w:rPr>
            </w:pPr>
          </w:p>
        </w:tc>
        <w:tc>
          <w:tcPr>
            <w:tcW w:w="2203" w:type="dxa"/>
            <w:vAlign w:val="center"/>
          </w:tcPr>
          <w:p w14:paraId="0207D0E1">
            <w:pPr>
              <w:keepNext w:val="0"/>
              <w:keepLines w:val="0"/>
              <w:widowControl/>
              <w:suppressLineNumbers w:val="0"/>
              <w:snapToGrid w:val="0"/>
              <w:ind w:left="0" w:leftChars="0" w:right="0" w:rightChars="0" w:firstLine="0" w:firstLineChars="0"/>
              <w:jc w:val="center"/>
              <w:textAlignment w:val="center"/>
              <w:rPr>
                <w:rFonts w:hint="eastAsia" w:ascii="仿宋" w:hAnsi="仿宋" w:eastAsia="仿宋" w:cs="仿宋"/>
                <w:i w:val="0"/>
                <w:iCs w:val="0"/>
                <w:color w:val="auto"/>
                <w:kern w:val="0"/>
                <w:sz w:val="21"/>
                <w:szCs w:val="21"/>
                <w:u w:val="none"/>
                <w:lang w:val="en-US" w:eastAsia="zh-CN" w:bidi="ar"/>
              </w:rPr>
            </w:pPr>
          </w:p>
        </w:tc>
        <w:tc>
          <w:tcPr>
            <w:tcW w:w="1824" w:type="dxa"/>
            <w:vAlign w:val="center"/>
          </w:tcPr>
          <w:p w14:paraId="60078831">
            <w:pPr>
              <w:snapToGrid w:val="0"/>
              <w:ind w:left="0" w:leftChars="0" w:right="0" w:rightChars="0" w:firstLine="0" w:firstLineChars="0"/>
              <w:jc w:val="center"/>
              <w:rPr>
                <w:rFonts w:hint="eastAsia" w:ascii="宋体" w:hAnsi="宋体" w:cs="宋体"/>
                <w:color w:val="auto"/>
              </w:rPr>
            </w:pPr>
          </w:p>
        </w:tc>
        <w:tc>
          <w:tcPr>
            <w:tcW w:w="1571" w:type="dxa"/>
            <w:vAlign w:val="center"/>
          </w:tcPr>
          <w:p w14:paraId="739473A2">
            <w:pPr>
              <w:snapToGrid w:val="0"/>
              <w:ind w:left="0" w:leftChars="0" w:right="0" w:rightChars="0" w:firstLine="0" w:firstLineChars="0"/>
              <w:jc w:val="center"/>
              <w:rPr>
                <w:rFonts w:hint="eastAsia" w:ascii="宋体" w:hAnsi="宋体" w:cs="宋体"/>
                <w:color w:val="auto"/>
              </w:rPr>
            </w:pPr>
          </w:p>
        </w:tc>
        <w:tc>
          <w:tcPr>
            <w:tcW w:w="1015" w:type="dxa"/>
            <w:vAlign w:val="center"/>
          </w:tcPr>
          <w:p w14:paraId="3F161DFA">
            <w:pPr>
              <w:snapToGrid w:val="0"/>
              <w:ind w:left="0" w:leftChars="0" w:right="0" w:rightChars="0" w:firstLine="0" w:firstLineChars="0"/>
              <w:jc w:val="center"/>
              <w:rPr>
                <w:rFonts w:hint="eastAsia" w:ascii="宋体" w:hAnsi="宋体" w:cs="宋体"/>
                <w:color w:val="auto"/>
              </w:rPr>
            </w:pPr>
          </w:p>
        </w:tc>
        <w:tc>
          <w:tcPr>
            <w:tcW w:w="916" w:type="dxa"/>
            <w:vAlign w:val="center"/>
          </w:tcPr>
          <w:p w14:paraId="40A5551F">
            <w:pPr>
              <w:snapToGrid w:val="0"/>
              <w:ind w:left="0" w:leftChars="0" w:right="0" w:rightChars="0" w:firstLine="0" w:firstLineChars="0"/>
              <w:jc w:val="center"/>
              <w:rPr>
                <w:rFonts w:hint="eastAsia" w:ascii="宋体" w:hAnsi="宋体" w:cs="宋体"/>
                <w:color w:val="auto"/>
              </w:rPr>
            </w:pPr>
          </w:p>
        </w:tc>
        <w:tc>
          <w:tcPr>
            <w:tcW w:w="1243" w:type="dxa"/>
            <w:vAlign w:val="center"/>
          </w:tcPr>
          <w:p w14:paraId="3F7F5EE1">
            <w:pPr>
              <w:snapToGrid w:val="0"/>
              <w:ind w:left="0" w:leftChars="0" w:right="0" w:rightChars="0" w:firstLine="0" w:firstLineChars="0"/>
              <w:jc w:val="center"/>
              <w:rPr>
                <w:rFonts w:hint="eastAsia" w:ascii="宋体" w:hAnsi="宋体" w:cs="宋体"/>
                <w:color w:val="auto"/>
              </w:rPr>
            </w:pPr>
          </w:p>
        </w:tc>
        <w:tc>
          <w:tcPr>
            <w:tcW w:w="993" w:type="dxa"/>
            <w:vAlign w:val="center"/>
          </w:tcPr>
          <w:p w14:paraId="69641403">
            <w:pPr>
              <w:snapToGrid w:val="0"/>
              <w:ind w:left="0" w:leftChars="0" w:right="0" w:rightChars="0" w:firstLine="0" w:firstLineChars="0"/>
              <w:jc w:val="center"/>
              <w:rPr>
                <w:rFonts w:hint="eastAsia" w:ascii="宋体" w:hAnsi="宋体" w:cs="宋体"/>
                <w:color w:val="auto"/>
              </w:rPr>
            </w:pPr>
          </w:p>
        </w:tc>
        <w:tc>
          <w:tcPr>
            <w:tcW w:w="1266" w:type="dxa"/>
            <w:vAlign w:val="center"/>
          </w:tcPr>
          <w:p w14:paraId="51367C67">
            <w:pPr>
              <w:snapToGrid w:val="0"/>
              <w:ind w:left="0" w:leftChars="0" w:right="0" w:rightChars="0" w:firstLine="0" w:firstLineChars="0"/>
              <w:jc w:val="center"/>
              <w:rPr>
                <w:rFonts w:hint="eastAsia" w:ascii="宋体" w:hAnsi="宋体" w:cs="宋体"/>
                <w:color w:val="auto"/>
              </w:rPr>
            </w:pPr>
          </w:p>
        </w:tc>
        <w:tc>
          <w:tcPr>
            <w:tcW w:w="1941" w:type="dxa"/>
            <w:vAlign w:val="center"/>
          </w:tcPr>
          <w:p w14:paraId="2D0FE32E">
            <w:pPr>
              <w:snapToGrid w:val="0"/>
              <w:ind w:left="0" w:leftChars="0" w:right="0" w:rightChars="0" w:firstLine="0" w:firstLineChars="0"/>
              <w:jc w:val="center"/>
              <w:rPr>
                <w:rFonts w:hint="eastAsia" w:ascii="宋体" w:hAnsi="宋体" w:cs="宋体"/>
                <w:color w:val="auto"/>
              </w:rPr>
            </w:pPr>
          </w:p>
        </w:tc>
      </w:tr>
    </w:tbl>
    <w:p w14:paraId="26EEB4D6">
      <w:pPr>
        <w:rPr>
          <w:color w:val="auto"/>
        </w:rPr>
      </w:pPr>
    </w:p>
    <w:p w14:paraId="533C7003">
      <w:pPr>
        <w:jc w:val="center"/>
        <w:rPr>
          <w:color w:val="auto"/>
        </w:rPr>
        <w:sectPr>
          <w:pgSz w:w="16838" w:h="11906" w:orient="landscape"/>
          <w:pgMar w:top="1366" w:right="1418" w:bottom="1587" w:left="1418" w:header="851" w:footer="907" w:gutter="0"/>
          <w:cols w:space="720" w:num="1"/>
          <w:docGrid w:type="lines" w:linePitch="298" w:charSpace="0"/>
        </w:sectPr>
      </w:pPr>
      <w:r>
        <w:rPr>
          <w:rFonts w:hint="eastAsia" w:ascii="宋体" w:hAnsi="宋体" w:cs="宋体"/>
          <w:color w:val="auto"/>
        </w:rPr>
        <w:br w:type="textWrapping"/>
      </w:r>
    </w:p>
    <w:p w14:paraId="6F279651">
      <w:pPr>
        <w:pStyle w:val="5"/>
        <w:ind w:firstLine="0" w:firstLineChars="0"/>
        <w:rPr>
          <w:rFonts w:ascii="黑体" w:eastAsia="黑体"/>
          <w:b/>
          <w:color w:val="auto"/>
          <w:kern w:val="0"/>
          <w:sz w:val="24"/>
          <w:szCs w:val="24"/>
        </w:rPr>
      </w:pPr>
    </w:p>
    <w:p w14:paraId="7E0FFCF8">
      <w:pPr>
        <w:pStyle w:val="5"/>
        <w:ind w:firstLine="361"/>
        <w:jc w:val="center"/>
        <w:rPr>
          <w:rFonts w:ascii="黑体" w:eastAsia="黑体"/>
          <w:b/>
          <w:color w:val="auto"/>
          <w:kern w:val="0"/>
          <w:sz w:val="24"/>
          <w:szCs w:val="24"/>
          <w:highlight w:val="none"/>
        </w:rPr>
      </w:pPr>
      <w:r>
        <w:rPr>
          <w:rFonts w:hint="eastAsia" w:ascii="黑体" w:eastAsia="黑体"/>
          <w:b/>
          <w:color w:val="auto"/>
          <w:kern w:val="0"/>
          <w:sz w:val="24"/>
          <w:szCs w:val="24"/>
        </w:rPr>
        <w:t>八、实质性条款响应偏</w:t>
      </w:r>
      <w:r>
        <w:rPr>
          <w:rFonts w:hint="eastAsia" w:ascii="黑体" w:eastAsia="黑体"/>
          <w:b/>
          <w:color w:val="auto"/>
          <w:kern w:val="0"/>
          <w:sz w:val="24"/>
          <w:szCs w:val="24"/>
          <w:highlight w:val="none"/>
        </w:rPr>
        <w:t>离表</w:t>
      </w:r>
      <w:r>
        <w:rPr>
          <w:rFonts w:hint="eastAsia" w:ascii="宋体" w:hAnsi="宋体" w:cs="Times New Roman"/>
          <w:b/>
          <w:color w:val="auto"/>
          <w:kern w:val="0"/>
          <w:sz w:val="21"/>
          <w:szCs w:val="21"/>
          <w:highlight w:val="none"/>
        </w:rPr>
        <w:t>（需求清单中打“★”号条款，逐条响应）</w:t>
      </w:r>
    </w:p>
    <w:tbl>
      <w:tblPr>
        <w:tblStyle w:val="42"/>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3434"/>
        <w:gridCol w:w="1523"/>
        <w:gridCol w:w="1247"/>
        <w:gridCol w:w="1136"/>
        <w:gridCol w:w="1136"/>
      </w:tblGrid>
      <w:tr w14:paraId="1F7A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689" w:type="dxa"/>
            <w:vAlign w:val="center"/>
          </w:tcPr>
          <w:p w14:paraId="1381287F">
            <w:pPr>
              <w:adjustRightInd w:val="0"/>
              <w:snapToGrid w:val="0"/>
              <w:spacing w:line="360" w:lineRule="auto"/>
              <w:jc w:val="center"/>
              <w:rPr>
                <w:color w:val="auto"/>
                <w:highlight w:val="none"/>
              </w:rPr>
            </w:pPr>
            <w:r>
              <w:rPr>
                <w:rFonts w:hint="eastAsia"/>
                <w:color w:val="auto"/>
                <w:highlight w:val="none"/>
              </w:rPr>
              <w:t>序号</w:t>
            </w:r>
          </w:p>
        </w:tc>
        <w:tc>
          <w:tcPr>
            <w:tcW w:w="3434" w:type="dxa"/>
            <w:vAlign w:val="center"/>
          </w:tcPr>
          <w:p w14:paraId="311C6F07">
            <w:pPr>
              <w:adjustRightInd w:val="0"/>
              <w:snapToGrid w:val="0"/>
              <w:spacing w:line="360" w:lineRule="auto"/>
              <w:jc w:val="center"/>
              <w:rPr>
                <w:rFonts w:hint="eastAsia" w:ascii="宋体" w:hAnsi="宋体"/>
                <w:color w:val="auto"/>
                <w:kern w:val="0"/>
                <w:highlight w:val="none"/>
              </w:rPr>
            </w:pPr>
            <w:r>
              <w:rPr>
                <w:rFonts w:hint="eastAsia" w:ascii="宋体" w:hAnsi="宋体"/>
                <w:color w:val="auto"/>
                <w:kern w:val="0"/>
                <w:highlight w:val="none"/>
              </w:rPr>
              <w:t>实质性条款具体内容</w:t>
            </w:r>
          </w:p>
        </w:tc>
        <w:tc>
          <w:tcPr>
            <w:tcW w:w="1523" w:type="dxa"/>
            <w:vAlign w:val="center"/>
          </w:tcPr>
          <w:p w14:paraId="62D951A6">
            <w:pPr>
              <w:adjustRightInd w:val="0"/>
              <w:snapToGrid w:val="0"/>
              <w:spacing w:line="360" w:lineRule="auto"/>
              <w:jc w:val="center"/>
              <w:rPr>
                <w:rFonts w:hint="eastAsia" w:ascii="宋体" w:hAnsi="宋体"/>
                <w:color w:val="auto"/>
                <w:kern w:val="0"/>
                <w:highlight w:val="none"/>
              </w:rPr>
            </w:pPr>
            <w:r>
              <w:rPr>
                <w:rFonts w:hint="eastAsia" w:ascii="宋体" w:hAnsi="宋体"/>
                <w:color w:val="auto"/>
                <w:kern w:val="0"/>
                <w:highlight w:val="none"/>
                <w:lang w:val="en-US" w:eastAsia="zh-CN"/>
              </w:rPr>
              <w:t>文件</w:t>
            </w:r>
            <w:r>
              <w:rPr>
                <w:rFonts w:hint="eastAsia" w:ascii="宋体" w:hAnsi="宋体"/>
                <w:color w:val="auto"/>
                <w:kern w:val="0"/>
                <w:highlight w:val="none"/>
              </w:rPr>
              <w:t>要求</w:t>
            </w:r>
          </w:p>
        </w:tc>
        <w:tc>
          <w:tcPr>
            <w:tcW w:w="1247" w:type="dxa"/>
            <w:vAlign w:val="center"/>
          </w:tcPr>
          <w:p w14:paraId="06C4BD4B">
            <w:pPr>
              <w:adjustRightInd w:val="0"/>
              <w:snapToGrid w:val="0"/>
              <w:spacing w:line="360" w:lineRule="auto"/>
              <w:jc w:val="center"/>
              <w:rPr>
                <w:rFonts w:hint="eastAsia" w:ascii="宋体" w:hAnsi="宋体"/>
                <w:color w:val="auto"/>
                <w:kern w:val="0"/>
                <w:highlight w:val="none"/>
              </w:rPr>
            </w:pPr>
            <w:r>
              <w:rPr>
                <w:rFonts w:hint="eastAsia"/>
                <w:color w:val="auto"/>
                <w:highlight w:val="none"/>
              </w:rPr>
              <w:t>投标响应</w:t>
            </w:r>
          </w:p>
        </w:tc>
        <w:tc>
          <w:tcPr>
            <w:tcW w:w="1136" w:type="dxa"/>
            <w:vAlign w:val="center"/>
          </w:tcPr>
          <w:p w14:paraId="1870DBED">
            <w:pPr>
              <w:adjustRightInd w:val="0"/>
              <w:snapToGrid w:val="0"/>
              <w:spacing w:line="360" w:lineRule="auto"/>
              <w:jc w:val="center"/>
              <w:rPr>
                <w:rFonts w:hint="eastAsia" w:ascii="宋体" w:hAnsi="宋体"/>
                <w:color w:val="auto"/>
                <w:kern w:val="0"/>
                <w:highlight w:val="none"/>
              </w:rPr>
            </w:pPr>
            <w:r>
              <w:rPr>
                <w:rFonts w:hint="eastAsia"/>
                <w:color w:val="auto"/>
                <w:highlight w:val="none"/>
              </w:rPr>
              <w:t>偏离情况</w:t>
            </w:r>
          </w:p>
        </w:tc>
        <w:tc>
          <w:tcPr>
            <w:tcW w:w="1136" w:type="dxa"/>
            <w:vAlign w:val="center"/>
          </w:tcPr>
          <w:p w14:paraId="39CD2F40">
            <w:pPr>
              <w:adjustRightInd w:val="0"/>
              <w:snapToGrid w:val="0"/>
              <w:spacing w:line="360" w:lineRule="auto"/>
              <w:jc w:val="center"/>
              <w:rPr>
                <w:rFonts w:hint="eastAsia" w:ascii="宋体" w:hAnsi="宋体"/>
                <w:color w:val="auto"/>
                <w:kern w:val="0"/>
                <w:highlight w:val="none"/>
              </w:rPr>
            </w:pPr>
            <w:r>
              <w:rPr>
                <w:rFonts w:hint="eastAsia"/>
                <w:color w:val="auto"/>
                <w:highlight w:val="none"/>
              </w:rPr>
              <w:t>原因说明</w:t>
            </w:r>
          </w:p>
        </w:tc>
      </w:tr>
      <w:tr w14:paraId="74F2F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14:paraId="447206CB">
            <w:pPr>
              <w:adjustRightInd w:val="0"/>
              <w:snapToGrid w:val="0"/>
              <w:spacing w:line="360" w:lineRule="auto"/>
              <w:jc w:val="center"/>
              <w:rPr>
                <w:color w:val="auto"/>
                <w:highlight w:val="none"/>
              </w:rPr>
            </w:pPr>
            <w:r>
              <w:rPr>
                <w:rFonts w:hint="eastAsia" w:ascii="宋体" w:hAnsi="宋体"/>
                <w:color w:val="auto"/>
                <w:kern w:val="0"/>
                <w:highlight w:val="none"/>
              </w:rPr>
              <w:t>1</w:t>
            </w:r>
          </w:p>
        </w:tc>
        <w:tc>
          <w:tcPr>
            <w:tcW w:w="3434" w:type="dxa"/>
            <w:vAlign w:val="center"/>
          </w:tcPr>
          <w:p w14:paraId="1109E805">
            <w:pPr>
              <w:spacing w:line="276" w:lineRule="auto"/>
              <w:jc w:val="left"/>
              <w:rPr>
                <w:rFonts w:hint="eastAsia" w:hAnsi="宋体"/>
                <w:color w:val="auto"/>
                <w:kern w:val="0"/>
                <w:highlight w:val="none"/>
              </w:rPr>
            </w:pPr>
          </w:p>
        </w:tc>
        <w:tc>
          <w:tcPr>
            <w:tcW w:w="1523" w:type="dxa"/>
            <w:vAlign w:val="center"/>
          </w:tcPr>
          <w:p w14:paraId="0F52E3B1">
            <w:pPr>
              <w:adjustRightInd w:val="0"/>
              <w:snapToGrid w:val="0"/>
              <w:spacing w:line="360" w:lineRule="auto"/>
              <w:jc w:val="center"/>
              <w:rPr>
                <w:rFonts w:hint="eastAsia" w:ascii="宋体" w:hAnsi="宋体"/>
                <w:color w:val="auto"/>
                <w:kern w:val="0"/>
                <w:highlight w:val="none"/>
              </w:rPr>
            </w:pPr>
          </w:p>
        </w:tc>
        <w:tc>
          <w:tcPr>
            <w:tcW w:w="1247" w:type="dxa"/>
            <w:vAlign w:val="center"/>
          </w:tcPr>
          <w:p w14:paraId="7EB4F2DB">
            <w:pPr>
              <w:adjustRightInd w:val="0"/>
              <w:snapToGrid w:val="0"/>
              <w:spacing w:line="360" w:lineRule="auto"/>
              <w:jc w:val="center"/>
              <w:rPr>
                <w:rFonts w:hint="eastAsia" w:ascii="宋体" w:hAnsi="宋体"/>
                <w:color w:val="auto"/>
                <w:kern w:val="0"/>
                <w:highlight w:val="none"/>
              </w:rPr>
            </w:pPr>
          </w:p>
        </w:tc>
        <w:tc>
          <w:tcPr>
            <w:tcW w:w="1136" w:type="dxa"/>
            <w:vAlign w:val="center"/>
          </w:tcPr>
          <w:p w14:paraId="3CC40318">
            <w:pPr>
              <w:adjustRightInd w:val="0"/>
              <w:snapToGrid w:val="0"/>
              <w:spacing w:line="360" w:lineRule="auto"/>
              <w:jc w:val="center"/>
              <w:rPr>
                <w:rFonts w:hint="eastAsia" w:ascii="宋体" w:hAnsi="宋体"/>
                <w:color w:val="auto"/>
                <w:kern w:val="0"/>
                <w:highlight w:val="none"/>
              </w:rPr>
            </w:pPr>
          </w:p>
        </w:tc>
        <w:tc>
          <w:tcPr>
            <w:tcW w:w="1136" w:type="dxa"/>
            <w:vAlign w:val="center"/>
          </w:tcPr>
          <w:p w14:paraId="0990251D">
            <w:pPr>
              <w:adjustRightInd w:val="0"/>
              <w:snapToGrid w:val="0"/>
              <w:spacing w:line="360" w:lineRule="auto"/>
              <w:jc w:val="center"/>
              <w:rPr>
                <w:rFonts w:hint="eastAsia" w:ascii="宋体" w:hAnsi="宋体"/>
                <w:color w:val="auto"/>
                <w:kern w:val="0"/>
                <w:highlight w:val="none"/>
              </w:rPr>
            </w:pPr>
          </w:p>
        </w:tc>
      </w:tr>
      <w:tr w14:paraId="613BB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14:paraId="7171645C">
            <w:pPr>
              <w:adjustRightInd w:val="0"/>
              <w:snapToGrid w:val="0"/>
              <w:spacing w:line="360" w:lineRule="auto"/>
              <w:jc w:val="center"/>
              <w:rPr>
                <w:color w:val="auto"/>
                <w:highlight w:val="none"/>
              </w:rPr>
            </w:pPr>
            <w:r>
              <w:rPr>
                <w:rFonts w:hint="eastAsia" w:ascii="宋体" w:hAnsi="宋体"/>
                <w:color w:val="auto"/>
                <w:kern w:val="0"/>
                <w:highlight w:val="none"/>
              </w:rPr>
              <w:t>2</w:t>
            </w:r>
          </w:p>
        </w:tc>
        <w:tc>
          <w:tcPr>
            <w:tcW w:w="3434" w:type="dxa"/>
            <w:vAlign w:val="center"/>
          </w:tcPr>
          <w:p w14:paraId="3959D956">
            <w:pPr>
              <w:spacing w:line="276" w:lineRule="auto"/>
              <w:jc w:val="left"/>
              <w:rPr>
                <w:rFonts w:hint="eastAsia" w:hAnsi="宋体"/>
                <w:color w:val="auto"/>
                <w:kern w:val="0"/>
                <w:highlight w:val="none"/>
              </w:rPr>
            </w:pPr>
          </w:p>
        </w:tc>
        <w:tc>
          <w:tcPr>
            <w:tcW w:w="1523" w:type="dxa"/>
            <w:vAlign w:val="center"/>
          </w:tcPr>
          <w:p w14:paraId="497B0C51">
            <w:pPr>
              <w:adjustRightInd w:val="0"/>
              <w:snapToGrid w:val="0"/>
              <w:spacing w:line="360" w:lineRule="auto"/>
              <w:jc w:val="center"/>
              <w:rPr>
                <w:rFonts w:hint="eastAsia" w:ascii="宋体" w:hAnsi="宋体"/>
                <w:color w:val="auto"/>
                <w:kern w:val="0"/>
                <w:highlight w:val="none"/>
              </w:rPr>
            </w:pPr>
          </w:p>
        </w:tc>
        <w:tc>
          <w:tcPr>
            <w:tcW w:w="1247" w:type="dxa"/>
            <w:vAlign w:val="center"/>
          </w:tcPr>
          <w:p w14:paraId="5D815DB9">
            <w:pPr>
              <w:adjustRightInd w:val="0"/>
              <w:snapToGrid w:val="0"/>
              <w:spacing w:line="360" w:lineRule="auto"/>
              <w:jc w:val="center"/>
              <w:rPr>
                <w:rFonts w:hint="eastAsia" w:ascii="宋体" w:hAnsi="宋体"/>
                <w:color w:val="auto"/>
                <w:kern w:val="0"/>
                <w:highlight w:val="none"/>
              </w:rPr>
            </w:pPr>
          </w:p>
        </w:tc>
        <w:tc>
          <w:tcPr>
            <w:tcW w:w="1136" w:type="dxa"/>
            <w:vAlign w:val="center"/>
          </w:tcPr>
          <w:p w14:paraId="5ACAD864">
            <w:pPr>
              <w:adjustRightInd w:val="0"/>
              <w:snapToGrid w:val="0"/>
              <w:spacing w:line="360" w:lineRule="auto"/>
              <w:jc w:val="center"/>
              <w:rPr>
                <w:rFonts w:hint="eastAsia" w:ascii="宋体" w:hAnsi="宋体"/>
                <w:color w:val="auto"/>
                <w:kern w:val="0"/>
                <w:highlight w:val="none"/>
              </w:rPr>
            </w:pPr>
          </w:p>
        </w:tc>
        <w:tc>
          <w:tcPr>
            <w:tcW w:w="1136" w:type="dxa"/>
            <w:vAlign w:val="center"/>
          </w:tcPr>
          <w:p w14:paraId="5429BBA0">
            <w:pPr>
              <w:adjustRightInd w:val="0"/>
              <w:snapToGrid w:val="0"/>
              <w:spacing w:line="360" w:lineRule="auto"/>
              <w:jc w:val="center"/>
              <w:rPr>
                <w:rFonts w:hint="eastAsia" w:ascii="宋体" w:hAnsi="宋体"/>
                <w:color w:val="auto"/>
                <w:kern w:val="0"/>
                <w:highlight w:val="none"/>
              </w:rPr>
            </w:pPr>
          </w:p>
        </w:tc>
      </w:tr>
      <w:tr w14:paraId="5364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14:paraId="2B5E0E52">
            <w:pPr>
              <w:adjustRightInd w:val="0"/>
              <w:snapToGrid w:val="0"/>
              <w:spacing w:line="360" w:lineRule="auto"/>
              <w:jc w:val="center"/>
              <w:rPr>
                <w:color w:val="auto"/>
                <w:highlight w:val="none"/>
              </w:rPr>
            </w:pPr>
            <w:r>
              <w:rPr>
                <w:rFonts w:hint="eastAsia" w:ascii="宋体" w:hAnsi="宋体"/>
                <w:color w:val="auto"/>
                <w:kern w:val="0"/>
                <w:highlight w:val="none"/>
              </w:rPr>
              <w:t>3</w:t>
            </w:r>
          </w:p>
        </w:tc>
        <w:tc>
          <w:tcPr>
            <w:tcW w:w="3434" w:type="dxa"/>
            <w:vAlign w:val="center"/>
          </w:tcPr>
          <w:p w14:paraId="0E73664A">
            <w:pPr>
              <w:spacing w:line="276" w:lineRule="auto"/>
              <w:jc w:val="left"/>
              <w:rPr>
                <w:rFonts w:hint="eastAsia" w:hAnsi="宋体"/>
                <w:color w:val="auto"/>
                <w:kern w:val="0"/>
                <w:highlight w:val="none"/>
              </w:rPr>
            </w:pPr>
          </w:p>
        </w:tc>
        <w:tc>
          <w:tcPr>
            <w:tcW w:w="1523" w:type="dxa"/>
            <w:vAlign w:val="center"/>
          </w:tcPr>
          <w:p w14:paraId="22C6EF6C">
            <w:pPr>
              <w:adjustRightInd w:val="0"/>
              <w:snapToGrid w:val="0"/>
              <w:spacing w:line="360" w:lineRule="auto"/>
              <w:jc w:val="center"/>
              <w:rPr>
                <w:rFonts w:hint="eastAsia" w:ascii="宋体" w:hAnsi="宋体"/>
                <w:color w:val="auto"/>
                <w:kern w:val="0"/>
                <w:highlight w:val="none"/>
              </w:rPr>
            </w:pPr>
          </w:p>
        </w:tc>
        <w:tc>
          <w:tcPr>
            <w:tcW w:w="1247" w:type="dxa"/>
            <w:vAlign w:val="center"/>
          </w:tcPr>
          <w:p w14:paraId="30F83258">
            <w:pPr>
              <w:adjustRightInd w:val="0"/>
              <w:snapToGrid w:val="0"/>
              <w:spacing w:line="360" w:lineRule="auto"/>
              <w:jc w:val="center"/>
              <w:rPr>
                <w:rFonts w:hint="eastAsia" w:ascii="宋体" w:hAnsi="宋体"/>
                <w:color w:val="auto"/>
                <w:kern w:val="0"/>
                <w:highlight w:val="none"/>
              </w:rPr>
            </w:pPr>
          </w:p>
        </w:tc>
        <w:tc>
          <w:tcPr>
            <w:tcW w:w="1136" w:type="dxa"/>
            <w:vAlign w:val="center"/>
          </w:tcPr>
          <w:p w14:paraId="46D8FA1B">
            <w:pPr>
              <w:adjustRightInd w:val="0"/>
              <w:snapToGrid w:val="0"/>
              <w:spacing w:line="360" w:lineRule="auto"/>
              <w:jc w:val="center"/>
              <w:rPr>
                <w:rFonts w:hint="eastAsia" w:ascii="宋体" w:hAnsi="宋体"/>
                <w:color w:val="auto"/>
                <w:kern w:val="0"/>
                <w:highlight w:val="none"/>
              </w:rPr>
            </w:pPr>
          </w:p>
        </w:tc>
        <w:tc>
          <w:tcPr>
            <w:tcW w:w="1136" w:type="dxa"/>
            <w:vAlign w:val="center"/>
          </w:tcPr>
          <w:p w14:paraId="443DD8E5">
            <w:pPr>
              <w:adjustRightInd w:val="0"/>
              <w:snapToGrid w:val="0"/>
              <w:spacing w:line="360" w:lineRule="auto"/>
              <w:jc w:val="center"/>
              <w:rPr>
                <w:rFonts w:hint="eastAsia" w:ascii="宋体" w:hAnsi="宋体"/>
                <w:color w:val="auto"/>
                <w:kern w:val="0"/>
                <w:highlight w:val="none"/>
              </w:rPr>
            </w:pPr>
          </w:p>
        </w:tc>
      </w:tr>
      <w:tr w14:paraId="134E7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14:paraId="6FBE887B">
            <w:pPr>
              <w:adjustRightInd w:val="0"/>
              <w:snapToGrid w:val="0"/>
              <w:spacing w:line="360" w:lineRule="auto"/>
              <w:jc w:val="center"/>
              <w:rPr>
                <w:color w:val="auto"/>
                <w:highlight w:val="none"/>
              </w:rPr>
            </w:pPr>
            <w:r>
              <w:rPr>
                <w:rFonts w:hint="eastAsia" w:ascii="宋体" w:hAnsi="宋体"/>
                <w:color w:val="auto"/>
                <w:kern w:val="0"/>
                <w:highlight w:val="none"/>
              </w:rPr>
              <w:t>4</w:t>
            </w:r>
          </w:p>
        </w:tc>
        <w:tc>
          <w:tcPr>
            <w:tcW w:w="3434" w:type="dxa"/>
            <w:vAlign w:val="center"/>
          </w:tcPr>
          <w:p w14:paraId="19294EA5">
            <w:pPr>
              <w:spacing w:line="276" w:lineRule="auto"/>
              <w:jc w:val="left"/>
              <w:rPr>
                <w:rFonts w:hint="eastAsia" w:hAnsi="宋体"/>
                <w:color w:val="auto"/>
                <w:kern w:val="0"/>
                <w:highlight w:val="none"/>
              </w:rPr>
            </w:pPr>
          </w:p>
        </w:tc>
        <w:tc>
          <w:tcPr>
            <w:tcW w:w="1523" w:type="dxa"/>
          </w:tcPr>
          <w:p w14:paraId="137DC8C2">
            <w:pPr>
              <w:adjustRightInd w:val="0"/>
              <w:snapToGrid w:val="0"/>
              <w:spacing w:line="360" w:lineRule="auto"/>
              <w:jc w:val="center"/>
              <w:rPr>
                <w:rFonts w:hint="eastAsia" w:ascii="宋体" w:hAnsi="宋体"/>
                <w:color w:val="auto"/>
                <w:kern w:val="0"/>
                <w:highlight w:val="none"/>
              </w:rPr>
            </w:pPr>
          </w:p>
        </w:tc>
        <w:tc>
          <w:tcPr>
            <w:tcW w:w="1247" w:type="dxa"/>
          </w:tcPr>
          <w:p w14:paraId="5A1C5D56">
            <w:pPr>
              <w:adjustRightInd w:val="0"/>
              <w:snapToGrid w:val="0"/>
              <w:spacing w:line="360" w:lineRule="auto"/>
              <w:jc w:val="center"/>
              <w:rPr>
                <w:rFonts w:hint="eastAsia" w:ascii="宋体" w:hAnsi="宋体"/>
                <w:color w:val="auto"/>
                <w:kern w:val="0"/>
                <w:highlight w:val="none"/>
              </w:rPr>
            </w:pPr>
          </w:p>
        </w:tc>
        <w:tc>
          <w:tcPr>
            <w:tcW w:w="0" w:type="auto"/>
          </w:tcPr>
          <w:p w14:paraId="0788089C">
            <w:pPr>
              <w:adjustRightInd w:val="0"/>
              <w:snapToGrid w:val="0"/>
              <w:spacing w:line="360" w:lineRule="auto"/>
              <w:jc w:val="center"/>
              <w:rPr>
                <w:rFonts w:hint="eastAsia" w:ascii="宋体" w:hAnsi="宋体"/>
                <w:color w:val="auto"/>
                <w:kern w:val="0"/>
                <w:highlight w:val="none"/>
              </w:rPr>
            </w:pPr>
          </w:p>
        </w:tc>
        <w:tc>
          <w:tcPr>
            <w:tcW w:w="0" w:type="auto"/>
          </w:tcPr>
          <w:p w14:paraId="0280C2A0">
            <w:pPr>
              <w:adjustRightInd w:val="0"/>
              <w:snapToGrid w:val="0"/>
              <w:spacing w:line="360" w:lineRule="auto"/>
              <w:jc w:val="center"/>
              <w:rPr>
                <w:rFonts w:hint="eastAsia" w:ascii="宋体" w:hAnsi="宋体"/>
                <w:color w:val="auto"/>
                <w:kern w:val="0"/>
                <w:highlight w:val="none"/>
              </w:rPr>
            </w:pPr>
          </w:p>
        </w:tc>
      </w:tr>
      <w:tr w14:paraId="6D78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14:paraId="05FA56BB">
            <w:pPr>
              <w:adjustRightInd w:val="0"/>
              <w:snapToGrid w:val="0"/>
              <w:spacing w:line="360" w:lineRule="auto"/>
              <w:jc w:val="center"/>
              <w:rPr>
                <w:color w:val="auto"/>
              </w:rPr>
            </w:pPr>
            <w:r>
              <w:rPr>
                <w:rFonts w:hint="eastAsia" w:ascii="宋体" w:hAnsi="宋体"/>
                <w:color w:val="auto"/>
                <w:kern w:val="0"/>
              </w:rPr>
              <w:t>5</w:t>
            </w:r>
          </w:p>
        </w:tc>
        <w:tc>
          <w:tcPr>
            <w:tcW w:w="3434" w:type="dxa"/>
            <w:vAlign w:val="center"/>
          </w:tcPr>
          <w:p w14:paraId="1CDB21F0">
            <w:pPr>
              <w:spacing w:line="276" w:lineRule="auto"/>
              <w:jc w:val="left"/>
              <w:rPr>
                <w:rFonts w:hint="eastAsia" w:hAnsi="宋体"/>
                <w:color w:val="auto"/>
                <w:kern w:val="0"/>
              </w:rPr>
            </w:pPr>
          </w:p>
        </w:tc>
        <w:tc>
          <w:tcPr>
            <w:tcW w:w="1523" w:type="dxa"/>
          </w:tcPr>
          <w:p w14:paraId="5594D744">
            <w:pPr>
              <w:adjustRightInd w:val="0"/>
              <w:snapToGrid w:val="0"/>
              <w:spacing w:line="360" w:lineRule="auto"/>
              <w:jc w:val="center"/>
              <w:rPr>
                <w:rFonts w:hint="eastAsia" w:ascii="宋体" w:hAnsi="宋体"/>
                <w:color w:val="auto"/>
                <w:kern w:val="0"/>
              </w:rPr>
            </w:pPr>
          </w:p>
        </w:tc>
        <w:tc>
          <w:tcPr>
            <w:tcW w:w="1247" w:type="dxa"/>
          </w:tcPr>
          <w:p w14:paraId="733A1C91">
            <w:pPr>
              <w:adjustRightInd w:val="0"/>
              <w:snapToGrid w:val="0"/>
              <w:spacing w:line="360" w:lineRule="auto"/>
              <w:jc w:val="center"/>
              <w:rPr>
                <w:rFonts w:hint="eastAsia" w:ascii="宋体" w:hAnsi="宋体"/>
                <w:color w:val="auto"/>
                <w:kern w:val="0"/>
              </w:rPr>
            </w:pPr>
          </w:p>
        </w:tc>
        <w:tc>
          <w:tcPr>
            <w:tcW w:w="0" w:type="auto"/>
          </w:tcPr>
          <w:p w14:paraId="01B171FC">
            <w:pPr>
              <w:adjustRightInd w:val="0"/>
              <w:snapToGrid w:val="0"/>
              <w:spacing w:line="360" w:lineRule="auto"/>
              <w:jc w:val="center"/>
              <w:rPr>
                <w:rFonts w:hint="eastAsia" w:ascii="宋体" w:hAnsi="宋体"/>
                <w:color w:val="auto"/>
                <w:kern w:val="0"/>
              </w:rPr>
            </w:pPr>
          </w:p>
        </w:tc>
        <w:tc>
          <w:tcPr>
            <w:tcW w:w="0" w:type="auto"/>
          </w:tcPr>
          <w:p w14:paraId="1BA4BF23">
            <w:pPr>
              <w:adjustRightInd w:val="0"/>
              <w:snapToGrid w:val="0"/>
              <w:spacing w:line="360" w:lineRule="auto"/>
              <w:jc w:val="center"/>
              <w:rPr>
                <w:rFonts w:hint="eastAsia" w:ascii="宋体" w:hAnsi="宋体"/>
                <w:color w:val="auto"/>
                <w:kern w:val="0"/>
              </w:rPr>
            </w:pPr>
          </w:p>
        </w:tc>
      </w:tr>
      <w:tr w14:paraId="0F54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Pr>
          <w:p w14:paraId="1D4097FA">
            <w:pPr>
              <w:adjustRightInd w:val="0"/>
              <w:snapToGrid w:val="0"/>
              <w:spacing w:line="360" w:lineRule="auto"/>
              <w:jc w:val="center"/>
              <w:rPr>
                <w:color w:val="auto"/>
              </w:rPr>
            </w:pPr>
            <w:r>
              <w:rPr>
                <w:rFonts w:hint="eastAsia" w:ascii="宋体" w:hAnsi="宋体"/>
                <w:color w:val="auto"/>
                <w:kern w:val="0"/>
              </w:rPr>
              <w:t>6</w:t>
            </w:r>
          </w:p>
        </w:tc>
        <w:tc>
          <w:tcPr>
            <w:tcW w:w="3434" w:type="dxa"/>
            <w:vAlign w:val="center"/>
          </w:tcPr>
          <w:p w14:paraId="2BEDBBD3">
            <w:pPr>
              <w:spacing w:line="276" w:lineRule="auto"/>
              <w:jc w:val="left"/>
              <w:rPr>
                <w:rFonts w:hint="eastAsia" w:ascii="宋体" w:hAnsi="宋体" w:cs="宋体"/>
                <w:color w:val="auto"/>
              </w:rPr>
            </w:pPr>
          </w:p>
        </w:tc>
        <w:tc>
          <w:tcPr>
            <w:tcW w:w="1523" w:type="dxa"/>
          </w:tcPr>
          <w:p w14:paraId="780698E1">
            <w:pPr>
              <w:adjustRightInd w:val="0"/>
              <w:snapToGrid w:val="0"/>
              <w:spacing w:line="360" w:lineRule="auto"/>
              <w:jc w:val="center"/>
              <w:rPr>
                <w:rFonts w:hint="eastAsia" w:ascii="宋体" w:hAnsi="宋体"/>
                <w:color w:val="auto"/>
                <w:kern w:val="0"/>
              </w:rPr>
            </w:pPr>
          </w:p>
        </w:tc>
        <w:tc>
          <w:tcPr>
            <w:tcW w:w="1247" w:type="dxa"/>
          </w:tcPr>
          <w:p w14:paraId="2B302C9F">
            <w:pPr>
              <w:adjustRightInd w:val="0"/>
              <w:snapToGrid w:val="0"/>
              <w:spacing w:line="360" w:lineRule="auto"/>
              <w:jc w:val="center"/>
              <w:rPr>
                <w:rFonts w:hint="eastAsia" w:ascii="宋体" w:hAnsi="宋体"/>
                <w:color w:val="auto"/>
                <w:kern w:val="0"/>
              </w:rPr>
            </w:pPr>
          </w:p>
        </w:tc>
        <w:tc>
          <w:tcPr>
            <w:tcW w:w="0" w:type="auto"/>
          </w:tcPr>
          <w:p w14:paraId="4796D1A1">
            <w:pPr>
              <w:adjustRightInd w:val="0"/>
              <w:snapToGrid w:val="0"/>
              <w:spacing w:line="360" w:lineRule="auto"/>
              <w:jc w:val="center"/>
              <w:rPr>
                <w:rFonts w:hint="eastAsia" w:ascii="宋体" w:hAnsi="宋体"/>
                <w:color w:val="auto"/>
                <w:kern w:val="0"/>
              </w:rPr>
            </w:pPr>
          </w:p>
        </w:tc>
        <w:tc>
          <w:tcPr>
            <w:tcW w:w="0" w:type="auto"/>
          </w:tcPr>
          <w:p w14:paraId="314E2B70">
            <w:pPr>
              <w:adjustRightInd w:val="0"/>
              <w:snapToGrid w:val="0"/>
              <w:spacing w:line="360" w:lineRule="auto"/>
              <w:jc w:val="center"/>
              <w:rPr>
                <w:rFonts w:hint="eastAsia" w:ascii="宋体" w:hAnsi="宋体"/>
                <w:color w:val="auto"/>
                <w:kern w:val="0"/>
              </w:rPr>
            </w:pPr>
          </w:p>
        </w:tc>
      </w:tr>
    </w:tbl>
    <w:p w14:paraId="07F3BF4F">
      <w:pPr>
        <w:rPr>
          <w:rFonts w:hint="eastAsia" w:ascii="宋体" w:hAnsi="宋体"/>
          <w:color w:val="auto"/>
          <w:kern w:val="0"/>
        </w:rPr>
      </w:pPr>
    </w:p>
    <w:p w14:paraId="10B49E4E">
      <w:pPr>
        <w:rPr>
          <w:color w:val="auto"/>
        </w:rPr>
      </w:pPr>
      <w:r>
        <w:rPr>
          <w:rFonts w:hint="eastAsia"/>
          <w:color w:val="auto"/>
        </w:rPr>
        <w:t>说明：</w:t>
      </w:r>
    </w:p>
    <w:p w14:paraId="62039ED9">
      <w:pPr>
        <w:ind w:firstLine="420" w:firstLineChars="200"/>
        <w:rPr>
          <w:color w:val="auto"/>
        </w:rPr>
      </w:pPr>
      <w:r>
        <w:rPr>
          <w:rFonts w:hint="eastAsia"/>
          <w:color w:val="auto"/>
        </w:rPr>
        <w:t>1.上表所列各项均为不可负偏离条款。</w:t>
      </w:r>
    </w:p>
    <w:p w14:paraId="11B70808">
      <w:pPr>
        <w:widowControl/>
        <w:snapToGrid w:val="0"/>
        <w:ind w:firstLine="420" w:firstLineChars="200"/>
        <w:jc w:val="left"/>
        <w:rPr>
          <w:rFonts w:hint="eastAsia" w:ascii="宋体" w:hAnsi="宋体"/>
          <w:color w:val="auto"/>
          <w:kern w:val="0"/>
        </w:rPr>
      </w:pPr>
      <w:r>
        <w:rPr>
          <w:rFonts w:hint="eastAsia" w:ascii="宋体" w:hAnsi="宋体"/>
          <w:color w:val="auto"/>
          <w:kern w:val="0"/>
        </w:rPr>
        <w:t>2.根据采购文件第三章“用户需求书中”打“★”号条款，逐条详细填写投标人自身响应情况，并列明具体响应数值或内容。</w:t>
      </w:r>
    </w:p>
    <w:p w14:paraId="55640529">
      <w:pPr>
        <w:pStyle w:val="41"/>
        <w:spacing w:line="240" w:lineRule="auto"/>
        <w:rPr>
          <w:rFonts w:hint="eastAsia"/>
          <w:color w:val="auto"/>
        </w:rPr>
      </w:pPr>
      <w:r>
        <w:rPr>
          <w:rFonts w:hint="eastAsia"/>
          <w:color w:val="auto"/>
          <w:kern w:val="0"/>
        </w:rPr>
        <w:t>3.要求提供佐证材料的，需在“原因说明”栏中说明佐证材料在投标文件中的具体位置及页码。</w:t>
      </w:r>
    </w:p>
    <w:p w14:paraId="79D42937">
      <w:pPr>
        <w:widowControl/>
        <w:snapToGrid w:val="0"/>
        <w:jc w:val="left"/>
        <w:rPr>
          <w:rFonts w:hint="eastAsia" w:ascii="宋体" w:hAnsi="宋体"/>
          <w:color w:val="auto"/>
          <w:kern w:val="0"/>
          <w:szCs w:val="20"/>
        </w:rPr>
      </w:pPr>
      <w:r>
        <w:rPr>
          <w:rFonts w:hint="eastAsia" w:ascii="宋体" w:hAnsi="宋体"/>
          <w:color w:val="auto"/>
          <w:kern w:val="0"/>
          <w:szCs w:val="20"/>
        </w:rPr>
        <w:t>未按要求提供佐证材料或提供的佐证资料显示不符合参数要求的、模糊不清无法判断或未显示出是否满足参数要求的，均视为负偏离。</w:t>
      </w:r>
      <w:r>
        <w:rPr>
          <w:rFonts w:hint="eastAsia" w:ascii="宋体" w:hAnsi="宋体"/>
          <w:b/>
          <w:bCs/>
          <w:color w:val="auto"/>
          <w:kern w:val="0"/>
          <w:szCs w:val="20"/>
        </w:rPr>
        <w:t>只注明符合、满足等无具体内容表述</w:t>
      </w:r>
      <w:r>
        <w:rPr>
          <w:rFonts w:hint="eastAsia" w:ascii="宋体" w:hAnsi="宋体"/>
          <w:color w:val="auto"/>
          <w:kern w:val="0"/>
          <w:szCs w:val="20"/>
        </w:rPr>
        <w:t>的或者</w:t>
      </w:r>
      <w:r>
        <w:rPr>
          <w:rFonts w:hint="eastAsia" w:ascii="宋体" w:hAnsi="宋体"/>
          <w:b/>
          <w:bCs/>
          <w:color w:val="auto"/>
          <w:kern w:val="0"/>
          <w:szCs w:val="20"/>
        </w:rPr>
        <w:t>照搬照抄</w:t>
      </w:r>
      <w:r>
        <w:rPr>
          <w:rFonts w:hint="eastAsia" w:ascii="宋体" w:hAnsi="宋体"/>
          <w:color w:val="auto"/>
          <w:kern w:val="0"/>
          <w:szCs w:val="20"/>
        </w:rPr>
        <w:t>实质性条款具体内容，将视为</w:t>
      </w:r>
      <w:r>
        <w:rPr>
          <w:rFonts w:hint="eastAsia" w:ascii="宋体" w:hAnsi="宋体"/>
          <w:b/>
          <w:bCs/>
          <w:color w:val="auto"/>
          <w:kern w:val="0"/>
          <w:szCs w:val="20"/>
        </w:rPr>
        <w:t>未实质性满足招标文件要求，投标无效</w:t>
      </w:r>
      <w:r>
        <w:rPr>
          <w:rFonts w:hint="eastAsia" w:ascii="宋体" w:hAnsi="宋体"/>
          <w:color w:val="auto"/>
          <w:kern w:val="0"/>
          <w:szCs w:val="20"/>
        </w:rPr>
        <w:t>。</w:t>
      </w:r>
    </w:p>
    <w:p w14:paraId="7612156C">
      <w:pPr>
        <w:ind w:firstLine="420" w:firstLineChars="200"/>
        <w:rPr>
          <w:color w:val="auto"/>
        </w:rPr>
      </w:pPr>
      <w:r>
        <w:rPr>
          <w:rFonts w:hint="eastAsia"/>
          <w:color w:val="auto"/>
          <w:lang w:val="en-US" w:eastAsia="zh-CN"/>
        </w:rPr>
        <w:t>4</w:t>
      </w:r>
      <w:r>
        <w:rPr>
          <w:rFonts w:hint="eastAsia"/>
          <w:color w:val="auto"/>
        </w:rPr>
        <w:t>.“偏离情况”一栏应填写“正偏离”、“负偏离”或“无偏离”，“正偏离”表示“投标响应优于实质性条款具体内容要求”，“负偏离”表示“投标响应不满足实质性条款具体内容要求”，“无偏离”表示“投标响应与实质性条款具体内容要求一致”。</w:t>
      </w:r>
    </w:p>
    <w:p w14:paraId="098D4C44">
      <w:pPr>
        <w:ind w:firstLine="420" w:firstLineChars="200"/>
        <w:rPr>
          <w:color w:val="auto"/>
        </w:rPr>
      </w:pPr>
      <w:r>
        <w:rPr>
          <w:rFonts w:hint="eastAsia"/>
          <w:color w:val="auto"/>
          <w:lang w:val="en-US" w:eastAsia="zh-CN"/>
        </w:rPr>
        <w:t>5</w:t>
      </w:r>
      <w:r>
        <w:rPr>
          <w:rFonts w:hint="eastAsia"/>
          <w:color w:val="auto"/>
        </w:rPr>
        <w:t>.评审委员会有权根据实质性条款响应情况作出评判。</w:t>
      </w:r>
    </w:p>
    <w:p w14:paraId="3DA23D2D">
      <w:pPr>
        <w:pStyle w:val="35"/>
        <w:jc w:val="both"/>
        <w:rPr>
          <w:rFonts w:ascii="Times New Roman" w:eastAsia="宋体"/>
          <w:color w:val="auto"/>
          <w:szCs w:val="21"/>
        </w:rPr>
      </w:pPr>
    </w:p>
    <w:p w14:paraId="02679388">
      <w:pPr>
        <w:pStyle w:val="35"/>
        <w:rPr>
          <w:rFonts w:ascii="Times New Roman" w:eastAsia="宋体"/>
          <w:color w:val="auto"/>
          <w:szCs w:val="21"/>
        </w:rPr>
      </w:pPr>
    </w:p>
    <w:p w14:paraId="1D3C4185">
      <w:pPr>
        <w:pStyle w:val="35"/>
        <w:rPr>
          <w:rFonts w:ascii="Times New Roman" w:eastAsia="宋体"/>
          <w:color w:val="auto"/>
          <w:szCs w:val="21"/>
        </w:rPr>
      </w:pPr>
    </w:p>
    <w:p w14:paraId="46EDCBAE">
      <w:pPr>
        <w:pStyle w:val="35"/>
        <w:rPr>
          <w:rFonts w:ascii="Times New Roman" w:eastAsia="宋体"/>
          <w:color w:val="auto"/>
          <w:szCs w:val="21"/>
        </w:rPr>
      </w:pPr>
    </w:p>
    <w:p w14:paraId="3AA24A7E">
      <w:pPr>
        <w:pStyle w:val="5"/>
        <w:ind w:firstLine="361"/>
        <w:jc w:val="center"/>
        <w:rPr>
          <w:rFonts w:ascii="黑体" w:eastAsia="黑体"/>
          <w:b/>
          <w:color w:val="auto"/>
          <w:kern w:val="0"/>
          <w:sz w:val="24"/>
          <w:szCs w:val="24"/>
        </w:rPr>
      </w:pPr>
      <w:r>
        <w:rPr>
          <w:rFonts w:hint="eastAsia" w:ascii="黑体" w:eastAsia="黑体"/>
          <w:b/>
          <w:color w:val="auto"/>
          <w:kern w:val="0"/>
          <w:sz w:val="24"/>
          <w:szCs w:val="24"/>
        </w:rPr>
        <w:t>九、重要技术参数响应偏离表（需求清单中无打“▲”号条款，无须填写）</w:t>
      </w:r>
    </w:p>
    <w:tbl>
      <w:tblPr>
        <w:tblStyle w:val="42"/>
        <w:tblW w:w="91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3434"/>
        <w:gridCol w:w="1523"/>
        <w:gridCol w:w="1247"/>
        <w:gridCol w:w="1136"/>
        <w:gridCol w:w="1136"/>
      </w:tblGrid>
      <w:tr w14:paraId="62F5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689" w:type="dxa"/>
            <w:vAlign w:val="center"/>
          </w:tcPr>
          <w:p w14:paraId="36985184">
            <w:pPr>
              <w:adjustRightInd w:val="0"/>
              <w:snapToGrid w:val="0"/>
              <w:spacing w:line="360" w:lineRule="auto"/>
              <w:jc w:val="center"/>
              <w:rPr>
                <w:color w:val="auto"/>
              </w:rPr>
            </w:pPr>
            <w:r>
              <w:rPr>
                <w:rFonts w:hint="eastAsia"/>
                <w:color w:val="auto"/>
              </w:rPr>
              <w:t>序号</w:t>
            </w:r>
          </w:p>
        </w:tc>
        <w:tc>
          <w:tcPr>
            <w:tcW w:w="3434" w:type="dxa"/>
            <w:vAlign w:val="center"/>
          </w:tcPr>
          <w:p w14:paraId="44631957">
            <w:pPr>
              <w:adjustRightInd w:val="0"/>
              <w:snapToGrid w:val="0"/>
              <w:spacing w:line="360" w:lineRule="auto"/>
              <w:jc w:val="center"/>
              <w:rPr>
                <w:rFonts w:hint="eastAsia" w:ascii="宋体" w:hAnsi="宋体"/>
                <w:color w:val="auto"/>
                <w:kern w:val="0"/>
              </w:rPr>
            </w:pPr>
            <w:r>
              <w:rPr>
                <w:rFonts w:hint="eastAsia" w:ascii="宋体" w:hAnsi="宋体"/>
                <w:color w:val="auto"/>
                <w:kern w:val="0"/>
              </w:rPr>
              <w:t>重要技术参数具体内容</w:t>
            </w:r>
          </w:p>
        </w:tc>
        <w:tc>
          <w:tcPr>
            <w:tcW w:w="1523" w:type="dxa"/>
            <w:vAlign w:val="center"/>
          </w:tcPr>
          <w:p w14:paraId="668C98F3">
            <w:pPr>
              <w:adjustRightInd w:val="0"/>
              <w:snapToGrid w:val="0"/>
              <w:spacing w:line="360" w:lineRule="auto"/>
              <w:jc w:val="center"/>
              <w:rPr>
                <w:rFonts w:hint="eastAsia" w:ascii="宋体" w:hAnsi="宋体"/>
                <w:color w:val="auto"/>
                <w:kern w:val="0"/>
              </w:rPr>
            </w:pPr>
            <w:r>
              <w:rPr>
                <w:rFonts w:hint="eastAsia" w:ascii="宋体" w:hAnsi="宋体"/>
                <w:color w:val="auto"/>
                <w:kern w:val="0"/>
                <w:lang w:val="en-US" w:eastAsia="zh-CN"/>
              </w:rPr>
              <w:t>文件</w:t>
            </w:r>
            <w:r>
              <w:rPr>
                <w:rFonts w:hint="eastAsia" w:ascii="宋体" w:hAnsi="宋体"/>
                <w:color w:val="auto"/>
                <w:kern w:val="0"/>
              </w:rPr>
              <w:t>要求</w:t>
            </w:r>
          </w:p>
        </w:tc>
        <w:tc>
          <w:tcPr>
            <w:tcW w:w="1247" w:type="dxa"/>
            <w:vAlign w:val="center"/>
          </w:tcPr>
          <w:p w14:paraId="30C25435">
            <w:pPr>
              <w:adjustRightInd w:val="0"/>
              <w:snapToGrid w:val="0"/>
              <w:spacing w:line="360" w:lineRule="auto"/>
              <w:jc w:val="center"/>
              <w:rPr>
                <w:rFonts w:hint="eastAsia" w:ascii="宋体" w:hAnsi="宋体"/>
                <w:color w:val="auto"/>
                <w:kern w:val="0"/>
              </w:rPr>
            </w:pPr>
            <w:r>
              <w:rPr>
                <w:rFonts w:hint="eastAsia"/>
                <w:color w:val="auto"/>
              </w:rPr>
              <w:t>投标响应</w:t>
            </w:r>
          </w:p>
        </w:tc>
        <w:tc>
          <w:tcPr>
            <w:tcW w:w="1136" w:type="dxa"/>
            <w:vAlign w:val="center"/>
          </w:tcPr>
          <w:p w14:paraId="1ADEF201">
            <w:pPr>
              <w:adjustRightInd w:val="0"/>
              <w:snapToGrid w:val="0"/>
              <w:spacing w:line="360" w:lineRule="auto"/>
              <w:jc w:val="center"/>
              <w:rPr>
                <w:rFonts w:hint="eastAsia" w:ascii="宋体" w:hAnsi="宋体"/>
                <w:color w:val="auto"/>
                <w:kern w:val="0"/>
              </w:rPr>
            </w:pPr>
            <w:r>
              <w:rPr>
                <w:rFonts w:hint="eastAsia"/>
                <w:color w:val="auto"/>
              </w:rPr>
              <w:t>偏离情况</w:t>
            </w:r>
          </w:p>
        </w:tc>
        <w:tc>
          <w:tcPr>
            <w:tcW w:w="1136" w:type="dxa"/>
            <w:vAlign w:val="center"/>
          </w:tcPr>
          <w:p w14:paraId="401FC9E5">
            <w:pPr>
              <w:adjustRightInd w:val="0"/>
              <w:snapToGrid w:val="0"/>
              <w:spacing w:line="360" w:lineRule="auto"/>
              <w:jc w:val="center"/>
              <w:rPr>
                <w:rFonts w:hint="eastAsia" w:ascii="宋体" w:hAnsi="宋体"/>
                <w:color w:val="auto"/>
                <w:kern w:val="0"/>
              </w:rPr>
            </w:pPr>
            <w:r>
              <w:rPr>
                <w:rFonts w:hint="eastAsia"/>
                <w:color w:val="auto"/>
              </w:rPr>
              <w:t>原因说明</w:t>
            </w:r>
          </w:p>
        </w:tc>
      </w:tr>
      <w:tr w14:paraId="22A1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9" w:type="dxa"/>
            <w:vAlign w:val="center"/>
          </w:tcPr>
          <w:p w14:paraId="6471A5A1">
            <w:pPr>
              <w:adjustRightInd w:val="0"/>
              <w:snapToGrid w:val="0"/>
              <w:spacing w:line="360" w:lineRule="auto"/>
              <w:jc w:val="center"/>
              <w:rPr>
                <w:color w:val="auto"/>
              </w:rPr>
            </w:pPr>
            <w:r>
              <w:rPr>
                <w:rFonts w:hint="eastAsia"/>
                <w:color w:val="auto"/>
              </w:rPr>
              <w:t>1</w:t>
            </w:r>
          </w:p>
        </w:tc>
        <w:tc>
          <w:tcPr>
            <w:tcW w:w="3434" w:type="dxa"/>
            <w:vAlign w:val="center"/>
          </w:tcPr>
          <w:p w14:paraId="63DBCC15">
            <w:pPr>
              <w:adjustRightInd w:val="0"/>
              <w:snapToGrid w:val="0"/>
              <w:spacing w:line="360" w:lineRule="auto"/>
              <w:jc w:val="center"/>
              <w:rPr>
                <w:rFonts w:hint="eastAsia" w:hAnsi="宋体"/>
                <w:color w:val="auto"/>
                <w:kern w:val="0"/>
              </w:rPr>
            </w:pPr>
            <w:r>
              <w:rPr>
                <w:rFonts w:hint="eastAsia"/>
                <w:color w:val="auto"/>
              </w:rPr>
              <w:t>满足本项目标</w:t>
            </w:r>
            <w:r>
              <w:rPr>
                <w:color w:val="auto"/>
              </w:rPr>
              <w:t>▲</w:t>
            </w:r>
            <w:r>
              <w:rPr>
                <w:rFonts w:hint="eastAsia"/>
                <w:color w:val="auto"/>
              </w:rPr>
              <w:t>的条款要求</w:t>
            </w:r>
          </w:p>
        </w:tc>
        <w:tc>
          <w:tcPr>
            <w:tcW w:w="1523" w:type="dxa"/>
            <w:vAlign w:val="center"/>
          </w:tcPr>
          <w:p w14:paraId="1BD655D7">
            <w:pPr>
              <w:adjustRightInd w:val="0"/>
              <w:snapToGrid w:val="0"/>
              <w:spacing w:line="360" w:lineRule="auto"/>
              <w:jc w:val="center"/>
              <w:rPr>
                <w:rFonts w:hint="eastAsia" w:ascii="宋体" w:hAnsi="宋体"/>
                <w:color w:val="auto"/>
                <w:kern w:val="0"/>
              </w:rPr>
            </w:pPr>
          </w:p>
        </w:tc>
        <w:tc>
          <w:tcPr>
            <w:tcW w:w="1247" w:type="dxa"/>
            <w:vAlign w:val="center"/>
          </w:tcPr>
          <w:p w14:paraId="56B78D24">
            <w:pPr>
              <w:adjustRightInd w:val="0"/>
              <w:snapToGrid w:val="0"/>
              <w:spacing w:line="360" w:lineRule="auto"/>
              <w:jc w:val="center"/>
              <w:rPr>
                <w:rFonts w:hint="eastAsia" w:ascii="宋体" w:hAnsi="宋体"/>
                <w:color w:val="auto"/>
                <w:kern w:val="0"/>
              </w:rPr>
            </w:pPr>
          </w:p>
        </w:tc>
        <w:tc>
          <w:tcPr>
            <w:tcW w:w="1136" w:type="dxa"/>
            <w:vAlign w:val="center"/>
          </w:tcPr>
          <w:p w14:paraId="484471AD">
            <w:pPr>
              <w:adjustRightInd w:val="0"/>
              <w:snapToGrid w:val="0"/>
              <w:spacing w:line="360" w:lineRule="auto"/>
              <w:jc w:val="center"/>
              <w:rPr>
                <w:rFonts w:hint="eastAsia" w:ascii="宋体" w:hAnsi="宋体"/>
                <w:color w:val="auto"/>
                <w:kern w:val="0"/>
              </w:rPr>
            </w:pPr>
          </w:p>
        </w:tc>
        <w:tc>
          <w:tcPr>
            <w:tcW w:w="1136" w:type="dxa"/>
            <w:vAlign w:val="center"/>
          </w:tcPr>
          <w:p w14:paraId="7A4051B3">
            <w:pPr>
              <w:adjustRightInd w:val="0"/>
              <w:snapToGrid w:val="0"/>
              <w:spacing w:line="360" w:lineRule="auto"/>
              <w:jc w:val="center"/>
              <w:rPr>
                <w:rFonts w:hint="eastAsia" w:ascii="宋体" w:hAnsi="宋体"/>
                <w:color w:val="auto"/>
                <w:kern w:val="0"/>
              </w:rPr>
            </w:pPr>
          </w:p>
        </w:tc>
      </w:tr>
      <w:tr w14:paraId="3998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3ED68296">
            <w:pPr>
              <w:adjustRightInd w:val="0"/>
              <w:snapToGrid w:val="0"/>
              <w:spacing w:line="360" w:lineRule="auto"/>
              <w:jc w:val="center"/>
              <w:rPr>
                <w:color w:val="auto"/>
              </w:rPr>
            </w:pPr>
            <w:r>
              <w:rPr>
                <w:rFonts w:hint="eastAsia"/>
                <w:color w:val="auto"/>
              </w:rPr>
              <w:t>2</w:t>
            </w:r>
          </w:p>
        </w:tc>
        <w:tc>
          <w:tcPr>
            <w:tcW w:w="3434" w:type="dxa"/>
            <w:vAlign w:val="center"/>
          </w:tcPr>
          <w:p w14:paraId="634C62CB">
            <w:pPr>
              <w:adjustRightInd w:val="0"/>
              <w:snapToGrid w:val="0"/>
              <w:spacing w:line="360" w:lineRule="auto"/>
              <w:jc w:val="center"/>
              <w:rPr>
                <w:color w:val="auto"/>
              </w:rPr>
            </w:pPr>
            <w:r>
              <w:rPr>
                <w:rFonts w:hint="eastAsia"/>
                <w:color w:val="auto"/>
              </w:rPr>
              <w:t>...</w:t>
            </w:r>
          </w:p>
        </w:tc>
        <w:tc>
          <w:tcPr>
            <w:tcW w:w="1523" w:type="dxa"/>
            <w:vAlign w:val="center"/>
          </w:tcPr>
          <w:p w14:paraId="12E3C0F0">
            <w:pPr>
              <w:adjustRightInd w:val="0"/>
              <w:snapToGrid w:val="0"/>
              <w:spacing w:line="360" w:lineRule="auto"/>
              <w:jc w:val="center"/>
              <w:rPr>
                <w:rFonts w:hint="eastAsia" w:ascii="宋体" w:hAnsi="宋体"/>
                <w:color w:val="auto"/>
                <w:kern w:val="0"/>
              </w:rPr>
            </w:pPr>
          </w:p>
        </w:tc>
        <w:tc>
          <w:tcPr>
            <w:tcW w:w="1247" w:type="dxa"/>
            <w:vAlign w:val="center"/>
          </w:tcPr>
          <w:p w14:paraId="7945E783">
            <w:pPr>
              <w:adjustRightInd w:val="0"/>
              <w:snapToGrid w:val="0"/>
              <w:spacing w:line="360" w:lineRule="auto"/>
              <w:jc w:val="center"/>
              <w:rPr>
                <w:rFonts w:hint="eastAsia" w:ascii="宋体" w:hAnsi="宋体"/>
                <w:color w:val="auto"/>
                <w:kern w:val="0"/>
              </w:rPr>
            </w:pPr>
          </w:p>
        </w:tc>
        <w:tc>
          <w:tcPr>
            <w:tcW w:w="1136" w:type="dxa"/>
            <w:vAlign w:val="center"/>
          </w:tcPr>
          <w:p w14:paraId="26F4FC74">
            <w:pPr>
              <w:adjustRightInd w:val="0"/>
              <w:snapToGrid w:val="0"/>
              <w:spacing w:line="360" w:lineRule="auto"/>
              <w:jc w:val="center"/>
              <w:rPr>
                <w:rFonts w:hint="eastAsia" w:ascii="宋体" w:hAnsi="宋体"/>
                <w:color w:val="auto"/>
                <w:kern w:val="0"/>
              </w:rPr>
            </w:pPr>
          </w:p>
        </w:tc>
        <w:tc>
          <w:tcPr>
            <w:tcW w:w="1136" w:type="dxa"/>
            <w:vAlign w:val="center"/>
          </w:tcPr>
          <w:p w14:paraId="7AC578E9">
            <w:pPr>
              <w:adjustRightInd w:val="0"/>
              <w:snapToGrid w:val="0"/>
              <w:spacing w:line="360" w:lineRule="auto"/>
              <w:jc w:val="center"/>
              <w:rPr>
                <w:rFonts w:hint="eastAsia" w:ascii="宋体" w:hAnsi="宋体"/>
                <w:color w:val="auto"/>
                <w:kern w:val="0"/>
              </w:rPr>
            </w:pPr>
          </w:p>
        </w:tc>
      </w:tr>
      <w:tr w14:paraId="51BB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Align w:val="center"/>
          </w:tcPr>
          <w:p w14:paraId="06E5BB3E">
            <w:pPr>
              <w:adjustRightInd w:val="0"/>
              <w:snapToGrid w:val="0"/>
              <w:spacing w:line="360" w:lineRule="auto"/>
              <w:jc w:val="center"/>
              <w:rPr>
                <w:color w:val="auto"/>
              </w:rPr>
            </w:pPr>
            <w:r>
              <w:rPr>
                <w:rFonts w:hint="eastAsia"/>
                <w:color w:val="auto"/>
              </w:rPr>
              <w:t>3</w:t>
            </w:r>
          </w:p>
        </w:tc>
        <w:tc>
          <w:tcPr>
            <w:tcW w:w="3434" w:type="dxa"/>
            <w:vAlign w:val="center"/>
          </w:tcPr>
          <w:p w14:paraId="40F499B9">
            <w:pPr>
              <w:adjustRightInd w:val="0"/>
              <w:snapToGrid w:val="0"/>
              <w:spacing w:line="360" w:lineRule="auto"/>
              <w:jc w:val="center"/>
              <w:rPr>
                <w:color w:val="auto"/>
              </w:rPr>
            </w:pPr>
            <w:r>
              <w:rPr>
                <w:rFonts w:hint="eastAsia"/>
                <w:color w:val="auto"/>
              </w:rPr>
              <w:t>...</w:t>
            </w:r>
          </w:p>
        </w:tc>
        <w:tc>
          <w:tcPr>
            <w:tcW w:w="1523" w:type="dxa"/>
            <w:vAlign w:val="center"/>
          </w:tcPr>
          <w:p w14:paraId="7FC249D4">
            <w:pPr>
              <w:adjustRightInd w:val="0"/>
              <w:snapToGrid w:val="0"/>
              <w:spacing w:line="360" w:lineRule="auto"/>
              <w:jc w:val="center"/>
              <w:rPr>
                <w:rFonts w:hint="eastAsia" w:ascii="宋体" w:hAnsi="宋体"/>
                <w:color w:val="auto"/>
                <w:kern w:val="0"/>
              </w:rPr>
            </w:pPr>
          </w:p>
        </w:tc>
        <w:tc>
          <w:tcPr>
            <w:tcW w:w="1247" w:type="dxa"/>
            <w:vAlign w:val="center"/>
          </w:tcPr>
          <w:p w14:paraId="5BDF91FD">
            <w:pPr>
              <w:adjustRightInd w:val="0"/>
              <w:snapToGrid w:val="0"/>
              <w:spacing w:line="360" w:lineRule="auto"/>
              <w:jc w:val="center"/>
              <w:rPr>
                <w:rFonts w:hint="eastAsia" w:ascii="宋体" w:hAnsi="宋体"/>
                <w:color w:val="auto"/>
                <w:kern w:val="0"/>
              </w:rPr>
            </w:pPr>
          </w:p>
        </w:tc>
        <w:tc>
          <w:tcPr>
            <w:tcW w:w="1136" w:type="dxa"/>
            <w:vAlign w:val="center"/>
          </w:tcPr>
          <w:p w14:paraId="25FB77FC">
            <w:pPr>
              <w:adjustRightInd w:val="0"/>
              <w:snapToGrid w:val="0"/>
              <w:spacing w:line="360" w:lineRule="auto"/>
              <w:jc w:val="center"/>
              <w:rPr>
                <w:rFonts w:hint="eastAsia" w:ascii="宋体" w:hAnsi="宋体"/>
                <w:color w:val="auto"/>
                <w:kern w:val="0"/>
              </w:rPr>
            </w:pPr>
          </w:p>
        </w:tc>
        <w:tc>
          <w:tcPr>
            <w:tcW w:w="1136" w:type="dxa"/>
            <w:vAlign w:val="center"/>
          </w:tcPr>
          <w:p w14:paraId="1CA7139D">
            <w:pPr>
              <w:adjustRightInd w:val="0"/>
              <w:snapToGrid w:val="0"/>
              <w:spacing w:line="360" w:lineRule="auto"/>
              <w:jc w:val="center"/>
              <w:rPr>
                <w:rFonts w:hint="eastAsia" w:ascii="宋体" w:hAnsi="宋体"/>
                <w:color w:val="auto"/>
                <w:kern w:val="0"/>
              </w:rPr>
            </w:pPr>
          </w:p>
        </w:tc>
      </w:tr>
    </w:tbl>
    <w:p w14:paraId="4FBE6941">
      <w:pPr>
        <w:ind w:firstLine="210" w:firstLineChars="100"/>
        <w:rPr>
          <w:color w:val="auto"/>
        </w:rPr>
      </w:pPr>
    </w:p>
    <w:p w14:paraId="3DB457AA">
      <w:pPr>
        <w:ind w:firstLine="210" w:firstLineChars="100"/>
        <w:rPr>
          <w:color w:val="auto"/>
        </w:rPr>
      </w:pPr>
      <w:r>
        <w:rPr>
          <w:color w:val="auto"/>
        </w:rPr>
        <w:t>说明：</w:t>
      </w:r>
    </w:p>
    <w:p w14:paraId="71998DD1">
      <w:pPr>
        <w:widowControl/>
        <w:snapToGrid w:val="0"/>
        <w:ind w:firstLine="420" w:firstLineChars="200"/>
        <w:jc w:val="left"/>
        <w:rPr>
          <w:rFonts w:hint="eastAsia" w:ascii="宋体" w:hAnsi="宋体"/>
          <w:color w:val="auto"/>
          <w:kern w:val="0"/>
        </w:rPr>
      </w:pPr>
      <w:r>
        <w:rPr>
          <w:rFonts w:hint="eastAsia" w:ascii="宋体" w:hAnsi="宋体"/>
          <w:color w:val="auto"/>
          <w:kern w:val="0"/>
        </w:rPr>
        <w:t>1.根据采购文件第三章“用户需求书中”打“▲”号条款，逐条详细填写投标人自身响应情况，并列明具体响应数值或内容。</w:t>
      </w:r>
    </w:p>
    <w:p w14:paraId="75E1AECA">
      <w:pPr>
        <w:pStyle w:val="41"/>
        <w:spacing w:line="240" w:lineRule="auto"/>
        <w:rPr>
          <w:rFonts w:hint="eastAsia"/>
          <w:color w:val="auto"/>
          <w:kern w:val="0"/>
        </w:rPr>
      </w:pPr>
      <w:r>
        <w:rPr>
          <w:rFonts w:hint="eastAsia"/>
          <w:color w:val="auto"/>
          <w:kern w:val="0"/>
        </w:rPr>
        <w:t>2.要求提供佐证材料的，需在“原因说明”栏中说明佐证材料在投标文件中的具体位置及页码。未按要求提供佐证材料或提供的佐证资料显示不符合参数要求的、模糊不清无法判断或未显示出是否满足参数要求的，均视为负偏离。只注明符合、满足等无具体内容表述的或者照搬照抄重要技术参数条款的，该项不得分。</w:t>
      </w:r>
    </w:p>
    <w:p w14:paraId="4075A598">
      <w:pPr>
        <w:pStyle w:val="41"/>
        <w:spacing w:line="240" w:lineRule="auto"/>
        <w:rPr>
          <w:rFonts w:hint="eastAsia"/>
          <w:color w:val="auto"/>
          <w:kern w:val="0"/>
        </w:rPr>
      </w:pPr>
      <w:r>
        <w:rPr>
          <w:rFonts w:hint="eastAsia"/>
          <w:color w:val="auto"/>
          <w:kern w:val="0"/>
        </w:rPr>
        <w:t>3.若有部分“▲”条款未响应或不满足，不作为无效投标条款，评审委员会将根据评审因素进行相应评分。</w:t>
      </w:r>
    </w:p>
    <w:p w14:paraId="10960498">
      <w:pPr>
        <w:ind w:firstLine="480"/>
        <w:rPr>
          <w:color w:val="auto"/>
        </w:rPr>
      </w:pPr>
      <w:r>
        <w:rPr>
          <w:rFonts w:hint="eastAsia"/>
          <w:color w:val="auto"/>
        </w:rPr>
        <w:t>4</w:t>
      </w:r>
      <w:r>
        <w:rPr>
          <w:color w:val="auto"/>
        </w:rPr>
        <w:t>. “是否偏离”项下应按下列规定填写：优于的，填写“正偏离”；符合的，填写“无偏离”；低于的，填写“负偏离”。</w:t>
      </w:r>
    </w:p>
    <w:p w14:paraId="7F361BE3">
      <w:pPr>
        <w:pStyle w:val="21"/>
        <w:ind w:left="1470" w:right="1470"/>
        <w:rPr>
          <w:rFonts w:hint="eastAsia" w:hAnsi="宋体"/>
          <w:color w:val="auto"/>
        </w:rPr>
      </w:pPr>
    </w:p>
    <w:p w14:paraId="116D25EA">
      <w:pPr>
        <w:pStyle w:val="21"/>
        <w:ind w:left="1470" w:right="1470"/>
        <w:rPr>
          <w:rFonts w:hint="eastAsia" w:hAnsi="宋体"/>
          <w:color w:val="auto"/>
        </w:rPr>
      </w:pPr>
    </w:p>
    <w:p w14:paraId="22B5D4F1">
      <w:pPr>
        <w:pStyle w:val="21"/>
        <w:ind w:left="1470" w:right="1470"/>
        <w:rPr>
          <w:rFonts w:hint="eastAsia" w:hAnsi="宋体"/>
          <w:color w:val="auto"/>
        </w:rPr>
      </w:pPr>
    </w:p>
    <w:p w14:paraId="03C2D4AA">
      <w:pPr>
        <w:pStyle w:val="21"/>
        <w:ind w:left="1470" w:right="1470"/>
        <w:rPr>
          <w:rFonts w:hint="eastAsia" w:hAnsi="宋体"/>
          <w:color w:val="auto"/>
        </w:rPr>
      </w:pPr>
    </w:p>
    <w:p w14:paraId="5856FB22">
      <w:pPr>
        <w:pStyle w:val="21"/>
        <w:ind w:left="1470" w:right="1470"/>
        <w:rPr>
          <w:rFonts w:hint="eastAsia" w:hAnsi="宋体"/>
          <w:color w:val="auto"/>
        </w:rPr>
      </w:pPr>
    </w:p>
    <w:p w14:paraId="56C60F3A">
      <w:pPr>
        <w:pStyle w:val="5"/>
        <w:ind w:firstLine="361"/>
        <w:jc w:val="center"/>
        <w:rPr>
          <w:rFonts w:hint="eastAsia" w:ascii="黑体" w:hAnsi="黑体" w:eastAsia="黑体" w:cs="黑体"/>
          <w:b/>
          <w:color w:val="auto"/>
          <w:sz w:val="21"/>
          <w:szCs w:val="21"/>
        </w:rPr>
      </w:pPr>
      <w:r>
        <w:rPr>
          <w:rFonts w:hint="eastAsia" w:ascii="黑体" w:hAnsi="黑体" w:eastAsia="黑体" w:cs="黑体"/>
          <w:b/>
          <w:color w:val="auto"/>
          <w:sz w:val="24"/>
          <w:szCs w:val="24"/>
        </w:rPr>
        <w:t>十、商务条款偏离表</w:t>
      </w:r>
    </w:p>
    <w:tbl>
      <w:tblPr>
        <w:tblStyle w:val="42"/>
        <w:tblpPr w:leftFromText="180" w:rightFromText="180" w:vertAnchor="text" w:tblpXSpec="center" w:tblpY="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107"/>
        <w:gridCol w:w="2107"/>
        <w:gridCol w:w="1532"/>
        <w:gridCol w:w="2539"/>
      </w:tblGrid>
      <w:tr w14:paraId="43C0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9" w:type="pct"/>
          </w:tcPr>
          <w:p w14:paraId="1BF6B602">
            <w:pPr>
              <w:widowControl/>
              <w:jc w:val="center"/>
              <w:rPr>
                <w:rFonts w:hint="eastAsia" w:ascii="宋体" w:hAnsi="宋体" w:cs="宋体"/>
                <w:color w:val="auto"/>
              </w:rPr>
            </w:pPr>
            <w:r>
              <w:rPr>
                <w:rFonts w:hint="eastAsia" w:ascii="宋体" w:hAnsi="宋体" w:cs="宋体"/>
                <w:color w:val="auto"/>
              </w:rPr>
              <w:t>序号</w:t>
            </w:r>
          </w:p>
        </w:tc>
        <w:tc>
          <w:tcPr>
            <w:tcW w:w="1149" w:type="pct"/>
          </w:tcPr>
          <w:p w14:paraId="07879AC8">
            <w:pPr>
              <w:widowControl/>
              <w:jc w:val="center"/>
              <w:rPr>
                <w:rFonts w:hint="eastAsia" w:ascii="宋体" w:hAnsi="宋体" w:cs="宋体"/>
                <w:color w:val="auto"/>
              </w:rPr>
            </w:pPr>
            <w:r>
              <w:rPr>
                <w:rFonts w:hint="eastAsia" w:ascii="宋体" w:hAnsi="宋体" w:cs="宋体"/>
                <w:color w:val="auto"/>
                <w:lang w:val="en-US" w:eastAsia="zh-CN"/>
              </w:rPr>
              <w:t>文件</w:t>
            </w:r>
            <w:r>
              <w:rPr>
                <w:rFonts w:hint="eastAsia" w:ascii="宋体" w:hAnsi="宋体" w:cs="宋体"/>
                <w:color w:val="auto"/>
              </w:rPr>
              <w:t>商务条款</w:t>
            </w:r>
          </w:p>
        </w:tc>
        <w:tc>
          <w:tcPr>
            <w:tcW w:w="1149" w:type="pct"/>
          </w:tcPr>
          <w:p w14:paraId="6F0DF4BF">
            <w:pPr>
              <w:widowControl/>
              <w:jc w:val="center"/>
              <w:rPr>
                <w:rFonts w:hint="eastAsia" w:ascii="宋体" w:hAnsi="宋体" w:cs="宋体"/>
                <w:color w:val="auto"/>
              </w:rPr>
            </w:pPr>
            <w:r>
              <w:rPr>
                <w:rFonts w:hint="eastAsia" w:ascii="宋体" w:hAnsi="宋体" w:cs="宋体"/>
                <w:color w:val="auto"/>
              </w:rPr>
              <w:t>投标商务响应</w:t>
            </w:r>
          </w:p>
        </w:tc>
        <w:tc>
          <w:tcPr>
            <w:tcW w:w="835" w:type="pct"/>
          </w:tcPr>
          <w:p w14:paraId="6E0AB29C">
            <w:pPr>
              <w:widowControl/>
              <w:jc w:val="center"/>
              <w:rPr>
                <w:rFonts w:hint="eastAsia" w:ascii="宋体" w:hAnsi="宋体" w:cs="宋体"/>
                <w:color w:val="auto"/>
              </w:rPr>
            </w:pPr>
            <w:r>
              <w:rPr>
                <w:rFonts w:hint="eastAsia" w:ascii="宋体" w:hAnsi="宋体" w:cs="宋体"/>
                <w:color w:val="auto"/>
              </w:rPr>
              <w:t>偏离情况</w:t>
            </w:r>
          </w:p>
        </w:tc>
        <w:tc>
          <w:tcPr>
            <w:tcW w:w="1384" w:type="pct"/>
          </w:tcPr>
          <w:p w14:paraId="1F504C3B">
            <w:pPr>
              <w:widowControl/>
              <w:jc w:val="center"/>
              <w:rPr>
                <w:rFonts w:hint="eastAsia" w:ascii="宋体" w:hAnsi="宋体" w:cs="宋体"/>
                <w:color w:val="auto"/>
              </w:rPr>
            </w:pPr>
            <w:r>
              <w:rPr>
                <w:rFonts w:hint="eastAsia" w:ascii="宋体" w:hAnsi="宋体" w:cs="宋体"/>
                <w:color w:val="auto"/>
              </w:rPr>
              <w:t>说明</w:t>
            </w:r>
          </w:p>
        </w:tc>
      </w:tr>
      <w:tr w14:paraId="1FEA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14:paraId="5DE80284">
            <w:pPr>
              <w:widowControl/>
              <w:rPr>
                <w:rFonts w:hint="eastAsia" w:ascii="宋体" w:hAnsi="宋体" w:cs="宋体"/>
                <w:color w:val="auto"/>
              </w:rPr>
            </w:pPr>
          </w:p>
        </w:tc>
        <w:tc>
          <w:tcPr>
            <w:tcW w:w="1149" w:type="pct"/>
          </w:tcPr>
          <w:p w14:paraId="36FAF2FC">
            <w:pPr>
              <w:widowControl/>
              <w:rPr>
                <w:rFonts w:hint="eastAsia" w:ascii="宋体" w:hAnsi="宋体" w:cs="宋体"/>
                <w:color w:val="auto"/>
              </w:rPr>
            </w:pPr>
          </w:p>
        </w:tc>
        <w:tc>
          <w:tcPr>
            <w:tcW w:w="1149" w:type="pct"/>
          </w:tcPr>
          <w:p w14:paraId="4660D3AE">
            <w:pPr>
              <w:widowControl/>
              <w:rPr>
                <w:rFonts w:hint="eastAsia" w:ascii="宋体" w:hAnsi="宋体" w:cs="宋体"/>
                <w:color w:val="auto"/>
              </w:rPr>
            </w:pPr>
          </w:p>
        </w:tc>
        <w:tc>
          <w:tcPr>
            <w:tcW w:w="835" w:type="pct"/>
          </w:tcPr>
          <w:p w14:paraId="1082A81E">
            <w:pPr>
              <w:widowControl/>
              <w:rPr>
                <w:rFonts w:hint="eastAsia" w:ascii="宋体" w:hAnsi="宋体" w:cs="宋体"/>
                <w:color w:val="auto"/>
              </w:rPr>
            </w:pPr>
          </w:p>
        </w:tc>
        <w:tc>
          <w:tcPr>
            <w:tcW w:w="1384" w:type="pct"/>
          </w:tcPr>
          <w:p w14:paraId="1DC799E0">
            <w:pPr>
              <w:widowControl/>
              <w:rPr>
                <w:rFonts w:hint="eastAsia" w:ascii="宋体" w:hAnsi="宋体" w:cs="宋体"/>
                <w:color w:val="auto"/>
              </w:rPr>
            </w:pPr>
          </w:p>
        </w:tc>
      </w:tr>
      <w:tr w14:paraId="4EB7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14:paraId="1934ABCB">
            <w:pPr>
              <w:widowControl/>
              <w:rPr>
                <w:rFonts w:hint="eastAsia" w:ascii="宋体" w:hAnsi="宋体" w:cs="宋体"/>
                <w:color w:val="auto"/>
              </w:rPr>
            </w:pPr>
          </w:p>
        </w:tc>
        <w:tc>
          <w:tcPr>
            <w:tcW w:w="1149" w:type="pct"/>
          </w:tcPr>
          <w:p w14:paraId="46114610">
            <w:pPr>
              <w:widowControl/>
              <w:rPr>
                <w:rFonts w:hint="eastAsia" w:ascii="宋体" w:hAnsi="宋体" w:cs="宋体"/>
                <w:color w:val="auto"/>
              </w:rPr>
            </w:pPr>
          </w:p>
        </w:tc>
        <w:tc>
          <w:tcPr>
            <w:tcW w:w="1149" w:type="pct"/>
          </w:tcPr>
          <w:p w14:paraId="161EB10E">
            <w:pPr>
              <w:widowControl/>
              <w:rPr>
                <w:rFonts w:hint="eastAsia" w:ascii="宋体" w:hAnsi="宋体" w:cs="宋体"/>
                <w:color w:val="auto"/>
              </w:rPr>
            </w:pPr>
          </w:p>
        </w:tc>
        <w:tc>
          <w:tcPr>
            <w:tcW w:w="835" w:type="pct"/>
          </w:tcPr>
          <w:p w14:paraId="6B136694">
            <w:pPr>
              <w:widowControl/>
              <w:rPr>
                <w:rFonts w:hint="eastAsia" w:ascii="宋体" w:hAnsi="宋体" w:cs="宋体"/>
                <w:color w:val="auto"/>
              </w:rPr>
            </w:pPr>
          </w:p>
        </w:tc>
        <w:tc>
          <w:tcPr>
            <w:tcW w:w="1384" w:type="pct"/>
          </w:tcPr>
          <w:p w14:paraId="6A1ADFAC">
            <w:pPr>
              <w:widowControl/>
              <w:rPr>
                <w:rFonts w:hint="eastAsia" w:ascii="宋体" w:hAnsi="宋体" w:cs="宋体"/>
                <w:color w:val="auto"/>
              </w:rPr>
            </w:pPr>
          </w:p>
        </w:tc>
      </w:tr>
      <w:tr w14:paraId="383B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14:paraId="0A95AA37">
            <w:pPr>
              <w:widowControl/>
              <w:rPr>
                <w:rFonts w:hint="eastAsia" w:ascii="宋体" w:hAnsi="宋体" w:cs="宋体"/>
                <w:color w:val="auto"/>
              </w:rPr>
            </w:pPr>
          </w:p>
        </w:tc>
        <w:tc>
          <w:tcPr>
            <w:tcW w:w="1149" w:type="pct"/>
          </w:tcPr>
          <w:p w14:paraId="69C03ADB">
            <w:pPr>
              <w:widowControl/>
              <w:rPr>
                <w:rFonts w:hint="eastAsia" w:ascii="宋体" w:hAnsi="宋体" w:cs="宋体"/>
                <w:color w:val="auto"/>
              </w:rPr>
            </w:pPr>
          </w:p>
        </w:tc>
        <w:tc>
          <w:tcPr>
            <w:tcW w:w="1149" w:type="pct"/>
          </w:tcPr>
          <w:p w14:paraId="76644B24">
            <w:pPr>
              <w:widowControl/>
              <w:rPr>
                <w:rFonts w:hint="eastAsia" w:ascii="宋体" w:hAnsi="宋体" w:cs="宋体"/>
                <w:color w:val="auto"/>
              </w:rPr>
            </w:pPr>
          </w:p>
        </w:tc>
        <w:tc>
          <w:tcPr>
            <w:tcW w:w="835" w:type="pct"/>
          </w:tcPr>
          <w:p w14:paraId="7E22A4C5">
            <w:pPr>
              <w:widowControl/>
              <w:rPr>
                <w:rFonts w:hint="eastAsia" w:ascii="宋体" w:hAnsi="宋体" w:cs="宋体"/>
                <w:color w:val="auto"/>
              </w:rPr>
            </w:pPr>
          </w:p>
        </w:tc>
        <w:tc>
          <w:tcPr>
            <w:tcW w:w="1384" w:type="pct"/>
          </w:tcPr>
          <w:p w14:paraId="46C9FE76">
            <w:pPr>
              <w:widowControl/>
              <w:rPr>
                <w:rFonts w:hint="eastAsia" w:ascii="宋体" w:hAnsi="宋体" w:cs="宋体"/>
                <w:color w:val="auto"/>
              </w:rPr>
            </w:pPr>
          </w:p>
        </w:tc>
      </w:tr>
      <w:tr w14:paraId="4089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tcPr>
          <w:p w14:paraId="1613600A">
            <w:pPr>
              <w:widowControl/>
              <w:rPr>
                <w:rFonts w:hint="eastAsia" w:ascii="宋体" w:hAnsi="宋体" w:cs="宋体"/>
                <w:color w:val="auto"/>
              </w:rPr>
            </w:pPr>
          </w:p>
        </w:tc>
        <w:tc>
          <w:tcPr>
            <w:tcW w:w="1149" w:type="pct"/>
          </w:tcPr>
          <w:p w14:paraId="1EBBEC4B">
            <w:pPr>
              <w:widowControl/>
              <w:rPr>
                <w:rFonts w:hint="eastAsia" w:ascii="宋体" w:hAnsi="宋体" w:cs="宋体"/>
                <w:color w:val="auto"/>
              </w:rPr>
            </w:pPr>
          </w:p>
        </w:tc>
        <w:tc>
          <w:tcPr>
            <w:tcW w:w="1149" w:type="pct"/>
          </w:tcPr>
          <w:p w14:paraId="41A8E7A6">
            <w:pPr>
              <w:widowControl/>
              <w:rPr>
                <w:rFonts w:hint="eastAsia" w:ascii="宋体" w:hAnsi="宋体" w:cs="宋体"/>
                <w:color w:val="auto"/>
              </w:rPr>
            </w:pPr>
          </w:p>
        </w:tc>
        <w:tc>
          <w:tcPr>
            <w:tcW w:w="835" w:type="pct"/>
          </w:tcPr>
          <w:p w14:paraId="6356B85B">
            <w:pPr>
              <w:widowControl/>
              <w:rPr>
                <w:rFonts w:hint="eastAsia" w:ascii="宋体" w:hAnsi="宋体" w:cs="宋体"/>
                <w:color w:val="auto"/>
              </w:rPr>
            </w:pPr>
          </w:p>
        </w:tc>
        <w:tc>
          <w:tcPr>
            <w:tcW w:w="1384" w:type="pct"/>
          </w:tcPr>
          <w:p w14:paraId="0EC96902">
            <w:pPr>
              <w:widowControl/>
              <w:rPr>
                <w:rFonts w:hint="eastAsia" w:ascii="宋体" w:hAnsi="宋体" w:cs="宋体"/>
                <w:color w:val="auto"/>
              </w:rPr>
            </w:pPr>
          </w:p>
        </w:tc>
      </w:tr>
    </w:tbl>
    <w:p w14:paraId="0CE7A1BF">
      <w:pPr>
        <w:rPr>
          <w:rFonts w:hint="eastAsia" w:ascii="宋体" w:hAnsi="宋体" w:cs="宋体"/>
          <w:color w:val="auto"/>
        </w:rPr>
      </w:pPr>
    </w:p>
    <w:p w14:paraId="3F0A3DCE">
      <w:pPr>
        <w:rPr>
          <w:rFonts w:hint="eastAsia" w:ascii="宋体" w:hAnsi="宋体" w:cs="宋体"/>
          <w:color w:val="auto"/>
        </w:rPr>
      </w:pPr>
      <w:r>
        <w:rPr>
          <w:rFonts w:hint="eastAsia" w:ascii="宋体" w:hAnsi="宋体" w:cs="宋体"/>
          <w:color w:val="auto"/>
        </w:rPr>
        <w:t>说明：</w:t>
      </w:r>
    </w:p>
    <w:p w14:paraId="4624F0F5">
      <w:pPr>
        <w:ind w:firstLine="420" w:firstLineChars="200"/>
        <w:rPr>
          <w:rFonts w:hint="eastAsia" w:ascii="宋体" w:hAnsi="宋体" w:cs="宋体"/>
          <w:color w:val="auto"/>
        </w:rPr>
      </w:pPr>
      <w:r>
        <w:rPr>
          <w:rFonts w:hint="eastAsia" w:ascii="宋体" w:hAnsi="宋体"/>
          <w:color w:val="auto"/>
          <w:kern w:val="0"/>
        </w:rPr>
        <w:t>1.根据采购文件第三章“用户需求书中”商务条款，逐条详细填写投标人自身响应情况。要求提供佐证材料的，需在“原因说明”栏中说明佐证材料在投标文件中的具体位置及页码。</w:t>
      </w:r>
    </w:p>
    <w:p w14:paraId="5108354A">
      <w:pPr>
        <w:widowControl/>
        <w:tabs>
          <w:tab w:val="left" w:pos="720"/>
        </w:tabs>
        <w:spacing w:line="360" w:lineRule="auto"/>
        <w:rPr>
          <w:rFonts w:hint="eastAsia" w:ascii="黑体" w:hAnsi="宋体" w:eastAsia="黑体"/>
          <w:b/>
          <w:color w:val="auto"/>
          <w:sz w:val="24"/>
        </w:rPr>
      </w:pPr>
    </w:p>
    <w:p w14:paraId="4601FABA">
      <w:pPr>
        <w:pStyle w:val="41"/>
        <w:ind w:firstLine="482"/>
        <w:rPr>
          <w:rFonts w:hint="eastAsia" w:ascii="黑体" w:eastAsia="黑体"/>
          <w:b/>
          <w:color w:val="auto"/>
          <w:sz w:val="24"/>
        </w:rPr>
      </w:pPr>
    </w:p>
    <w:p w14:paraId="1E4ABB44">
      <w:pPr>
        <w:rPr>
          <w:rFonts w:hint="eastAsia" w:ascii="黑体" w:hAnsi="宋体" w:eastAsia="黑体"/>
          <w:b/>
          <w:color w:val="auto"/>
          <w:sz w:val="24"/>
        </w:rPr>
      </w:pPr>
    </w:p>
    <w:p w14:paraId="5F8B6E01">
      <w:pPr>
        <w:pStyle w:val="41"/>
        <w:ind w:firstLine="482"/>
        <w:rPr>
          <w:rFonts w:hint="eastAsia" w:ascii="黑体" w:eastAsia="黑体"/>
          <w:b/>
          <w:color w:val="auto"/>
          <w:sz w:val="24"/>
        </w:rPr>
      </w:pPr>
    </w:p>
    <w:p w14:paraId="026F7A23">
      <w:pPr>
        <w:rPr>
          <w:color w:val="auto"/>
        </w:rPr>
      </w:pPr>
    </w:p>
    <w:p w14:paraId="6D2D6C57">
      <w:pPr>
        <w:pStyle w:val="5"/>
        <w:numPr>
          <w:ilvl w:val="0"/>
          <w:numId w:val="13"/>
        </w:numPr>
        <w:ind w:firstLine="361"/>
        <w:jc w:val="center"/>
        <w:rPr>
          <w:rFonts w:hint="eastAsia" w:ascii="黑体" w:hAnsi="黑体" w:eastAsia="黑体" w:cs="黑体"/>
          <w:b/>
          <w:color w:val="auto"/>
          <w:sz w:val="24"/>
          <w:szCs w:val="24"/>
        </w:rPr>
      </w:pPr>
      <w:r>
        <w:rPr>
          <w:rFonts w:hint="eastAsia" w:ascii="黑体" w:hAnsi="黑体" w:eastAsia="黑体" w:cs="黑体"/>
          <w:b/>
          <w:color w:val="auto"/>
          <w:sz w:val="24"/>
          <w:szCs w:val="24"/>
        </w:rPr>
        <w:t>项目实施方案（格式自定）</w:t>
      </w:r>
    </w:p>
    <w:p w14:paraId="41E06758">
      <w:pPr>
        <w:rPr>
          <w:rFonts w:hint="eastAsia" w:ascii="宋体" w:hAnsi="宋体"/>
          <w:color w:val="auto"/>
          <w:kern w:val="0"/>
        </w:rPr>
      </w:pPr>
      <w:r>
        <w:rPr>
          <w:rFonts w:hint="eastAsia" w:ascii="宋体" w:hAnsi="宋体"/>
          <w:color w:val="auto"/>
          <w:kern w:val="0"/>
        </w:rPr>
        <w:t>特别提示：</w:t>
      </w:r>
    </w:p>
    <w:p w14:paraId="2724C51D">
      <w:pPr>
        <w:ind w:firstLine="420" w:firstLineChars="200"/>
        <w:rPr>
          <w:rFonts w:hint="eastAsia" w:ascii="宋体" w:hAnsi="宋体"/>
          <w:color w:val="auto"/>
          <w:kern w:val="0"/>
        </w:rPr>
      </w:pPr>
      <w:r>
        <w:rPr>
          <w:rFonts w:hint="eastAsia" w:ascii="宋体" w:hAnsi="宋体"/>
          <w:color w:val="auto"/>
          <w:kern w:val="0"/>
        </w:rPr>
        <w:t>供应商需根据商务技术评审因素，逐项响应！</w:t>
      </w:r>
    </w:p>
    <w:p w14:paraId="3B6C604C">
      <w:pPr>
        <w:pStyle w:val="41"/>
        <w:ind w:firstLine="482"/>
        <w:rPr>
          <w:rFonts w:hint="eastAsia" w:ascii="黑体" w:eastAsia="黑体"/>
          <w:b/>
          <w:color w:val="auto"/>
          <w:sz w:val="24"/>
        </w:rPr>
      </w:pPr>
    </w:p>
    <w:p w14:paraId="67357153">
      <w:pPr>
        <w:rPr>
          <w:rFonts w:hint="eastAsia" w:ascii="黑体" w:hAnsi="宋体" w:eastAsia="黑体"/>
          <w:bCs/>
          <w:color w:val="auto"/>
          <w:sz w:val="24"/>
        </w:rPr>
      </w:pPr>
    </w:p>
    <w:bookmarkEnd w:id="69"/>
    <w:bookmarkEnd w:id="70"/>
    <w:p w14:paraId="37637943">
      <w:pPr>
        <w:jc w:val="left"/>
        <w:rPr>
          <w:rFonts w:hint="eastAsia" w:ascii="方正小标宋_GBK" w:hAnsi="方正小标宋_GBK" w:eastAsia="方正小标宋_GBK" w:cs="方正小标宋_GBK"/>
          <w:b/>
          <w:color w:val="auto"/>
          <w:sz w:val="44"/>
          <w:szCs w:val="44"/>
        </w:rPr>
      </w:pPr>
      <w:r>
        <w:rPr>
          <w:rFonts w:hint="eastAsia" w:ascii="方正小标宋_GBK" w:hAnsi="方正小标宋_GBK" w:eastAsia="方正小标宋_GBK" w:cs="方正小标宋_GBK"/>
          <w:b/>
          <w:color w:val="auto"/>
          <w:sz w:val="44"/>
          <w:szCs w:val="44"/>
        </w:rPr>
        <w:t>投标文件附件</w:t>
      </w:r>
    </w:p>
    <w:p w14:paraId="69ABF506">
      <w:pPr>
        <w:pStyle w:val="5"/>
        <w:ind w:firstLine="361"/>
        <w:jc w:val="center"/>
        <w:rPr>
          <w:b/>
          <w:color w:val="auto"/>
          <w:sz w:val="24"/>
        </w:rPr>
      </w:pPr>
      <w:r>
        <w:rPr>
          <w:rFonts w:hint="eastAsia" w:ascii="黑体" w:eastAsia="黑体"/>
          <w:b/>
          <w:color w:val="auto"/>
          <w:sz w:val="24"/>
        </w:rPr>
        <w:t>附件一、</w:t>
      </w:r>
      <w:bookmarkStart w:id="79" w:name="_Hlk72092499"/>
      <w:bookmarkStart w:id="80" w:name="_Hlk200903917"/>
      <w:r>
        <w:rPr>
          <w:rFonts w:hint="eastAsia" w:ascii="黑体" w:eastAsia="黑体"/>
          <w:b/>
          <w:color w:val="auto"/>
          <w:sz w:val="24"/>
        </w:rPr>
        <w:t>法定代表人（负责人）证明书</w:t>
      </w:r>
      <w:bookmarkEnd w:id="79"/>
    </w:p>
    <w:p w14:paraId="7260A057">
      <w:pPr>
        <w:spacing w:line="360" w:lineRule="auto"/>
        <w:rPr>
          <w:color w:val="auto"/>
        </w:rPr>
      </w:pPr>
      <w:r>
        <w:rPr>
          <w:rFonts w:hint="eastAsia"/>
          <w:color w:val="auto"/>
        </w:rPr>
        <w:t xml:space="preserve">   </w:t>
      </w:r>
      <w:r>
        <w:rPr>
          <w:rFonts w:hint="eastAsia"/>
          <w:color w:val="auto"/>
          <w:u w:val="single"/>
        </w:rPr>
        <w:t xml:space="preserve">         </w:t>
      </w:r>
      <w:r>
        <w:rPr>
          <w:rFonts w:hint="eastAsia"/>
          <w:color w:val="auto"/>
        </w:rPr>
        <w:t>同志，身份证号码：</w:t>
      </w:r>
      <w:r>
        <w:rPr>
          <w:rFonts w:hint="eastAsia"/>
          <w:color w:val="auto"/>
          <w:u w:val="single"/>
        </w:rPr>
        <w:t xml:space="preserve">               </w:t>
      </w:r>
      <w:r>
        <w:rPr>
          <w:rFonts w:hint="eastAsia"/>
          <w:color w:val="auto"/>
        </w:rPr>
        <w:t>，现任我单位</w:t>
      </w:r>
      <w:r>
        <w:rPr>
          <w:rFonts w:hint="eastAsia"/>
          <w:color w:val="auto"/>
          <w:u w:val="single"/>
        </w:rPr>
        <w:t xml:space="preserve">         </w:t>
      </w:r>
      <w:r>
        <w:rPr>
          <w:rFonts w:hint="eastAsia"/>
          <w:color w:val="auto"/>
        </w:rPr>
        <w:t>职务，为法定代表人（负责人），特此证明。</w:t>
      </w:r>
    </w:p>
    <w:tbl>
      <w:tblPr>
        <w:tblStyle w:val="42"/>
        <w:tblpPr w:leftFromText="180" w:rightFromText="180" w:vertAnchor="text" w:horzAnchor="page" w:tblpX="2368" w:tblpY="250"/>
        <w:tblOverlap w:val="never"/>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280"/>
      </w:tblGrid>
      <w:tr w14:paraId="1F9C4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80" w:hRule="atLeast"/>
        </w:trPr>
        <w:tc>
          <w:tcPr>
            <w:tcW w:w="7280" w:type="dxa"/>
          </w:tcPr>
          <w:p w14:paraId="2D919488">
            <w:pPr>
              <w:rPr>
                <w:color w:val="auto"/>
              </w:rPr>
            </w:pPr>
          </w:p>
          <w:p w14:paraId="1615329F">
            <w:pPr>
              <w:pStyle w:val="2"/>
              <w:rPr>
                <w:color w:val="auto"/>
              </w:rPr>
            </w:pPr>
          </w:p>
          <w:p w14:paraId="7E47010D">
            <w:pPr>
              <w:jc w:val="center"/>
              <w:rPr>
                <w:color w:val="auto"/>
              </w:rPr>
            </w:pPr>
            <w:r>
              <w:rPr>
                <w:rFonts w:hint="eastAsia" w:ascii="宋体" w:hAnsi="宋体"/>
                <w:color w:val="auto"/>
              </w:rPr>
              <w:t>★粘贴：</w:t>
            </w:r>
            <w:r>
              <w:rPr>
                <w:rFonts w:hint="eastAsia"/>
                <w:color w:val="auto"/>
              </w:rPr>
              <w:t>法定代表人（负责人）身份证扫描件（正反两面）；</w:t>
            </w:r>
          </w:p>
          <w:p w14:paraId="24C01035">
            <w:pPr>
              <w:jc w:val="center"/>
              <w:rPr>
                <w:rFonts w:hint="eastAsia" w:ascii="宋体" w:hAnsi="宋体"/>
                <w:color w:val="auto"/>
              </w:rPr>
            </w:pPr>
            <w:r>
              <w:rPr>
                <w:rFonts w:hint="eastAsia"/>
                <w:color w:val="auto"/>
              </w:rPr>
              <w:t>非中国国籍管辖范围人员，可提供公安部门认可的身份证明材料扫描件。</w:t>
            </w:r>
          </w:p>
          <w:p w14:paraId="407CCF63">
            <w:pPr>
              <w:pStyle w:val="3"/>
              <w:widowControl w:val="0"/>
              <w:ind w:firstLine="480"/>
              <w:rPr>
                <w:color w:val="auto"/>
              </w:rPr>
            </w:pPr>
          </w:p>
        </w:tc>
      </w:tr>
    </w:tbl>
    <w:p w14:paraId="6B7F745C">
      <w:pPr>
        <w:pStyle w:val="2"/>
        <w:rPr>
          <w:color w:val="auto"/>
          <w:szCs w:val="21"/>
        </w:rPr>
      </w:pPr>
      <w:r>
        <w:rPr>
          <w:rFonts w:hint="eastAsia"/>
          <w:color w:val="auto"/>
          <w:szCs w:val="21"/>
        </w:rPr>
        <w:t xml:space="preserve">       </w:t>
      </w:r>
    </w:p>
    <w:p w14:paraId="7051B517">
      <w:pPr>
        <w:pStyle w:val="2"/>
        <w:rPr>
          <w:color w:val="auto"/>
          <w:szCs w:val="21"/>
        </w:rPr>
      </w:pPr>
      <w:r>
        <w:rPr>
          <w:rFonts w:hint="eastAsia"/>
          <w:color w:val="auto"/>
          <w:szCs w:val="21"/>
        </w:rPr>
        <w:t xml:space="preserve">                                         </w:t>
      </w:r>
    </w:p>
    <w:p w14:paraId="3F1DD3F4">
      <w:pPr>
        <w:ind w:firstLine="480"/>
        <w:rPr>
          <w:color w:val="auto"/>
        </w:rPr>
      </w:pPr>
    </w:p>
    <w:p w14:paraId="2067328E">
      <w:pPr>
        <w:ind w:firstLine="480"/>
        <w:rPr>
          <w:color w:val="auto"/>
        </w:rPr>
      </w:pPr>
    </w:p>
    <w:p w14:paraId="315E2531">
      <w:pPr>
        <w:ind w:firstLine="480"/>
        <w:rPr>
          <w:color w:val="auto"/>
        </w:rPr>
      </w:pPr>
    </w:p>
    <w:p w14:paraId="6D46A551">
      <w:pPr>
        <w:ind w:firstLine="480"/>
        <w:rPr>
          <w:color w:val="auto"/>
        </w:rPr>
      </w:pPr>
    </w:p>
    <w:p w14:paraId="0C0A5B9D">
      <w:pPr>
        <w:ind w:firstLine="480"/>
        <w:rPr>
          <w:color w:val="auto"/>
        </w:rPr>
      </w:pPr>
    </w:p>
    <w:p w14:paraId="76E26F89">
      <w:pPr>
        <w:ind w:firstLine="480"/>
        <w:rPr>
          <w:color w:val="auto"/>
        </w:rPr>
      </w:pPr>
      <w:r>
        <w:rPr>
          <w:rFonts w:hint="eastAsia"/>
          <w:color w:val="auto"/>
        </w:rPr>
        <w:t>说明：</w:t>
      </w:r>
    </w:p>
    <w:p w14:paraId="4873C210">
      <w:pPr>
        <w:ind w:firstLine="480"/>
        <w:rPr>
          <w:color w:val="auto"/>
        </w:rPr>
      </w:pPr>
      <w:r>
        <w:rPr>
          <w:rFonts w:hint="eastAsia"/>
          <w:color w:val="auto"/>
        </w:rPr>
        <w:t>1、法定代表人为投标人（企业事业单位、国家机关、社会团体）的主要行政负责人。</w:t>
      </w:r>
      <w:r>
        <w:rPr>
          <w:color w:val="auto"/>
        </w:rPr>
        <w:t>对于银行、保险、电信、邮政、铁路等行业以及获得总公司投标授权的分公司，可以提供投标分支机构负责人授权书</w:t>
      </w:r>
    </w:p>
    <w:p w14:paraId="3855BB7B">
      <w:pPr>
        <w:spacing w:line="360" w:lineRule="auto"/>
        <w:ind w:firstLine="420" w:firstLineChars="200"/>
        <w:rPr>
          <w:color w:val="auto"/>
        </w:rPr>
      </w:pPr>
      <w:r>
        <w:rPr>
          <w:color w:val="auto"/>
        </w:rPr>
        <w:t xml:space="preserve"> </w:t>
      </w:r>
      <w:r>
        <w:rPr>
          <w:rFonts w:hint="eastAsia"/>
          <w:color w:val="auto"/>
        </w:rPr>
        <w:t>2、内容必须填写真实、清楚，涂改无效，不得转让、买卖。</w:t>
      </w:r>
    </w:p>
    <w:p w14:paraId="11DDCD8A">
      <w:pPr>
        <w:pStyle w:val="41"/>
        <w:rPr>
          <w:rFonts w:hint="eastAsia"/>
          <w:color w:val="auto"/>
        </w:rPr>
      </w:pPr>
    </w:p>
    <w:p w14:paraId="5E6F5EE4">
      <w:pPr>
        <w:jc w:val="center"/>
        <w:rPr>
          <w:color w:val="auto"/>
        </w:rPr>
      </w:pPr>
      <w:r>
        <w:rPr>
          <w:rFonts w:hint="eastAsia"/>
          <w:color w:val="auto"/>
        </w:rPr>
        <w:t xml:space="preserve">                                                 </w:t>
      </w:r>
      <w:r>
        <w:rPr>
          <w:color w:val="auto"/>
        </w:rPr>
        <w:t>投标人</w:t>
      </w:r>
      <w:r>
        <w:rPr>
          <w:rFonts w:hint="eastAsia"/>
          <w:color w:val="auto"/>
        </w:rPr>
        <w:t>（</w:t>
      </w:r>
      <w:r>
        <w:rPr>
          <w:color w:val="auto"/>
        </w:rPr>
        <w:t>签章</w:t>
      </w:r>
      <w:r>
        <w:rPr>
          <w:rFonts w:hint="eastAsia"/>
          <w:color w:val="auto"/>
        </w:rPr>
        <w:t>）</w:t>
      </w:r>
      <w:r>
        <w:rPr>
          <w:color w:val="auto"/>
        </w:rPr>
        <w:t>：_________________</w:t>
      </w:r>
    </w:p>
    <w:p w14:paraId="7E7E0D86">
      <w:pPr>
        <w:jc w:val="center"/>
        <w:rPr>
          <w:color w:val="auto"/>
        </w:rPr>
      </w:pPr>
      <w:r>
        <w:rPr>
          <w:rFonts w:hint="eastAsia"/>
          <w:color w:val="auto"/>
        </w:rPr>
        <w:t xml:space="preserve">                                                 </w:t>
      </w:r>
      <w:r>
        <w:rPr>
          <w:rFonts w:hint="eastAsia" w:ascii="宋体" w:hAnsi="宋体"/>
          <w:color w:val="auto"/>
        </w:rPr>
        <w:t>日期：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r>
        <w:rPr>
          <w:rFonts w:hint="eastAsia"/>
          <w:color w:val="auto"/>
          <w:sz w:val="24"/>
        </w:rPr>
        <w:t xml:space="preserve"> </w:t>
      </w:r>
    </w:p>
    <w:p w14:paraId="797C931C">
      <w:pPr>
        <w:rPr>
          <w:color w:val="auto"/>
        </w:rPr>
      </w:pPr>
    </w:p>
    <w:p w14:paraId="5900D5F2">
      <w:pPr>
        <w:pStyle w:val="5"/>
        <w:spacing w:before="120" w:after="120"/>
        <w:ind w:firstLine="360"/>
        <w:jc w:val="center"/>
        <w:rPr>
          <w:rFonts w:ascii="黑体" w:eastAsia="黑体"/>
          <w:bCs w:val="0"/>
          <w:color w:val="auto"/>
          <w:sz w:val="24"/>
        </w:rPr>
      </w:pPr>
    </w:p>
    <w:p w14:paraId="1F84C658">
      <w:pPr>
        <w:pStyle w:val="5"/>
        <w:spacing w:before="120" w:after="120"/>
        <w:ind w:firstLine="360"/>
        <w:jc w:val="center"/>
        <w:rPr>
          <w:rFonts w:ascii="黑体" w:eastAsia="黑体"/>
          <w:bCs w:val="0"/>
          <w:color w:val="auto"/>
          <w:sz w:val="24"/>
        </w:rPr>
      </w:pPr>
    </w:p>
    <w:p w14:paraId="25C9EB2C">
      <w:pPr>
        <w:pStyle w:val="5"/>
        <w:spacing w:before="120" w:after="120"/>
        <w:ind w:firstLine="2289" w:firstLineChars="950"/>
        <w:rPr>
          <w:rFonts w:ascii="黑体" w:eastAsia="黑体"/>
          <w:b/>
          <w:color w:val="auto"/>
          <w:sz w:val="24"/>
        </w:rPr>
      </w:pPr>
      <w:r>
        <w:rPr>
          <w:rFonts w:hint="eastAsia" w:ascii="黑体" w:eastAsia="黑体"/>
          <w:b/>
          <w:color w:val="auto"/>
          <w:sz w:val="24"/>
        </w:rPr>
        <w:t>附件二、投标文件签署授权委托书</w:t>
      </w:r>
    </w:p>
    <w:p w14:paraId="785916D0">
      <w:pPr>
        <w:spacing w:line="360" w:lineRule="auto"/>
        <w:ind w:firstLine="420" w:firstLineChars="200"/>
        <w:rPr>
          <w:color w:val="auto"/>
        </w:rPr>
      </w:pPr>
      <w:r>
        <w:rPr>
          <w:rFonts w:hint="eastAsia"/>
          <w:color w:val="auto"/>
        </w:rPr>
        <w:t>本授权委托书声明：我</w:t>
      </w:r>
      <w:r>
        <w:rPr>
          <w:rFonts w:hint="eastAsia"/>
          <w:color w:val="auto"/>
          <w:u w:val="single"/>
        </w:rPr>
        <w:t xml:space="preserve">           </w:t>
      </w:r>
      <w:r>
        <w:rPr>
          <w:rFonts w:hint="eastAsia"/>
          <w:color w:val="auto"/>
        </w:rPr>
        <w:t>（姓名）系</w:t>
      </w:r>
      <w:r>
        <w:rPr>
          <w:rFonts w:hint="eastAsia"/>
          <w:color w:val="auto"/>
          <w:u w:val="single"/>
        </w:rPr>
        <w:t xml:space="preserve">             </w:t>
      </w:r>
      <w:r>
        <w:rPr>
          <w:rFonts w:hint="eastAsia"/>
          <w:color w:val="auto"/>
        </w:rPr>
        <w:t>（投标人名称）的法定代表人（负责人），现授权委托</w:t>
      </w:r>
      <w:r>
        <w:rPr>
          <w:rFonts w:hint="eastAsia"/>
          <w:color w:val="auto"/>
          <w:u w:val="single"/>
        </w:rPr>
        <w:t xml:space="preserve">            </w:t>
      </w:r>
      <w:r>
        <w:rPr>
          <w:rFonts w:hint="eastAsia"/>
          <w:color w:val="auto"/>
        </w:rPr>
        <w:t>（姓名）为我单位签署本项目已递交的投标文件的法定代表人（负责人）的授权委托代理人，并以我单位的名义签署响应书和响应文件，与贵单位协商、澄清、解释，质疑，签订合同书并执行一切与此有关的事项。代理人全权代表我所签署的本项目已递交的投标文件内容我均承认。</w:t>
      </w:r>
    </w:p>
    <w:p w14:paraId="30926990">
      <w:pPr>
        <w:pStyle w:val="9"/>
        <w:spacing w:line="360" w:lineRule="auto"/>
        <w:rPr>
          <w:color w:val="auto"/>
        </w:rPr>
      </w:pPr>
      <w:r>
        <w:rPr>
          <w:rFonts w:hint="eastAsia"/>
          <w:color w:val="auto"/>
        </w:rPr>
        <w:t>代理人无转委托权，特此委托。</w:t>
      </w:r>
    </w:p>
    <w:p w14:paraId="63BEB837">
      <w:pPr>
        <w:rPr>
          <w:color w:val="auto"/>
        </w:rPr>
      </w:pPr>
    </w:p>
    <w:tbl>
      <w:tblPr>
        <w:tblStyle w:val="42"/>
        <w:tblpPr w:leftFromText="180" w:rightFromText="180" w:vertAnchor="text" w:horzAnchor="page" w:tblpX="2353" w:tblpY="127"/>
        <w:tblOverlap w:val="never"/>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280"/>
      </w:tblGrid>
      <w:tr w14:paraId="596D6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80" w:hRule="atLeast"/>
        </w:trPr>
        <w:tc>
          <w:tcPr>
            <w:tcW w:w="7280" w:type="dxa"/>
          </w:tcPr>
          <w:p w14:paraId="4AF3EB52">
            <w:pPr>
              <w:rPr>
                <w:color w:val="auto"/>
              </w:rPr>
            </w:pPr>
          </w:p>
          <w:p w14:paraId="20BEFC4E">
            <w:pPr>
              <w:pStyle w:val="2"/>
              <w:rPr>
                <w:color w:val="auto"/>
              </w:rPr>
            </w:pPr>
          </w:p>
          <w:p w14:paraId="6DE3B62E">
            <w:pPr>
              <w:ind w:firstLine="1470" w:firstLineChars="700"/>
              <w:rPr>
                <w:rFonts w:hint="eastAsia" w:ascii="宋体" w:hAnsi="宋体"/>
                <w:bCs/>
                <w:color w:val="auto"/>
              </w:rPr>
            </w:pPr>
            <w:r>
              <w:rPr>
                <w:rFonts w:hint="eastAsia" w:ascii="宋体" w:hAnsi="宋体"/>
                <w:color w:val="auto"/>
              </w:rPr>
              <w:t>★粘贴：</w:t>
            </w:r>
            <w:r>
              <w:rPr>
                <w:rFonts w:hint="eastAsia"/>
                <w:bCs/>
                <w:color w:val="auto"/>
              </w:rPr>
              <w:t>代理人身份证扫描件（正反两面）</w:t>
            </w:r>
          </w:p>
          <w:p w14:paraId="7B3DB985">
            <w:pPr>
              <w:pStyle w:val="3"/>
              <w:widowControl w:val="0"/>
              <w:ind w:firstLine="480"/>
              <w:rPr>
                <w:color w:val="auto"/>
              </w:rPr>
            </w:pPr>
          </w:p>
        </w:tc>
      </w:tr>
    </w:tbl>
    <w:p w14:paraId="62D302B2">
      <w:pPr>
        <w:pStyle w:val="9"/>
        <w:spacing w:line="360" w:lineRule="auto"/>
        <w:rPr>
          <w:color w:val="auto"/>
        </w:rPr>
      </w:pPr>
    </w:p>
    <w:p w14:paraId="43A45301">
      <w:pPr>
        <w:spacing w:line="360" w:lineRule="auto"/>
        <w:ind w:left="540" w:leftChars="257"/>
        <w:rPr>
          <w:color w:val="auto"/>
        </w:rPr>
      </w:pPr>
    </w:p>
    <w:p w14:paraId="44585621">
      <w:pPr>
        <w:spacing w:line="360" w:lineRule="auto"/>
        <w:ind w:left="540" w:leftChars="257"/>
        <w:rPr>
          <w:color w:val="auto"/>
        </w:rPr>
      </w:pPr>
    </w:p>
    <w:p w14:paraId="6CFCA737">
      <w:pPr>
        <w:spacing w:line="360" w:lineRule="auto"/>
        <w:ind w:left="540" w:leftChars="257"/>
        <w:rPr>
          <w:color w:val="auto"/>
        </w:rPr>
      </w:pPr>
    </w:p>
    <w:p w14:paraId="7B486B9C">
      <w:pPr>
        <w:spacing w:line="360" w:lineRule="auto"/>
        <w:ind w:left="540" w:leftChars="257"/>
        <w:rPr>
          <w:color w:val="auto"/>
        </w:rPr>
      </w:pPr>
    </w:p>
    <w:p w14:paraId="7C6D514C">
      <w:pPr>
        <w:spacing w:line="360" w:lineRule="auto"/>
        <w:ind w:left="540" w:leftChars="257"/>
        <w:rPr>
          <w:color w:val="auto"/>
        </w:rPr>
      </w:pPr>
    </w:p>
    <w:p w14:paraId="445389D1">
      <w:pPr>
        <w:spacing w:line="360" w:lineRule="auto"/>
        <w:ind w:left="540" w:leftChars="257"/>
        <w:rPr>
          <w:color w:val="auto"/>
        </w:rPr>
      </w:pPr>
    </w:p>
    <w:p w14:paraId="3998E209">
      <w:pPr>
        <w:spacing w:line="360" w:lineRule="auto"/>
        <w:ind w:left="540" w:leftChars="257"/>
        <w:rPr>
          <w:color w:val="auto"/>
        </w:rPr>
      </w:pPr>
    </w:p>
    <w:p w14:paraId="7646DA23">
      <w:pPr>
        <w:spacing w:line="360" w:lineRule="auto"/>
        <w:ind w:left="540" w:leftChars="257"/>
        <w:rPr>
          <w:color w:val="auto"/>
          <w:u w:val="single"/>
        </w:rPr>
      </w:pPr>
      <w:r>
        <w:rPr>
          <w:rFonts w:hint="eastAsia"/>
          <w:color w:val="auto"/>
        </w:rPr>
        <w:t>代理人：</w:t>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 xml:space="preserve">                                  </w:t>
      </w:r>
    </w:p>
    <w:p w14:paraId="11AFEAB2">
      <w:pPr>
        <w:spacing w:line="360" w:lineRule="auto"/>
        <w:ind w:left="540" w:leftChars="257"/>
        <w:rPr>
          <w:color w:val="auto"/>
          <w:u w:val="single"/>
        </w:rPr>
      </w:pPr>
      <w:r>
        <w:rPr>
          <w:rFonts w:hint="eastAsia"/>
          <w:color w:val="auto"/>
        </w:rPr>
        <w:t>电话：</w:t>
      </w:r>
      <w:r>
        <w:rPr>
          <w:rFonts w:hint="eastAsia"/>
          <w:color w:val="auto"/>
          <w:u w:val="single"/>
        </w:rPr>
        <w:t xml:space="preserve">             </w:t>
      </w:r>
      <w:r>
        <w:rPr>
          <w:rFonts w:hint="eastAsia"/>
          <w:color w:val="auto"/>
        </w:rPr>
        <w:t xml:space="preserve">  手机：</w:t>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ab/>
      </w:r>
    </w:p>
    <w:p w14:paraId="2AFE5AD8">
      <w:pPr>
        <w:spacing w:line="360" w:lineRule="auto"/>
        <w:ind w:left="540" w:leftChars="257"/>
        <w:rPr>
          <w:color w:val="auto"/>
          <w:u w:val="single"/>
        </w:rPr>
      </w:pPr>
      <w:r>
        <w:rPr>
          <w:rFonts w:hint="eastAsia"/>
          <w:color w:val="auto"/>
        </w:rPr>
        <w:t>身份证号码：</w:t>
      </w:r>
      <w:r>
        <w:rPr>
          <w:rFonts w:hint="eastAsia"/>
          <w:color w:val="auto"/>
          <w:u w:val="single"/>
        </w:rPr>
        <w:t xml:space="preserve">                      </w:t>
      </w:r>
      <w:r>
        <w:rPr>
          <w:rFonts w:hint="eastAsia"/>
          <w:color w:val="auto"/>
        </w:rPr>
        <w:t>职务：</w:t>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ab/>
      </w:r>
      <w:r>
        <w:rPr>
          <w:rFonts w:hint="eastAsia"/>
          <w:color w:val="auto"/>
          <w:u w:val="single"/>
        </w:rPr>
        <w:t xml:space="preserve">         </w:t>
      </w:r>
    </w:p>
    <w:p w14:paraId="564A6F50">
      <w:pPr>
        <w:spacing w:line="360" w:lineRule="auto"/>
        <w:ind w:left="540" w:leftChars="257"/>
        <w:rPr>
          <w:color w:val="auto"/>
        </w:rPr>
      </w:pPr>
      <w:r>
        <w:rPr>
          <w:rFonts w:hint="eastAsia"/>
          <w:color w:val="auto"/>
        </w:rPr>
        <w:t>授权委托日期：</w:t>
      </w:r>
      <w:r>
        <w:rPr>
          <w:rFonts w:hint="eastAsia"/>
          <w:color w:val="auto"/>
          <w:u w:val="single"/>
        </w:rPr>
        <w:t xml:space="preserve">         </w:t>
      </w:r>
      <w:r>
        <w:rPr>
          <w:rFonts w:hint="eastAsia"/>
          <w:color w:val="auto"/>
        </w:rPr>
        <w:t>年</w:t>
      </w:r>
      <w:r>
        <w:rPr>
          <w:rFonts w:hint="eastAsia"/>
          <w:color w:val="auto"/>
          <w:u w:val="single"/>
        </w:rPr>
        <w:t xml:space="preserve">     </w:t>
      </w:r>
      <w:r>
        <w:rPr>
          <w:rFonts w:hint="eastAsia"/>
          <w:color w:val="auto"/>
        </w:rPr>
        <w:t xml:space="preserve">月 </w:t>
      </w:r>
      <w:r>
        <w:rPr>
          <w:rFonts w:hint="eastAsia"/>
          <w:color w:val="auto"/>
          <w:u w:val="single"/>
        </w:rPr>
        <w:t xml:space="preserve">      </w:t>
      </w:r>
      <w:r>
        <w:rPr>
          <w:rFonts w:hint="eastAsia"/>
          <w:color w:val="auto"/>
        </w:rPr>
        <w:t>日</w:t>
      </w:r>
    </w:p>
    <w:p w14:paraId="700BDDCD">
      <w:pPr>
        <w:jc w:val="center"/>
        <w:rPr>
          <w:color w:val="auto"/>
        </w:rPr>
      </w:pPr>
      <w:r>
        <w:rPr>
          <w:rFonts w:hint="eastAsia" w:eastAsia="楷体_GB2312"/>
          <w:color w:val="auto"/>
        </w:rPr>
        <w:t xml:space="preserve"> </w:t>
      </w:r>
      <w:r>
        <w:rPr>
          <w:rFonts w:hint="eastAsia"/>
          <w:color w:val="auto"/>
        </w:rPr>
        <w:t xml:space="preserve">                                           </w:t>
      </w:r>
    </w:p>
    <w:p w14:paraId="4C3ACF1F">
      <w:pPr>
        <w:jc w:val="center"/>
        <w:rPr>
          <w:color w:val="auto"/>
        </w:rPr>
      </w:pPr>
      <w:r>
        <w:rPr>
          <w:rFonts w:hint="eastAsia"/>
          <w:color w:val="auto"/>
        </w:rPr>
        <w:t xml:space="preserve">                                                    </w:t>
      </w:r>
    </w:p>
    <w:p w14:paraId="7F3C6208">
      <w:pPr>
        <w:jc w:val="center"/>
        <w:rPr>
          <w:color w:val="auto"/>
        </w:rPr>
      </w:pPr>
      <w:r>
        <w:rPr>
          <w:rFonts w:hint="eastAsia"/>
          <w:color w:val="auto"/>
        </w:rPr>
        <w:t xml:space="preserve">                                                </w:t>
      </w:r>
      <w:r>
        <w:rPr>
          <w:color w:val="auto"/>
        </w:rPr>
        <w:t>投标人</w:t>
      </w:r>
      <w:r>
        <w:rPr>
          <w:rFonts w:hint="eastAsia"/>
          <w:color w:val="auto"/>
        </w:rPr>
        <w:t>（</w:t>
      </w:r>
      <w:r>
        <w:rPr>
          <w:color w:val="auto"/>
        </w:rPr>
        <w:t>签章</w:t>
      </w:r>
      <w:r>
        <w:rPr>
          <w:rFonts w:hint="eastAsia"/>
          <w:color w:val="auto"/>
        </w:rPr>
        <w:t>）</w:t>
      </w:r>
      <w:r>
        <w:rPr>
          <w:color w:val="auto"/>
        </w:rPr>
        <w:t>：_________________</w:t>
      </w:r>
    </w:p>
    <w:p w14:paraId="67603462">
      <w:pPr>
        <w:jc w:val="center"/>
        <w:rPr>
          <w:color w:val="auto"/>
        </w:rPr>
      </w:pPr>
      <w:r>
        <w:rPr>
          <w:rFonts w:hint="eastAsia"/>
          <w:color w:val="auto"/>
        </w:rPr>
        <w:t xml:space="preserve">                                                 </w:t>
      </w:r>
      <w:r>
        <w:rPr>
          <w:rFonts w:hint="eastAsia" w:ascii="宋体" w:hAnsi="宋体"/>
          <w:color w:val="auto"/>
        </w:rPr>
        <w:t>日期：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r>
        <w:rPr>
          <w:rFonts w:hint="eastAsia"/>
          <w:color w:val="auto"/>
          <w:sz w:val="24"/>
        </w:rPr>
        <w:t xml:space="preserve"> </w:t>
      </w:r>
    </w:p>
    <w:p w14:paraId="284B2800">
      <w:pPr>
        <w:spacing w:line="360" w:lineRule="auto"/>
        <w:ind w:firstLine="422" w:firstLineChars="200"/>
        <w:rPr>
          <w:b/>
          <w:color w:val="auto"/>
        </w:rPr>
      </w:pPr>
    </w:p>
    <w:bookmarkEnd w:id="80"/>
    <w:p w14:paraId="32CB64D9">
      <w:pPr>
        <w:pStyle w:val="5"/>
        <w:ind w:firstLine="360"/>
        <w:jc w:val="center"/>
        <w:rPr>
          <w:rFonts w:ascii="黑体" w:eastAsia="黑体"/>
          <w:bCs w:val="0"/>
          <w:color w:val="auto"/>
          <w:kern w:val="0"/>
          <w:sz w:val="24"/>
          <w:szCs w:val="24"/>
        </w:rPr>
      </w:pPr>
    </w:p>
    <w:p w14:paraId="4573DDDE">
      <w:pPr>
        <w:pStyle w:val="2"/>
        <w:kinsoku w:val="0"/>
        <w:overflowPunct w:val="0"/>
        <w:spacing w:before="34" w:line="357" w:lineRule="auto"/>
        <w:ind w:right="126" w:firstLine="480"/>
        <w:jc w:val="center"/>
        <w:rPr>
          <w:rFonts w:hint="eastAsia" w:ascii="黑体" w:hAnsi="黑体" w:eastAsia="黑体" w:cs="黑体"/>
          <w:b/>
          <w:bCs/>
          <w:color w:val="auto"/>
          <w:sz w:val="24"/>
          <w:szCs w:val="24"/>
        </w:rPr>
      </w:pPr>
      <w:r>
        <w:rPr>
          <w:rFonts w:hint="eastAsia" w:ascii="黑体" w:hAnsi="黑体" w:eastAsia="黑体" w:cs="黑体"/>
          <w:b/>
          <w:bCs/>
          <w:color w:val="auto"/>
          <w:sz w:val="24"/>
          <w:szCs w:val="24"/>
        </w:rPr>
        <w:t>附件三、投标保证金缴纳凭证</w:t>
      </w:r>
    </w:p>
    <w:p w14:paraId="47E01117">
      <w:pPr>
        <w:pStyle w:val="2"/>
        <w:kinsoku w:val="0"/>
        <w:overflowPunct w:val="0"/>
        <w:rPr>
          <w:rFonts w:hint="eastAsia" w:ascii="宋体" w:hAnsi="宋体" w:eastAsia="宋体"/>
          <w:b/>
          <w:bCs/>
          <w:color w:val="auto"/>
          <w:sz w:val="21"/>
          <w:szCs w:val="21"/>
        </w:rPr>
      </w:pPr>
    </w:p>
    <w:p w14:paraId="1CF3F8EB">
      <w:pPr>
        <w:rPr>
          <w:rFonts w:hint="eastAsia" w:ascii="宋体" w:hAnsi="宋体"/>
          <w:color w:val="auto"/>
        </w:rPr>
      </w:pPr>
      <w:r>
        <w:rPr>
          <w:rFonts w:hint="eastAsia" w:ascii="宋体" w:hAnsi="宋体"/>
          <w:color w:val="auto"/>
        </w:rPr>
        <w:t>致：</w:t>
      </w:r>
      <w:r>
        <w:rPr>
          <w:rFonts w:hint="eastAsia" w:ascii="宋体" w:hAnsi="宋体"/>
          <w:color w:val="auto"/>
          <w:u w:val="single"/>
        </w:rPr>
        <w:t xml:space="preserve">  巴州政务服务和公共资源交易中心</w:t>
      </w:r>
    </w:p>
    <w:p w14:paraId="2F2370E2">
      <w:pPr>
        <w:ind w:firstLine="420" w:firstLineChars="200"/>
        <w:rPr>
          <w:rFonts w:hint="eastAsia" w:ascii="宋体" w:hAnsi="宋体"/>
          <w:color w:val="auto"/>
        </w:rPr>
      </w:pPr>
      <w:r>
        <w:rPr>
          <w:rFonts w:hint="eastAsia" w:ascii="宋体" w:hAnsi="宋体"/>
          <w:color w:val="auto"/>
        </w:rPr>
        <w:t>我方于</w:t>
      </w:r>
      <w:r>
        <w:rPr>
          <w:rFonts w:hint="eastAsia" w:ascii="宋体" w:hAnsi="宋体"/>
          <w:color w:val="auto"/>
        </w:rPr>
        <w:tab/>
      </w:r>
      <w:r>
        <w:rPr>
          <w:rFonts w:hint="eastAsia" w:ascii="宋体" w:hAnsi="宋体"/>
          <w:color w:val="auto"/>
        </w:rPr>
        <w:t xml:space="preserve">   年</w:t>
      </w:r>
      <w:r>
        <w:rPr>
          <w:rFonts w:hint="eastAsia" w:ascii="宋体" w:hAnsi="宋体"/>
          <w:color w:val="auto"/>
        </w:rPr>
        <w:tab/>
      </w:r>
      <w:r>
        <w:rPr>
          <w:rFonts w:hint="eastAsia" w:ascii="宋体" w:hAnsi="宋体"/>
          <w:color w:val="auto"/>
        </w:rPr>
        <w:t>月</w:t>
      </w:r>
      <w:r>
        <w:rPr>
          <w:rFonts w:hint="eastAsia" w:ascii="宋体" w:hAnsi="宋体"/>
          <w:color w:val="auto"/>
        </w:rPr>
        <w:tab/>
      </w:r>
      <w:r>
        <w:rPr>
          <w:rFonts w:hint="eastAsia" w:ascii="宋体" w:hAnsi="宋体"/>
          <w:color w:val="auto"/>
        </w:rPr>
        <w:t xml:space="preserve"> 日参加</w:t>
      </w:r>
      <w:r>
        <w:rPr>
          <w:rFonts w:hint="eastAsia" w:ascii="宋体" w:hAnsi="宋体"/>
          <w:color w:val="auto"/>
        </w:rPr>
        <w:tab/>
      </w:r>
      <w:r>
        <w:rPr>
          <w:rFonts w:hint="eastAsia" w:ascii="宋体" w:hAnsi="宋体"/>
          <w:color w:val="auto"/>
        </w:rPr>
        <w:t>（项目名称）   的投标，现保证：我方在规定的投标有效期内撤销或修改投标文件的，或者在收到中标通知书后无正当理由拒签合同或拒交规定履约担保的，投标保证金不予退还。</w:t>
      </w:r>
    </w:p>
    <w:p w14:paraId="512AA1EB">
      <w:pPr>
        <w:ind w:firstLine="420" w:firstLineChars="200"/>
        <w:rPr>
          <w:rFonts w:hint="eastAsia" w:ascii="宋体" w:hAnsi="宋体"/>
          <w:color w:val="auto"/>
        </w:rPr>
      </w:pPr>
    </w:p>
    <w:p w14:paraId="1F6E185C">
      <w:pPr>
        <w:jc w:val="center"/>
        <w:rPr>
          <w:color w:val="auto"/>
        </w:rPr>
      </w:pPr>
      <w:r>
        <w:rPr>
          <w:rFonts w:hint="eastAsia"/>
          <w:color w:val="auto"/>
        </w:rPr>
        <w:t xml:space="preserve">                                              </w:t>
      </w:r>
    </w:p>
    <w:tbl>
      <w:tblPr>
        <w:tblStyle w:val="42"/>
        <w:tblpPr w:leftFromText="180" w:rightFromText="180" w:vertAnchor="text" w:horzAnchor="page" w:tblpX="2353" w:tblpY="127"/>
        <w:tblOverlap w:val="never"/>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7280"/>
      </w:tblGrid>
      <w:tr w14:paraId="2F75A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080" w:hRule="atLeast"/>
        </w:trPr>
        <w:tc>
          <w:tcPr>
            <w:tcW w:w="7280" w:type="dxa"/>
          </w:tcPr>
          <w:p w14:paraId="173B21CF">
            <w:pPr>
              <w:rPr>
                <w:color w:val="auto"/>
              </w:rPr>
            </w:pPr>
          </w:p>
          <w:p w14:paraId="5087FF44">
            <w:pPr>
              <w:pStyle w:val="2"/>
              <w:rPr>
                <w:color w:val="auto"/>
              </w:rPr>
            </w:pPr>
          </w:p>
          <w:p w14:paraId="43B6C647">
            <w:pPr>
              <w:ind w:firstLine="1470" w:firstLineChars="700"/>
              <w:rPr>
                <w:rFonts w:hint="eastAsia" w:ascii="宋体" w:hAnsi="宋体"/>
                <w:color w:val="auto"/>
              </w:rPr>
            </w:pPr>
            <w:r>
              <w:rPr>
                <w:rFonts w:hint="eastAsia" w:ascii="宋体" w:hAnsi="宋体"/>
                <w:color w:val="auto"/>
              </w:rPr>
              <w:t>★粘贴：投标保证金缴费回单复印件加盖公章</w:t>
            </w:r>
          </w:p>
          <w:p w14:paraId="0D40BF97">
            <w:pPr>
              <w:pStyle w:val="3"/>
              <w:widowControl w:val="0"/>
              <w:ind w:firstLine="480"/>
              <w:rPr>
                <w:color w:val="auto"/>
              </w:rPr>
            </w:pPr>
          </w:p>
        </w:tc>
      </w:tr>
    </w:tbl>
    <w:p w14:paraId="57446CC9">
      <w:pPr>
        <w:ind w:firstLine="420" w:firstLineChars="200"/>
        <w:rPr>
          <w:rFonts w:hint="eastAsia" w:ascii="宋体" w:hAnsi="宋体"/>
          <w:color w:val="auto"/>
        </w:rPr>
      </w:pPr>
    </w:p>
    <w:p w14:paraId="72B387F4">
      <w:pPr>
        <w:ind w:firstLine="420" w:firstLineChars="200"/>
        <w:rPr>
          <w:rFonts w:hint="eastAsia" w:ascii="宋体" w:hAnsi="宋体"/>
          <w:color w:val="auto"/>
        </w:rPr>
      </w:pPr>
    </w:p>
    <w:p w14:paraId="0CCEB6EF">
      <w:pPr>
        <w:ind w:firstLine="420" w:firstLineChars="200"/>
        <w:rPr>
          <w:rFonts w:hint="eastAsia" w:ascii="宋体" w:hAnsi="宋体"/>
          <w:color w:val="auto"/>
        </w:rPr>
      </w:pPr>
    </w:p>
    <w:p w14:paraId="07CB0FF1">
      <w:pPr>
        <w:ind w:firstLine="420" w:firstLineChars="200"/>
        <w:rPr>
          <w:rFonts w:hint="eastAsia" w:ascii="宋体" w:hAnsi="宋体"/>
          <w:color w:val="auto"/>
        </w:rPr>
      </w:pPr>
    </w:p>
    <w:p w14:paraId="3DCB2770">
      <w:pPr>
        <w:ind w:firstLine="420" w:firstLineChars="200"/>
        <w:rPr>
          <w:rFonts w:hint="eastAsia" w:ascii="宋体" w:hAnsi="宋体"/>
          <w:color w:val="auto"/>
        </w:rPr>
      </w:pPr>
    </w:p>
    <w:p w14:paraId="63DEAD7F">
      <w:pPr>
        <w:ind w:firstLine="420" w:firstLineChars="200"/>
        <w:rPr>
          <w:rFonts w:hint="eastAsia" w:ascii="宋体" w:hAnsi="宋体"/>
          <w:color w:val="auto"/>
        </w:rPr>
      </w:pPr>
    </w:p>
    <w:p w14:paraId="38F53930">
      <w:pPr>
        <w:ind w:firstLine="420" w:firstLineChars="200"/>
        <w:rPr>
          <w:rFonts w:hint="eastAsia" w:ascii="宋体" w:hAnsi="宋体"/>
          <w:color w:val="auto"/>
        </w:rPr>
      </w:pPr>
    </w:p>
    <w:p w14:paraId="10C1EA41">
      <w:pPr>
        <w:ind w:firstLine="420" w:firstLineChars="200"/>
        <w:rPr>
          <w:rFonts w:hint="eastAsia" w:ascii="宋体" w:hAnsi="宋体"/>
          <w:color w:val="auto"/>
        </w:rPr>
      </w:pPr>
    </w:p>
    <w:p w14:paraId="235D5832">
      <w:pPr>
        <w:ind w:firstLine="420" w:firstLineChars="200"/>
        <w:rPr>
          <w:rFonts w:hint="eastAsia" w:ascii="宋体" w:hAnsi="宋体"/>
          <w:color w:val="auto"/>
        </w:rPr>
      </w:pPr>
    </w:p>
    <w:p w14:paraId="33BFAC30">
      <w:pPr>
        <w:jc w:val="center"/>
        <w:rPr>
          <w:color w:val="auto"/>
        </w:rPr>
      </w:pPr>
      <w:r>
        <w:rPr>
          <w:rFonts w:hint="eastAsia"/>
          <w:color w:val="auto"/>
        </w:rPr>
        <w:t xml:space="preserve">                                              </w:t>
      </w:r>
      <w:r>
        <w:rPr>
          <w:color w:val="auto"/>
        </w:rPr>
        <w:t>投标人</w:t>
      </w:r>
      <w:r>
        <w:rPr>
          <w:rFonts w:hint="eastAsia"/>
          <w:color w:val="auto"/>
        </w:rPr>
        <w:t>（</w:t>
      </w:r>
      <w:r>
        <w:rPr>
          <w:color w:val="auto"/>
        </w:rPr>
        <w:t>签章</w:t>
      </w:r>
      <w:r>
        <w:rPr>
          <w:rFonts w:hint="eastAsia"/>
          <w:color w:val="auto"/>
        </w:rPr>
        <w:t>）：</w:t>
      </w:r>
      <w:r>
        <w:rPr>
          <w:rFonts w:hint="eastAsia"/>
          <w:color w:val="auto"/>
          <w:u w:val="single"/>
        </w:rPr>
        <w:t xml:space="preserve">         </w:t>
      </w:r>
      <w:r>
        <w:rPr>
          <w:rFonts w:hint="eastAsia"/>
          <w:color w:val="auto"/>
        </w:rPr>
        <w:tab/>
      </w:r>
      <w:r>
        <w:rPr>
          <w:rFonts w:hint="eastAsia"/>
          <w:color w:val="auto"/>
        </w:rPr>
        <w:t xml:space="preserve">  </w:t>
      </w:r>
    </w:p>
    <w:p w14:paraId="6F46C235">
      <w:pPr>
        <w:jc w:val="center"/>
        <w:rPr>
          <w:rFonts w:hint="eastAsia" w:ascii="宋体" w:hAnsi="宋体"/>
          <w:b/>
          <w:bCs/>
          <w:color w:val="auto"/>
          <w:lang w:val="en-GB"/>
        </w:rPr>
      </w:pPr>
      <w:r>
        <w:rPr>
          <w:rFonts w:hint="eastAsia"/>
          <w:color w:val="auto"/>
        </w:rPr>
        <w:t xml:space="preserve">                                                 </w:t>
      </w:r>
      <w:r>
        <w:rPr>
          <w:rFonts w:hint="eastAsia" w:ascii="宋体" w:hAnsi="宋体"/>
          <w:color w:val="auto"/>
        </w:rPr>
        <w:t>日期：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r>
        <w:rPr>
          <w:rFonts w:hint="eastAsia"/>
          <w:color w:val="auto"/>
          <w:sz w:val="24"/>
        </w:rPr>
        <w:t xml:space="preserve"> </w:t>
      </w:r>
    </w:p>
    <w:p w14:paraId="46613449">
      <w:pPr>
        <w:pStyle w:val="2"/>
        <w:kinsoku w:val="0"/>
        <w:overflowPunct w:val="0"/>
        <w:spacing w:before="34" w:line="357" w:lineRule="auto"/>
        <w:ind w:right="126" w:firstLine="3639" w:firstLineChars="1726"/>
        <w:rPr>
          <w:rFonts w:hint="eastAsia" w:ascii="宋体" w:hAnsi="宋体" w:eastAsia="宋体"/>
          <w:b/>
          <w:bCs/>
          <w:color w:val="auto"/>
          <w:sz w:val="21"/>
          <w:szCs w:val="21"/>
          <w:lang w:val="en-GB"/>
        </w:rPr>
      </w:pPr>
    </w:p>
    <w:p w14:paraId="0129FC55">
      <w:pPr>
        <w:pStyle w:val="2"/>
        <w:kinsoku w:val="0"/>
        <w:overflowPunct w:val="0"/>
        <w:spacing w:before="34" w:line="357" w:lineRule="auto"/>
        <w:ind w:right="126" w:firstLine="1928" w:firstLineChars="800"/>
        <w:jc w:val="left"/>
        <w:rPr>
          <w:rFonts w:hint="eastAsia" w:ascii="黑体" w:hAnsi="黑体" w:eastAsia="黑体" w:cs="黑体"/>
          <w:b/>
          <w:bCs/>
          <w:color w:val="auto"/>
          <w:sz w:val="24"/>
          <w:szCs w:val="24"/>
        </w:rPr>
      </w:pPr>
    </w:p>
    <w:p w14:paraId="34757293">
      <w:pPr>
        <w:pStyle w:val="2"/>
        <w:kinsoku w:val="0"/>
        <w:overflowPunct w:val="0"/>
        <w:spacing w:before="34" w:line="357" w:lineRule="auto"/>
        <w:ind w:right="126" w:firstLine="2168" w:firstLineChars="900"/>
        <w:jc w:val="left"/>
        <w:rPr>
          <w:rFonts w:hint="eastAsia" w:ascii="黑体" w:hAnsi="黑体" w:eastAsia="黑体" w:cs="黑体"/>
          <w:b/>
          <w:bCs/>
          <w:color w:val="auto"/>
          <w:sz w:val="24"/>
          <w:szCs w:val="24"/>
        </w:rPr>
      </w:pPr>
      <w:r>
        <w:rPr>
          <w:rFonts w:hint="eastAsia" w:ascii="黑体" w:hAnsi="黑体" w:eastAsia="黑体" w:cs="黑体"/>
          <w:b/>
          <w:bCs/>
          <w:color w:val="auto"/>
          <w:sz w:val="24"/>
          <w:szCs w:val="24"/>
        </w:rPr>
        <w:t>附件四、</w:t>
      </w:r>
      <w:r>
        <w:rPr>
          <w:rFonts w:hint="eastAsia" w:ascii="黑体" w:hAnsi="黑体" w:eastAsia="黑体" w:cs="黑体"/>
          <w:b/>
          <w:bCs/>
          <w:color w:val="auto"/>
          <w:sz w:val="24"/>
          <w:szCs w:val="24"/>
          <w:lang w:val="en-GB"/>
        </w:rPr>
        <w:t>联合体协议书（</w:t>
      </w:r>
      <w:r>
        <w:rPr>
          <w:rFonts w:hint="eastAsia" w:ascii="黑体" w:hAnsi="黑体" w:eastAsia="黑体" w:cs="黑体"/>
          <w:b/>
          <w:bCs/>
          <w:color w:val="auto"/>
          <w:sz w:val="24"/>
          <w:szCs w:val="24"/>
        </w:rPr>
        <w:t>非联合体无须填写</w:t>
      </w:r>
      <w:r>
        <w:rPr>
          <w:rFonts w:hint="eastAsia" w:ascii="黑体" w:hAnsi="黑体" w:eastAsia="黑体" w:cs="黑体"/>
          <w:b/>
          <w:bCs/>
          <w:color w:val="auto"/>
          <w:sz w:val="24"/>
          <w:szCs w:val="24"/>
          <w:lang w:val="en-GB"/>
        </w:rPr>
        <w:t>）</w:t>
      </w:r>
    </w:p>
    <w:p w14:paraId="56C9E5C4">
      <w:pPr>
        <w:spacing w:line="360" w:lineRule="auto"/>
        <w:rPr>
          <w:rFonts w:hint="eastAsia" w:ascii="宋体" w:hAnsi="宋体" w:cs="宋体"/>
          <w:color w:val="auto"/>
          <w:kern w:val="0"/>
          <w:lang w:val="en-GB"/>
        </w:rPr>
      </w:pPr>
      <w:r>
        <w:rPr>
          <w:rFonts w:hint="eastAsia" w:ascii="宋体" w:hAnsi="宋体" w:cs="宋体"/>
          <w:color w:val="auto"/>
          <w:kern w:val="0"/>
          <w:lang w:val="en-GB"/>
        </w:rPr>
        <w:t>牵头人名称：</w:t>
      </w:r>
      <w:r>
        <w:rPr>
          <w:rFonts w:hint="eastAsia" w:ascii="宋体" w:hAnsi="宋体" w:cs="宋体"/>
          <w:color w:val="auto"/>
          <w:kern w:val="0"/>
          <w:u w:val="single"/>
        </w:rPr>
        <w:t xml:space="preserve"> </w:t>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lang w:val="en-GB"/>
        </w:rPr>
        <w:t xml:space="preserve">                                                       </w:t>
      </w:r>
    </w:p>
    <w:p w14:paraId="5F3CA179">
      <w:pPr>
        <w:spacing w:line="360" w:lineRule="auto"/>
        <w:rPr>
          <w:rFonts w:hint="eastAsia" w:ascii="宋体" w:hAnsi="宋体" w:cs="宋体"/>
          <w:color w:val="auto"/>
          <w:kern w:val="0"/>
          <w:lang w:val="en-GB"/>
        </w:rPr>
      </w:pPr>
      <w:r>
        <w:rPr>
          <w:rFonts w:hint="eastAsia" w:ascii="宋体" w:hAnsi="宋体" w:cs="宋体"/>
          <w:color w:val="auto"/>
          <w:kern w:val="0"/>
          <w:lang w:val="en-GB"/>
        </w:rPr>
        <w:t>法定代表人：</w:t>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lang w:val="en-GB"/>
        </w:rPr>
        <w:t xml:space="preserve">                                                          </w:t>
      </w:r>
    </w:p>
    <w:p w14:paraId="4F465946">
      <w:pPr>
        <w:spacing w:line="360" w:lineRule="auto"/>
        <w:rPr>
          <w:rFonts w:hint="eastAsia" w:ascii="宋体" w:hAnsi="宋体" w:cs="宋体"/>
          <w:color w:val="auto"/>
          <w:kern w:val="0"/>
          <w:lang w:val="en-GB"/>
        </w:rPr>
      </w:pPr>
      <w:r>
        <w:rPr>
          <w:rFonts w:hint="eastAsia" w:ascii="宋体" w:hAnsi="宋体" w:cs="宋体"/>
          <w:color w:val="auto"/>
          <w:kern w:val="0"/>
          <w:lang w:val="en-GB"/>
        </w:rPr>
        <w:t>法定住所：</w:t>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lang w:val="en-GB"/>
        </w:rPr>
        <w:t xml:space="preserve">                                                         </w:t>
      </w:r>
    </w:p>
    <w:p w14:paraId="40210359">
      <w:pPr>
        <w:spacing w:line="360" w:lineRule="auto"/>
        <w:rPr>
          <w:rFonts w:hint="eastAsia" w:ascii="宋体" w:hAnsi="宋体" w:cs="宋体"/>
          <w:color w:val="auto"/>
          <w:kern w:val="0"/>
          <w:lang w:val="en-GB"/>
        </w:rPr>
      </w:pPr>
      <w:r>
        <w:rPr>
          <w:rFonts w:hint="eastAsia" w:ascii="宋体" w:hAnsi="宋体" w:cs="宋体"/>
          <w:color w:val="auto"/>
          <w:kern w:val="0"/>
          <w:lang w:val="en-GB"/>
        </w:rPr>
        <w:t>成员二名称：</w:t>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lang w:val="en-GB"/>
        </w:rPr>
        <w:t xml:space="preserve">                                                          </w:t>
      </w:r>
    </w:p>
    <w:p w14:paraId="4745F9F1">
      <w:pPr>
        <w:spacing w:line="360" w:lineRule="auto"/>
        <w:rPr>
          <w:rFonts w:hint="eastAsia" w:ascii="宋体" w:hAnsi="宋体" w:cs="宋体"/>
          <w:color w:val="auto"/>
          <w:kern w:val="0"/>
          <w:lang w:val="en-GB"/>
        </w:rPr>
      </w:pPr>
      <w:r>
        <w:rPr>
          <w:rFonts w:hint="eastAsia" w:ascii="宋体" w:hAnsi="宋体" w:cs="宋体"/>
          <w:color w:val="auto"/>
          <w:kern w:val="0"/>
          <w:lang w:val="en-GB"/>
        </w:rPr>
        <w:t>法定代表人：</w:t>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lang w:val="en-GB"/>
        </w:rPr>
        <w:t xml:space="preserve">                                                          </w:t>
      </w:r>
    </w:p>
    <w:p w14:paraId="426BE9D4">
      <w:pPr>
        <w:spacing w:line="360" w:lineRule="auto"/>
        <w:rPr>
          <w:rFonts w:hint="eastAsia" w:ascii="宋体" w:hAnsi="宋体" w:cs="宋体"/>
          <w:color w:val="auto"/>
          <w:kern w:val="0"/>
          <w:lang w:val="en-GB"/>
        </w:rPr>
      </w:pPr>
      <w:r>
        <w:rPr>
          <w:rFonts w:hint="eastAsia" w:ascii="宋体" w:hAnsi="宋体" w:cs="宋体"/>
          <w:color w:val="auto"/>
          <w:kern w:val="0"/>
          <w:lang w:val="en-GB"/>
        </w:rPr>
        <w:t xml:space="preserve">法定住所： </w:t>
      </w:r>
      <w:r>
        <w:rPr>
          <w:rFonts w:hint="eastAsia" w:ascii="宋体" w:hAnsi="宋体" w:cs="宋体"/>
          <w:color w:val="auto"/>
          <w:kern w:val="0"/>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u w:val="single"/>
        </w:rPr>
        <w:tab/>
      </w:r>
      <w:r>
        <w:rPr>
          <w:rFonts w:hint="eastAsia" w:ascii="宋体" w:hAnsi="宋体" w:cs="宋体"/>
          <w:color w:val="auto"/>
          <w:kern w:val="0"/>
          <w:lang w:val="en-GB"/>
        </w:rPr>
        <w:t xml:space="preserve">                                                           </w:t>
      </w:r>
    </w:p>
    <w:p w14:paraId="7D10419F">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鉴于上述各成员单位经过友好协商，自愿组成       （联合体名称）联合体，共同参加               （采购人名称）（以下简称采购人）        （项目名称）      标段（以下简称本项目）的项目投标并争取赢得本项目采购合同（以下简称合同）。现就联合体投标事宜订立如下协议：</w:t>
      </w:r>
    </w:p>
    <w:p w14:paraId="0F362396">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1．        （某成员单位名称）为              （联合体名称）牵头人。</w:t>
      </w:r>
    </w:p>
    <w:p w14:paraId="66191AAB">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2．在本项目投标阶段，联合体牵头人合法代表联合体各成员负责本项目竞标文件编制活动，代表联合体提交和接收相关的资料、信息及指示，并处理与投标和中标有关的一切事务；联合体中标后，联合体牵头人负责合同订立和合同实施阶段的主办、组织和协调工作。</w:t>
      </w:r>
    </w:p>
    <w:p w14:paraId="6A3E4AFF">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3．联合体将严格按照采购文件的各项要求，递交竞标文件，履行投标义务和中标后的合同，共同承担合同规定的一切义务和责任，联合体各成员单位按照内部职责的部分，承担各自所负的责任和风险，并向采购人承担连带责任。</w:t>
      </w:r>
    </w:p>
    <w:p w14:paraId="6CDF5D2D">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4．联合体各成员单位内部的职责分工如下：                   。按照本条上述分工，联合体成员单位各自所承担的合同工作量比例如下：               。</w:t>
      </w:r>
    </w:p>
    <w:p w14:paraId="6B9CE435">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5．投标工作和联合体在中标后项目实施过程中的有关费用按各自承担的工作量分摊。</w:t>
      </w:r>
    </w:p>
    <w:p w14:paraId="097805DE">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6．联合体中标后，本联合体协议是合同的附件，对联合体各成员单位有合同约束力。</w:t>
      </w:r>
    </w:p>
    <w:p w14:paraId="7A32FB50">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7．本协议书自签署之日起生效，联合体未中标或者中标时合同履行完毕后自动失效。</w:t>
      </w:r>
    </w:p>
    <w:p w14:paraId="19D241DA">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8．本协议书一式            份，联合体成员和</w:t>
      </w:r>
      <w:r>
        <w:rPr>
          <w:rFonts w:hint="eastAsia" w:ascii="宋体" w:hAnsi="宋体" w:cs="宋体"/>
          <w:color w:val="auto"/>
          <w:kern w:val="0"/>
        </w:rPr>
        <w:t>采购</w:t>
      </w:r>
      <w:r>
        <w:rPr>
          <w:rFonts w:hint="eastAsia" w:ascii="宋体" w:hAnsi="宋体" w:cs="宋体"/>
          <w:color w:val="auto"/>
          <w:kern w:val="0"/>
          <w:lang w:val="en-GB"/>
        </w:rPr>
        <w:t>人各执一份。</w:t>
      </w:r>
    </w:p>
    <w:p w14:paraId="41644486">
      <w:pPr>
        <w:spacing w:line="360" w:lineRule="auto"/>
        <w:rPr>
          <w:rFonts w:hint="eastAsia" w:ascii="宋体" w:hAnsi="宋体" w:cs="宋体"/>
          <w:color w:val="auto"/>
          <w:kern w:val="0"/>
          <w:lang w:val="en-GB"/>
        </w:rPr>
      </w:pPr>
      <w:r>
        <w:rPr>
          <w:rFonts w:hint="eastAsia" w:ascii="宋体" w:hAnsi="宋体" w:cs="宋体"/>
          <w:color w:val="auto"/>
          <w:kern w:val="0"/>
          <w:lang w:val="en-GB"/>
        </w:rPr>
        <w:t>牵头人名称：                                  （盖单位章）</w:t>
      </w:r>
    </w:p>
    <w:p w14:paraId="6ACD3EC0">
      <w:pPr>
        <w:spacing w:line="360" w:lineRule="auto"/>
        <w:rPr>
          <w:rFonts w:hint="eastAsia" w:ascii="宋体" w:hAnsi="宋体" w:cs="宋体"/>
          <w:color w:val="auto"/>
          <w:kern w:val="0"/>
          <w:lang w:val="en-GB"/>
        </w:rPr>
      </w:pPr>
      <w:r>
        <w:rPr>
          <w:rFonts w:hint="eastAsia" w:ascii="宋体" w:hAnsi="宋体" w:cs="宋体"/>
          <w:color w:val="auto"/>
          <w:kern w:val="0"/>
          <w:lang w:val="en-GB"/>
        </w:rPr>
        <w:t>法定代表人或其委托代理人：                    （签字或盖章）</w:t>
      </w:r>
    </w:p>
    <w:p w14:paraId="05BCCE72">
      <w:pPr>
        <w:spacing w:line="360" w:lineRule="auto"/>
        <w:rPr>
          <w:rFonts w:hint="eastAsia" w:ascii="宋体" w:hAnsi="宋体" w:cs="宋体"/>
          <w:color w:val="auto"/>
          <w:kern w:val="0"/>
          <w:lang w:val="en-GB"/>
        </w:rPr>
      </w:pPr>
      <w:r>
        <w:rPr>
          <w:rFonts w:hint="eastAsia" w:ascii="宋体" w:hAnsi="宋体" w:cs="宋体"/>
          <w:color w:val="auto"/>
          <w:kern w:val="0"/>
          <w:lang w:val="en-GB"/>
        </w:rPr>
        <w:t>成员二名称：                                  （盖单位章）</w:t>
      </w:r>
    </w:p>
    <w:p w14:paraId="67E48C6B">
      <w:pPr>
        <w:spacing w:line="360" w:lineRule="auto"/>
        <w:rPr>
          <w:rFonts w:hint="eastAsia" w:ascii="宋体" w:hAnsi="宋体" w:cs="宋体"/>
          <w:color w:val="auto"/>
          <w:kern w:val="0"/>
          <w:lang w:val="en-GB"/>
        </w:rPr>
      </w:pPr>
      <w:r>
        <w:rPr>
          <w:rFonts w:hint="eastAsia" w:ascii="宋体" w:hAnsi="宋体" w:cs="宋体"/>
          <w:color w:val="auto"/>
          <w:kern w:val="0"/>
          <w:lang w:val="en-GB"/>
        </w:rPr>
        <w:t>法定代表人或其委托代理人：                        （签字或盖章）</w:t>
      </w:r>
    </w:p>
    <w:p w14:paraId="61F80AD7">
      <w:pPr>
        <w:spacing w:line="360" w:lineRule="auto"/>
        <w:jc w:val="right"/>
        <w:rPr>
          <w:rFonts w:hint="eastAsia" w:ascii="宋体" w:hAnsi="宋体" w:cs="宋体"/>
          <w:color w:val="auto"/>
          <w:kern w:val="0"/>
          <w:lang w:val="en-GB"/>
        </w:rPr>
      </w:pPr>
      <w:r>
        <w:rPr>
          <w:rFonts w:hint="eastAsia" w:ascii="宋体" w:hAnsi="宋体" w:cs="宋体"/>
          <w:color w:val="auto"/>
          <w:kern w:val="0"/>
          <w:lang w:val="en-GB"/>
        </w:rPr>
        <w:t xml:space="preserve">             年        月        日           </w:t>
      </w:r>
    </w:p>
    <w:p w14:paraId="4011CCE9">
      <w:pPr>
        <w:spacing w:line="360" w:lineRule="auto"/>
        <w:rPr>
          <w:rFonts w:hint="eastAsia" w:ascii="宋体" w:hAnsi="宋体" w:cs="宋体"/>
          <w:color w:val="auto"/>
          <w:kern w:val="0"/>
          <w:lang w:val="en-GB"/>
        </w:rPr>
      </w:pPr>
      <w:r>
        <w:rPr>
          <w:rFonts w:hint="eastAsia" w:ascii="宋体" w:hAnsi="宋体" w:cs="宋体"/>
          <w:color w:val="auto"/>
          <w:kern w:val="0"/>
          <w:lang w:val="en-GB"/>
        </w:rPr>
        <w:t>备注：本协议书由委托代理人签字的，应附法定代表人签字的授权委托书。</w:t>
      </w:r>
    </w:p>
    <w:p w14:paraId="12DBE14A">
      <w:pPr>
        <w:pStyle w:val="2"/>
        <w:rPr>
          <w:rFonts w:hint="eastAsia" w:ascii="宋体" w:hAnsi="宋体" w:eastAsia="宋体" w:cs="宋体"/>
          <w:color w:val="auto"/>
          <w:kern w:val="0"/>
          <w:sz w:val="21"/>
          <w:szCs w:val="21"/>
          <w:lang w:val="en-GB"/>
        </w:rPr>
      </w:pPr>
    </w:p>
    <w:p w14:paraId="07667BE6">
      <w:pPr>
        <w:shd w:val="clear"/>
        <w:spacing w:line="360" w:lineRule="auto"/>
        <w:rPr>
          <w:rFonts w:hint="eastAsia" w:ascii="宋体" w:hAnsi="宋体" w:cs="宋体"/>
          <w:color w:val="auto"/>
          <w:kern w:val="0"/>
          <w:highlight w:val="none"/>
        </w:rPr>
      </w:pPr>
    </w:p>
    <w:p w14:paraId="1C54F28D">
      <w:pPr>
        <w:shd w:val="clear"/>
        <w:spacing w:line="360" w:lineRule="auto"/>
        <w:ind w:firstLine="2168" w:firstLineChars="900"/>
        <w:rPr>
          <w:rFonts w:hint="eastAsia" w:ascii="黑体" w:hAnsi="黑体" w:eastAsia="黑体" w:cs="黑体"/>
          <w:b/>
          <w:bCs/>
          <w:color w:val="auto"/>
          <w:sz w:val="24"/>
          <w:szCs w:val="24"/>
          <w:highlight w:val="none"/>
          <w:lang w:val="en-GB"/>
        </w:rPr>
      </w:pPr>
      <w:r>
        <w:rPr>
          <w:rFonts w:hint="eastAsia" w:ascii="黑体" w:hAnsi="黑体" w:eastAsia="黑体" w:cs="黑体"/>
          <w:b/>
          <w:bCs/>
          <w:color w:val="auto"/>
          <w:kern w:val="0"/>
          <w:sz w:val="24"/>
          <w:szCs w:val="24"/>
          <w:highlight w:val="none"/>
        </w:rPr>
        <w:t>附件五、</w:t>
      </w:r>
      <w:r>
        <w:rPr>
          <w:rFonts w:hint="eastAsia" w:ascii="黑体" w:hAnsi="黑体" w:eastAsia="黑体" w:cs="黑体"/>
          <w:b/>
          <w:bCs/>
          <w:color w:val="auto"/>
          <w:kern w:val="0"/>
          <w:sz w:val="24"/>
          <w:szCs w:val="24"/>
          <w:highlight w:val="none"/>
          <w:lang w:val="en-GB"/>
        </w:rPr>
        <w:t>拟分包意向协议（</w:t>
      </w:r>
      <w:r>
        <w:rPr>
          <w:rFonts w:hint="eastAsia" w:ascii="黑体" w:hAnsi="黑体" w:eastAsia="黑体" w:cs="黑体"/>
          <w:b/>
          <w:bCs/>
          <w:color w:val="auto"/>
          <w:kern w:val="0"/>
          <w:sz w:val="24"/>
          <w:szCs w:val="24"/>
          <w:highlight w:val="none"/>
        </w:rPr>
        <w:t>一</w:t>
      </w:r>
      <w:r>
        <w:rPr>
          <w:rFonts w:hint="eastAsia" w:ascii="黑体" w:hAnsi="黑体" w:eastAsia="黑体" w:cs="黑体"/>
          <w:b/>
          <w:bCs/>
          <w:color w:val="auto"/>
          <w:kern w:val="0"/>
          <w:sz w:val="24"/>
          <w:szCs w:val="24"/>
          <w:highlight w:val="none"/>
          <w:lang w:val="en-GB"/>
        </w:rPr>
        <w:t>）</w:t>
      </w:r>
    </w:p>
    <w:p w14:paraId="0C65619F">
      <w:pPr>
        <w:shd w:val="clear"/>
        <w:spacing w:line="360" w:lineRule="auto"/>
        <w:rPr>
          <w:rFonts w:hint="eastAsia" w:ascii="宋体" w:hAnsi="宋体" w:cs="宋体"/>
          <w:color w:val="auto"/>
          <w:kern w:val="0"/>
          <w:highlight w:val="none"/>
          <w:u w:val="single"/>
        </w:rPr>
      </w:pPr>
      <w:r>
        <w:rPr>
          <w:rFonts w:hint="eastAsia" w:ascii="宋体" w:hAnsi="宋体" w:cs="宋体"/>
          <w:color w:val="auto"/>
          <w:kern w:val="0"/>
          <w:highlight w:val="none"/>
          <w:lang w:val="en-GB"/>
        </w:rPr>
        <w:t>致：</w:t>
      </w:r>
      <w:r>
        <w:rPr>
          <w:rFonts w:hint="eastAsia" w:ascii="宋体" w:hAnsi="宋体" w:cs="宋体"/>
          <w:color w:val="auto"/>
          <w:kern w:val="0"/>
          <w:highlight w:val="none"/>
          <w:u w:val="single"/>
        </w:rPr>
        <w:t>巴州政务服务和公共资源交易中心</w:t>
      </w:r>
    </w:p>
    <w:p w14:paraId="35B9A044">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我单位参加贵单位组织采购的项目编号为_______的_________项目（填写采购项目名称）的投标。拟签订分包合同的单位情况如下表所示：</w:t>
      </w:r>
    </w:p>
    <w:tbl>
      <w:tblPr>
        <w:tblStyle w:val="42"/>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31"/>
        <w:gridCol w:w="1410"/>
        <w:gridCol w:w="1469"/>
        <w:gridCol w:w="1664"/>
        <w:gridCol w:w="1218"/>
        <w:gridCol w:w="1504"/>
      </w:tblGrid>
      <w:tr w14:paraId="2A5F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36" w:type="dxa"/>
            <w:vAlign w:val="center"/>
          </w:tcPr>
          <w:p w14:paraId="27F0ADAA">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序号</w:t>
            </w:r>
          </w:p>
        </w:tc>
        <w:tc>
          <w:tcPr>
            <w:tcW w:w="1231" w:type="dxa"/>
            <w:vAlign w:val="center"/>
          </w:tcPr>
          <w:p w14:paraId="137951BD">
            <w:pPr>
              <w:spacing w:line="360" w:lineRule="auto"/>
              <w:jc w:val="center"/>
              <w:rPr>
                <w:rFonts w:hint="eastAsia" w:ascii="宋体" w:hAnsi="宋体" w:cs="宋体"/>
                <w:color w:val="auto"/>
                <w:kern w:val="0"/>
              </w:rPr>
            </w:pPr>
            <w:r>
              <w:rPr>
                <w:rFonts w:hint="eastAsia" w:ascii="宋体" w:hAnsi="宋体" w:cs="宋体"/>
                <w:color w:val="auto"/>
                <w:kern w:val="0"/>
              </w:rPr>
              <w:t>拟分包单位名称</w:t>
            </w:r>
          </w:p>
        </w:tc>
        <w:tc>
          <w:tcPr>
            <w:tcW w:w="1410" w:type="dxa"/>
            <w:vAlign w:val="center"/>
          </w:tcPr>
          <w:p w14:paraId="2A2936C9">
            <w:pPr>
              <w:spacing w:line="360" w:lineRule="auto"/>
              <w:jc w:val="center"/>
              <w:rPr>
                <w:rFonts w:hint="eastAsia" w:ascii="宋体" w:hAnsi="宋体" w:cs="宋体"/>
                <w:color w:val="auto"/>
                <w:kern w:val="0"/>
                <w:lang w:val="en-GB"/>
              </w:rPr>
            </w:pPr>
            <w:r>
              <w:rPr>
                <w:rFonts w:hint="eastAsia" w:ascii="宋体" w:hAnsi="宋体" w:cs="宋体"/>
                <w:color w:val="auto"/>
                <w:kern w:val="0"/>
              </w:rPr>
              <w:t>拟分包单位</w:t>
            </w:r>
            <w:r>
              <w:rPr>
                <w:rFonts w:hint="eastAsia" w:ascii="宋体" w:hAnsi="宋体" w:cs="宋体"/>
                <w:color w:val="auto"/>
                <w:kern w:val="0"/>
                <w:lang w:val="en-GB"/>
              </w:rPr>
              <w:t xml:space="preserve">类型 </w:t>
            </w:r>
          </w:p>
        </w:tc>
        <w:tc>
          <w:tcPr>
            <w:tcW w:w="1469" w:type="dxa"/>
            <w:vAlign w:val="center"/>
          </w:tcPr>
          <w:p w14:paraId="10897498">
            <w:pPr>
              <w:spacing w:line="360" w:lineRule="auto"/>
              <w:ind w:firstLine="210" w:firstLineChars="100"/>
              <w:rPr>
                <w:rFonts w:hint="eastAsia" w:ascii="宋体" w:hAnsi="宋体" w:cs="宋体"/>
                <w:color w:val="auto"/>
                <w:kern w:val="0"/>
              </w:rPr>
            </w:pPr>
            <w:r>
              <w:rPr>
                <w:rFonts w:hint="eastAsia" w:ascii="宋体" w:hAnsi="宋体" w:cs="宋体"/>
                <w:color w:val="auto"/>
                <w:kern w:val="0"/>
                <w:lang w:val="en-GB"/>
              </w:rPr>
              <w:t>资质</w:t>
            </w:r>
            <w:r>
              <w:rPr>
                <w:rFonts w:hint="eastAsia" w:ascii="宋体" w:hAnsi="宋体" w:cs="宋体"/>
                <w:color w:val="auto"/>
                <w:kern w:val="0"/>
              </w:rPr>
              <w:t>证书</w:t>
            </w:r>
          </w:p>
        </w:tc>
        <w:tc>
          <w:tcPr>
            <w:tcW w:w="1664" w:type="dxa"/>
            <w:vAlign w:val="center"/>
          </w:tcPr>
          <w:p w14:paraId="4BBDBA58">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拟</w:t>
            </w:r>
            <w:r>
              <w:rPr>
                <w:rFonts w:hint="eastAsia" w:ascii="宋体" w:hAnsi="宋体" w:cs="宋体"/>
                <w:color w:val="auto"/>
                <w:kern w:val="0"/>
              </w:rPr>
              <w:t>分</w:t>
            </w:r>
            <w:r>
              <w:rPr>
                <w:rFonts w:hint="eastAsia" w:ascii="宋体" w:hAnsi="宋体" w:cs="宋体"/>
                <w:color w:val="auto"/>
                <w:kern w:val="0"/>
                <w:lang w:val="en-GB"/>
              </w:rPr>
              <w:t>包合同内容</w:t>
            </w:r>
          </w:p>
        </w:tc>
        <w:tc>
          <w:tcPr>
            <w:tcW w:w="1218" w:type="dxa"/>
            <w:vAlign w:val="center"/>
          </w:tcPr>
          <w:p w14:paraId="0F61D976">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拟分包合金额（元）</w:t>
            </w:r>
          </w:p>
        </w:tc>
        <w:tc>
          <w:tcPr>
            <w:tcW w:w="1504" w:type="dxa"/>
            <w:vAlign w:val="center"/>
          </w:tcPr>
          <w:p w14:paraId="62AC2A1C">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占该采购包预算金额的比例（%）</w:t>
            </w:r>
          </w:p>
        </w:tc>
      </w:tr>
      <w:tr w14:paraId="5939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7F1FA716">
            <w:pPr>
              <w:spacing w:line="360" w:lineRule="auto"/>
              <w:ind w:firstLine="420" w:firstLineChars="200"/>
              <w:jc w:val="center"/>
              <w:rPr>
                <w:rFonts w:hint="eastAsia" w:ascii="宋体" w:hAnsi="宋体" w:cs="宋体"/>
                <w:color w:val="auto"/>
              </w:rPr>
            </w:pPr>
          </w:p>
          <w:p w14:paraId="16EA3873">
            <w:pPr>
              <w:jc w:val="center"/>
              <w:rPr>
                <w:rFonts w:hint="eastAsia" w:ascii="宋体" w:hAnsi="宋体" w:cs="宋体"/>
                <w:color w:val="auto"/>
              </w:rPr>
            </w:pPr>
            <w:r>
              <w:rPr>
                <w:rFonts w:hint="eastAsia" w:ascii="宋体" w:hAnsi="宋体" w:cs="宋体"/>
                <w:color w:val="auto"/>
              </w:rPr>
              <w:t>1</w:t>
            </w:r>
          </w:p>
        </w:tc>
        <w:tc>
          <w:tcPr>
            <w:tcW w:w="1231" w:type="dxa"/>
            <w:vAlign w:val="center"/>
          </w:tcPr>
          <w:p w14:paraId="6AD22DCD">
            <w:pPr>
              <w:spacing w:line="360" w:lineRule="auto"/>
              <w:ind w:firstLine="420" w:firstLineChars="200"/>
              <w:jc w:val="center"/>
              <w:rPr>
                <w:rFonts w:hint="eastAsia" w:ascii="宋体" w:hAnsi="宋体" w:cs="宋体"/>
                <w:color w:val="auto"/>
                <w:kern w:val="0"/>
                <w:lang w:val="en-GB"/>
              </w:rPr>
            </w:pPr>
          </w:p>
        </w:tc>
        <w:tc>
          <w:tcPr>
            <w:tcW w:w="1410" w:type="dxa"/>
            <w:vAlign w:val="center"/>
          </w:tcPr>
          <w:p w14:paraId="4D0F9D4E">
            <w:pPr>
              <w:spacing w:line="360" w:lineRule="auto"/>
              <w:jc w:val="center"/>
              <w:rPr>
                <w:rFonts w:hint="eastAsia" w:ascii="宋体" w:hAnsi="宋体" w:cs="宋体"/>
                <w:color w:val="auto"/>
                <w:kern w:val="0"/>
              </w:rPr>
            </w:pPr>
            <w:r>
              <w:rPr>
                <w:rFonts w:hint="eastAsia" w:ascii="宋体" w:hAnsi="宋体" w:cs="宋体"/>
                <w:color w:val="auto"/>
                <w:kern w:val="0"/>
                <w:lang w:val="en-GB"/>
              </w:rPr>
              <w:t>□</w:t>
            </w:r>
            <w:r>
              <w:rPr>
                <w:rFonts w:hint="eastAsia" w:ascii="宋体" w:hAnsi="宋体" w:cs="宋体"/>
                <w:color w:val="auto"/>
                <w:kern w:val="0"/>
              </w:rPr>
              <w:t>中型</w:t>
            </w:r>
            <w:r>
              <w:rPr>
                <w:rFonts w:hint="eastAsia" w:ascii="宋体" w:hAnsi="宋体" w:cs="宋体"/>
                <w:color w:val="auto"/>
                <w:kern w:val="0"/>
                <w:lang w:val="en-GB"/>
              </w:rPr>
              <w:t>企业 □</w:t>
            </w:r>
            <w:r>
              <w:rPr>
                <w:rFonts w:hint="eastAsia" w:ascii="宋体" w:hAnsi="宋体" w:cs="宋体"/>
                <w:color w:val="auto"/>
                <w:kern w:val="0"/>
              </w:rPr>
              <w:t>小微企业</w:t>
            </w:r>
          </w:p>
        </w:tc>
        <w:tc>
          <w:tcPr>
            <w:tcW w:w="1469" w:type="dxa"/>
            <w:vAlign w:val="center"/>
          </w:tcPr>
          <w:p w14:paraId="1841531F">
            <w:pPr>
              <w:spacing w:line="360" w:lineRule="auto"/>
              <w:ind w:firstLine="420" w:firstLineChars="200"/>
              <w:jc w:val="center"/>
              <w:rPr>
                <w:rFonts w:hint="eastAsia" w:ascii="宋体" w:hAnsi="宋体" w:cs="宋体"/>
                <w:color w:val="auto"/>
                <w:kern w:val="0"/>
                <w:lang w:val="en-GB"/>
              </w:rPr>
            </w:pPr>
          </w:p>
        </w:tc>
        <w:tc>
          <w:tcPr>
            <w:tcW w:w="1664" w:type="dxa"/>
            <w:vAlign w:val="center"/>
          </w:tcPr>
          <w:p w14:paraId="52EE6B15">
            <w:pPr>
              <w:spacing w:line="360" w:lineRule="auto"/>
              <w:ind w:firstLine="420" w:firstLineChars="200"/>
              <w:jc w:val="center"/>
              <w:rPr>
                <w:rFonts w:hint="eastAsia" w:ascii="宋体" w:hAnsi="宋体" w:cs="宋体"/>
                <w:color w:val="auto"/>
                <w:kern w:val="0"/>
                <w:lang w:val="en-GB"/>
              </w:rPr>
            </w:pPr>
          </w:p>
        </w:tc>
        <w:tc>
          <w:tcPr>
            <w:tcW w:w="1218" w:type="dxa"/>
            <w:vAlign w:val="center"/>
          </w:tcPr>
          <w:p w14:paraId="43BDC9C4">
            <w:pPr>
              <w:spacing w:line="360" w:lineRule="auto"/>
              <w:ind w:firstLine="420" w:firstLineChars="200"/>
              <w:jc w:val="center"/>
              <w:rPr>
                <w:rFonts w:hint="eastAsia" w:ascii="宋体" w:hAnsi="宋体" w:cs="宋体"/>
                <w:color w:val="auto"/>
                <w:kern w:val="0"/>
                <w:lang w:val="en-GB"/>
              </w:rPr>
            </w:pPr>
          </w:p>
        </w:tc>
        <w:tc>
          <w:tcPr>
            <w:tcW w:w="1504" w:type="dxa"/>
            <w:vAlign w:val="center"/>
          </w:tcPr>
          <w:p w14:paraId="44CFC18F">
            <w:pPr>
              <w:spacing w:line="360" w:lineRule="auto"/>
              <w:ind w:firstLine="420" w:firstLineChars="200"/>
              <w:jc w:val="center"/>
              <w:rPr>
                <w:rFonts w:hint="eastAsia" w:ascii="宋体" w:hAnsi="宋体" w:cs="宋体"/>
                <w:color w:val="auto"/>
                <w:kern w:val="0"/>
                <w:lang w:val="en-GB"/>
              </w:rPr>
            </w:pPr>
          </w:p>
        </w:tc>
      </w:tr>
      <w:tr w14:paraId="4909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26F8C2E5">
            <w:pPr>
              <w:spacing w:line="360" w:lineRule="auto"/>
              <w:jc w:val="center"/>
              <w:rPr>
                <w:rFonts w:hint="eastAsia" w:ascii="宋体" w:hAnsi="宋体" w:cs="宋体"/>
                <w:color w:val="auto"/>
                <w:kern w:val="0"/>
              </w:rPr>
            </w:pPr>
          </w:p>
          <w:p w14:paraId="60146D41">
            <w:pPr>
              <w:spacing w:line="360" w:lineRule="auto"/>
              <w:jc w:val="center"/>
              <w:rPr>
                <w:rFonts w:hint="eastAsia" w:ascii="宋体" w:hAnsi="宋体" w:cs="宋体"/>
                <w:color w:val="auto"/>
                <w:kern w:val="0"/>
              </w:rPr>
            </w:pPr>
            <w:r>
              <w:rPr>
                <w:rFonts w:hint="eastAsia" w:ascii="宋体" w:hAnsi="宋体" w:cs="宋体"/>
                <w:color w:val="auto"/>
                <w:kern w:val="0"/>
              </w:rPr>
              <w:t>2</w:t>
            </w:r>
          </w:p>
        </w:tc>
        <w:tc>
          <w:tcPr>
            <w:tcW w:w="1231" w:type="dxa"/>
            <w:vAlign w:val="center"/>
          </w:tcPr>
          <w:p w14:paraId="317CE470">
            <w:pPr>
              <w:spacing w:line="360" w:lineRule="auto"/>
              <w:ind w:firstLine="420" w:firstLineChars="200"/>
              <w:jc w:val="center"/>
              <w:rPr>
                <w:rFonts w:hint="eastAsia" w:ascii="宋体" w:hAnsi="宋体" w:cs="宋体"/>
                <w:color w:val="auto"/>
                <w:kern w:val="0"/>
                <w:lang w:val="en-GB"/>
              </w:rPr>
            </w:pPr>
          </w:p>
        </w:tc>
        <w:tc>
          <w:tcPr>
            <w:tcW w:w="1410" w:type="dxa"/>
            <w:vAlign w:val="center"/>
          </w:tcPr>
          <w:p w14:paraId="1014CB60">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w:t>
            </w:r>
            <w:r>
              <w:rPr>
                <w:rFonts w:hint="eastAsia" w:ascii="宋体" w:hAnsi="宋体" w:cs="宋体"/>
                <w:color w:val="auto"/>
                <w:kern w:val="0"/>
              </w:rPr>
              <w:t>中型</w:t>
            </w:r>
            <w:r>
              <w:rPr>
                <w:rFonts w:hint="eastAsia" w:ascii="宋体" w:hAnsi="宋体" w:cs="宋体"/>
                <w:color w:val="auto"/>
                <w:kern w:val="0"/>
                <w:lang w:val="en-GB"/>
              </w:rPr>
              <w:t>企业 □</w:t>
            </w:r>
            <w:r>
              <w:rPr>
                <w:rFonts w:hint="eastAsia" w:ascii="宋体" w:hAnsi="宋体" w:cs="宋体"/>
                <w:color w:val="auto"/>
                <w:kern w:val="0"/>
              </w:rPr>
              <w:t>小微企业</w:t>
            </w:r>
          </w:p>
        </w:tc>
        <w:tc>
          <w:tcPr>
            <w:tcW w:w="1469" w:type="dxa"/>
            <w:vAlign w:val="center"/>
          </w:tcPr>
          <w:p w14:paraId="3E756BC2">
            <w:pPr>
              <w:spacing w:line="360" w:lineRule="auto"/>
              <w:ind w:firstLine="420" w:firstLineChars="200"/>
              <w:jc w:val="center"/>
              <w:rPr>
                <w:rFonts w:hint="eastAsia" w:ascii="宋体" w:hAnsi="宋体" w:cs="宋体"/>
                <w:color w:val="auto"/>
                <w:kern w:val="0"/>
                <w:lang w:val="en-GB"/>
              </w:rPr>
            </w:pPr>
          </w:p>
        </w:tc>
        <w:tc>
          <w:tcPr>
            <w:tcW w:w="1664" w:type="dxa"/>
            <w:vAlign w:val="center"/>
          </w:tcPr>
          <w:p w14:paraId="16AA43F8">
            <w:pPr>
              <w:spacing w:line="360" w:lineRule="auto"/>
              <w:ind w:firstLine="420" w:firstLineChars="200"/>
              <w:jc w:val="center"/>
              <w:rPr>
                <w:rFonts w:hint="eastAsia" w:ascii="宋体" w:hAnsi="宋体" w:cs="宋体"/>
                <w:color w:val="auto"/>
                <w:kern w:val="0"/>
                <w:lang w:val="en-GB"/>
              </w:rPr>
            </w:pPr>
          </w:p>
        </w:tc>
        <w:tc>
          <w:tcPr>
            <w:tcW w:w="1218" w:type="dxa"/>
            <w:vAlign w:val="center"/>
          </w:tcPr>
          <w:p w14:paraId="406910B2">
            <w:pPr>
              <w:spacing w:line="360" w:lineRule="auto"/>
              <w:ind w:firstLine="420" w:firstLineChars="200"/>
              <w:jc w:val="center"/>
              <w:rPr>
                <w:rFonts w:hint="eastAsia" w:ascii="宋体" w:hAnsi="宋体" w:cs="宋体"/>
                <w:color w:val="auto"/>
                <w:kern w:val="0"/>
                <w:lang w:val="en-GB"/>
              </w:rPr>
            </w:pPr>
          </w:p>
        </w:tc>
        <w:tc>
          <w:tcPr>
            <w:tcW w:w="1504" w:type="dxa"/>
            <w:vAlign w:val="center"/>
          </w:tcPr>
          <w:p w14:paraId="513D1A55">
            <w:pPr>
              <w:spacing w:line="360" w:lineRule="auto"/>
              <w:ind w:firstLine="420" w:firstLineChars="200"/>
              <w:jc w:val="center"/>
              <w:rPr>
                <w:rFonts w:hint="eastAsia" w:ascii="宋体" w:hAnsi="宋体" w:cs="宋体"/>
                <w:color w:val="auto"/>
                <w:kern w:val="0"/>
                <w:lang w:val="en-GB"/>
              </w:rPr>
            </w:pPr>
          </w:p>
        </w:tc>
      </w:tr>
      <w:tr w14:paraId="58CD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0" w:type="dxa"/>
            <w:gridSpan w:val="5"/>
            <w:vAlign w:val="center"/>
          </w:tcPr>
          <w:p w14:paraId="4169EAED">
            <w:pPr>
              <w:spacing w:line="360" w:lineRule="auto"/>
              <w:ind w:firstLine="420" w:firstLineChars="200"/>
              <w:jc w:val="center"/>
              <w:rPr>
                <w:rFonts w:hint="eastAsia" w:ascii="宋体" w:hAnsi="宋体" w:cs="宋体"/>
                <w:color w:val="auto"/>
                <w:kern w:val="0"/>
              </w:rPr>
            </w:pPr>
            <w:r>
              <w:rPr>
                <w:rFonts w:hint="eastAsia" w:ascii="宋体" w:hAnsi="宋体" w:cs="宋体"/>
                <w:color w:val="auto"/>
                <w:kern w:val="0"/>
              </w:rPr>
              <w:t xml:space="preserve">                                         合计：</w:t>
            </w:r>
          </w:p>
        </w:tc>
        <w:tc>
          <w:tcPr>
            <w:tcW w:w="1218" w:type="dxa"/>
            <w:vAlign w:val="center"/>
          </w:tcPr>
          <w:p w14:paraId="3DBDE83D">
            <w:pPr>
              <w:spacing w:line="360" w:lineRule="auto"/>
              <w:ind w:firstLine="420" w:firstLineChars="200"/>
              <w:jc w:val="center"/>
              <w:rPr>
                <w:rFonts w:hint="eastAsia" w:ascii="宋体" w:hAnsi="宋体" w:cs="宋体"/>
                <w:color w:val="auto"/>
                <w:kern w:val="0"/>
                <w:lang w:val="en-GB"/>
              </w:rPr>
            </w:pPr>
          </w:p>
        </w:tc>
        <w:tc>
          <w:tcPr>
            <w:tcW w:w="1504" w:type="dxa"/>
            <w:vAlign w:val="center"/>
          </w:tcPr>
          <w:p w14:paraId="26E8A6E7">
            <w:pPr>
              <w:spacing w:line="360" w:lineRule="auto"/>
              <w:ind w:firstLine="420" w:firstLineChars="200"/>
              <w:jc w:val="center"/>
              <w:rPr>
                <w:rFonts w:hint="eastAsia" w:ascii="宋体" w:hAnsi="宋体" w:cs="宋体"/>
                <w:color w:val="auto"/>
                <w:kern w:val="0"/>
                <w:lang w:val="en-GB"/>
              </w:rPr>
            </w:pPr>
          </w:p>
        </w:tc>
      </w:tr>
    </w:tbl>
    <w:p w14:paraId="4890F914">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我单位承诺一旦在该项目中获得采购合同将按下表所列情况进行分包，同时承诺分包承担主体不再次分包。</w:t>
      </w:r>
    </w:p>
    <w:p w14:paraId="5FBC3A4D">
      <w:pPr>
        <w:spacing w:line="360" w:lineRule="auto"/>
        <w:ind w:firstLine="420" w:firstLineChars="200"/>
        <w:rPr>
          <w:rFonts w:hint="eastAsia" w:ascii="宋体" w:hAnsi="宋体" w:cs="宋体"/>
          <w:color w:val="auto"/>
          <w:kern w:val="0"/>
        </w:rPr>
      </w:pPr>
      <w:r>
        <w:rPr>
          <w:rFonts w:hint="eastAsia" w:ascii="宋体" w:hAnsi="宋体" w:cs="宋体"/>
          <w:color w:val="auto"/>
          <w:kern w:val="0"/>
          <w:lang w:val="en-GB"/>
        </w:rPr>
        <w:t xml:space="preserve">          </w:t>
      </w:r>
      <w:r>
        <w:rPr>
          <w:rFonts w:hint="eastAsia" w:ascii="宋体" w:hAnsi="宋体" w:cs="宋体"/>
          <w:color w:val="auto"/>
          <w:kern w:val="0"/>
        </w:rPr>
        <w:t xml:space="preserve">                          </w:t>
      </w:r>
      <w:r>
        <w:rPr>
          <w:rFonts w:hint="eastAsia" w:ascii="宋体" w:hAnsi="宋体" w:cs="宋体"/>
          <w:color w:val="auto"/>
          <w:kern w:val="0"/>
          <w:lang w:val="en-GB"/>
        </w:rPr>
        <w:t xml:space="preserve"> </w:t>
      </w:r>
      <w:r>
        <w:rPr>
          <w:rFonts w:hint="eastAsia" w:ascii="宋体" w:hAnsi="宋体" w:cs="宋体"/>
          <w:color w:val="auto"/>
          <w:kern w:val="0"/>
        </w:rPr>
        <w:t xml:space="preserve">        </w:t>
      </w:r>
    </w:p>
    <w:p w14:paraId="659A83D6">
      <w:pPr>
        <w:spacing w:line="360" w:lineRule="auto"/>
        <w:ind w:firstLine="5250" w:firstLineChars="2500"/>
        <w:rPr>
          <w:rFonts w:hint="eastAsia" w:ascii="宋体" w:hAnsi="宋体" w:cs="宋体"/>
          <w:color w:val="auto"/>
          <w:kern w:val="0"/>
          <w:lang w:val="en-GB"/>
        </w:rPr>
      </w:pPr>
      <w:r>
        <w:rPr>
          <w:rFonts w:hint="eastAsia" w:ascii="宋体" w:hAnsi="宋体" w:cs="宋体"/>
          <w:color w:val="auto"/>
          <w:kern w:val="0"/>
        </w:rPr>
        <w:t xml:space="preserve"> </w:t>
      </w:r>
      <w:r>
        <w:rPr>
          <w:rFonts w:hint="eastAsia" w:ascii="宋体" w:hAnsi="宋体" w:cs="宋体"/>
          <w:color w:val="auto"/>
          <w:kern w:val="0"/>
          <w:lang w:val="en-GB"/>
        </w:rPr>
        <w:t xml:space="preserve">投标人名称（加盖公章）：______ </w:t>
      </w:r>
    </w:p>
    <w:p w14:paraId="32CBF414">
      <w:pPr>
        <w:spacing w:line="360" w:lineRule="auto"/>
        <w:ind w:firstLine="5460" w:firstLineChars="2600"/>
        <w:rPr>
          <w:rFonts w:hint="eastAsia" w:ascii="宋体" w:hAnsi="宋体" w:cs="宋体"/>
          <w:color w:val="auto"/>
          <w:kern w:val="0"/>
          <w:lang w:val="en-GB"/>
        </w:rPr>
      </w:pPr>
      <w:r>
        <w:rPr>
          <w:rFonts w:hint="eastAsia" w:ascii="宋体" w:hAnsi="宋体" w:cs="宋体"/>
          <w:color w:val="auto"/>
          <w:kern w:val="0"/>
          <w:lang w:val="en-GB"/>
        </w:rPr>
        <w:t xml:space="preserve">日期：____年____月____日 </w:t>
      </w:r>
    </w:p>
    <w:p w14:paraId="0A4F7B11">
      <w:pPr>
        <w:ind w:left="420" w:leftChars="200"/>
        <w:jc w:val="center"/>
        <w:outlineLvl w:val="3"/>
        <w:rPr>
          <w:rFonts w:hint="eastAsia" w:ascii="宋体" w:hAnsi="宋体" w:cs="宋体"/>
          <w:b/>
          <w:color w:val="auto"/>
          <w:sz w:val="24"/>
        </w:rPr>
      </w:pPr>
    </w:p>
    <w:p w14:paraId="1051530C">
      <w:pPr>
        <w:spacing w:line="360" w:lineRule="auto"/>
        <w:ind w:firstLine="2168" w:firstLineChars="900"/>
        <w:rPr>
          <w:rFonts w:hint="eastAsia" w:ascii="黑体" w:hAnsi="黑体" w:eastAsia="黑体" w:cs="黑体"/>
          <w:b/>
          <w:bCs/>
          <w:color w:val="auto"/>
          <w:sz w:val="24"/>
          <w:szCs w:val="24"/>
          <w:lang w:val="en-GB"/>
        </w:rPr>
      </w:pPr>
      <w:r>
        <w:rPr>
          <w:rFonts w:hint="eastAsia" w:ascii="黑体" w:hAnsi="黑体" w:eastAsia="黑体" w:cs="黑体"/>
          <w:b/>
          <w:bCs/>
          <w:color w:val="auto"/>
          <w:kern w:val="0"/>
          <w:sz w:val="24"/>
          <w:szCs w:val="24"/>
        </w:rPr>
        <w:t>附件五、</w:t>
      </w:r>
      <w:r>
        <w:rPr>
          <w:rFonts w:hint="eastAsia" w:ascii="黑体" w:hAnsi="黑体" w:eastAsia="黑体" w:cs="黑体"/>
          <w:b/>
          <w:bCs/>
          <w:color w:val="auto"/>
          <w:kern w:val="0"/>
          <w:sz w:val="24"/>
          <w:szCs w:val="24"/>
          <w:lang w:val="en-GB"/>
        </w:rPr>
        <w:t>拟分包意向协议</w:t>
      </w:r>
      <w:r>
        <w:rPr>
          <w:rFonts w:hint="eastAsia" w:ascii="黑体" w:hAnsi="黑体" w:eastAsia="黑体" w:cs="黑体"/>
          <w:b/>
          <w:bCs/>
          <w:color w:val="auto"/>
          <w:kern w:val="0"/>
          <w:sz w:val="24"/>
          <w:szCs w:val="24"/>
        </w:rPr>
        <w:t>格式二（无分包无须填写）</w:t>
      </w:r>
    </w:p>
    <w:p w14:paraId="3F1A21E6">
      <w:pPr>
        <w:spacing w:line="360" w:lineRule="auto"/>
        <w:rPr>
          <w:rFonts w:hint="eastAsia" w:ascii="宋体" w:hAnsi="宋体" w:cs="宋体"/>
          <w:color w:val="auto"/>
          <w:kern w:val="0"/>
          <w:u w:val="single"/>
        </w:rPr>
      </w:pPr>
      <w:r>
        <w:rPr>
          <w:rFonts w:hint="eastAsia" w:ascii="宋体" w:hAnsi="宋体" w:cs="宋体"/>
          <w:color w:val="auto"/>
          <w:kern w:val="0"/>
          <w:lang w:val="en-GB"/>
        </w:rPr>
        <w:t>致：</w:t>
      </w:r>
      <w:r>
        <w:rPr>
          <w:rFonts w:hint="eastAsia" w:ascii="宋体" w:hAnsi="宋体" w:cs="宋体"/>
          <w:color w:val="auto"/>
          <w:kern w:val="0"/>
          <w:u w:val="single"/>
        </w:rPr>
        <w:t>巴州政务服务和公共资源交易中心</w:t>
      </w:r>
    </w:p>
    <w:p w14:paraId="34B6184C">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我单位参加贵单位组织采购的项目编号为_______的_________项目（填写采购项目名称）的投标。拟签订分包合同的单位情况如下表所示：</w:t>
      </w:r>
    </w:p>
    <w:tbl>
      <w:tblPr>
        <w:tblStyle w:val="42"/>
        <w:tblW w:w="9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31"/>
        <w:gridCol w:w="1410"/>
        <w:gridCol w:w="1469"/>
        <w:gridCol w:w="1664"/>
        <w:gridCol w:w="1218"/>
        <w:gridCol w:w="1504"/>
      </w:tblGrid>
      <w:tr w14:paraId="49574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36" w:type="dxa"/>
            <w:vAlign w:val="center"/>
          </w:tcPr>
          <w:p w14:paraId="5D2F2244">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序号</w:t>
            </w:r>
          </w:p>
        </w:tc>
        <w:tc>
          <w:tcPr>
            <w:tcW w:w="1231" w:type="dxa"/>
            <w:vAlign w:val="center"/>
          </w:tcPr>
          <w:p w14:paraId="51B10949">
            <w:pPr>
              <w:spacing w:line="360" w:lineRule="auto"/>
              <w:jc w:val="center"/>
              <w:rPr>
                <w:rFonts w:hint="eastAsia" w:ascii="宋体" w:hAnsi="宋体" w:cs="宋体"/>
                <w:color w:val="auto"/>
                <w:kern w:val="0"/>
              </w:rPr>
            </w:pPr>
            <w:r>
              <w:rPr>
                <w:rFonts w:hint="eastAsia" w:ascii="宋体" w:hAnsi="宋体" w:cs="宋体"/>
                <w:color w:val="auto"/>
                <w:kern w:val="0"/>
              </w:rPr>
              <w:t>拟分包单位名称</w:t>
            </w:r>
          </w:p>
        </w:tc>
        <w:tc>
          <w:tcPr>
            <w:tcW w:w="1410" w:type="dxa"/>
            <w:vAlign w:val="center"/>
          </w:tcPr>
          <w:p w14:paraId="46AE97E4">
            <w:pPr>
              <w:spacing w:line="360" w:lineRule="auto"/>
              <w:jc w:val="center"/>
              <w:rPr>
                <w:rFonts w:hint="eastAsia" w:ascii="宋体" w:hAnsi="宋体" w:cs="宋体"/>
                <w:color w:val="auto"/>
                <w:kern w:val="0"/>
                <w:lang w:val="en-GB"/>
              </w:rPr>
            </w:pPr>
            <w:r>
              <w:rPr>
                <w:rFonts w:hint="eastAsia" w:ascii="宋体" w:hAnsi="宋体" w:cs="宋体"/>
                <w:color w:val="auto"/>
                <w:kern w:val="0"/>
              </w:rPr>
              <w:t>拟分包单位</w:t>
            </w:r>
            <w:r>
              <w:rPr>
                <w:rFonts w:hint="eastAsia" w:ascii="宋体" w:hAnsi="宋体" w:cs="宋体"/>
                <w:color w:val="auto"/>
                <w:kern w:val="0"/>
                <w:lang w:val="en-GB"/>
              </w:rPr>
              <w:t xml:space="preserve">类型 </w:t>
            </w:r>
          </w:p>
        </w:tc>
        <w:tc>
          <w:tcPr>
            <w:tcW w:w="1469" w:type="dxa"/>
            <w:vAlign w:val="center"/>
          </w:tcPr>
          <w:p w14:paraId="7572A12E">
            <w:pPr>
              <w:spacing w:line="360" w:lineRule="auto"/>
              <w:ind w:firstLine="210" w:firstLineChars="100"/>
              <w:rPr>
                <w:rFonts w:hint="eastAsia" w:ascii="宋体" w:hAnsi="宋体" w:cs="宋体"/>
                <w:color w:val="auto"/>
                <w:kern w:val="0"/>
              </w:rPr>
            </w:pPr>
            <w:r>
              <w:rPr>
                <w:rFonts w:hint="eastAsia" w:ascii="宋体" w:hAnsi="宋体" w:cs="宋体"/>
                <w:color w:val="auto"/>
                <w:kern w:val="0"/>
                <w:lang w:val="en-GB"/>
              </w:rPr>
              <w:t>资质</w:t>
            </w:r>
            <w:r>
              <w:rPr>
                <w:rFonts w:hint="eastAsia" w:ascii="宋体" w:hAnsi="宋体" w:cs="宋体"/>
                <w:color w:val="auto"/>
                <w:kern w:val="0"/>
              </w:rPr>
              <w:t>证书</w:t>
            </w:r>
          </w:p>
        </w:tc>
        <w:tc>
          <w:tcPr>
            <w:tcW w:w="1664" w:type="dxa"/>
            <w:vAlign w:val="center"/>
          </w:tcPr>
          <w:p w14:paraId="3D3F8634">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拟</w:t>
            </w:r>
            <w:r>
              <w:rPr>
                <w:rFonts w:hint="eastAsia" w:ascii="宋体" w:hAnsi="宋体" w:cs="宋体"/>
                <w:color w:val="auto"/>
                <w:kern w:val="0"/>
              </w:rPr>
              <w:t>分</w:t>
            </w:r>
            <w:r>
              <w:rPr>
                <w:rFonts w:hint="eastAsia" w:ascii="宋体" w:hAnsi="宋体" w:cs="宋体"/>
                <w:color w:val="auto"/>
                <w:kern w:val="0"/>
                <w:lang w:val="en-GB"/>
              </w:rPr>
              <w:t>包合同内容</w:t>
            </w:r>
          </w:p>
        </w:tc>
        <w:tc>
          <w:tcPr>
            <w:tcW w:w="1218" w:type="dxa"/>
            <w:vAlign w:val="center"/>
          </w:tcPr>
          <w:p w14:paraId="47ADD1E3">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拟分包合金额（元）</w:t>
            </w:r>
          </w:p>
        </w:tc>
        <w:tc>
          <w:tcPr>
            <w:tcW w:w="1504" w:type="dxa"/>
            <w:vAlign w:val="center"/>
          </w:tcPr>
          <w:p w14:paraId="1769BA64">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占该采购包预算金额的比例（%）</w:t>
            </w:r>
          </w:p>
        </w:tc>
      </w:tr>
      <w:tr w14:paraId="750A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6FC310E2">
            <w:pPr>
              <w:spacing w:line="360" w:lineRule="auto"/>
              <w:ind w:firstLine="420" w:firstLineChars="200"/>
              <w:jc w:val="center"/>
              <w:rPr>
                <w:rFonts w:hint="eastAsia" w:ascii="宋体" w:hAnsi="宋体" w:cs="宋体"/>
                <w:color w:val="auto"/>
              </w:rPr>
            </w:pPr>
          </w:p>
          <w:p w14:paraId="68565591">
            <w:pPr>
              <w:jc w:val="center"/>
              <w:rPr>
                <w:rFonts w:hint="eastAsia" w:ascii="宋体" w:hAnsi="宋体" w:cs="宋体"/>
                <w:color w:val="auto"/>
              </w:rPr>
            </w:pPr>
            <w:r>
              <w:rPr>
                <w:rFonts w:hint="eastAsia" w:ascii="宋体" w:hAnsi="宋体" w:cs="宋体"/>
                <w:color w:val="auto"/>
              </w:rPr>
              <w:t>1</w:t>
            </w:r>
          </w:p>
        </w:tc>
        <w:tc>
          <w:tcPr>
            <w:tcW w:w="1231" w:type="dxa"/>
            <w:vAlign w:val="center"/>
          </w:tcPr>
          <w:p w14:paraId="0E9B3F02">
            <w:pPr>
              <w:spacing w:line="360" w:lineRule="auto"/>
              <w:ind w:firstLine="420" w:firstLineChars="200"/>
              <w:jc w:val="center"/>
              <w:rPr>
                <w:rFonts w:hint="eastAsia" w:ascii="宋体" w:hAnsi="宋体" w:cs="宋体"/>
                <w:color w:val="auto"/>
                <w:kern w:val="0"/>
                <w:lang w:val="en-GB"/>
              </w:rPr>
            </w:pPr>
          </w:p>
        </w:tc>
        <w:tc>
          <w:tcPr>
            <w:tcW w:w="1410" w:type="dxa"/>
            <w:vAlign w:val="center"/>
          </w:tcPr>
          <w:p w14:paraId="1DC5AA1B">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w:t>
            </w:r>
            <w:r>
              <w:rPr>
                <w:rFonts w:hint="eastAsia" w:ascii="宋体" w:hAnsi="宋体" w:cs="宋体"/>
                <w:color w:val="auto"/>
                <w:kern w:val="0"/>
              </w:rPr>
              <w:t>小微</w:t>
            </w:r>
            <w:r>
              <w:rPr>
                <w:rFonts w:hint="eastAsia" w:ascii="宋体" w:hAnsi="宋体" w:cs="宋体"/>
                <w:color w:val="auto"/>
                <w:kern w:val="0"/>
                <w:lang w:val="en-GB"/>
              </w:rPr>
              <w:t>企业 □</w:t>
            </w:r>
            <w:r>
              <w:rPr>
                <w:rFonts w:hint="eastAsia" w:ascii="宋体" w:hAnsi="宋体" w:cs="宋体"/>
                <w:color w:val="auto"/>
                <w:kern w:val="0"/>
              </w:rPr>
              <w:t>其他类型</w:t>
            </w:r>
          </w:p>
        </w:tc>
        <w:tc>
          <w:tcPr>
            <w:tcW w:w="1469" w:type="dxa"/>
            <w:vAlign w:val="center"/>
          </w:tcPr>
          <w:p w14:paraId="2E3AAF4D">
            <w:pPr>
              <w:spacing w:line="360" w:lineRule="auto"/>
              <w:ind w:firstLine="420" w:firstLineChars="200"/>
              <w:jc w:val="center"/>
              <w:rPr>
                <w:rFonts w:hint="eastAsia" w:ascii="宋体" w:hAnsi="宋体" w:cs="宋体"/>
                <w:color w:val="auto"/>
                <w:kern w:val="0"/>
                <w:lang w:val="en-GB"/>
              </w:rPr>
            </w:pPr>
          </w:p>
        </w:tc>
        <w:tc>
          <w:tcPr>
            <w:tcW w:w="1664" w:type="dxa"/>
            <w:vAlign w:val="center"/>
          </w:tcPr>
          <w:p w14:paraId="4DEB986B">
            <w:pPr>
              <w:spacing w:line="360" w:lineRule="auto"/>
              <w:ind w:firstLine="420" w:firstLineChars="200"/>
              <w:jc w:val="center"/>
              <w:rPr>
                <w:rFonts w:hint="eastAsia" w:ascii="宋体" w:hAnsi="宋体" w:cs="宋体"/>
                <w:color w:val="auto"/>
                <w:kern w:val="0"/>
                <w:lang w:val="en-GB"/>
              </w:rPr>
            </w:pPr>
          </w:p>
        </w:tc>
        <w:tc>
          <w:tcPr>
            <w:tcW w:w="1218" w:type="dxa"/>
            <w:vAlign w:val="center"/>
          </w:tcPr>
          <w:p w14:paraId="28BC92D2">
            <w:pPr>
              <w:spacing w:line="360" w:lineRule="auto"/>
              <w:ind w:firstLine="420" w:firstLineChars="200"/>
              <w:jc w:val="center"/>
              <w:rPr>
                <w:rFonts w:hint="eastAsia" w:ascii="宋体" w:hAnsi="宋体" w:cs="宋体"/>
                <w:color w:val="auto"/>
                <w:kern w:val="0"/>
                <w:lang w:val="en-GB"/>
              </w:rPr>
            </w:pPr>
          </w:p>
        </w:tc>
        <w:tc>
          <w:tcPr>
            <w:tcW w:w="1504" w:type="dxa"/>
            <w:vAlign w:val="center"/>
          </w:tcPr>
          <w:p w14:paraId="3F5AC4B8">
            <w:pPr>
              <w:spacing w:line="360" w:lineRule="auto"/>
              <w:ind w:firstLine="420" w:firstLineChars="200"/>
              <w:jc w:val="center"/>
              <w:rPr>
                <w:rFonts w:hint="eastAsia" w:ascii="宋体" w:hAnsi="宋体" w:cs="宋体"/>
                <w:color w:val="auto"/>
                <w:kern w:val="0"/>
                <w:lang w:val="en-GB"/>
              </w:rPr>
            </w:pPr>
          </w:p>
        </w:tc>
      </w:tr>
      <w:tr w14:paraId="6B31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Align w:val="center"/>
          </w:tcPr>
          <w:p w14:paraId="059A4AC8">
            <w:pPr>
              <w:spacing w:line="360" w:lineRule="auto"/>
              <w:jc w:val="center"/>
              <w:rPr>
                <w:rFonts w:hint="eastAsia" w:ascii="宋体" w:hAnsi="宋体" w:cs="宋体"/>
                <w:color w:val="auto"/>
                <w:kern w:val="0"/>
              </w:rPr>
            </w:pPr>
          </w:p>
          <w:p w14:paraId="51425BC4">
            <w:pPr>
              <w:spacing w:line="360" w:lineRule="auto"/>
              <w:jc w:val="center"/>
              <w:rPr>
                <w:rFonts w:hint="eastAsia" w:ascii="宋体" w:hAnsi="宋体" w:cs="宋体"/>
                <w:color w:val="auto"/>
                <w:kern w:val="0"/>
              </w:rPr>
            </w:pPr>
            <w:r>
              <w:rPr>
                <w:rFonts w:hint="eastAsia" w:ascii="宋体" w:hAnsi="宋体" w:cs="宋体"/>
                <w:color w:val="auto"/>
                <w:kern w:val="0"/>
              </w:rPr>
              <w:t>2</w:t>
            </w:r>
          </w:p>
        </w:tc>
        <w:tc>
          <w:tcPr>
            <w:tcW w:w="1231" w:type="dxa"/>
            <w:vAlign w:val="center"/>
          </w:tcPr>
          <w:p w14:paraId="52572366">
            <w:pPr>
              <w:spacing w:line="360" w:lineRule="auto"/>
              <w:ind w:firstLine="420" w:firstLineChars="200"/>
              <w:jc w:val="center"/>
              <w:rPr>
                <w:rFonts w:hint="eastAsia" w:ascii="宋体" w:hAnsi="宋体" w:cs="宋体"/>
                <w:color w:val="auto"/>
                <w:kern w:val="0"/>
                <w:lang w:val="en-GB"/>
              </w:rPr>
            </w:pPr>
          </w:p>
        </w:tc>
        <w:tc>
          <w:tcPr>
            <w:tcW w:w="1410" w:type="dxa"/>
            <w:vAlign w:val="center"/>
          </w:tcPr>
          <w:p w14:paraId="0F6AC82F">
            <w:pPr>
              <w:spacing w:line="360" w:lineRule="auto"/>
              <w:jc w:val="center"/>
              <w:rPr>
                <w:rFonts w:hint="eastAsia" w:ascii="宋体" w:hAnsi="宋体" w:cs="宋体"/>
                <w:color w:val="auto"/>
                <w:kern w:val="0"/>
                <w:lang w:val="en-GB"/>
              </w:rPr>
            </w:pPr>
            <w:r>
              <w:rPr>
                <w:rFonts w:hint="eastAsia" w:ascii="宋体" w:hAnsi="宋体" w:cs="宋体"/>
                <w:color w:val="auto"/>
                <w:kern w:val="0"/>
                <w:lang w:val="en-GB"/>
              </w:rPr>
              <w:t>□</w:t>
            </w:r>
            <w:r>
              <w:rPr>
                <w:rFonts w:hint="eastAsia" w:ascii="宋体" w:hAnsi="宋体" w:cs="宋体"/>
                <w:color w:val="auto"/>
                <w:kern w:val="0"/>
              </w:rPr>
              <w:t>小微</w:t>
            </w:r>
            <w:r>
              <w:rPr>
                <w:rFonts w:hint="eastAsia" w:ascii="宋体" w:hAnsi="宋体" w:cs="宋体"/>
                <w:color w:val="auto"/>
                <w:kern w:val="0"/>
                <w:lang w:val="en-GB"/>
              </w:rPr>
              <w:t>企业 □</w:t>
            </w:r>
            <w:r>
              <w:rPr>
                <w:rFonts w:hint="eastAsia" w:ascii="宋体" w:hAnsi="宋体" w:cs="宋体"/>
                <w:color w:val="auto"/>
                <w:kern w:val="0"/>
              </w:rPr>
              <w:t>其他类型</w:t>
            </w:r>
          </w:p>
        </w:tc>
        <w:tc>
          <w:tcPr>
            <w:tcW w:w="1469" w:type="dxa"/>
            <w:vAlign w:val="center"/>
          </w:tcPr>
          <w:p w14:paraId="663741DD">
            <w:pPr>
              <w:spacing w:line="360" w:lineRule="auto"/>
              <w:ind w:firstLine="420" w:firstLineChars="200"/>
              <w:jc w:val="center"/>
              <w:rPr>
                <w:rFonts w:hint="eastAsia" w:ascii="宋体" w:hAnsi="宋体" w:cs="宋体"/>
                <w:color w:val="auto"/>
                <w:kern w:val="0"/>
                <w:lang w:val="en-GB"/>
              </w:rPr>
            </w:pPr>
          </w:p>
        </w:tc>
        <w:tc>
          <w:tcPr>
            <w:tcW w:w="1664" w:type="dxa"/>
            <w:vAlign w:val="center"/>
          </w:tcPr>
          <w:p w14:paraId="2B313EB5">
            <w:pPr>
              <w:spacing w:line="360" w:lineRule="auto"/>
              <w:ind w:firstLine="420" w:firstLineChars="200"/>
              <w:jc w:val="center"/>
              <w:rPr>
                <w:rFonts w:hint="eastAsia" w:ascii="宋体" w:hAnsi="宋体" w:cs="宋体"/>
                <w:color w:val="auto"/>
                <w:kern w:val="0"/>
                <w:lang w:val="en-GB"/>
              </w:rPr>
            </w:pPr>
          </w:p>
        </w:tc>
        <w:tc>
          <w:tcPr>
            <w:tcW w:w="1218" w:type="dxa"/>
            <w:vAlign w:val="center"/>
          </w:tcPr>
          <w:p w14:paraId="510FD072">
            <w:pPr>
              <w:spacing w:line="360" w:lineRule="auto"/>
              <w:ind w:firstLine="420" w:firstLineChars="200"/>
              <w:jc w:val="center"/>
              <w:rPr>
                <w:rFonts w:hint="eastAsia" w:ascii="宋体" w:hAnsi="宋体" w:cs="宋体"/>
                <w:color w:val="auto"/>
                <w:kern w:val="0"/>
                <w:lang w:val="en-GB"/>
              </w:rPr>
            </w:pPr>
          </w:p>
        </w:tc>
        <w:tc>
          <w:tcPr>
            <w:tcW w:w="1504" w:type="dxa"/>
            <w:vAlign w:val="center"/>
          </w:tcPr>
          <w:p w14:paraId="6E4F851A">
            <w:pPr>
              <w:spacing w:line="360" w:lineRule="auto"/>
              <w:ind w:firstLine="420" w:firstLineChars="200"/>
              <w:jc w:val="center"/>
              <w:rPr>
                <w:rFonts w:hint="eastAsia" w:ascii="宋体" w:hAnsi="宋体" w:cs="宋体"/>
                <w:color w:val="auto"/>
                <w:kern w:val="0"/>
                <w:lang w:val="en-GB"/>
              </w:rPr>
            </w:pPr>
          </w:p>
        </w:tc>
      </w:tr>
      <w:tr w14:paraId="4848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10" w:type="dxa"/>
            <w:gridSpan w:val="5"/>
            <w:vAlign w:val="center"/>
          </w:tcPr>
          <w:p w14:paraId="4F88F9B2">
            <w:pPr>
              <w:spacing w:line="360" w:lineRule="auto"/>
              <w:ind w:firstLine="420" w:firstLineChars="200"/>
              <w:jc w:val="center"/>
              <w:rPr>
                <w:rFonts w:hint="eastAsia" w:ascii="宋体" w:hAnsi="宋体" w:cs="宋体"/>
                <w:color w:val="auto"/>
                <w:kern w:val="0"/>
              </w:rPr>
            </w:pPr>
            <w:r>
              <w:rPr>
                <w:rFonts w:hint="eastAsia" w:ascii="宋体" w:hAnsi="宋体" w:cs="宋体"/>
                <w:color w:val="auto"/>
                <w:kern w:val="0"/>
              </w:rPr>
              <w:t xml:space="preserve">                                         合计：</w:t>
            </w:r>
          </w:p>
        </w:tc>
        <w:tc>
          <w:tcPr>
            <w:tcW w:w="1218" w:type="dxa"/>
            <w:vAlign w:val="center"/>
          </w:tcPr>
          <w:p w14:paraId="1244CE6E">
            <w:pPr>
              <w:spacing w:line="360" w:lineRule="auto"/>
              <w:ind w:firstLine="420" w:firstLineChars="200"/>
              <w:jc w:val="center"/>
              <w:rPr>
                <w:rFonts w:hint="eastAsia" w:ascii="宋体" w:hAnsi="宋体" w:cs="宋体"/>
                <w:color w:val="auto"/>
                <w:kern w:val="0"/>
                <w:lang w:val="en-GB"/>
              </w:rPr>
            </w:pPr>
          </w:p>
        </w:tc>
        <w:tc>
          <w:tcPr>
            <w:tcW w:w="1504" w:type="dxa"/>
            <w:vAlign w:val="center"/>
          </w:tcPr>
          <w:p w14:paraId="34464CBB">
            <w:pPr>
              <w:spacing w:line="360" w:lineRule="auto"/>
              <w:ind w:firstLine="420" w:firstLineChars="200"/>
              <w:jc w:val="center"/>
              <w:rPr>
                <w:rFonts w:hint="eastAsia" w:ascii="宋体" w:hAnsi="宋体" w:cs="宋体"/>
                <w:color w:val="auto"/>
                <w:kern w:val="0"/>
                <w:lang w:val="en-GB"/>
              </w:rPr>
            </w:pPr>
          </w:p>
        </w:tc>
      </w:tr>
    </w:tbl>
    <w:p w14:paraId="36BF5B90">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我单位承诺一旦在该项目中获得采购合同将按下表所列情况进行分包，同时承诺分包承担主体不再次分包。</w:t>
      </w:r>
    </w:p>
    <w:p w14:paraId="573BE578">
      <w:pPr>
        <w:spacing w:line="360" w:lineRule="auto"/>
        <w:ind w:firstLine="420" w:firstLineChars="200"/>
        <w:rPr>
          <w:rFonts w:hint="eastAsia" w:ascii="宋体" w:hAnsi="宋体" w:cs="宋体"/>
          <w:color w:val="auto"/>
          <w:kern w:val="0"/>
        </w:rPr>
      </w:pPr>
      <w:r>
        <w:rPr>
          <w:rFonts w:hint="eastAsia" w:ascii="宋体" w:hAnsi="宋体" w:cs="宋体"/>
          <w:color w:val="auto"/>
          <w:kern w:val="0"/>
          <w:lang w:val="en-GB"/>
        </w:rPr>
        <w:t xml:space="preserve">          </w:t>
      </w:r>
      <w:r>
        <w:rPr>
          <w:rFonts w:hint="eastAsia" w:ascii="宋体" w:hAnsi="宋体" w:cs="宋体"/>
          <w:color w:val="auto"/>
          <w:kern w:val="0"/>
        </w:rPr>
        <w:t xml:space="preserve">                          </w:t>
      </w:r>
      <w:r>
        <w:rPr>
          <w:rFonts w:hint="eastAsia" w:ascii="宋体" w:hAnsi="宋体" w:cs="宋体"/>
          <w:color w:val="auto"/>
          <w:kern w:val="0"/>
          <w:lang w:val="en-GB"/>
        </w:rPr>
        <w:t xml:space="preserve"> </w:t>
      </w:r>
      <w:r>
        <w:rPr>
          <w:rFonts w:hint="eastAsia" w:ascii="宋体" w:hAnsi="宋体" w:cs="宋体"/>
          <w:color w:val="auto"/>
          <w:kern w:val="0"/>
        </w:rPr>
        <w:t xml:space="preserve">        </w:t>
      </w:r>
    </w:p>
    <w:p w14:paraId="7A2A96C2">
      <w:pPr>
        <w:spacing w:line="360" w:lineRule="auto"/>
        <w:ind w:firstLine="5250" w:firstLineChars="2500"/>
        <w:rPr>
          <w:rFonts w:hint="eastAsia" w:ascii="宋体" w:hAnsi="宋体" w:cs="宋体"/>
          <w:color w:val="auto"/>
          <w:kern w:val="0"/>
          <w:lang w:val="en-GB"/>
        </w:rPr>
      </w:pPr>
      <w:r>
        <w:rPr>
          <w:rFonts w:hint="eastAsia" w:ascii="宋体" w:hAnsi="宋体" w:cs="宋体"/>
          <w:color w:val="auto"/>
          <w:kern w:val="0"/>
        </w:rPr>
        <w:t xml:space="preserve"> </w:t>
      </w:r>
      <w:r>
        <w:rPr>
          <w:rFonts w:hint="eastAsia" w:ascii="宋体" w:hAnsi="宋体" w:cs="宋体"/>
          <w:color w:val="auto"/>
          <w:kern w:val="0"/>
          <w:lang w:val="en-GB"/>
        </w:rPr>
        <w:t xml:space="preserve">投标人名称（加盖公章）：______ </w:t>
      </w:r>
    </w:p>
    <w:p w14:paraId="5A370A56">
      <w:pPr>
        <w:spacing w:line="360" w:lineRule="auto"/>
        <w:ind w:firstLine="5460" w:firstLineChars="2600"/>
        <w:rPr>
          <w:rFonts w:hint="eastAsia" w:ascii="宋体" w:hAnsi="宋体" w:cs="宋体"/>
          <w:color w:val="auto"/>
          <w:kern w:val="0"/>
          <w:lang w:val="en-GB"/>
        </w:rPr>
      </w:pPr>
      <w:r>
        <w:rPr>
          <w:rFonts w:hint="eastAsia" w:ascii="宋体" w:hAnsi="宋体" w:cs="宋体"/>
          <w:color w:val="auto"/>
          <w:kern w:val="0"/>
          <w:lang w:val="en-GB"/>
        </w:rPr>
        <w:t xml:space="preserve">日期：____年____月____日 </w:t>
      </w:r>
    </w:p>
    <w:p w14:paraId="5F08C73E">
      <w:pPr>
        <w:spacing w:line="360" w:lineRule="auto"/>
        <w:ind w:firstLine="420" w:firstLineChars="200"/>
        <w:rPr>
          <w:rFonts w:hint="eastAsia" w:ascii="宋体" w:hAnsi="宋体" w:cs="宋体"/>
          <w:color w:val="auto"/>
          <w:kern w:val="0"/>
          <w:lang w:val="en-GB"/>
        </w:rPr>
      </w:pPr>
      <w:r>
        <w:rPr>
          <w:rFonts w:hint="eastAsia" w:ascii="宋体" w:hAnsi="宋体" w:cs="宋体"/>
          <w:color w:val="auto"/>
          <w:kern w:val="0"/>
          <w:lang w:val="en-GB"/>
        </w:rPr>
        <w:t xml:space="preserve">说明： </w:t>
      </w:r>
    </w:p>
    <w:p w14:paraId="0B9D8AD7">
      <w:pPr>
        <w:spacing w:line="360" w:lineRule="auto"/>
        <w:ind w:firstLine="420" w:firstLineChars="200"/>
        <w:rPr>
          <w:rFonts w:hint="eastAsia" w:ascii="宋体" w:hAnsi="宋体" w:cs="宋体"/>
          <w:color w:val="auto"/>
          <w:kern w:val="0"/>
        </w:rPr>
      </w:pPr>
      <w:r>
        <w:rPr>
          <w:rFonts w:hint="eastAsia" w:ascii="宋体" w:hAnsi="宋体" w:cs="宋体"/>
          <w:color w:val="auto"/>
          <w:kern w:val="0"/>
          <w:lang w:val="en-GB"/>
        </w:rPr>
        <w:t>（</w:t>
      </w:r>
      <w:r>
        <w:rPr>
          <w:rFonts w:hint="eastAsia" w:ascii="宋体" w:hAnsi="宋体" w:cs="宋体"/>
          <w:color w:val="auto"/>
          <w:kern w:val="0"/>
        </w:rPr>
        <w:t>1</w:t>
      </w:r>
      <w:r>
        <w:rPr>
          <w:rFonts w:hint="eastAsia" w:ascii="宋体" w:hAnsi="宋体" w:cs="宋体"/>
          <w:color w:val="auto"/>
          <w:kern w:val="0"/>
          <w:lang w:val="en-GB"/>
        </w:rPr>
        <w:t>）</w:t>
      </w:r>
      <w:r>
        <w:rPr>
          <w:rFonts w:hint="eastAsia" w:ascii="宋体" w:hAnsi="宋体" w:cs="宋体"/>
          <w:color w:val="auto"/>
          <w:kern w:val="0"/>
        </w:rPr>
        <w:t>此表为投标人在</w:t>
      </w:r>
      <w:r>
        <w:rPr>
          <w:rFonts w:hint="eastAsia" w:ascii="宋体" w:hAnsi="宋体" w:cs="宋体"/>
          <w:color w:val="auto"/>
          <w:kern w:val="0"/>
          <w:lang w:val="en-GB"/>
        </w:rPr>
        <w:t>“落实</w:t>
      </w:r>
      <w:r>
        <w:rPr>
          <w:rFonts w:hint="eastAsia" w:ascii="宋体" w:hAnsi="宋体" w:cs="宋体"/>
          <w:color w:val="auto"/>
          <w:kern w:val="0"/>
        </w:rPr>
        <w:t>中小企业预留份额</w:t>
      </w:r>
      <w:r>
        <w:rPr>
          <w:rFonts w:hint="eastAsia" w:ascii="宋体" w:hAnsi="宋体" w:cs="宋体"/>
          <w:color w:val="auto"/>
          <w:kern w:val="0"/>
          <w:lang w:val="en-GB"/>
        </w:rPr>
        <w:t>”</w:t>
      </w:r>
      <w:r>
        <w:rPr>
          <w:rFonts w:hint="eastAsia" w:ascii="宋体" w:hAnsi="宋体" w:cs="宋体"/>
          <w:color w:val="auto"/>
          <w:kern w:val="0"/>
        </w:rPr>
        <w:t>而向中小企业分包时填写。</w:t>
      </w:r>
    </w:p>
    <w:p w14:paraId="5C7B4552">
      <w:pPr>
        <w:ind w:firstLine="420" w:firstLineChars="200"/>
        <w:rPr>
          <w:rFonts w:hint="eastAsia" w:ascii="宋体" w:hAnsi="宋体" w:cs="宋体"/>
          <w:color w:val="auto"/>
          <w:kern w:val="0"/>
        </w:rPr>
      </w:pPr>
      <w:r>
        <w:rPr>
          <w:rFonts w:hint="eastAsia" w:ascii="宋体" w:hAnsi="宋体" w:cs="宋体"/>
          <w:color w:val="auto"/>
          <w:kern w:val="0"/>
        </w:rPr>
        <w:t>（2）拟分包单位必须满足“</w:t>
      </w:r>
      <w:r>
        <w:rPr>
          <w:rFonts w:hint="eastAsia" w:ascii="宋体" w:hAnsi="宋体" w:cs="宋体"/>
          <w:color w:val="auto"/>
          <w:kern w:val="0"/>
          <w:lang w:val="en-GB"/>
        </w:rPr>
        <w:t>通用条款的补充内容</w:t>
      </w:r>
      <w:r>
        <w:rPr>
          <w:rFonts w:hint="eastAsia" w:ascii="宋体" w:hAnsi="宋体" w:cs="宋体"/>
          <w:color w:val="auto"/>
          <w:kern w:val="0"/>
        </w:rPr>
        <w:t>”中关于分包的资质要求，并提供相应</w:t>
      </w:r>
      <w:r>
        <w:rPr>
          <w:rFonts w:hint="eastAsia" w:ascii="宋体" w:hAnsi="宋体" w:cs="宋体"/>
          <w:color w:val="auto"/>
          <w:kern w:val="0"/>
          <w:lang w:val="en-GB"/>
        </w:rPr>
        <w:t xml:space="preserve">资质证书复印件，否则投标无效。 </w:t>
      </w:r>
    </w:p>
    <w:p w14:paraId="566E05D1">
      <w:pPr>
        <w:spacing w:after="145" w:afterLines="50" w:line="360" w:lineRule="auto"/>
        <w:rPr>
          <w:rFonts w:hint="eastAsia" w:ascii="黑体" w:hAnsi="黑体" w:eastAsia="黑体" w:cs="黑体"/>
          <w:b/>
          <w:bCs/>
          <w:color w:val="auto"/>
          <w:kern w:val="0"/>
          <w:sz w:val="24"/>
          <w:szCs w:val="24"/>
        </w:rPr>
      </w:pPr>
    </w:p>
    <w:p w14:paraId="537064DB">
      <w:pPr>
        <w:spacing w:after="145" w:afterLines="50" w:line="360" w:lineRule="auto"/>
        <w:rPr>
          <w:rFonts w:hint="eastAsia" w:ascii="黑体" w:hAnsi="黑体" w:eastAsia="黑体" w:cs="黑体"/>
          <w:b/>
          <w:bCs/>
          <w:color w:val="auto"/>
          <w:kern w:val="0"/>
          <w:sz w:val="24"/>
          <w:szCs w:val="24"/>
        </w:rPr>
      </w:pPr>
    </w:p>
    <w:p w14:paraId="53964EEE">
      <w:pPr>
        <w:spacing w:after="145" w:afterLines="50" w:line="360" w:lineRule="auto"/>
        <w:ind w:firstLine="482" w:firstLineChars="200"/>
        <w:rPr>
          <w:rFonts w:hint="eastAsia" w:ascii="黑体" w:hAnsi="黑体" w:eastAsia="黑体" w:cs="黑体"/>
          <w:b/>
          <w:bCs/>
          <w:color w:val="auto"/>
          <w:sz w:val="24"/>
          <w:szCs w:val="24"/>
          <w:lang w:val="en-GB"/>
        </w:rPr>
      </w:pPr>
      <w:r>
        <w:rPr>
          <w:rFonts w:hint="eastAsia" w:ascii="黑体" w:hAnsi="黑体" w:eastAsia="黑体" w:cs="黑体"/>
          <w:b/>
          <w:bCs/>
          <w:color w:val="auto"/>
          <w:kern w:val="0"/>
          <w:sz w:val="24"/>
          <w:szCs w:val="24"/>
        </w:rPr>
        <w:t>附件六、</w:t>
      </w:r>
      <w:r>
        <w:rPr>
          <w:rFonts w:hint="eastAsia" w:ascii="黑体" w:hAnsi="宋体" w:eastAsia="黑体"/>
          <w:b/>
          <w:bCs/>
          <w:color w:val="auto"/>
          <w:kern w:val="0"/>
          <w:sz w:val="24"/>
          <w:szCs w:val="32"/>
        </w:rPr>
        <w:t>中小企业声明函、残疾人福利性单位声明函及监狱企业声明函</w:t>
      </w:r>
    </w:p>
    <w:p w14:paraId="76C76245">
      <w:pPr>
        <w:outlineLvl w:val="3"/>
        <w:rPr>
          <w:rFonts w:hint="eastAsia" w:ascii="黑体" w:hAnsi="宋体" w:eastAsia="黑体"/>
          <w:bCs/>
          <w:color w:val="auto"/>
          <w:kern w:val="0"/>
          <w:sz w:val="24"/>
          <w:szCs w:val="32"/>
        </w:rPr>
      </w:pPr>
    </w:p>
    <w:p w14:paraId="56C9E772">
      <w:pPr>
        <w:outlineLvl w:val="3"/>
        <w:rPr>
          <w:rFonts w:hint="eastAsia" w:ascii="黑体" w:hAnsi="宋体" w:eastAsia="黑体"/>
          <w:bCs/>
          <w:color w:val="auto"/>
          <w:kern w:val="0"/>
        </w:rPr>
      </w:pPr>
      <w:r>
        <w:rPr>
          <w:rFonts w:hint="eastAsia" w:ascii="黑体" w:hAnsi="宋体" w:eastAsia="黑体"/>
          <w:bCs/>
          <w:color w:val="auto"/>
          <w:kern w:val="0"/>
        </w:rPr>
        <w:t>填写指引：</w:t>
      </w:r>
    </w:p>
    <w:p w14:paraId="319E57A2">
      <w:pPr>
        <w:ind w:firstLine="420" w:firstLineChars="200"/>
        <w:outlineLvl w:val="3"/>
        <w:rPr>
          <w:rFonts w:hint="eastAsia" w:ascii="黑体" w:hAnsi="黑体" w:eastAsia="黑体"/>
          <w:color w:val="auto"/>
        </w:rPr>
      </w:pPr>
      <w:r>
        <w:rPr>
          <w:rFonts w:hint="eastAsia" w:ascii="黑体" w:hAnsi="宋体" w:eastAsia="黑体"/>
          <w:bCs/>
          <w:color w:val="auto"/>
          <w:kern w:val="0"/>
        </w:rPr>
        <w:t>1、该部分内容由投标人根据自身实际情况填写，不符合要求的投标人可以不填写或直接删除相应的声明函。</w:t>
      </w:r>
      <w:r>
        <w:rPr>
          <w:rFonts w:hint="eastAsia" w:ascii="黑体" w:hAnsi="黑体" w:eastAsia="黑体"/>
          <w:color w:val="auto"/>
        </w:rPr>
        <w:t>投标人提供的声明函不属实的，属于提供虚假资料谋取中标，依照《中华人民共和国政府采购法》等国家有关规定追究相应责任。</w:t>
      </w:r>
    </w:p>
    <w:p w14:paraId="76840A81">
      <w:pPr>
        <w:ind w:firstLine="420" w:firstLineChars="200"/>
        <w:outlineLvl w:val="3"/>
        <w:rPr>
          <w:rFonts w:hint="eastAsia" w:ascii="黑体" w:hAnsi="黑体" w:eastAsia="黑体"/>
          <w:color w:val="auto"/>
        </w:rPr>
      </w:pPr>
      <w:r>
        <w:rPr>
          <w:rFonts w:hint="eastAsia" w:ascii="黑体" w:hAnsi="黑体" w:eastAsia="黑体"/>
          <w:color w:val="auto"/>
        </w:rPr>
        <w:t>2、该部分内容填写需要参考的相关文件：(</w:t>
      </w:r>
      <w:r>
        <w:rPr>
          <w:rFonts w:ascii="黑体" w:hAnsi="黑体" w:eastAsia="黑体"/>
          <w:color w:val="auto"/>
        </w:rPr>
        <w:t>1</w:t>
      </w:r>
      <w:r>
        <w:rPr>
          <w:rFonts w:hint="eastAsia" w:ascii="黑体" w:hAnsi="黑体" w:eastAsia="黑体"/>
          <w:color w:val="auto"/>
        </w:rPr>
        <w:t>)财政部《政府采购促进中小企业发展管理办法》（财库〔2020〕46号）；(</w:t>
      </w:r>
      <w:r>
        <w:rPr>
          <w:rFonts w:ascii="黑体" w:hAnsi="黑体" w:eastAsia="黑体"/>
          <w:color w:val="auto"/>
        </w:rPr>
        <w:t>2</w:t>
      </w:r>
      <w:r>
        <w:rPr>
          <w:rFonts w:hint="eastAsia" w:ascii="黑体" w:hAnsi="黑体" w:eastAsia="黑体"/>
          <w:color w:val="auto"/>
        </w:rPr>
        <w:t>)</w:t>
      </w:r>
      <w:bookmarkStart w:id="81" w:name="_Hlk71925120"/>
      <w:r>
        <w:rPr>
          <w:rFonts w:hint="eastAsia" w:ascii="黑体" w:hAnsi="黑体" w:eastAsia="黑体"/>
          <w:color w:val="auto"/>
        </w:rPr>
        <w:t>《工业和信息化部、国家统计局、国家发展和改革委员会、财政部关于印发中小企业划型标准规定的通知》（工信部联企业〔2011〕300 号</w:t>
      </w:r>
      <w:bookmarkEnd w:id="81"/>
      <w:r>
        <w:rPr>
          <w:rFonts w:hint="eastAsia" w:ascii="黑体" w:hAnsi="黑体" w:eastAsia="黑体"/>
          <w:color w:val="auto"/>
        </w:rPr>
        <w:t>，以下简称3</w:t>
      </w:r>
      <w:r>
        <w:rPr>
          <w:rFonts w:ascii="黑体" w:hAnsi="黑体" w:eastAsia="黑体"/>
          <w:color w:val="auto"/>
        </w:rPr>
        <w:t>00</w:t>
      </w:r>
      <w:r>
        <w:rPr>
          <w:rFonts w:hint="eastAsia" w:ascii="黑体" w:hAnsi="黑体" w:eastAsia="黑体"/>
          <w:color w:val="auto"/>
        </w:rPr>
        <w:t>号文）。</w:t>
      </w:r>
    </w:p>
    <w:p w14:paraId="23E2B302">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3、请依照提供的格式和内容填写声明函，不要随意变更格式；声明函需要加盖公章；</w:t>
      </w:r>
      <w:r>
        <w:rPr>
          <w:rFonts w:hint="eastAsia" w:ascii="黑体" w:hAnsi="黑体" w:eastAsia="黑体"/>
          <w:color w:val="auto"/>
        </w:rPr>
        <w:t>满足多项优惠政策的投标人，不重复享受多项价格扣除政策。</w:t>
      </w:r>
    </w:p>
    <w:p w14:paraId="1F5AC645">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4、声明函具体填写要求：</w:t>
      </w:r>
    </w:p>
    <w:p w14:paraId="33F8B945">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（1）声明是中小企业须填写《中小企业声明函》的以下内容：</w:t>
      </w:r>
    </w:p>
    <w:p w14:paraId="6407EFF7">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第一处，在“单位名称”下划线处如实填写采购人名称（巴州政务服务和公共资源交易中心不是本项目的采购人，而是组织实施机构）；</w:t>
      </w:r>
    </w:p>
    <w:p w14:paraId="13C38C66">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第二处，在“项目名称”下划线处如实填写采购项目名称；</w:t>
      </w:r>
    </w:p>
    <w:p w14:paraId="3B936E48">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第三处，在“标的名称”下划线处填写所采购服务（标的）的具体名称（以</w:t>
      </w:r>
      <w:bookmarkStart w:id="82" w:name="_Hlk72259001"/>
      <w:r>
        <w:rPr>
          <w:rFonts w:hint="eastAsia" w:ascii="黑体" w:hAnsi="宋体" w:eastAsia="黑体"/>
          <w:bCs/>
          <w:color w:val="auto"/>
          <w:kern w:val="0"/>
        </w:rPr>
        <w:t>招标文件第一册第三章</w:t>
      </w:r>
      <w:bookmarkEnd w:id="82"/>
      <w:r>
        <w:rPr>
          <w:rFonts w:hint="eastAsia" w:ascii="黑体" w:hAnsi="宋体" w:eastAsia="黑体"/>
          <w:bCs/>
          <w:color w:val="auto"/>
          <w:kern w:val="0"/>
        </w:rPr>
        <w:t>用户需求书“货物/服务需求明细”的“服务需求名称”一栏为准）；如果涉及多个服务需求（标的）由同一企业承接，“标的名称”下划线处可以如实填写多个服务需求（标的）；</w:t>
      </w:r>
    </w:p>
    <w:p w14:paraId="74311936">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第四处，在“招标文件中明确的所属行业”下划线处填写采购标的对应的中小企业划分标准所属行业（所属行业可在招标文件第一册第二章“对通用条款的补充内容及其他关键信息”章节查看）；</w:t>
      </w:r>
    </w:p>
    <w:p w14:paraId="4C16DA9F">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第五处，在“企业名称”下划线处如实填写承接企业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w:t>
      </w:r>
    </w:p>
    <w:p w14:paraId="0A568D39">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（2）声明是残疾人福利性单位须填写《残疾人福利性单位声明函》的相关内容（填写位置的字体已加粗），具体参照以上《中小企业声明函》填写要求执行。</w:t>
      </w:r>
    </w:p>
    <w:p w14:paraId="1CF01D1C">
      <w:pPr>
        <w:ind w:firstLine="420" w:firstLineChars="200"/>
        <w:outlineLvl w:val="3"/>
        <w:rPr>
          <w:rFonts w:hint="eastAsia" w:ascii="黑体" w:hAnsi="宋体" w:eastAsia="黑体"/>
          <w:bCs/>
          <w:color w:val="auto"/>
          <w:kern w:val="0"/>
        </w:rPr>
      </w:pPr>
      <w:r>
        <w:rPr>
          <w:rFonts w:hint="eastAsia" w:ascii="黑体" w:hAnsi="宋体" w:eastAsia="黑体"/>
          <w:bCs/>
          <w:color w:val="auto"/>
          <w:kern w:val="0"/>
        </w:rPr>
        <w:t>（3）声明是监狱企业须填写《监狱企业声明函》的相关内容（填写位置的字体已加粗），具体参照以上《中小企业声明函》填写要求执行。</w:t>
      </w:r>
    </w:p>
    <w:p w14:paraId="690B2FDB">
      <w:pPr>
        <w:ind w:firstLine="420" w:firstLineChars="200"/>
        <w:rPr>
          <w:color w:val="auto"/>
        </w:rPr>
      </w:pPr>
      <w:r>
        <w:rPr>
          <w:rFonts w:hint="eastAsia" w:ascii="黑体" w:hAnsi="宋体" w:eastAsia="黑体"/>
          <w:bCs/>
          <w:color w:val="auto"/>
          <w:kern w:val="0"/>
        </w:rPr>
        <w:t>5、声明函的有效性最终由评审委员会判定；如评审委员会判定声明函无效，相关供应商不享受</w:t>
      </w:r>
      <w:r>
        <w:rPr>
          <w:rFonts w:hint="eastAsia" w:ascii="黑体" w:hAnsi="黑体" w:eastAsia="黑体"/>
          <w:color w:val="auto"/>
        </w:rPr>
        <w:t>价格扣除</w:t>
      </w:r>
      <w:r>
        <w:rPr>
          <w:rFonts w:hint="eastAsia" w:ascii="黑体" w:hAnsi="宋体" w:eastAsia="黑体"/>
          <w:bCs/>
          <w:color w:val="auto"/>
          <w:kern w:val="0"/>
        </w:rPr>
        <w:t>（但不作投标无效处理）。</w:t>
      </w:r>
    </w:p>
    <w:p w14:paraId="0C7F3A92">
      <w:pPr>
        <w:ind w:firstLine="420" w:firstLineChars="200"/>
        <w:rPr>
          <w:color w:val="auto"/>
        </w:rPr>
      </w:pPr>
    </w:p>
    <w:p w14:paraId="1B3649A8">
      <w:pPr>
        <w:jc w:val="center"/>
        <w:outlineLvl w:val="3"/>
        <w:rPr>
          <w:b/>
          <w:color w:val="auto"/>
          <w:sz w:val="24"/>
        </w:rPr>
      </w:pPr>
    </w:p>
    <w:p w14:paraId="3D8AED15">
      <w:pPr>
        <w:jc w:val="center"/>
        <w:outlineLvl w:val="3"/>
        <w:rPr>
          <w:b/>
          <w:color w:val="auto"/>
          <w:sz w:val="24"/>
        </w:rPr>
      </w:pPr>
      <w:r>
        <w:rPr>
          <w:rFonts w:hint="eastAsia"/>
          <w:b/>
          <w:color w:val="auto"/>
          <w:sz w:val="24"/>
        </w:rPr>
        <w:t>1、</w:t>
      </w:r>
      <w:r>
        <w:rPr>
          <w:b/>
          <w:color w:val="auto"/>
          <w:sz w:val="24"/>
        </w:rPr>
        <w:t>中小企业声明函（</w:t>
      </w:r>
      <w:r>
        <w:rPr>
          <w:rFonts w:hint="eastAsia"/>
          <w:b/>
          <w:color w:val="auto"/>
          <w:sz w:val="24"/>
        </w:rPr>
        <w:t>工程、服务</w:t>
      </w:r>
      <w:r>
        <w:rPr>
          <w:b/>
          <w:color w:val="auto"/>
          <w:sz w:val="24"/>
        </w:rPr>
        <w:t xml:space="preserve">） </w:t>
      </w:r>
    </w:p>
    <w:p w14:paraId="1319AD98">
      <w:pPr>
        <w:ind w:firstLine="420" w:firstLineChars="200"/>
        <w:outlineLvl w:val="3"/>
        <w:rPr>
          <w:rFonts w:hint="eastAsia" w:ascii="宋体" w:hAnsi="宋体"/>
          <w:color w:val="auto"/>
        </w:rPr>
      </w:pPr>
      <w:r>
        <w:rPr>
          <w:rFonts w:ascii="宋体" w:hAnsi="宋体"/>
          <w:color w:val="auto"/>
        </w:rPr>
        <w:t>本</w:t>
      </w:r>
      <w:r>
        <w:rPr>
          <w:rFonts w:hint="eastAsia" w:ascii="宋体" w:hAnsi="宋体"/>
          <w:color w:val="auto"/>
        </w:rPr>
        <w:t>公司（联合体）</w:t>
      </w:r>
      <w:r>
        <w:rPr>
          <w:rFonts w:ascii="宋体" w:hAnsi="宋体"/>
          <w:color w:val="auto"/>
        </w:rPr>
        <w:t>郑重声明，根据《政府采购促进中小企业发展管理办法》（财库</w:t>
      </w:r>
      <w:r>
        <w:rPr>
          <w:rFonts w:hint="eastAsia" w:ascii="宋体" w:hAnsi="宋体" w:cs="微软雅黑"/>
          <w:color w:val="auto"/>
        </w:rPr>
        <w:t>﹝</w:t>
      </w:r>
      <w:r>
        <w:rPr>
          <w:rFonts w:ascii="宋体" w:hAnsi="宋体"/>
          <w:color w:val="auto"/>
        </w:rPr>
        <w:t>2020</w:t>
      </w:r>
      <w:r>
        <w:rPr>
          <w:rFonts w:hint="eastAsia" w:ascii="宋体" w:hAnsi="宋体" w:cs="微软雅黑"/>
          <w:color w:val="auto"/>
        </w:rPr>
        <w:t>﹞</w:t>
      </w:r>
      <w:r>
        <w:rPr>
          <w:rFonts w:ascii="宋体" w:hAnsi="宋体"/>
          <w:color w:val="auto"/>
        </w:rPr>
        <w:t>46 号）的规定，本</w:t>
      </w:r>
      <w:r>
        <w:rPr>
          <w:rFonts w:hint="eastAsia" w:ascii="宋体" w:hAnsi="宋体"/>
          <w:color w:val="auto"/>
        </w:rPr>
        <w:t>投标人</w:t>
      </w:r>
      <w:r>
        <w:rPr>
          <w:rFonts w:ascii="宋体" w:hAnsi="宋体"/>
          <w:color w:val="auto"/>
        </w:rPr>
        <w:t>参加</w:t>
      </w:r>
      <w:r>
        <w:rPr>
          <w:rFonts w:ascii="宋体" w:hAnsi="宋体"/>
          <w:b/>
          <w:bCs/>
          <w:color w:val="auto"/>
          <w:u w:val="single"/>
        </w:rPr>
        <w:t>（</w:t>
      </w:r>
      <w:r>
        <w:rPr>
          <w:rFonts w:hint="eastAsia" w:ascii="宋体" w:hAnsi="宋体"/>
          <w:b/>
          <w:bCs/>
          <w:color w:val="auto"/>
          <w:u w:val="single"/>
        </w:rPr>
        <w:t>采购人</w:t>
      </w:r>
      <w:r>
        <w:rPr>
          <w:rFonts w:ascii="宋体" w:hAnsi="宋体"/>
          <w:b/>
          <w:bCs/>
          <w:color w:val="auto"/>
          <w:u w:val="single"/>
        </w:rPr>
        <w:t>名称）</w:t>
      </w:r>
      <w:r>
        <w:rPr>
          <w:rFonts w:ascii="宋体" w:hAnsi="宋体"/>
          <w:color w:val="auto"/>
        </w:rPr>
        <w:t>的</w:t>
      </w:r>
      <w:r>
        <w:rPr>
          <w:rFonts w:ascii="宋体" w:hAnsi="宋体"/>
          <w:b/>
          <w:bCs/>
          <w:color w:val="auto"/>
          <w:u w:val="single"/>
        </w:rPr>
        <w:t>（项目名称）</w:t>
      </w:r>
      <w:r>
        <w:rPr>
          <w:rFonts w:ascii="宋体" w:hAnsi="宋体"/>
          <w:color w:val="auto"/>
        </w:rPr>
        <w:t>采购活动，</w:t>
      </w:r>
      <w:r>
        <w:rPr>
          <w:rFonts w:hint="eastAsia" w:ascii="宋体" w:hAnsi="宋体"/>
          <w:color w:val="auto"/>
        </w:rPr>
        <w:t>服务</w:t>
      </w:r>
      <w:r>
        <w:rPr>
          <w:rFonts w:ascii="宋体" w:hAnsi="宋体"/>
          <w:color w:val="auto"/>
        </w:rPr>
        <w:t>全部由符合政策要求的中小企业</w:t>
      </w:r>
      <w:r>
        <w:rPr>
          <w:rFonts w:hint="eastAsia" w:ascii="宋体" w:hAnsi="宋体"/>
          <w:color w:val="auto"/>
        </w:rPr>
        <w:t>承接</w:t>
      </w:r>
      <w:r>
        <w:rPr>
          <w:rFonts w:ascii="宋体" w:hAnsi="宋体"/>
          <w:color w:val="auto"/>
        </w:rPr>
        <w:t>。相关企业的具体情况如下：</w:t>
      </w:r>
    </w:p>
    <w:p w14:paraId="7A5997C3">
      <w:pPr>
        <w:ind w:firstLine="420" w:firstLineChars="200"/>
        <w:outlineLvl w:val="3"/>
        <w:rPr>
          <w:rFonts w:hint="eastAsia" w:ascii="宋体" w:hAnsi="宋体"/>
          <w:color w:val="auto"/>
        </w:rPr>
      </w:pPr>
      <w:r>
        <w:rPr>
          <w:rFonts w:ascii="宋体" w:hAnsi="宋体"/>
          <w:color w:val="auto"/>
        </w:rPr>
        <w:t>1.</w:t>
      </w:r>
      <w:r>
        <w:rPr>
          <w:rFonts w:ascii="宋体" w:hAnsi="宋体"/>
          <w:b/>
          <w:bCs/>
          <w:color w:val="auto"/>
          <w:u w:val="single"/>
        </w:rPr>
        <w:t xml:space="preserve"> （标的名称）</w:t>
      </w:r>
      <w:r>
        <w:rPr>
          <w:rFonts w:ascii="宋体" w:hAnsi="宋体"/>
          <w:color w:val="auto"/>
        </w:rPr>
        <w:t xml:space="preserve"> ，属于</w:t>
      </w:r>
      <w:r>
        <w:rPr>
          <w:rFonts w:ascii="宋体" w:hAnsi="宋体"/>
          <w:b/>
          <w:bCs/>
          <w:color w:val="auto"/>
          <w:u w:val="single"/>
        </w:rPr>
        <w:t>（</w:t>
      </w:r>
      <w:r>
        <w:rPr>
          <w:rFonts w:hint="eastAsia" w:ascii="宋体" w:hAnsi="宋体"/>
          <w:b/>
          <w:bCs/>
          <w:color w:val="auto"/>
          <w:u w:val="single"/>
        </w:rPr>
        <w:t>招标文件</w:t>
      </w:r>
      <w:r>
        <w:rPr>
          <w:rFonts w:ascii="宋体" w:hAnsi="宋体"/>
          <w:b/>
          <w:bCs/>
          <w:color w:val="auto"/>
          <w:u w:val="single"/>
        </w:rPr>
        <w:t xml:space="preserve">中明确的所属行业） </w:t>
      </w:r>
      <w:r>
        <w:rPr>
          <w:rFonts w:ascii="宋体" w:hAnsi="宋体"/>
          <w:color w:val="auto"/>
        </w:rPr>
        <w:t>行业；</w:t>
      </w:r>
      <w:r>
        <w:rPr>
          <w:rFonts w:hint="eastAsia" w:ascii="宋体" w:hAnsi="宋体"/>
          <w:color w:val="auto"/>
        </w:rPr>
        <w:t>承建（承接）企业</w:t>
      </w:r>
      <w:r>
        <w:rPr>
          <w:rFonts w:ascii="宋体" w:hAnsi="宋体"/>
          <w:color w:val="auto"/>
        </w:rPr>
        <w:t>为</w:t>
      </w:r>
      <w:r>
        <w:rPr>
          <w:rFonts w:ascii="宋体" w:hAnsi="宋体"/>
          <w:b/>
          <w:bCs/>
          <w:color w:val="auto"/>
          <w:u w:val="single"/>
        </w:rPr>
        <w:t>（企业名称）</w:t>
      </w:r>
      <w:r>
        <w:rPr>
          <w:rFonts w:ascii="宋体" w:hAnsi="宋体"/>
          <w:color w:val="auto"/>
        </w:rPr>
        <w:t>，从业人员</w:t>
      </w:r>
      <w:r>
        <w:rPr>
          <w:rFonts w:ascii="宋体" w:hAnsi="宋体"/>
          <w:b/>
          <w:bCs/>
          <w:color w:val="auto"/>
          <w:u w:val="single"/>
        </w:rPr>
        <w:t xml:space="preserve">  </w:t>
      </w:r>
      <w:r>
        <w:rPr>
          <w:rFonts w:ascii="宋体" w:hAnsi="宋体"/>
          <w:color w:val="auto"/>
        </w:rPr>
        <w:t>人，营业收入为</w:t>
      </w:r>
      <w:r>
        <w:rPr>
          <w:rFonts w:ascii="宋体" w:hAnsi="宋体"/>
          <w:b/>
          <w:bCs/>
          <w:color w:val="auto"/>
          <w:u w:val="single"/>
        </w:rPr>
        <w:t xml:space="preserve">  </w:t>
      </w:r>
      <w:r>
        <w:rPr>
          <w:rFonts w:ascii="宋体" w:hAnsi="宋体"/>
          <w:color w:val="auto"/>
        </w:rPr>
        <w:t>万元，资产总额为</w:t>
      </w:r>
      <w:r>
        <w:rPr>
          <w:rFonts w:hint="eastAsia" w:ascii="宋体" w:hAnsi="宋体"/>
          <w:b/>
          <w:bCs/>
          <w:color w:val="auto"/>
          <w:u w:val="single"/>
        </w:rPr>
        <w:t xml:space="preserve"> </w:t>
      </w:r>
      <w:r>
        <w:rPr>
          <w:rFonts w:ascii="宋体" w:hAnsi="宋体"/>
          <w:b/>
          <w:bCs/>
          <w:color w:val="auto"/>
          <w:u w:val="single"/>
        </w:rPr>
        <w:t xml:space="preserve"> </w:t>
      </w:r>
      <w:r>
        <w:rPr>
          <w:rFonts w:ascii="宋体" w:hAnsi="宋体"/>
          <w:color w:val="auto"/>
        </w:rPr>
        <w:t>万元 ，属于</w:t>
      </w:r>
      <w:r>
        <w:rPr>
          <w:rFonts w:ascii="宋体" w:hAnsi="宋体"/>
          <w:b/>
          <w:bCs/>
          <w:color w:val="auto"/>
          <w:u w:val="single"/>
        </w:rPr>
        <w:t>（中型企业、小型企业、微型企业）</w:t>
      </w:r>
      <w:r>
        <w:rPr>
          <w:rFonts w:ascii="宋体" w:hAnsi="宋体"/>
          <w:color w:val="auto"/>
        </w:rPr>
        <w:t xml:space="preserve">； </w:t>
      </w:r>
    </w:p>
    <w:p w14:paraId="35C4FB70">
      <w:pPr>
        <w:ind w:firstLine="420" w:firstLineChars="200"/>
        <w:outlineLvl w:val="3"/>
        <w:rPr>
          <w:rFonts w:hint="eastAsia" w:ascii="宋体" w:hAnsi="宋体"/>
          <w:color w:val="auto"/>
          <w:u w:val="single"/>
        </w:rPr>
      </w:pPr>
      <w:r>
        <w:rPr>
          <w:rFonts w:ascii="宋体" w:hAnsi="宋体"/>
          <w:color w:val="auto"/>
        </w:rPr>
        <w:t>2.</w:t>
      </w:r>
      <w:r>
        <w:rPr>
          <w:rFonts w:ascii="宋体" w:hAnsi="宋体"/>
          <w:b/>
          <w:bCs/>
          <w:color w:val="auto"/>
          <w:u w:val="single"/>
        </w:rPr>
        <w:t xml:space="preserve"> （标的名称）</w:t>
      </w:r>
      <w:r>
        <w:rPr>
          <w:rFonts w:ascii="宋体" w:hAnsi="宋体"/>
          <w:color w:val="auto"/>
        </w:rPr>
        <w:t xml:space="preserve"> ，属于</w:t>
      </w:r>
      <w:r>
        <w:rPr>
          <w:rFonts w:ascii="宋体" w:hAnsi="宋体"/>
          <w:b/>
          <w:bCs/>
          <w:color w:val="auto"/>
          <w:u w:val="single"/>
        </w:rPr>
        <w:t>（</w:t>
      </w:r>
      <w:r>
        <w:rPr>
          <w:rFonts w:hint="eastAsia" w:ascii="宋体" w:hAnsi="宋体"/>
          <w:b/>
          <w:bCs/>
          <w:color w:val="auto"/>
          <w:u w:val="single"/>
        </w:rPr>
        <w:t>招标文件</w:t>
      </w:r>
      <w:r>
        <w:rPr>
          <w:rFonts w:ascii="宋体" w:hAnsi="宋体"/>
          <w:b/>
          <w:bCs/>
          <w:color w:val="auto"/>
          <w:u w:val="single"/>
        </w:rPr>
        <w:t xml:space="preserve">中明确的所属行业） </w:t>
      </w:r>
      <w:r>
        <w:rPr>
          <w:rFonts w:ascii="宋体" w:hAnsi="宋体"/>
          <w:color w:val="auto"/>
        </w:rPr>
        <w:t>行业；</w:t>
      </w:r>
      <w:r>
        <w:rPr>
          <w:rFonts w:hint="eastAsia" w:ascii="宋体" w:hAnsi="宋体"/>
          <w:color w:val="auto"/>
        </w:rPr>
        <w:t>承建（承接）企业</w:t>
      </w:r>
      <w:r>
        <w:rPr>
          <w:rFonts w:ascii="宋体" w:hAnsi="宋体"/>
          <w:color w:val="auto"/>
        </w:rPr>
        <w:t>为</w:t>
      </w:r>
      <w:r>
        <w:rPr>
          <w:rFonts w:ascii="宋体" w:hAnsi="宋体"/>
          <w:b/>
          <w:bCs/>
          <w:color w:val="auto"/>
          <w:u w:val="single"/>
        </w:rPr>
        <w:t>（企业名称）</w:t>
      </w:r>
      <w:r>
        <w:rPr>
          <w:rFonts w:ascii="宋体" w:hAnsi="宋体"/>
          <w:color w:val="auto"/>
        </w:rPr>
        <w:t>，从业人员</w:t>
      </w:r>
      <w:r>
        <w:rPr>
          <w:rFonts w:ascii="宋体" w:hAnsi="宋体"/>
          <w:b/>
          <w:bCs/>
          <w:color w:val="auto"/>
          <w:u w:val="single"/>
        </w:rPr>
        <w:t xml:space="preserve">  </w:t>
      </w:r>
      <w:r>
        <w:rPr>
          <w:rFonts w:ascii="宋体" w:hAnsi="宋体"/>
          <w:color w:val="auto"/>
        </w:rPr>
        <w:t>人，营业收入为</w:t>
      </w:r>
      <w:r>
        <w:rPr>
          <w:rFonts w:ascii="宋体" w:hAnsi="宋体"/>
          <w:b/>
          <w:bCs/>
          <w:color w:val="auto"/>
          <w:u w:val="single"/>
        </w:rPr>
        <w:t xml:space="preserve">  </w:t>
      </w:r>
      <w:r>
        <w:rPr>
          <w:rFonts w:ascii="宋体" w:hAnsi="宋体"/>
          <w:color w:val="auto"/>
        </w:rPr>
        <w:t>万元，资产总额为</w:t>
      </w:r>
      <w:r>
        <w:rPr>
          <w:rFonts w:hint="eastAsia" w:ascii="宋体" w:hAnsi="宋体"/>
          <w:b/>
          <w:bCs/>
          <w:color w:val="auto"/>
          <w:u w:val="single"/>
        </w:rPr>
        <w:t xml:space="preserve"> </w:t>
      </w:r>
      <w:r>
        <w:rPr>
          <w:rFonts w:ascii="宋体" w:hAnsi="宋体"/>
          <w:b/>
          <w:bCs/>
          <w:color w:val="auto"/>
          <w:u w:val="single"/>
        </w:rPr>
        <w:t xml:space="preserve"> </w:t>
      </w:r>
      <w:r>
        <w:rPr>
          <w:rFonts w:ascii="宋体" w:hAnsi="宋体"/>
          <w:color w:val="auto"/>
        </w:rPr>
        <w:t>万元 ，属于</w:t>
      </w:r>
      <w:r>
        <w:rPr>
          <w:rFonts w:ascii="宋体" w:hAnsi="宋体"/>
          <w:b/>
          <w:bCs/>
          <w:color w:val="auto"/>
          <w:u w:val="single"/>
        </w:rPr>
        <w:t>（中型企业、小型企业、微型企业）</w:t>
      </w:r>
      <w:r>
        <w:rPr>
          <w:rFonts w:hint="eastAsia" w:ascii="宋体" w:hAnsi="宋体"/>
          <w:color w:val="auto"/>
        </w:rPr>
        <w:t>；</w:t>
      </w:r>
    </w:p>
    <w:p w14:paraId="4213907F">
      <w:pPr>
        <w:ind w:firstLine="420" w:firstLineChars="200"/>
        <w:outlineLvl w:val="3"/>
        <w:rPr>
          <w:rFonts w:hint="eastAsia" w:ascii="宋体" w:hAnsi="宋体"/>
          <w:color w:val="auto"/>
        </w:rPr>
      </w:pPr>
      <w:r>
        <w:rPr>
          <w:rFonts w:ascii="宋体" w:hAnsi="宋体"/>
          <w:color w:val="auto"/>
        </w:rPr>
        <w:t xml:space="preserve">…… </w:t>
      </w:r>
    </w:p>
    <w:p w14:paraId="71039773">
      <w:pPr>
        <w:ind w:firstLine="420" w:firstLineChars="200"/>
        <w:outlineLvl w:val="3"/>
        <w:rPr>
          <w:rFonts w:hint="eastAsia" w:ascii="宋体" w:hAnsi="宋体"/>
          <w:color w:val="auto"/>
        </w:rPr>
      </w:pPr>
      <w:r>
        <w:rPr>
          <w:rFonts w:ascii="宋体" w:hAnsi="宋体"/>
          <w:color w:val="auto"/>
        </w:rPr>
        <w:t>以上企业，不属于大企业的分支机构，不存在控股股东为大企业的情形，也不存在与大企业的负责人为同一人的情形。</w:t>
      </w:r>
    </w:p>
    <w:p w14:paraId="7ADC8E12">
      <w:pPr>
        <w:ind w:firstLine="420" w:firstLineChars="200"/>
        <w:outlineLvl w:val="3"/>
        <w:rPr>
          <w:color w:val="auto"/>
        </w:rPr>
      </w:pPr>
      <w:bookmarkStart w:id="83" w:name="_Hlk73562275"/>
    </w:p>
    <w:p w14:paraId="0C70E796">
      <w:pPr>
        <w:ind w:firstLine="420" w:firstLineChars="200"/>
        <w:outlineLvl w:val="3"/>
        <w:rPr>
          <w:color w:val="auto"/>
        </w:rPr>
      </w:pPr>
      <w:r>
        <w:rPr>
          <w:rFonts w:hint="eastAsia"/>
          <w:color w:val="auto"/>
        </w:rPr>
        <w:t>本企业</w:t>
      </w:r>
      <w:r>
        <w:rPr>
          <w:color w:val="auto"/>
        </w:rPr>
        <w:t>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w:t>
      </w:r>
      <w:r>
        <w:rPr>
          <w:rFonts w:hint="eastAsia"/>
          <w:color w:val="auto"/>
        </w:rPr>
        <w:t>投标人</w:t>
      </w:r>
      <w:r>
        <w:rPr>
          <w:color w:val="auto"/>
        </w:rPr>
        <w:t>按照本办法规定提供声明函内容不实的，属于提供虚假材料谋取中标，依照《政府采购法》等政府采购有关法律法规规定追究相应责任</w:t>
      </w:r>
      <w:r>
        <w:rPr>
          <w:rFonts w:hint="eastAsia"/>
          <w:color w:val="auto"/>
        </w:rPr>
        <w:t>。</w:t>
      </w:r>
      <w:bookmarkEnd w:id="83"/>
    </w:p>
    <w:p w14:paraId="4186C18E">
      <w:pPr>
        <w:pStyle w:val="2"/>
        <w:rPr>
          <w:color w:val="auto"/>
        </w:rPr>
      </w:pPr>
    </w:p>
    <w:p w14:paraId="1DA60036">
      <w:pPr>
        <w:ind w:firstLine="5670" w:firstLineChars="2700"/>
        <w:outlineLvl w:val="3"/>
        <w:rPr>
          <w:color w:val="auto"/>
        </w:rPr>
      </w:pPr>
      <w:r>
        <w:rPr>
          <w:rFonts w:hint="eastAsia"/>
          <w:color w:val="auto"/>
        </w:rPr>
        <w:t>企业名称（盖章）：</w:t>
      </w:r>
    </w:p>
    <w:p w14:paraId="26728E63">
      <w:pPr>
        <w:ind w:firstLine="6300" w:firstLineChars="3000"/>
        <w:outlineLvl w:val="3"/>
        <w:rPr>
          <w:color w:val="auto"/>
        </w:rPr>
      </w:pPr>
      <w:r>
        <w:rPr>
          <w:rFonts w:hint="eastAsia"/>
          <w:color w:val="auto"/>
        </w:rPr>
        <w:t>日期：</w:t>
      </w:r>
    </w:p>
    <w:p w14:paraId="0112EEB4">
      <w:pPr>
        <w:pStyle w:val="17"/>
        <w:rPr>
          <w:color w:val="auto"/>
        </w:rPr>
      </w:pPr>
    </w:p>
    <w:p w14:paraId="3B972A06">
      <w:pPr>
        <w:rPr>
          <w:color w:val="auto"/>
        </w:rPr>
      </w:pPr>
    </w:p>
    <w:p w14:paraId="1CB4BC88">
      <w:pPr>
        <w:widowControl/>
        <w:spacing w:line="400" w:lineRule="exact"/>
        <w:rPr>
          <w:rFonts w:hint="eastAsia" w:ascii="宋体" w:hAnsi="宋体"/>
          <w:b/>
          <w:bCs/>
          <w:color w:val="auto"/>
          <w:sz w:val="18"/>
        </w:rPr>
      </w:pPr>
      <w:r>
        <w:rPr>
          <w:rFonts w:hint="eastAsia" w:ascii="宋体" w:hAnsi="宋体"/>
          <w:b/>
          <w:bCs/>
          <w:color w:val="auto"/>
          <w:sz w:val="18"/>
        </w:rPr>
        <w:t>备注：1、从业人员、营业收入、资产总额填报上一年度数据，无上一年度数据的新成立企业可不填报。</w:t>
      </w:r>
    </w:p>
    <w:p w14:paraId="0AD163F4">
      <w:pPr>
        <w:widowControl/>
        <w:numPr>
          <w:ilvl w:val="0"/>
          <w:numId w:val="14"/>
        </w:numPr>
        <w:spacing w:line="400" w:lineRule="exact"/>
        <w:ind w:firstLine="542" w:firstLineChars="300"/>
        <w:rPr>
          <w:rFonts w:hint="eastAsia" w:ascii="宋体" w:hAnsi="宋体"/>
          <w:b/>
          <w:bCs/>
          <w:color w:val="auto"/>
          <w:sz w:val="18"/>
          <w:szCs w:val="22"/>
        </w:rPr>
      </w:pPr>
      <w:r>
        <w:rPr>
          <w:rFonts w:hint="eastAsia" w:ascii="宋体" w:hAnsi="宋体"/>
          <w:b/>
          <w:bCs/>
          <w:color w:val="auto"/>
          <w:sz w:val="18"/>
          <w:szCs w:val="22"/>
        </w:rPr>
        <w:t>投标人为中小企业时需提供本声明函，并完整填写从业人员、营业收入、资产总额等内容，否则评审时不能享受相应的价格扣除。</w:t>
      </w:r>
    </w:p>
    <w:p w14:paraId="62A4030F">
      <w:pPr>
        <w:pStyle w:val="2"/>
        <w:rPr>
          <w:color w:val="auto"/>
        </w:rPr>
      </w:pPr>
    </w:p>
    <w:p w14:paraId="166A47EA">
      <w:pPr>
        <w:jc w:val="center"/>
        <w:outlineLvl w:val="3"/>
        <w:rPr>
          <w:rFonts w:hint="eastAsia" w:ascii="宋体" w:hAnsi="宋体" w:cs="宋体"/>
          <w:b/>
          <w:color w:val="auto"/>
          <w:sz w:val="24"/>
        </w:rPr>
      </w:pPr>
      <w:r>
        <w:rPr>
          <w:rFonts w:hint="eastAsia" w:ascii="宋体" w:hAnsi="宋体" w:cs="宋体"/>
          <w:b/>
          <w:color w:val="auto"/>
          <w:sz w:val="24"/>
        </w:rPr>
        <w:t xml:space="preserve">2、中小企业声明函（货物） </w:t>
      </w:r>
    </w:p>
    <w:p w14:paraId="414FD87C">
      <w:pPr>
        <w:ind w:firstLine="420" w:firstLineChars="200"/>
        <w:outlineLvl w:val="3"/>
        <w:rPr>
          <w:rFonts w:hint="eastAsia" w:ascii="宋体" w:hAnsi="宋体" w:cs="宋体"/>
          <w:color w:val="auto"/>
        </w:rPr>
      </w:pPr>
      <w:r>
        <w:rPr>
          <w:rFonts w:hint="eastAsia" w:ascii="宋体" w:hAnsi="宋体" w:cs="宋体"/>
          <w:color w:val="auto"/>
        </w:rPr>
        <w:t>本公司（联合体）郑重声明，根据《政府采购促进中小企业发展管理办法》（财库﹝2020﹞46 号）的规定，本公司（联合体）参加</w:t>
      </w:r>
      <w:r>
        <w:rPr>
          <w:rFonts w:hint="eastAsia" w:ascii="宋体" w:hAnsi="宋体" w:cs="宋体"/>
          <w:b/>
          <w:bCs/>
          <w:color w:val="auto"/>
          <w:u w:val="single"/>
        </w:rPr>
        <w:t>（采购人名称）</w:t>
      </w:r>
      <w:r>
        <w:rPr>
          <w:rFonts w:hint="eastAsia" w:ascii="宋体" w:hAnsi="宋体" w:cs="宋体"/>
          <w:color w:val="auto"/>
        </w:rPr>
        <w:t>的</w:t>
      </w:r>
      <w:r>
        <w:rPr>
          <w:rFonts w:hint="eastAsia" w:ascii="宋体" w:hAnsi="宋体" w:cs="宋体"/>
          <w:b/>
          <w:bCs/>
          <w:color w:val="auto"/>
          <w:u w:val="single"/>
        </w:rPr>
        <w:t>（项目名称）</w:t>
      </w:r>
      <w:r>
        <w:rPr>
          <w:rFonts w:hint="eastAsia" w:ascii="宋体" w:hAnsi="宋体" w:cs="宋体"/>
          <w:color w:val="auto"/>
        </w:rPr>
        <w:t>采购活动，提供的货物全部由符合政策要求的中小企业制造。相关企业（含联合体中的中小企业、签订分包意向协议的中小企业）的具体情况如下：</w:t>
      </w:r>
    </w:p>
    <w:p w14:paraId="49A7D0BB">
      <w:pPr>
        <w:ind w:firstLine="420" w:firstLineChars="200"/>
        <w:outlineLvl w:val="3"/>
        <w:rPr>
          <w:rFonts w:hint="eastAsia" w:ascii="宋体" w:hAnsi="宋体" w:cs="宋体"/>
          <w:color w:val="auto"/>
        </w:rPr>
      </w:pPr>
      <w:r>
        <w:rPr>
          <w:rFonts w:hint="eastAsia" w:ascii="宋体" w:hAnsi="宋体" w:cs="宋体"/>
          <w:color w:val="auto"/>
        </w:rPr>
        <w:t>1.</w:t>
      </w:r>
      <w:r>
        <w:rPr>
          <w:rFonts w:hint="eastAsia" w:ascii="宋体" w:hAnsi="宋体" w:cs="宋体"/>
          <w:b/>
          <w:bCs/>
          <w:color w:val="auto"/>
          <w:u w:val="single"/>
        </w:rPr>
        <w:t xml:space="preserve"> （标的名称）</w:t>
      </w:r>
      <w:r>
        <w:rPr>
          <w:rFonts w:hint="eastAsia" w:ascii="宋体" w:hAnsi="宋体" w:cs="宋体"/>
          <w:color w:val="auto"/>
        </w:rPr>
        <w:t xml:space="preserve"> ，属于</w:t>
      </w:r>
      <w:r>
        <w:rPr>
          <w:rFonts w:hint="eastAsia" w:ascii="宋体" w:hAnsi="宋体" w:cs="宋体"/>
          <w:b/>
          <w:bCs/>
          <w:color w:val="auto"/>
          <w:u w:val="single"/>
        </w:rPr>
        <w:t xml:space="preserve">（招标文件中明确的所属行业） </w:t>
      </w:r>
      <w:r>
        <w:rPr>
          <w:rFonts w:hint="eastAsia" w:ascii="宋体" w:hAnsi="宋体" w:cs="宋体"/>
          <w:color w:val="auto"/>
        </w:rPr>
        <w:t>行业；制造商为</w:t>
      </w:r>
      <w:r>
        <w:rPr>
          <w:rFonts w:hint="eastAsia" w:ascii="宋体" w:hAnsi="宋体" w:cs="宋体"/>
          <w:b/>
          <w:bCs/>
          <w:color w:val="auto"/>
          <w:u w:val="single"/>
        </w:rPr>
        <w:t>（企业名称）</w:t>
      </w:r>
      <w:r>
        <w:rPr>
          <w:rFonts w:hint="eastAsia" w:ascii="宋体" w:hAnsi="宋体" w:cs="宋体"/>
          <w:color w:val="auto"/>
        </w:rPr>
        <w:t>，从业人员</w:t>
      </w:r>
      <w:r>
        <w:rPr>
          <w:rFonts w:hint="eastAsia" w:ascii="宋体" w:hAnsi="宋体" w:cs="宋体"/>
          <w:b/>
          <w:bCs/>
          <w:color w:val="auto"/>
          <w:u w:val="single"/>
        </w:rPr>
        <w:t xml:space="preserve">  </w:t>
      </w:r>
      <w:r>
        <w:rPr>
          <w:rFonts w:hint="eastAsia" w:ascii="宋体" w:hAnsi="宋体" w:cs="宋体"/>
          <w:color w:val="auto"/>
        </w:rPr>
        <w:t>人，营业收入为</w:t>
      </w:r>
      <w:r>
        <w:rPr>
          <w:rFonts w:hint="eastAsia" w:ascii="宋体" w:hAnsi="宋体" w:cs="宋体"/>
          <w:b/>
          <w:bCs/>
          <w:color w:val="auto"/>
          <w:u w:val="single"/>
        </w:rPr>
        <w:t xml:space="preserve">  </w:t>
      </w:r>
      <w:r>
        <w:rPr>
          <w:rFonts w:hint="eastAsia" w:ascii="宋体" w:hAnsi="宋体" w:cs="宋体"/>
          <w:color w:val="auto"/>
        </w:rPr>
        <w:t>万元，资产总额为</w:t>
      </w:r>
      <w:r>
        <w:rPr>
          <w:rFonts w:hint="eastAsia" w:ascii="宋体" w:hAnsi="宋体" w:cs="宋体"/>
          <w:b/>
          <w:bCs/>
          <w:color w:val="auto"/>
          <w:u w:val="single"/>
        </w:rPr>
        <w:t xml:space="preserve">  </w:t>
      </w:r>
      <w:r>
        <w:rPr>
          <w:rFonts w:hint="eastAsia" w:ascii="宋体" w:hAnsi="宋体" w:cs="宋体"/>
          <w:color w:val="auto"/>
        </w:rPr>
        <w:t>万元 ，属于</w:t>
      </w:r>
      <w:r>
        <w:rPr>
          <w:rFonts w:hint="eastAsia" w:ascii="宋体" w:hAnsi="宋体" w:cs="宋体"/>
          <w:b/>
          <w:bCs/>
          <w:color w:val="auto"/>
          <w:u w:val="single"/>
        </w:rPr>
        <w:t>（中型企业、小型企业、微型企业）</w:t>
      </w:r>
      <w:r>
        <w:rPr>
          <w:rFonts w:hint="eastAsia" w:ascii="宋体" w:hAnsi="宋体" w:cs="宋体"/>
          <w:color w:val="auto"/>
        </w:rPr>
        <w:t xml:space="preserve">； </w:t>
      </w:r>
    </w:p>
    <w:p w14:paraId="6BB8A438">
      <w:pPr>
        <w:ind w:firstLine="420" w:firstLineChars="200"/>
        <w:outlineLvl w:val="3"/>
        <w:rPr>
          <w:rFonts w:hint="eastAsia" w:ascii="宋体" w:hAnsi="宋体" w:cs="宋体"/>
          <w:color w:val="auto"/>
          <w:u w:val="single"/>
        </w:rPr>
      </w:pPr>
      <w:r>
        <w:rPr>
          <w:rFonts w:hint="eastAsia" w:ascii="宋体" w:hAnsi="宋体" w:cs="宋体"/>
          <w:color w:val="auto"/>
        </w:rPr>
        <w:t>2.</w:t>
      </w:r>
      <w:r>
        <w:rPr>
          <w:rFonts w:hint="eastAsia" w:ascii="宋体" w:hAnsi="宋体" w:cs="宋体"/>
          <w:b/>
          <w:bCs/>
          <w:color w:val="auto"/>
          <w:u w:val="single"/>
        </w:rPr>
        <w:t xml:space="preserve"> （标的名称）</w:t>
      </w:r>
      <w:r>
        <w:rPr>
          <w:rFonts w:hint="eastAsia" w:ascii="宋体" w:hAnsi="宋体" w:cs="宋体"/>
          <w:color w:val="auto"/>
        </w:rPr>
        <w:t xml:space="preserve"> ，属于</w:t>
      </w:r>
      <w:r>
        <w:rPr>
          <w:rFonts w:hint="eastAsia" w:ascii="宋体" w:hAnsi="宋体" w:cs="宋体"/>
          <w:b/>
          <w:bCs/>
          <w:color w:val="auto"/>
          <w:u w:val="single"/>
        </w:rPr>
        <w:t xml:space="preserve">（招标文件中明确的所属行业） </w:t>
      </w:r>
      <w:r>
        <w:rPr>
          <w:rFonts w:hint="eastAsia" w:ascii="宋体" w:hAnsi="宋体" w:cs="宋体"/>
          <w:color w:val="auto"/>
        </w:rPr>
        <w:t>行业；制造商为</w:t>
      </w:r>
      <w:r>
        <w:rPr>
          <w:rFonts w:hint="eastAsia" w:ascii="宋体" w:hAnsi="宋体" w:cs="宋体"/>
          <w:b/>
          <w:bCs/>
          <w:color w:val="auto"/>
          <w:u w:val="single"/>
        </w:rPr>
        <w:t>（企业名称）</w:t>
      </w:r>
      <w:r>
        <w:rPr>
          <w:rFonts w:hint="eastAsia" w:ascii="宋体" w:hAnsi="宋体" w:cs="宋体"/>
          <w:color w:val="auto"/>
        </w:rPr>
        <w:t>，从业人员</w:t>
      </w:r>
      <w:r>
        <w:rPr>
          <w:rFonts w:hint="eastAsia" w:ascii="宋体" w:hAnsi="宋体" w:cs="宋体"/>
          <w:b/>
          <w:bCs/>
          <w:color w:val="auto"/>
          <w:u w:val="single"/>
        </w:rPr>
        <w:t xml:space="preserve">  </w:t>
      </w:r>
      <w:r>
        <w:rPr>
          <w:rFonts w:hint="eastAsia" w:ascii="宋体" w:hAnsi="宋体" w:cs="宋体"/>
          <w:color w:val="auto"/>
        </w:rPr>
        <w:t>人，营业收入为</w:t>
      </w:r>
      <w:r>
        <w:rPr>
          <w:rFonts w:hint="eastAsia" w:ascii="宋体" w:hAnsi="宋体" w:cs="宋体"/>
          <w:b/>
          <w:bCs/>
          <w:color w:val="auto"/>
          <w:u w:val="single"/>
        </w:rPr>
        <w:t xml:space="preserve">  </w:t>
      </w:r>
      <w:r>
        <w:rPr>
          <w:rFonts w:hint="eastAsia" w:ascii="宋体" w:hAnsi="宋体" w:cs="宋体"/>
          <w:color w:val="auto"/>
        </w:rPr>
        <w:t>万元，资产总额为</w:t>
      </w:r>
      <w:r>
        <w:rPr>
          <w:rFonts w:hint="eastAsia" w:ascii="宋体" w:hAnsi="宋体" w:cs="宋体"/>
          <w:b/>
          <w:bCs/>
          <w:color w:val="auto"/>
          <w:u w:val="single"/>
        </w:rPr>
        <w:t xml:space="preserve">  </w:t>
      </w:r>
      <w:r>
        <w:rPr>
          <w:rFonts w:hint="eastAsia" w:ascii="宋体" w:hAnsi="宋体" w:cs="宋体"/>
          <w:color w:val="auto"/>
        </w:rPr>
        <w:t>万元 ，属于</w:t>
      </w:r>
      <w:r>
        <w:rPr>
          <w:rFonts w:hint="eastAsia" w:ascii="宋体" w:hAnsi="宋体" w:cs="宋体"/>
          <w:b/>
          <w:bCs/>
          <w:color w:val="auto"/>
          <w:u w:val="single"/>
        </w:rPr>
        <w:t>（中型企业、小型企业、微型企业）</w:t>
      </w:r>
      <w:r>
        <w:rPr>
          <w:rFonts w:hint="eastAsia" w:ascii="宋体" w:hAnsi="宋体" w:cs="宋体"/>
          <w:color w:val="auto"/>
        </w:rPr>
        <w:t>；</w:t>
      </w:r>
    </w:p>
    <w:p w14:paraId="41DFCCD7">
      <w:pPr>
        <w:ind w:firstLine="420" w:firstLineChars="200"/>
        <w:outlineLvl w:val="3"/>
        <w:rPr>
          <w:rFonts w:hint="eastAsia" w:ascii="宋体" w:hAnsi="宋体" w:cs="宋体"/>
          <w:color w:val="auto"/>
        </w:rPr>
      </w:pPr>
      <w:r>
        <w:rPr>
          <w:rFonts w:hint="eastAsia" w:ascii="宋体" w:hAnsi="宋体" w:cs="宋体"/>
          <w:color w:val="auto"/>
        </w:rPr>
        <w:t xml:space="preserve">…… </w:t>
      </w:r>
    </w:p>
    <w:p w14:paraId="685D1B77">
      <w:pPr>
        <w:ind w:firstLine="420" w:firstLineChars="200"/>
        <w:outlineLvl w:val="3"/>
        <w:rPr>
          <w:rFonts w:hint="eastAsia" w:ascii="宋体" w:hAnsi="宋体" w:cs="宋体"/>
          <w:color w:val="auto"/>
        </w:rPr>
      </w:pPr>
      <w:r>
        <w:rPr>
          <w:rFonts w:hint="eastAsia" w:ascii="宋体" w:hAnsi="宋体" w:cs="宋体"/>
          <w:color w:val="auto"/>
        </w:rPr>
        <w:t>以上企业，不属于大企业的分支机构，不存在控股股东为大企业的情形，也不存在与大企业的负责人为同一人的情形。</w:t>
      </w:r>
    </w:p>
    <w:p w14:paraId="04188DF9">
      <w:pPr>
        <w:ind w:firstLine="420" w:firstLineChars="200"/>
        <w:outlineLvl w:val="3"/>
        <w:rPr>
          <w:rFonts w:hint="eastAsia" w:ascii="宋体" w:hAnsi="宋体" w:cs="宋体"/>
          <w:color w:val="auto"/>
        </w:rPr>
      </w:pPr>
    </w:p>
    <w:p w14:paraId="4ABCE636">
      <w:pPr>
        <w:ind w:firstLine="420" w:firstLineChars="200"/>
        <w:outlineLvl w:val="3"/>
        <w:rPr>
          <w:rFonts w:hint="eastAsia" w:ascii="宋体" w:hAnsi="宋体" w:cs="宋体"/>
          <w:color w:val="auto"/>
        </w:rPr>
      </w:pPr>
      <w:r>
        <w:rPr>
          <w:rFonts w:hint="eastAsia" w:ascii="宋体" w:hAnsi="宋体" w:cs="宋体"/>
          <w:color w:val="auto"/>
        </w:rPr>
        <w:t>本企业人已知悉《政府采购促进中小企业发展管理办法》（财库〔2020〕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p>
    <w:p w14:paraId="5C9ABE87">
      <w:pPr>
        <w:pStyle w:val="2"/>
        <w:rPr>
          <w:rFonts w:hint="eastAsia" w:ascii="宋体" w:hAnsi="宋体" w:eastAsia="宋体" w:cs="宋体"/>
          <w:color w:val="auto"/>
          <w:sz w:val="21"/>
          <w:szCs w:val="21"/>
        </w:rPr>
      </w:pPr>
    </w:p>
    <w:p w14:paraId="369AADAE">
      <w:pPr>
        <w:ind w:firstLine="5670" w:firstLineChars="2700"/>
        <w:outlineLvl w:val="3"/>
        <w:rPr>
          <w:rFonts w:hint="eastAsia" w:ascii="宋体" w:hAnsi="宋体" w:cs="宋体"/>
          <w:color w:val="auto"/>
        </w:rPr>
      </w:pPr>
      <w:r>
        <w:rPr>
          <w:rFonts w:hint="eastAsia" w:ascii="宋体" w:hAnsi="宋体" w:cs="宋体"/>
          <w:color w:val="auto"/>
        </w:rPr>
        <w:t>企业名称（盖章）：</w:t>
      </w:r>
    </w:p>
    <w:p w14:paraId="416BC868">
      <w:pPr>
        <w:ind w:firstLine="6300" w:firstLineChars="3000"/>
        <w:outlineLvl w:val="3"/>
        <w:rPr>
          <w:rFonts w:hint="eastAsia" w:ascii="宋体" w:hAnsi="宋体" w:cs="宋体"/>
          <w:color w:val="auto"/>
        </w:rPr>
      </w:pPr>
      <w:r>
        <w:rPr>
          <w:rFonts w:hint="eastAsia" w:ascii="宋体" w:hAnsi="宋体" w:cs="宋体"/>
          <w:color w:val="auto"/>
        </w:rPr>
        <w:t>日期：</w:t>
      </w:r>
    </w:p>
    <w:p w14:paraId="1E878B41">
      <w:pPr>
        <w:pStyle w:val="17"/>
        <w:rPr>
          <w:color w:val="auto"/>
        </w:rPr>
      </w:pPr>
    </w:p>
    <w:p w14:paraId="2AF7D2F3">
      <w:pPr>
        <w:rPr>
          <w:color w:val="auto"/>
        </w:rPr>
      </w:pPr>
    </w:p>
    <w:p w14:paraId="07769813">
      <w:pPr>
        <w:widowControl/>
        <w:spacing w:line="400" w:lineRule="exact"/>
        <w:rPr>
          <w:rFonts w:hint="eastAsia" w:ascii="宋体" w:hAnsi="宋体"/>
          <w:b/>
          <w:bCs/>
          <w:color w:val="auto"/>
          <w:sz w:val="18"/>
        </w:rPr>
      </w:pPr>
      <w:r>
        <w:rPr>
          <w:rFonts w:hint="eastAsia" w:ascii="宋体" w:hAnsi="宋体"/>
          <w:b/>
          <w:bCs/>
          <w:color w:val="auto"/>
          <w:sz w:val="18"/>
        </w:rPr>
        <w:t>备注：1、从业人员、营业收入、资产总额填报上一年度数据，无上一年度数据的新成立企业可不填报。</w:t>
      </w:r>
    </w:p>
    <w:p w14:paraId="7A6F5D0E">
      <w:pPr>
        <w:widowControl/>
        <w:numPr>
          <w:ilvl w:val="0"/>
          <w:numId w:val="14"/>
        </w:numPr>
        <w:spacing w:line="400" w:lineRule="exact"/>
        <w:ind w:firstLine="542" w:firstLineChars="300"/>
        <w:rPr>
          <w:color w:val="auto"/>
        </w:rPr>
      </w:pPr>
      <w:r>
        <w:rPr>
          <w:rFonts w:hint="eastAsia" w:ascii="宋体" w:hAnsi="宋体"/>
          <w:b/>
          <w:bCs/>
          <w:color w:val="auto"/>
          <w:sz w:val="18"/>
          <w:szCs w:val="22"/>
        </w:rPr>
        <w:t>投标人为中小企业时需提供本声明函，并完整填写从业人员、营业收入、资产总额等内容，否则评审时不能享受相应的价格扣除。</w:t>
      </w:r>
    </w:p>
    <w:p w14:paraId="01F29195">
      <w:pPr>
        <w:ind w:firstLine="420" w:firstLineChars="200"/>
        <w:rPr>
          <w:color w:val="auto"/>
        </w:rPr>
      </w:pPr>
    </w:p>
    <w:p w14:paraId="0AE9CBB0">
      <w:pPr>
        <w:pStyle w:val="41"/>
        <w:rPr>
          <w:rFonts w:hint="eastAsia"/>
          <w:color w:val="auto"/>
        </w:rPr>
      </w:pPr>
    </w:p>
    <w:p w14:paraId="36760F6B">
      <w:pPr>
        <w:jc w:val="center"/>
        <w:outlineLvl w:val="3"/>
        <w:rPr>
          <w:b/>
          <w:color w:val="auto"/>
          <w:sz w:val="24"/>
        </w:rPr>
      </w:pPr>
    </w:p>
    <w:p w14:paraId="1F7DB779">
      <w:pPr>
        <w:jc w:val="center"/>
        <w:outlineLvl w:val="3"/>
        <w:rPr>
          <w:b/>
          <w:color w:val="auto"/>
          <w:sz w:val="24"/>
        </w:rPr>
      </w:pPr>
      <w:r>
        <w:rPr>
          <w:rFonts w:hint="eastAsia"/>
          <w:b/>
          <w:color w:val="auto"/>
          <w:sz w:val="24"/>
        </w:rPr>
        <w:t>3、残疾人福利性单位声明函（服务类）</w:t>
      </w:r>
    </w:p>
    <w:p w14:paraId="49FBD3CD">
      <w:pPr>
        <w:rPr>
          <w:b/>
          <w:bCs/>
          <w:color w:val="auto"/>
        </w:rPr>
      </w:pPr>
    </w:p>
    <w:p w14:paraId="01130FE5">
      <w:pPr>
        <w:ind w:firstLine="420" w:firstLineChars="200"/>
        <w:rPr>
          <w:rFonts w:hint="eastAsia" w:ascii="宋体" w:hAnsi="宋体"/>
          <w:color w:val="auto"/>
        </w:rPr>
      </w:pPr>
      <w:r>
        <w:rPr>
          <w:rFonts w:ascii="宋体" w:hAnsi="宋体"/>
          <w:color w:val="auto"/>
        </w:rPr>
        <w:t>本</w:t>
      </w:r>
      <w:r>
        <w:rPr>
          <w:rFonts w:hint="eastAsia" w:ascii="宋体" w:hAnsi="宋体"/>
          <w:color w:val="auto"/>
        </w:rPr>
        <w:t>投标人郑重声明，根据《财政部民政部中国残疾人联合会关于促进残疾人就业政府采购政策的通知》（财库〔</w:t>
      </w:r>
      <w:r>
        <w:rPr>
          <w:rFonts w:ascii="宋体" w:hAnsi="宋体"/>
          <w:color w:val="auto"/>
        </w:rPr>
        <w:t>2017</w:t>
      </w:r>
      <w:r>
        <w:rPr>
          <w:rFonts w:hint="eastAsia" w:ascii="宋体" w:hAnsi="宋体"/>
          <w:color w:val="auto"/>
        </w:rPr>
        <w:t>〕</w:t>
      </w:r>
      <w:r>
        <w:rPr>
          <w:rFonts w:ascii="宋体" w:hAnsi="宋体"/>
          <w:color w:val="auto"/>
        </w:rPr>
        <w:t xml:space="preserve">141 </w:t>
      </w:r>
      <w:r>
        <w:rPr>
          <w:rFonts w:hint="eastAsia" w:ascii="宋体" w:hAnsi="宋体"/>
          <w:color w:val="auto"/>
        </w:rPr>
        <w:t>号）的规定，本投标人</w:t>
      </w:r>
      <w:r>
        <w:rPr>
          <w:rFonts w:ascii="宋体" w:hAnsi="宋体"/>
          <w:color w:val="auto"/>
        </w:rPr>
        <w:t>参加</w:t>
      </w:r>
      <w:r>
        <w:rPr>
          <w:rFonts w:ascii="宋体" w:hAnsi="宋体"/>
          <w:b/>
          <w:bCs/>
          <w:color w:val="auto"/>
          <w:u w:val="single"/>
        </w:rPr>
        <w:t>（</w:t>
      </w:r>
      <w:r>
        <w:rPr>
          <w:rFonts w:hint="eastAsia" w:ascii="宋体" w:hAnsi="宋体"/>
          <w:b/>
          <w:bCs/>
          <w:color w:val="auto"/>
          <w:u w:val="single"/>
        </w:rPr>
        <w:t>采购人</w:t>
      </w:r>
      <w:r>
        <w:rPr>
          <w:rFonts w:ascii="宋体" w:hAnsi="宋体"/>
          <w:b/>
          <w:bCs/>
          <w:color w:val="auto"/>
          <w:u w:val="single"/>
        </w:rPr>
        <w:t>名称）</w:t>
      </w:r>
      <w:r>
        <w:rPr>
          <w:rFonts w:ascii="宋体" w:hAnsi="宋体"/>
          <w:color w:val="auto"/>
        </w:rPr>
        <w:t>的</w:t>
      </w:r>
      <w:r>
        <w:rPr>
          <w:rFonts w:ascii="宋体" w:hAnsi="宋体"/>
          <w:b/>
          <w:bCs/>
          <w:color w:val="auto"/>
          <w:u w:val="single"/>
        </w:rPr>
        <w:t>（项目名称）</w:t>
      </w:r>
      <w:r>
        <w:rPr>
          <w:rFonts w:ascii="宋体" w:hAnsi="宋体"/>
          <w:color w:val="auto"/>
        </w:rPr>
        <w:t>采购活动，</w:t>
      </w:r>
      <w:r>
        <w:rPr>
          <w:rFonts w:hint="eastAsia" w:ascii="宋体" w:hAnsi="宋体"/>
          <w:color w:val="auto"/>
        </w:rPr>
        <w:t>服务</w:t>
      </w:r>
      <w:r>
        <w:rPr>
          <w:rFonts w:ascii="宋体" w:hAnsi="宋体"/>
          <w:color w:val="auto"/>
        </w:rPr>
        <w:t>全部由符合政策要求的</w:t>
      </w:r>
      <w:r>
        <w:rPr>
          <w:rFonts w:hint="eastAsia" w:ascii="宋体" w:hAnsi="宋体"/>
          <w:color w:val="auto"/>
        </w:rPr>
        <w:t>残疾人福利性单位承接</w:t>
      </w:r>
      <w:r>
        <w:rPr>
          <w:rFonts w:ascii="宋体" w:hAnsi="宋体"/>
          <w:color w:val="auto"/>
        </w:rPr>
        <w:t>。相关</w:t>
      </w:r>
      <w:r>
        <w:rPr>
          <w:rFonts w:hint="eastAsia" w:ascii="宋体" w:hAnsi="宋体"/>
          <w:color w:val="auto"/>
        </w:rPr>
        <w:t>残疾人福利性单位</w:t>
      </w:r>
      <w:r>
        <w:rPr>
          <w:rFonts w:ascii="宋体" w:hAnsi="宋体"/>
          <w:color w:val="auto"/>
        </w:rPr>
        <w:t>的具体情况如下：</w:t>
      </w:r>
    </w:p>
    <w:p w14:paraId="7A3B0E0D">
      <w:pPr>
        <w:ind w:firstLine="420" w:firstLineChars="200"/>
        <w:rPr>
          <w:rFonts w:hint="eastAsia" w:ascii="宋体" w:hAnsi="宋体"/>
          <w:color w:val="auto"/>
        </w:rPr>
      </w:pPr>
      <w:r>
        <w:rPr>
          <w:rFonts w:ascii="宋体" w:hAnsi="宋体"/>
          <w:color w:val="auto"/>
        </w:rPr>
        <w:t>1.</w:t>
      </w:r>
      <w:r>
        <w:rPr>
          <w:rFonts w:ascii="宋体" w:hAnsi="宋体"/>
          <w:b/>
          <w:bCs/>
          <w:color w:val="auto"/>
          <w:u w:val="single"/>
        </w:rPr>
        <w:t xml:space="preserve"> （标的名称）</w:t>
      </w:r>
      <w:r>
        <w:rPr>
          <w:rFonts w:ascii="宋体" w:hAnsi="宋体"/>
          <w:color w:val="auto"/>
        </w:rPr>
        <w:t xml:space="preserve"> </w:t>
      </w:r>
      <w:r>
        <w:rPr>
          <w:rFonts w:hint="eastAsia" w:ascii="宋体" w:hAnsi="宋体"/>
          <w:color w:val="auto"/>
        </w:rPr>
        <w:t>，承接企业</w:t>
      </w:r>
      <w:r>
        <w:rPr>
          <w:rFonts w:ascii="宋体" w:hAnsi="宋体"/>
          <w:color w:val="auto"/>
        </w:rPr>
        <w:t>为</w:t>
      </w:r>
      <w:r>
        <w:rPr>
          <w:rFonts w:ascii="宋体" w:hAnsi="宋体"/>
          <w:b/>
          <w:bCs/>
          <w:color w:val="auto"/>
          <w:u w:val="single"/>
        </w:rPr>
        <w:t>（</w:t>
      </w:r>
      <w:r>
        <w:rPr>
          <w:rFonts w:hint="eastAsia" w:ascii="宋体" w:hAnsi="宋体"/>
          <w:b/>
          <w:bCs/>
          <w:color w:val="auto"/>
          <w:u w:val="single"/>
        </w:rPr>
        <w:t>单位</w:t>
      </w:r>
      <w:r>
        <w:rPr>
          <w:rFonts w:ascii="宋体" w:hAnsi="宋体"/>
          <w:b/>
          <w:bCs/>
          <w:color w:val="auto"/>
          <w:u w:val="single"/>
        </w:rPr>
        <w:t>名称）</w:t>
      </w:r>
      <w:r>
        <w:rPr>
          <w:rFonts w:ascii="宋体" w:hAnsi="宋体"/>
          <w:color w:val="auto"/>
        </w:rPr>
        <w:t>，属于</w:t>
      </w:r>
      <w:r>
        <w:rPr>
          <w:rFonts w:hint="eastAsia" w:ascii="宋体" w:hAnsi="宋体"/>
          <w:b/>
          <w:bCs/>
          <w:color w:val="auto"/>
          <w:u w:val="single"/>
        </w:rPr>
        <w:t>残疾人福利性单位</w:t>
      </w:r>
      <w:r>
        <w:rPr>
          <w:rFonts w:ascii="宋体" w:hAnsi="宋体"/>
          <w:color w:val="auto"/>
        </w:rPr>
        <w:t>；</w:t>
      </w:r>
    </w:p>
    <w:p w14:paraId="3C0B6C61">
      <w:pPr>
        <w:ind w:firstLine="420" w:firstLineChars="200"/>
        <w:rPr>
          <w:rFonts w:hint="eastAsia" w:ascii="宋体" w:hAnsi="宋体"/>
          <w:color w:val="auto"/>
        </w:rPr>
      </w:pPr>
      <w:r>
        <w:rPr>
          <w:rFonts w:ascii="宋体" w:hAnsi="宋体"/>
          <w:color w:val="auto"/>
        </w:rPr>
        <w:t>2.</w:t>
      </w:r>
      <w:r>
        <w:rPr>
          <w:rFonts w:ascii="宋体" w:hAnsi="宋体"/>
          <w:b/>
          <w:bCs/>
          <w:color w:val="auto"/>
          <w:u w:val="single"/>
        </w:rPr>
        <w:t xml:space="preserve"> （标的名称）</w:t>
      </w:r>
      <w:r>
        <w:rPr>
          <w:rFonts w:ascii="宋体" w:hAnsi="宋体"/>
          <w:color w:val="auto"/>
        </w:rPr>
        <w:t xml:space="preserve"> </w:t>
      </w:r>
      <w:r>
        <w:rPr>
          <w:rFonts w:hint="eastAsia" w:ascii="宋体" w:hAnsi="宋体"/>
          <w:color w:val="auto"/>
        </w:rPr>
        <w:t>，承接企业</w:t>
      </w:r>
      <w:r>
        <w:rPr>
          <w:rFonts w:ascii="宋体" w:hAnsi="宋体"/>
          <w:color w:val="auto"/>
        </w:rPr>
        <w:t>为</w:t>
      </w:r>
      <w:r>
        <w:rPr>
          <w:rFonts w:ascii="宋体" w:hAnsi="宋体"/>
          <w:b/>
          <w:bCs/>
          <w:color w:val="auto"/>
          <w:u w:val="single"/>
        </w:rPr>
        <w:t>（</w:t>
      </w:r>
      <w:r>
        <w:rPr>
          <w:rFonts w:hint="eastAsia" w:ascii="宋体" w:hAnsi="宋体"/>
          <w:b/>
          <w:bCs/>
          <w:color w:val="auto"/>
          <w:u w:val="single"/>
        </w:rPr>
        <w:t>单位</w:t>
      </w:r>
      <w:r>
        <w:rPr>
          <w:rFonts w:ascii="宋体" w:hAnsi="宋体"/>
          <w:b/>
          <w:bCs/>
          <w:color w:val="auto"/>
          <w:u w:val="single"/>
        </w:rPr>
        <w:t>名称）</w:t>
      </w:r>
      <w:r>
        <w:rPr>
          <w:rFonts w:ascii="宋体" w:hAnsi="宋体"/>
          <w:color w:val="auto"/>
        </w:rPr>
        <w:t>，属于</w:t>
      </w:r>
      <w:r>
        <w:rPr>
          <w:rFonts w:hint="eastAsia" w:ascii="宋体" w:hAnsi="宋体"/>
          <w:b/>
          <w:bCs/>
          <w:color w:val="auto"/>
          <w:u w:val="single"/>
        </w:rPr>
        <w:t>残疾人福利性单位</w:t>
      </w:r>
      <w:r>
        <w:rPr>
          <w:rFonts w:hint="eastAsia" w:ascii="宋体" w:hAnsi="宋体"/>
          <w:color w:val="auto"/>
        </w:rPr>
        <w:t>。</w:t>
      </w:r>
    </w:p>
    <w:p w14:paraId="26CA9251">
      <w:pPr>
        <w:ind w:firstLine="420" w:firstLineChars="200"/>
        <w:outlineLvl w:val="3"/>
        <w:rPr>
          <w:rFonts w:hint="eastAsia" w:ascii="宋体" w:hAnsi="宋体"/>
          <w:color w:val="auto"/>
        </w:rPr>
      </w:pPr>
      <w:r>
        <w:rPr>
          <w:rFonts w:ascii="宋体" w:hAnsi="宋体"/>
          <w:color w:val="auto"/>
        </w:rPr>
        <w:t xml:space="preserve">…… </w:t>
      </w:r>
    </w:p>
    <w:p w14:paraId="55806C68">
      <w:pPr>
        <w:ind w:firstLine="420" w:firstLineChars="200"/>
        <w:rPr>
          <w:color w:val="auto"/>
        </w:rPr>
      </w:pPr>
      <w:r>
        <w:rPr>
          <w:rFonts w:hint="eastAsia"/>
          <w:color w:val="auto"/>
        </w:rPr>
        <w:t>本</w:t>
      </w:r>
      <w:r>
        <w:rPr>
          <w:color w:val="auto"/>
        </w:rPr>
        <w:t>投标人</w:t>
      </w:r>
      <w:r>
        <w:rPr>
          <w:rFonts w:hint="eastAsia"/>
          <w:color w:val="auto"/>
        </w:rPr>
        <w:t>已</w:t>
      </w:r>
      <w:r>
        <w:rPr>
          <w:color w:val="auto"/>
        </w:rPr>
        <w:t>知悉</w:t>
      </w:r>
      <w:r>
        <w:rPr>
          <w:rFonts w:hint="eastAsia"/>
          <w:color w:val="auto"/>
        </w:rPr>
        <w:t>《财政部民政部中国残疾人联合会关于促进残疾人就业政府采购政策的通知》（财库〔2017〕141 号）</w:t>
      </w:r>
      <w:r>
        <w:rPr>
          <w:color w:val="auto"/>
        </w:rPr>
        <w:t>的规定，承诺提供的声明函内容是真实的，如提供声明函内容不实，则依法追究相关法律责任</w:t>
      </w:r>
      <w:r>
        <w:rPr>
          <w:rFonts w:hint="eastAsia"/>
          <w:color w:val="auto"/>
        </w:rPr>
        <w:t>。</w:t>
      </w:r>
    </w:p>
    <w:p w14:paraId="0F4DBD45">
      <w:pPr>
        <w:pStyle w:val="41"/>
        <w:rPr>
          <w:rFonts w:hint="eastAsia"/>
          <w:color w:val="auto"/>
        </w:rPr>
      </w:pPr>
    </w:p>
    <w:p w14:paraId="54144BFF">
      <w:pPr>
        <w:rPr>
          <w:color w:val="auto"/>
        </w:rPr>
      </w:pPr>
    </w:p>
    <w:p w14:paraId="24452773">
      <w:pPr>
        <w:jc w:val="center"/>
        <w:outlineLvl w:val="3"/>
        <w:rPr>
          <w:b/>
          <w:color w:val="auto"/>
          <w:sz w:val="24"/>
        </w:rPr>
      </w:pPr>
    </w:p>
    <w:p w14:paraId="3D886469">
      <w:pPr>
        <w:outlineLvl w:val="3"/>
        <w:rPr>
          <w:b/>
          <w:color w:val="auto"/>
          <w:sz w:val="24"/>
        </w:rPr>
      </w:pPr>
    </w:p>
    <w:p w14:paraId="70F1FDB9">
      <w:pPr>
        <w:jc w:val="center"/>
        <w:outlineLvl w:val="3"/>
        <w:rPr>
          <w:b/>
          <w:color w:val="auto"/>
          <w:sz w:val="24"/>
        </w:rPr>
      </w:pPr>
      <w:r>
        <w:rPr>
          <w:rFonts w:hint="eastAsia"/>
          <w:b/>
          <w:color w:val="auto"/>
          <w:sz w:val="24"/>
        </w:rPr>
        <w:t>4、监狱企业声明函【服务类，监狱企业如需享受优惠政策，还须另行提供省级以上监狱管理局、戒毒管理局（含新疆生产建设兵团）出具的监狱企业证明文件】</w:t>
      </w:r>
    </w:p>
    <w:p w14:paraId="4E929428">
      <w:pPr>
        <w:ind w:firstLine="420" w:firstLineChars="200"/>
        <w:rPr>
          <w:rFonts w:hint="eastAsia" w:ascii="宋体" w:hAnsi="宋体"/>
          <w:color w:val="auto"/>
        </w:rPr>
      </w:pPr>
    </w:p>
    <w:p w14:paraId="38171912">
      <w:pPr>
        <w:ind w:firstLine="420" w:firstLineChars="200"/>
        <w:rPr>
          <w:rFonts w:hint="eastAsia" w:ascii="宋体" w:hAnsi="宋体"/>
          <w:color w:val="auto"/>
        </w:rPr>
      </w:pPr>
    </w:p>
    <w:p w14:paraId="6B690479">
      <w:pPr>
        <w:ind w:firstLine="420" w:firstLineChars="200"/>
        <w:rPr>
          <w:rFonts w:hint="eastAsia" w:ascii="宋体" w:hAnsi="宋体"/>
          <w:color w:val="auto"/>
        </w:rPr>
      </w:pPr>
      <w:r>
        <w:rPr>
          <w:rFonts w:hint="eastAsia" w:ascii="宋体" w:hAnsi="宋体"/>
          <w:color w:val="auto"/>
        </w:rPr>
        <w:t>本投标人郑重声明，根据《财政部司法部关于政府采购支持监狱企业发展有关问题的通知》（财库〔</w:t>
      </w:r>
      <w:r>
        <w:rPr>
          <w:rFonts w:ascii="宋体" w:hAnsi="宋体"/>
          <w:color w:val="auto"/>
        </w:rPr>
        <w:t>2014</w:t>
      </w:r>
      <w:r>
        <w:rPr>
          <w:rFonts w:hint="eastAsia" w:ascii="宋体" w:hAnsi="宋体"/>
          <w:color w:val="auto"/>
        </w:rPr>
        <w:t>〕</w:t>
      </w:r>
      <w:r>
        <w:rPr>
          <w:rFonts w:ascii="宋体" w:hAnsi="宋体"/>
          <w:color w:val="auto"/>
        </w:rPr>
        <w:t>68</w:t>
      </w:r>
      <w:r>
        <w:rPr>
          <w:rFonts w:hint="eastAsia" w:ascii="宋体" w:hAnsi="宋体"/>
          <w:color w:val="auto"/>
        </w:rPr>
        <w:t>号）的规定，本投标人</w:t>
      </w:r>
      <w:r>
        <w:rPr>
          <w:rFonts w:ascii="宋体" w:hAnsi="宋体"/>
          <w:color w:val="auto"/>
        </w:rPr>
        <w:t>参加</w:t>
      </w:r>
      <w:r>
        <w:rPr>
          <w:rFonts w:ascii="宋体" w:hAnsi="宋体"/>
          <w:b/>
          <w:bCs/>
          <w:color w:val="auto"/>
          <w:u w:val="single"/>
        </w:rPr>
        <w:t>（</w:t>
      </w:r>
      <w:r>
        <w:rPr>
          <w:rFonts w:hint="eastAsia" w:ascii="宋体" w:hAnsi="宋体"/>
          <w:b/>
          <w:bCs/>
          <w:color w:val="auto"/>
          <w:u w:val="single"/>
        </w:rPr>
        <w:t>采购人</w:t>
      </w:r>
      <w:r>
        <w:rPr>
          <w:rFonts w:ascii="宋体" w:hAnsi="宋体"/>
          <w:b/>
          <w:bCs/>
          <w:color w:val="auto"/>
          <w:u w:val="single"/>
        </w:rPr>
        <w:t>名称）</w:t>
      </w:r>
      <w:r>
        <w:rPr>
          <w:rFonts w:ascii="宋体" w:hAnsi="宋体"/>
          <w:color w:val="auto"/>
        </w:rPr>
        <w:t>的</w:t>
      </w:r>
      <w:r>
        <w:rPr>
          <w:rFonts w:ascii="宋体" w:hAnsi="宋体"/>
          <w:b/>
          <w:bCs/>
          <w:color w:val="auto"/>
          <w:u w:val="single"/>
        </w:rPr>
        <w:t>（项目名称）</w:t>
      </w:r>
      <w:r>
        <w:rPr>
          <w:rFonts w:ascii="宋体" w:hAnsi="宋体"/>
          <w:color w:val="auto"/>
        </w:rPr>
        <w:t>采购活动，</w:t>
      </w:r>
      <w:r>
        <w:rPr>
          <w:rFonts w:hint="eastAsia" w:ascii="宋体" w:hAnsi="宋体"/>
          <w:color w:val="auto"/>
        </w:rPr>
        <w:t>服务</w:t>
      </w:r>
      <w:r>
        <w:rPr>
          <w:rFonts w:ascii="宋体" w:hAnsi="宋体"/>
          <w:color w:val="auto"/>
        </w:rPr>
        <w:t>全部由符合政策要求的</w:t>
      </w:r>
      <w:r>
        <w:rPr>
          <w:rFonts w:hint="eastAsia" w:ascii="宋体" w:hAnsi="宋体"/>
          <w:color w:val="auto"/>
        </w:rPr>
        <w:t>监狱企业承接</w:t>
      </w:r>
      <w:r>
        <w:rPr>
          <w:rFonts w:ascii="宋体" w:hAnsi="宋体"/>
          <w:color w:val="auto"/>
        </w:rPr>
        <w:t>。相关</w:t>
      </w:r>
      <w:r>
        <w:rPr>
          <w:rFonts w:hint="eastAsia" w:ascii="宋体" w:hAnsi="宋体"/>
          <w:color w:val="auto"/>
        </w:rPr>
        <w:t>监狱企业</w:t>
      </w:r>
      <w:r>
        <w:rPr>
          <w:rFonts w:ascii="宋体" w:hAnsi="宋体"/>
          <w:color w:val="auto"/>
        </w:rPr>
        <w:t>的具体情况如下：</w:t>
      </w:r>
    </w:p>
    <w:p w14:paraId="213E1B00">
      <w:pPr>
        <w:ind w:firstLine="420" w:firstLineChars="200"/>
        <w:rPr>
          <w:rFonts w:hint="eastAsia" w:ascii="宋体" w:hAnsi="宋体"/>
          <w:color w:val="auto"/>
        </w:rPr>
      </w:pPr>
      <w:r>
        <w:rPr>
          <w:rFonts w:ascii="宋体" w:hAnsi="宋体"/>
          <w:color w:val="auto"/>
        </w:rPr>
        <w:t>1.</w:t>
      </w:r>
      <w:r>
        <w:rPr>
          <w:rFonts w:ascii="宋体" w:hAnsi="宋体"/>
          <w:b/>
          <w:bCs/>
          <w:color w:val="auto"/>
          <w:u w:val="single"/>
        </w:rPr>
        <w:t xml:space="preserve"> （标的名称）</w:t>
      </w:r>
      <w:r>
        <w:rPr>
          <w:rFonts w:ascii="宋体" w:hAnsi="宋体"/>
          <w:color w:val="auto"/>
        </w:rPr>
        <w:t xml:space="preserve"> </w:t>
      </w:r>
      <w:r>
        <w:rPr>
          <w:rFonts w:hint="eastAsia" w:ascii="宋体" w:hAnsi="宋体"/>
          <w:color w:val="auto"/>
        </w:rPr>
        <w:t>，承接单位</w:t>
      </w:r>
      <w:r>
        <w:rPr>
          <w:rFonts w:ascii="宋体" w:hAnsi="宋体"/>
          <w:color w:val="auto"/>
        </w:rPr>
        <w:t>为</w:t>
      </w:r>
      <w:r>
        <w:rPr>
          <w:rFonts w:ascii="宋体" w:hAnsi="宋体"/>
          <w:b/>
          <w:bCs/>
          <w:color w:val="auto"/>
          <w:u w:val="single"/>
        </w:rPr>
        <w:t>（</w:t>
      </w:r>
      <w:r>
        <w:rPr>
          <w:rFonts w:hint="eastAsia" w:ascii="宋体" w:hAnsi="宋体"/>
          <w:b/>
          <w:bCs/>
          <w:color w:val="auto"/>
          <w:u w:val="single"/>
        </w:rPr>
        <w:t>企业</w:t>
      </w:r>
      <w:r>
        <w:rPr>
          <w:rFonts w:ascii="宋体" w:hAnsi="宋体"/>
          <w:b/>
          <w:bCs/>
          <w:color w:val="auto"/>
          <w:u w:val="single"/>
        </w:rPr>
        <w:t>名称）</w:t>
      </w:r>
      <w:r>
        <w:rPr>
          <w:rFonts w:ascii="宋体" w:hAnsi="宋体"/>
          <w:color w:val="auto"/>
        </w:rPr>
        <w:t>，属于</w:t>
      </w:r>
      <w:r>
        <w:rPr>
          <w:rFonts w:hint="eastAsia" w:ascii="宋体" w:hAnsi="宋体"/>
          <w:b/>
          <w:bCs/>
          <w:color w:val="auto"/>
          <w:u w:val="single"/>
        </w:rPr>
        <w:t>监狱企业</w:t>
      </w:r>
      <w:r>
        <w:rPr>
          <w:rFonts w:ascii="宋体" w:hAnsi="宋体"/>
          <w:color w:val="auto"/>
        </w:rPr>
        <w:t>；</w:t>
      </w:r>
    </w:p>
    <w:p w14:paraId="0D308A8D">
      <w:pPr>
        <w:ind w:firstLine="420" w:firstLineChars="200"/>
        <w:rPr>
          <w:rFonts w:hint="eastAsia" w:ascii="宋体" w:hAnsi="宋体"/>
          <w:color w:val="auto"/>
        </w:rPr>
      </w:pPr>
      <w:r>
        <w:rPr>
          <w:rFonts w:ascii="宋体" w:hAnsi="宋体"/>
          <w:color w:val="auto"/>
        </w:rPr>
        <w:t>2.</w:t>
      </w:r>
      <w:r>
        <w:rPr>
          <w:rFonts w:ascii="宋体" w:hAnsi="宋体"/>
          <w:b/>
          <w:bCs/>
          <w:color w:val="auto"/>
          <w:u w:val="single"/>
        </w:rPr>
        <w:t xml:space="preserve"> （标的名称）</w:t>
      </w:r>
      <w:r>
        <w:rPr>
          <w:rFonts w:ascii="宋体" w:hAnsi="宋体"/>
          <w:color w:val="auto"/>
        </w:rPr>
        <w:t xml:space="preserve"> </w:t>
      </w:r>
      <w:r>
        <w:rPr>
          <w:rFonts w:hint="eastAsia" w:ascii="宋体" w:hAnsi="宋体"/>
          <w:color w:val="auto"/>
        </w:rPr>
        <w:t>，承接单位</w:t>
      </w:r>
      <w:r>
        <w:rPr>
          <w:rFonts w:ascii="宋体" w:hAnsi="宋体"/>
          <w:color w:val="auto"/>
        </w:rPr>
        <w:t>为</w:t>
      </w:r>
      <w:r>
        <w:rPr>
          <w:rFonts w:ascii="宋体" w:hAnsi="宋体"/>
          <w:b/>
          <w:bCs/>
          <w:color w:val="auto"/>
          <w:u w:val="single"/>
        </w:rPr>
        <w:t>（</w:t>
      </w:r>
      <w:r>
        <w:rPr>
          <w:rFonts w:hint="eastAsia" w:ascii="宋体" w:hAnsi="宋体"/>
          <w:b/>
          <w:bCs/>
          <w:color w:val="auto"/>
          <w:u w:val="single"/>
        </w:rPr>
        <w:t>企业</w:t>
      </w:r>
      <w:r>
        <w:rPr>
          <w:rFonts w:ascii="宋体" w:hAnsi="宋体"/>
          <w:b/>
          <w:bCs/>
          <w:color w:val="auto"/>
          <w:u w:val="single"/>
        </w:rPr>
        <w:t>名称）</w:t>
      </w:r>
      <w:r>
        <w:rPr>
          <w:rFonts w:ascii="宋体" w:hAnsi="宋体"/>
          <w:color w:val="auto"/>
        </w:rPr>
        <w:t>，属于</w:t>
      </w:r>
      <w:r>
        <w:rPr>
          <w:rFonts w:hint="eastAsia" w:ascii="宋体" w:hAnsi="宋体"/>
          <w:b/>
          <w:bCs/>
          <w:color w:val="auto"/>
          <w:u w:val="single"/>
        </w:rPr>
        <w:t>监狱企业</w:t>
      </w:r>
      <w:r>
        <w:rPr>
          <w:rFonts w:hint="eastAsia" w:ascii="宋体" w:hAnsi="宋体"/>
          <w:color w:val="auto"/>
        </w:rPr>
        <w:t>。</w:t>
      </w:r>
    </w:p>
    <w:p w14:paraId="0DB2BD16">
      <w:pPr>
        <w:ind w:firstLine="420" w:firstLineChars="200"/>
        <w:outlineLvl w:val="3"/>
        <w:rPr>
          <w:rFonts w:hint="eastAsia" w:ascii="宋体" w:hAnsi="宋体"/>
          <w:color w:val="auto"/>
        </w:rPr>
      </w:pPr>
      <w:r>
        <w:rPr>
          <w:rFonts w:ascii="宋体" w:hAnsi="宋体"/>
          <w:color w:val="auto"/>
        </w:rPr>
        <w:t xml:space="preserve">…… </w:t>
      </w:r>
    </w:p>
    <w:p w14:paraId="3EB90075">
      <w:pPr>
        <w:ind w:firstLine="420" w:firstLineChars="200"/>
        <w:rPr>
          <w:rFonts w:hint="eastAsia" w:ascii="宋体" w:hAnsi="宋体"/>
          <w:color w:val="auto"/>
        </w:rPr>
      </w:pPr>
      <w:r>
        <w:rPr>
          <w:rFonts w:ascii="宋体" w:hAnsi="宋体"/>
          <w:color w:val="auto"/>
        </w:rPr>
        <w:t>本</w:t>
      </w:r>
      <w:r>
        <w:rPr>
          <w:rFonts w:hint="eastAsia" w:ascii="宋体" w:hAnsi="宋体"/>
          <w:color w:val="auto"/>
        </w:rPr>
        <w:t>投标人</w:t>
      </w:r>
      <w:r>
        <w:rPr>
          <w:rFonts w:ascii="宋体" w:hAnsi="宋体"/>
          <w:color w:val="auto"/>
        </w:rPr>
        <w:t>对上述声明内容的真实性负责。如有虚假，将依法承担相应责任。</w:t>
      </w:r>
    </w:p>
    <w:p w14:paraId="6514449B">
      <w:pPr>
        <w:ind w:firstLine="420" w:firstLineChars="200"/>
        <w:rPr>
          <w:b/>
          <w:bCs/>
          <w:color w:val="auto"/>
        </w:rPr>
      </w:pPr>
      <w:r>
        <w:rPr>
          <w:rFonts w:hint="eastAsia" w:ascii="宋体" w:hAnsi="宋体"/>
          <w:color w:val="auto"/>
        </w:rPr>
        <w:t>附：省级以上监狱管理局、戒毒管理局（含新疆生产建设兵团）出具的监狱企业证明文件。</w:t>
      </w:r>
    </w:p>
    <w:p w14:paraId="59089CE9">
      <w:pPr>
        <w:pStyle w:val="35"/>
        <w:rPr>
          <w:rFonts w:ascii="Times New Roman" w:eastAsia="宋体"/>
          <w:color w:val="auto"/>
          <w:szCs w:val="21"/>
        </w:rPr>
      </w:pPr>
    </w:p>
    <w:p w14:paraId="0CC6A1DD">
      <w:pPr>
        <w:keepNext w:val="0"/>
        <w:keepLines w:val="0"/>
        <w:pageBreakBefore w:val="0"/>
        <w:widowControl/>
        <w:tabs>
          <w:tab w:val="left" w:pos="720"/>
        </w:tabs>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24"/>
        </w:rPr>
      </w:pPr>
    </w:p>
    <w:p w14:paraId="38F03309">
      <w:pPr>
        <w:keepNext w:val="0"/>
        <w:keepLines w:val="0"/>
        <w:pageBreakBefore w:val="0"/>
        <w:widowControl/>
        <w:tabs>
          <w:tab w:val="left" w:pos="720"/>
        </w:tabs>
        <w:kinsoku/>
        <w:wordWrap/>
        <w:overflowPunct/>
        <w:topLinePunct w:val="0"/>
        <w:autoSpaceDE/>
        <w:autoSpaceDN/>
        <w:bidi w:val="0"/>
        <w:adjustRightInd/>
        <w:snapToGrid/>
        <w:spacing w:line="360" w:lineRule="auto"/>
        <w:jc w:val="center"/>
        <w:textAlignment w:val="auto"/>
        <w:rPr>
          <w:rFonts w:hint="eastAsia" w:ascii="黑体" w:hAnsi="宋体" w:eastAsia="黑体"/>
          <w:b/>
          <w:color w:val="auto"/>
          <w:sz w:val="24"/>
        </w:rPr>
      </w:pPr>
      <w:r>
        <w:rPr>
          <w:rFonts w:hint="eastAsia" w:ascii="黑体" w:hAnsi="宋体" w:eastAsia="黑体"/>
          <w:b/>
          <w:color w:val="auto"/>
          <w:sz w:val="24"/>
        </w:rPr>
        <w:t>关于符合本国产品标准的声明函</w:t>
      </w:r>
    </w:p>
    <w:p w14:paraId="53D34936">
      <w:pPr>
        <w:keepNext w:val="0"/>
        <w:keepLines w:val="0"/>
        <w:pageBreakBefore w:val="0"/>
        <w:widowControl/>
        <w:tabs>
          <w:tab w:val="left" w:pos="720"/>
        </w:tabs>
        <w:kinsoku/>
        <w:wordWrap/>
        <w:overflowPunct/>
        <w:topLinePunct w:val="0"/>
        <w:autoSpaceDE/>
        <w:autoSpaceDN/>
        <w:bidi w:val="0"/>
        <w:adjustRightInd/>
        <w:snapToGrid/>
        <w:spacing w:line="360" w:lineRule="auto"/>
        <w:ind w:firstLine="5542" w:firstLineChars="2300"/>
        <w:jc w:val="both"/>
        <w:textAlignment w:val="auto"/>
        <w:rPr>
          <w:rFonts w:hint="eastAsia" w:ascii="黑体" w:hAnsi="宋体" w:eastAsia="黑体"/>
          <w:b/>
          <w:color w:val="auto"/>
          <w:sz w:val="24"/>
        </w:rPr>
      </w:pPr>
    </w:p>
    <w:p w14:paraId="76F13799">
      <w:pPr>
        <w:ind w:firstLine="420" w:firstLineChars="200"/>
        <w:rPr>
          <w:rFonts w:hint="eastAsia" w:ascii="宋体" w:hAnsi="宋体"/>
          <w:color w:val="auto"/>
        </w:rPr>
      </w:pPr>
      <w:r>
        <w:rPr>
          <w:rFonts w:hint="eastAsia" w:ascii="宋体" w:hAnsi="宋体"/>
          <w:color w:val="auto"/>
        </w:rPr>
        <w:t>本公司（单位）郑重声明，根据《国务院办公厅关于在政府采购中实施本国产品标准及相关政策的通知》（国办发〔2025〕34号）的规定，本公司（单位）提供的以下产品属于本国产品。具体情况如下：</w:t>
      </w:r>
    </w:p>
    <w:p w14:paraId="601AFFE3">
      <w:pPr>
        <w:ind w:firstLine="420" w:firstLineChars="200"/>
        <w:rPr>
          <w:rFonts w:hint="eastAsia" w:ascii="宋体" w:hAnsi="宋体"/>
          <w:color w:val="auto"/>
        </w:rPr>
      </w:pPr>
    </w:p>
    <w:p w14:paraId="137DC51B">
      <w:pPr>
        <w:ind w:firstLine="420" w:firstLineChars="200"/>
        <w:rPr>
          <w:rFonts w:hint="eastAsia" w:ascii="宋体" w:hAnsi="宋体"/>
          <w:color w:val="auto"/>
        </w:rPr>
      </w:pPr>
      <w:r>
        <w:rPr>
          <w:rFonts w:hint="eastAsia" w:ascii="宋体" w:hAnsi="宋体"/>
          <w:color w:val="auto"/>
        </w:rPr>
        <w:t>1.（产品名称1）1，生产厂为（厂名）2，厂址为（生产厂址）。（产品名称1）的中国境内生产的组件成本占比≥（规定比例）3。（产品名称1）的（关键组件）4在中国境内生产。（产品名称1）的（关键工序）5在中国境内完成。</w:t>
      </w:r>
    </w:p>
    <w:p w14:paraId="59B30EB0">
      <w:pPr>
        <w:ind w:firstLine="420" w:firstLineChars="200"/>
        <w:rPr>
          <w:rFonts w:hint="eastAsia" w:ascii="宋体" w:hAnsi="宋体"/>
          <w:color w:val="auto"/>
        </w:rPr>
      </w:pPr>
    </w:p>
    <w:p w14:paraId="2284D994">
      <w:pPr>
        <w:ind w:firstLine="420" w:firstLineChars="200"/>
        <w:rPr>
          <w:rFonts w:hint="eastAsia" w:ascii="宋体" w:hAnsi="宋体"/>
          <w:color w:val="auto"/>
        </w:rPr>
      </w:pPr>
      <w:r>
        <w:rPr>
          <w:rFonts w:hint="eastAsia" w:ascii="宋体" w:hAnsi="宋体"/>
          <w:color w:val="auto"/>
        </w:rPr>
        <w:t>2.（产品名称2），生产厂为（厂名），厂址为（生产厂址）。（产品名称2）的中国境内生产的组件成本占比≥（规定比例）。（产品名称2）的（关键组件）在中国境内生产。（产品名称2）的（关键工序）在中国境内完成。</w:t>
      </w:r>
    </w:p>
    <w:p w14:paraId="3742691D">
      <w:pPr>
        <w:ind w:firstLine="420" w:firstLineChars="200"/>
        <w:rPr>
          <w:rFonts w:hint="eastAsia" w:ascii="宋体" w:hAnsi="宋体"/>
          <w:color w:val="auto"/>
        </w:rPr>
      </w:pPr>
    </w:p>
    <w:p w14:paraId="59869E0B">
      <w:pPr>
        <w:ind w:firstLine="420" w:firstLineChars="200"/>
        <w:rPr>
          <w:rFonts w:hint="eastAsia" w:ascii="宋体" w:hAnsi="宋体"/>
          <w:color w:val="auto"/>
        </w:rPr>
      </w:pPr>
      <w:r>
        <w:rPr>
          <w:rFonts w:hint="eastAsia" w:ascii="宋体" w:hAnsi="宋体"/>
          <w:color w:val="auto"/>
        </w:rPr>
        <w:t>……</w:t>
      </w:r>
    </w:p>
    <w:p w14:paraId="767BAFC3">
      <w:pPr>
        <w:ind w:firstLine="420" w:firstLineChars="200"/>
        <w:rPr>
          <w:rFonts w:hint="eastAsia" w:ascii="宋体" w:hAnsi="宋体"/>
          <w:color w:val="auto"/>
        </w:rPr>
      </w:pPr>
    </w:p>
    <w:p w14:paraId="5089AA9F">
      <w:pPr>
        <w:ind w:firstLine="420" w:firstLineChars="200"/>
        <w:rPr>
          <w:rFonts w:hint="eastAsia" w:ascii="宋体" w:hAnsi="宋体"/>
          <w:color w:val="auto"/>
        </w:rPr>
      </w:pPr>
      <w:r>
        <w:rPr>
          <w:rFonts w:hint="eastAsia" w:ascii="宋体" w:hAnsi="宋体"/>
          <w:color w:val="auto"/>
        </w:rPr>
        <w:t>本公司（单位）对上述声明内容的真实性负责。如有虚假，愿承担相应法律责任。</w:t>
      </w:r>
    </w:p>
    <w:p w14:paraId="44156A2E">
      <w:pPr>
        <w:widowControl/>
        <w:tabs>
          <w:tab w:val="left" w:pos="720"/>
        </w:tabs>
        <w:spacing w:line="360" w:lineRule="auto"/>
        <w:ind w:firstLine="5542" w:firstLineChars="2300"/>
        <w:rPr>
          <w:rFonts w:hint="eastAsia" w:ascii="黑体" w:hAnsi="宋体" w:eastAsia="黑体"/>
          <w:b/>
          <w:color w:val="auto"/>
          <w:sz w:val="24"/>
        </w:rPr>
      </w:pPr>
    </w:p>
    <w:p w14:paraId="301F6F98">
      <w:pPr>
        <w:ind w:firstLine="420" w:firstLineChars="200"/>
        <w:jc w:val="right"/>
        <w:rPr>
          <w:rFonts w:hint="eastAsia" w:ascii="宋体" w:hAnsi="宋体"/>
          <w:color w:val="auto"/>
        </w:rPr>
      </w:pPr>
      <w:r>
        <w:rPr>
          <w:rFonts w:hint="eastAsia" w:ascii="宋体" w:hAnsi="宋体"/>
          <w:color w:val="auto"/>
        </w:rPr>
        <w:t>公司（单位）名称（盖章）：　        </w:t>
      </w:r>
    </w:p>
    <w:p w14:paraId="07D9C7A9">
      <w:pPr>
        <w:ind w:firstLine="420" w:firstLineChars="200"/>
        <w:jc w:val="right"/>
        <w:rPr>
          <w:rFonts w:hint="eastAsia" w:ascii="宋体" w:hAnsi="宋体"/>
          <w:color w:val="auto"/>
        </w:rPr>
      </w:pPr>
    </w:p>
    <w:p w14:paraId="696B67F2">
      <w:pPr>
        <w:ind w:firstLine="420" w:firstLineChars="200"/>
        <w:jc w:val="right"/>
        <w:rPr>
          <w:rFonts w:hint="eastAsia" w:ascii="宋体" w:hAnsi="宋体"/>
          <w:color w:val="auto"/>
        </w:rPr>
      </w:pPr>
      <w:r>
        <w:rPr>
          <w:rFonts w:hint="eastAsia" w:ascii="宋体" w:hAnsi="宋体"/>
          <w:color w:val="auto"/>
        </w:rPr>
        <w:t>日期：　     年　  月　  日         </w:t>
      </w:r>
    </w:p>
    <w:p w14:paraId="6F0A36FF">
      <w:pPr>
        <w:widowControl/>
        <w:tabs>
          <w:tab w:val="left" w:pos="720"/>
        </w:tabs>
        <w:spacing w:line="360" w:lineRule="auto"/>
        <w:ind w:firstLine="5542" w:firstLineChars="2300"/>
        <w:rPr>
          <w:rFonts w:hint="eastAsia" w:ascii="黑体" w:hAnsi="宋体" w:eastAsia="黑体"/>
          <w:b/>
          <w:color w:val="auto"/>
          <w:sz w:val="24"/>
        </w:rPr>
      </w:pPr>
    </w:p>
    <w:p w14:paraId="6B56F534">
      <w:pPr>
        <w:rPr>
          <w:rFonts w:hint="eastAsia" w:ascii="宋体" w:hAnsi="宋体"/>
          <w:color w:val="auto"/>
        </w:rPr>
      </w:pPr>
    </w:p>
    <w:p w14:paraId="264FE1F7">
      <w:pPr>
        <w:ind w:firstLine="420" w:firstLineChars="200"/>
        <w:rPr>
          <w:rFonts w:hint="eastAsia" w:ascii="宋体" w:hAnsi="宋体"/>
          <w:color w:val="auto"/>
        </w:rPr>
      </w:pPr>
      <w:r>
        <w:rPr>
          <w:rFonts w:hint="eastAsia" w:ascii="宋体" w:hAnsi="宋体"/>
          <w:color w:val="auto"/>
        </w:rPr>
        <w:t>1.产品如有型号，请在“产品名称”栏一并填写。</w:t>
      </w:r>
    </w:p>
    <w:p w14:paraId="0C2B75EC">
      <w:pPr>
        <w:ind w:firstLine="420" w:firstLineChars="200"/>
        <w:rPr>
          <w:rFonts w:hint="eastAsia" w:ascii="宋体" w:hAnsi="宋体"/>
          <w:color w:val="auto"/>
        </w:rPr>
      </w:pPr>
    </w:p>
    <w:p w14:paraId="2C5342B5">
      <w:pPr>
        <w:ind w:firstLine="420" w:firstLineChars="200"/>
        <w:rPr>
          <w:rFonts w:hint="eastAsia" w:ascii="宋体" w:hAnsi="宋体"/>
          <w:color w:val="auto"/>
        </w:rPr>
      </w:pPr>
      <w:r>
        <w:rPr>
          <w:rFonts w:hint="eastAsia" w:ascii="宋体" w:hAnsi="宋体"/>
          <w:color w:val="auto"/>
        </w:rPr>
        <w:t>2.生产厂名与厂址应与生产厂营业执照载明的相关信息保持一致。</w:t>
      </w:r>
    </w:p>
    <w:p w14:paraId="6F852EFB">
      <w:pPr>
        <w:ind w:firstLine="420" w:firstLineChars="200"/>
        <w:rPr>
          <w:rFonts w:hint="eastAsia" w:ascii="宋体" w:hAnsi="宋体"/>
          <w:color w:val="auto"/>
        </w:rPr>
      </w:pPr>
    </w:p>
    <w:p w14:paraId="419B8D42">
      <w:pPr>
        <w:ind w:firstLine="420" w:firstLineChars="200"/>
        <w:rPr>
          <w:rFonts w:hint="eastAsia" w:ascii="宋体" w:hAnsi="宋体"/>
          <w:color w:val="auto"/>
        </w:rPr>
      </w:pPr>
      <w:r>
        <w:rPr>
          <w:rFonts w:hint="eastAsia" w:ascii="宋体" w:hAnsi="宋体"/>
          <w:color w:val="auto"/>
        </w:rPr>
        <w:t>3.该产品的中国境内生产的组件成本占比相关要求实施前，“规定比例”栏可不填，下同。</w:t>
      </w:r>
    </w:p>
    <w:p w14:paraId="6616DC02">
      <w:pPr>
        <w:ind w:firstLine="420" w:firstLineChars="200"/>
        <w:rPr>
          <w:rFonts w:hint="eastAsia" w:ascii="宋体" w:hAnsi="宋体"/>
          <w:color w:val="auto"/>
        </w:rPr>
      </w:pPr>
    </w:p>
    <w:p w14:paraId="147D788A">
      <w:pPr>
        <w:ind w:firstLine="420" w:firstLineChars="200"/>
        <w:rPr>
          <w:rFonts w:hint="eastAsia" w:ascii="宋体" w:hAnsi="宋体"/>
          <w:color w:val="auto"/>
        </w:rPr>
      </w:pPr>
      <w:r>
        <w:rPr>
          <w:rFonts w:hint="eastAsia" w:ascii="宋体" w:hAnsi="宋体"/>
          <w:color w:val="auto"/>
        </w:rPr>
        <w:t>4.该产品的关键组件要求实施前，“关键组件”栏可不填，下同。</w:t>
      </w:r>
    </w:p>
    <w:p w14:paraId="4C2B8C13">
      <w:pPr>
        <w:ind w:firstLine="420" w:firstLineChars="200"/>
        <w:rPr>
          <w:rFonts w:hint="eastAsia" w:ascii="宋体" w:hAnsi="宋体"/>
          <w:color w:val="auto"/>
        </w:rPr>
      </w:pPr>
    </w:p>
    <w:p w14:paraId="5E44D426">
      <w:pPr>
        <w:ind w:firstLine="420" w:firstLineChars="200"/>
        <w:rPr>
          <w:rFonts w:hint="eastAsia" w:ascii="宋体" w:hAnsi="宋体"/>
          <w:color w:val="auto"/>
        </w:rPr>
      </w:pPr>
      <w:r>
        <w:rPr>
          <w:rFonts w:hint="eastAsia" w:ascii="宋体" w:hAnsi="宋体"/>
          <w:color w:val="auto"/>
        </w:rPr>
        <w:t>5.该产品的关键工序要求实施前，“关键工序”栏可不填，下同。</w:t>
      </w:r>
    </w:p>
    <w:p w14:paraId="41AD657D">
      <w:pPr>
        <w:ind w:firstLine="420" w:firstLineChars="200"/>
        <w:rPr>
          <w:rFonts w:hint="eastAsia" w:ascii="宋体" w:hAnsi="宋体"/>
          <w:color w:val="auto"/>
        </w:rPr>
        <w:sectPr>
          <w:footerReference r:id="rId7" w:type="default"/>
          <w:pgSz w:w="11906" w:h="16838"/>
          <w:pgMar w:top="1418" w:right="1588" w:bottom="1418" w:left="1366" w:header="851" w:footer="907" w:gutter="0"/>
          <w:cols w:space="720" w:num="1"/>
          <w:titlePg/>
          <w:docGrid w:type="lines" w:linePitch="290" w:charSpace="0"/>
        </w:sectPr>
      </w:pPr>
    </w:p>
    <w:p w14:paraId="11495DFB">
      <w:pPr>
        <w:rPr>
          <w:rFonts w:hint="eastAsia" w:ascii="黑体" w:hAnsi="宋体" w:eastAsia="黑体"/>
          <w:b/>
          <w:color w:val="auto"/>
          <w:sz w:val="24"/>
        </w:rPr>
      </w:pPr>
    </w:p>
    <w:p w14:paraId="145F307C">
      <w:pPr>
        <w:widowControl/>
        <w:tabs>
          <w:tab w:val="left" w:pos="720"/>
        </w:tabs>
        <w:spacing w:line="360" w:lineRule="auto"/>
        <w:ind w:firstLine="3132" w:firstLineChars="1300"/>
        <w:rPr>
          <w:rFonts w:hint="eastAsia" w:ascii="黑体" w:hAnsi="宋体" w:eastAsia="黑体"/>
          <w:b/>
          <w:color w:val="auto"/>
          <w:sz w:val="24"/>
        </w:rPr>
      </w:pPr>
      <w:r>
        <w:rPr>
          <w:rFonts w:hint="eastAsia" w:ascii="黑体" w:hAnsi="宋体" w:eastAsia="黑体"/>
          <w:b/>
          <w:color w:val="auto"/>
          <w:sz w:val="24"/>
        </w:rPr>
        <w:t>附件七、供应商产品认证情况</w:t>
      </w:r>
    </w:p>
    <w:p w14:paraId="188E80AF">
      <w:pPr>
        <w:pStyle w:val="2"/>
        <w:ind w:firstLine="420" w:firstLineChars="200"/>
        <w:rPr>
          <w:rFonts w:hint="eastAsia" w:ascii="宋体" w:hAnsi="宋体" w:eastAsia="宋体" w:cs="宋体"/>
          <w:color w:val="auto"/>
          <w:sz w:val="21"/>
          <w:szCs w:val="21"/>
        </w:rPr>
      </w:pPr>
    </w:p>
    <w:p w14:paraId="100D2C27">
      <w:pPr>
        <w:pStyle w:val="2"/>
        <w:rPr>
          <w:rFonts w:hint="eastAsia" w:ascii="宋体" w:hAnsi="宋体" w:eastAsia="宋体"/>
          <w:color w:val="auto"/>
          <w:kern w:val="0"/>
          <w:sz w:val="21"/>
          <w:szCs w:val="21"/>
        </w:rPr>
      </w:pPr>
      <w:r>
        <w:rPr>
          <w:rFonts w:hint="eastAsia" w:ascii="宋体" w:hAnsi="宋体" w:eastAsia="宋体"/>
          <w:color w:val="auto"/>
          <w:kern w:val="0"/>
          <w:sz w:val="21"/>
          <w:szCs w:val="21"/>
        </w:rPr>
        <w:t>特别提示：</w:t>
      </w:r>
    </w:p>
    <w:p w14:paraId="2A98D7ED">
      <w:pPr>
        <w:pStyle w:val="2"/>
        <w:ind w:firstLine="420" w:firstLineChars="200"/>
        <w:rPr>
          <w:rFonts w:hint="eastAsia" w:ascii="宋体" w:hAnsi="宋体" w:eastAsia="宋体"/>
          <w:color w:val="auto"/>
          <w:kern w:val="0"/>
          <w:sz w:val="21"/>
          <w:szCs w:val="21"/>
        </w:rPr>
      </w:pPr>
      <w:r>
        <w:rPr>
          <w:rFonts w:hint="eastAsia" w:ascii="宋体" w:hAnsi="宋体" w:eastAsia="宋体"/>
          <w:color w:val="auto"/>
          <w:kern w:val="0"/>
          <w:sz w:val="21"/>
          <w:szCs w:val="21"/>
        </w:rPr>
        <w:t>供应商提供的产品，如涉及：中国国家强制性产品认证证书（CCC）、国家强制节能产品、环保产品评审因素的 ，须提供在国家市场监督管理总局全国认证认可信息公共服务平台（http://cx.cnca.cn/CertECloud/index/index/page）、中国政府采购网(http://www.ccgp.gov.cn)的查询截图或3C证书、节能证书，并按下述格式进行填写！</w:t>
      </w:r>
    </w:p>
    <w:p w14:paraId="28D03F0F">
      <w:pPr>
        <w:pStyle w:val="41"/>
        <w:ind w:firstLine="0" w:firstLineChars="0"/>
        <w:jc w:val="left"/>
        <w:rPr>
          <w:rFonts w:hint="eastAsia" w:cs="宋体"/>
          <w:color w:val="auto"/>
          <w:szCs w:val="21"/>
        </w:rPr>
      </w:pPr>
    </w:p>
    <w:p w14:paraId="40E9DAF9">
      <w:pPr>
        <w:pStyle w:val="41"/>
        <w:ind w:firstLine="0" w:firstLineChars="0"/>
        <w:jc w:val="left"/>
        <w:rPr>
          <w:rFonts w:hint="eastAsia" w:ascii="方正黑体_GBK" w:hAnsi="方正黑体_GBK" w:eastAsia="方正黑体_GBK" w:cs="方正黑体_GBK"/>
          <w:b/>
          <w:bCs/>
          <w:color w:val="auto"/>
          <w:sz w:val="32"/>
          <w:szCs w:val="32"/>
        </w:rPr>
      </w:pPr>
      <w:r>
        <w:rPr>
          <w:rFonts w:hint="eastAsia" w:cs="宋体"/>
          <w:color w:val="auto"/>
          <w:szCs w:val="21"/>
        </w:rPr>
        <w:t>（一）中国国家强制性产品认证证书（CCC）</w:t>
      </w:r>
    </w:p>
    <w:p w14:paraId="55A0064D">
      <w:pPr>
        <w:rPr>
          <w:color w:val="auto"/>
        </w:rPr>
      </w:pP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399"/>
        <w:gridCol w:w="1612"/>
        <w:gridCol w:w="1452"/>
        <w:gridCol w:w="1836"/>
        <w:gridCol w:w="1124"/>
        <w:gridCol w:w="1226"/>
      </w:tblGrid>
      <w:tr w14:paraId="32EB7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Pr>
          <w:p w14:paraId="15160A1A">
            <w:pPr>
              <w:jc w:val="center"/>
              <w:rPr>
                <w:rFonts w:hint="eastAsia" w:ascii="宋体" w:hAnsi="宋体" w:cs="宋体"/>
                <w:color w:val="auto"/>
              </w:rPr>
            </w:pPr>
            <w:r>
              <w:rPr>
                <w:rFonts w:hint="eastAsia" w:ascii="宋体" w:hAnsi="宋体" w:cs="宋体"/>
                <w:color w:val="auto"/>
              </w:rPr>
              <w:t>序号</w:t>
            </w:r>
          </w:p>
        </w:tc>
        <w:tc>
          <w:tcPr>
            <w:tcW w:w="763" w:type="pct"/>
          </w:tcPr>
          <w:p w14:paraId="4FEFF258">
            <w:pPr>
              <w:ind w:firstLine="210" w:firstLineChars="100"/>
              <w:rPr>
                <w:rFonts w:hint="eastAsia" w:ascii="宋体" w:hAnsi="宋体" w:cs="宋体"/>
                <w:color w:val="auto"/>
              </w:rPr>
            </w:pPr>
            <w:r>
              <w:rPr>
                <w:rFonts w:hint="eastAsia" w:ascii="宋体" w:hAnsi="宋体" w:cs="宋体"/>
                <w:color w:val="auto"/>
              </w:rPr>
              <w:t>认证产品（CCC）</w:t>
            </w:r>
          </w:p>
        </w:tc>
        <w:tc>
          <w:tcPr>
            <w:tcW w:w="879" w:type="pct"/>
          </w:tcPr>
          <w:p w14:paraId="25DBAA9C">
            <w:pPr>
              <w:jc w:val="center"/>
              <w:rPr>
                <w:rFonts w:hint="eastAsia" w:ascii="宋体" w:hAnsi="宋体" w:cs="宋体"/>
                <w:color w:val="auto"/>
              </w:rPr>
            </w:pPr>
            <w:r>
              <w:rPr>
                <w:rFonts w:hint="eastAsia" w:ascii="宋体" w:hAnsi="宋体" w:cs="宋体"/>
                <w:color w:val="auto"/>
              </w:rPr>
              <w:t>证书编号</w:t>
            </w:r>
          </w:p>
        </w:tc>
        <w:tc>
          <w:tcPr>
            <w:tcW w:w="792" w:type="pct"/>
          </w:tcPr>
          <w:p w14:paraId="700C5489">
            <w:pPr>
              <w:rPr>
                <w:rFonts w:hint="eastAsia" w:ascii="宋体" w:hAnsi="宋体" w:cs="宋体"/>
                <w:color w:val="auto"/>
              </w:rPr>
            </w:pPr>
            <w:r>
              <w:rPr>
                <w:rFonts w:hint="eastAsia" w:ascii="宋体" w:hAnsi="宋体" w:cs="宋体"/>
                <w:color w:val="auto"/>
              </w:rPr>
              <w:t>认证委托人名称</w:t>
            </w:r>
          </w:p>
        </w:tc>
        <w:tc>
          <w:tcPr>
            <w:tcW w:w="1001" w:type="pct"/>
          </w:tcPr>
          <w:p w14:paraId="308716EC">
            <w:pPr>
              <w:ind w:left="630" w:hanging="630" w:hangingChars="300"/>
              <w:jc w:val="center"/>
              <w:rPr>
                <w:rFonts w:hint="eastAsia" w:ascii="宋体" w:hAnsi="宋体" w:cs="宋体"/>
                <w:color w:val="auto"/>
              </w:rPr>
            </w:pPr>
            <w:r>
              <w:rPr>
                <w:rFonts w:hint="eastAsia" w:ascii="宋体" w:hAnsi="宋体" w:cs="宋体"/>
                <w:color w:val="auto"/>
              </w:rPr>
              <w:t>生产（制造商）名称</w:t>
            </w:r>
          </w:p>
        </w:tc>
        <w:tc>
          <w:tcPr>
            <w:tcW w:w="613" w:type="pct"/>
          </w:tcPr>
          <w:p w14:paraId="38309597">
            <w:pPr>
              <w:rPr>
                <w:rFonts w:hint="eastAsia" w:ascii="宋体" w:hAnsi="宋体" w:cs="宋体"/>
                <w:color w:val="auto"/>
              </w:rPr>
            </w:pPr>
            <w:r>
              <w:rPr>
                <w:rFonts w:hint="eastAsia" w:ascii="宋体" w:hAnsi="宋体" w:cs="宋体"/>
                <w:color w:val="auto"/>
              </w:rPr>
              <w:t>规格型号</w:t>
            </w:r>
          </w:p>
        </w:tc>
        <w:tc>
          <w:tcPr>
            <w:tcW w:w="668" w:type="pct"/>
          </w:tcPr>
          <w:p w14:paraId="0A1DBF1A">
            <w:pPr>
              <w:rPr>
                <w:rFonts w:hint="eastAsia" w:ascii="宋体" w:hAnsi="宋体" w:cs="宋体"/>
                <w:color w:val="auto"/>
              </w:rPr>
            </w:pPr>
            <w:r>
              <w:rPr>
                <w:rFonts w:hint="eastAsia" w:ascii="宋体" w:hAnsi="宋体" w:cs="宋体"/>
                <w:color w:val="auto"/>
              </w:rPr>
              <w:t>认证机构</w:t>
            </w:r>
          </w:p>
        </w:tc>
      </w:tr>
      <w:tr w14:paraId="1348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Pr>
          <w:p w14:paraId="280A8DD3">
            <w:pPr>
              <w:jc w:val="center"/>
              <w:rPr>
                <w:color w:val="auto"/>
              </w:rPr>
            </w:pPr>
            <w:r>
              <w:rPr>
                <w:rFonts w:hint="eastAsia"/>
                <w:color w:val="auto"/>
              </w:rPr>
              <w:t>1</w:t>
            </w:r>
          </w:p>
        </w:tc>
        <w:tc>
          <w:tcPr>
            <w:tcW w:w="763" w:type="pct"/>
          </w:tcPr>
          <w:p w14:paraId="5A00B94C">
            <w:pPr>
              <w:jc w:val="center"/>
              <w:rPr>
                <w:color w:val="auto"/>
              </w:rPr>
            </w:pPr>
            <w:r>
              <w:rPr>
                <w:rFonts w:hint="eastAsia"/>
                <w:color w:val="auto"/>
                <w:highlight w:val="none"/>
              </w:rPr>
              <w:t>智慧互联黑板</w:t>
            </w:r>
          </w:p>
        </w:tc>
        <w:tc>
          <w:tcPr>
            <w:tcW w:w="879" w:type="pct"/>
          </w:tcPr>
          <w:p w14:paraId="4C577A7A">
            <w:pPr>
              <w:jc w:val="center"/>
              <w:rPr>
                <w:color w:val="auto"/>
              </w:rPr>
            </w:pPr>
          </w:p>
        </w:tc>
        <w:tc>
          <w:tcPr>
            <w:tcW w:w="792" w:type="pct"/>
          </w:tcPr>
          <w:p w14:paraId="289EB85E">
            <w:pPr>
              <w:jc w:val="center"/>
              <w:rPr>
                <w:color w:val="auto"/>
              </w:rPr>
            </w:pPr>
          </w:p>
        </w:tc>
        <w:tc>
          <w:tcPr>
            <w:tcW w:w="1001" w:type="pct"/>
          </w:tcPr>
          <w:p w14:paraId="35BD0F76">
            <w:pPr>
              <w:jc w:val="center"/>
              <w:rPr>
                <w:color w:val="auto"/>
              </w:rPr>
            </w:pPr>
          </w:p>
        </w:tc>
        <w:tc>
          <w:tcPr>
            <w:tcW w:w="613" w:type="pct"/>
          </w:tcPr>
          <w:p w14:paraId="0FAA87C8">
            <w:pPr>
              <w:jc w:val="center"/>
              <w:rPr>
                <w:color w:val="auto"/>
              </w:rPr>
            </w:pPr>
          </w:p>
        </w:tc>
        <w:tc>
          <w:tcPr>
            <w:tcW w:w="668" w:type="pct"/>
          </w:tcPr>
          <w:p w14:paraId="0692DF78">
            <w:pPr>
              <w:jc w:val="center"/>
              <w:rPr>
                <w:color w:val="auto"/>
              </w:rPr>
            </w:pPr>
          </w:p>
        </w:tc>
      </w:tr>
      <w:tr w14:paraId="046D0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Pr>
          <w:p w14:paraId="7D3257F8">
            <w:pPr>
              <w:jc w:val="center"/>
              <w:rPr>
                <w:rFonts w:hint="eastAsia" w:eastAsia="宋体"/>
                <w:color w:val="auto"/>
                <w:lang w:val="en-US" w:eastAsia="zh-CN"/>
              </w:rPr>
            </w:pPr>
            <w:r>
              <w:rPr>
                <w:rFonts w:hint="eastAsia"/>
                <w:color w:val="auto"/>
                <w:lang w:val="en-US" w:eastAsia="zh-CN"/>
              </w:rPr>
              <w:t>2</w:t>
            </w:r>
          </w:p>
        </w:tc>
        <w:tc>
          <w:tcPr>
            <w:tcW w:w="763" w:type="pct"/>
          </w:tcPr>
          <w:p w14:paraId="4397BDAA">
            <w:pPr>
              <w:jc w:val="center"/>
              <w:rPr>
                <w:rFonts w:hint="eastAsia"/>
                <w:color w:val="auto"/>
              </w:rPr>
            </w:pPr>
            <w:r>
              <w:rPr>
                <w:rFonts w:hint="eastAsia"/>
                <w:color w:val="auto"/>
              </w:rPr>
              <w:t>计算机</w:t>
            </w:r>
          </w:p>
        </w:tc>
        <w:tc>
          <w:tcPr>
            <w:tcW w:w="879" w:type="pct"/>
          </w:tcPr>
          <w:p w14:paraId="51095211">
            <w:pPr>
              <w:jc w:val="center"/>
              <w:rPr>
                <w:color w:val="auto"/>
              </w:rPr>
            </w:pPr>
          </w:p>
        </w:tc>
        <w:tc>
          <w:tcPr>
            <w:tcW w:w="792" w:type="pct"/>
          </w:tcPr>
          <w:p w14:paraId="79175597">
            <w:pPr>
              <w:jc w:val="center"/>
              <w:rPr>
                <w:color w:val="auto"/>
              </w:rPr>
            </w:pPr>
          </w:p>
        </w:tc>
        <w:tc>
          <w:tcPr>
            <w:tcW w:w="1001" w:type="pct"/>
          </w:tcPr>
          <w:p w14:paraId="6E4867B8">
            <w:pPr>
              <w:jc w:val="center"/>
              <w:rPr>
                <w:color w:val="auto"/>
              </w:rPr>
            </w:pPr>
          </w:p>
        </w:tc>
        <w:tc>
          <w:tcPr>
            <w:tcW w:w="613" w:type="pct"/>
          </w:tcPr>
          <w:p w14:paraId="204FB74C">
            <w:pPr>
              <w:jc w:val="center"/>
              <w:rPr>
                <w:color w:val="auto"/>
              </w:rPr>
            </w:pPr>
          </w:p>
        </w:tc>
        <w:tc>
          <w:tcPr>
            <w:tcW w:w="668" w:type="pct"/>
          </w:tcPr>
          <w:p w14:paraId="1D7E54F8">
            <w:pPr>
              <w:jc w:val="center"/>
              <w:rPr>
                <w:color w:val="auto"/>
              </w:rPr>
            </w:pPr>
          </w:p>
        </w:tc>
      </w:tr>
    </w:tbl>
    <w:p w14:paraId="1406A20C">
      <w:pPr>
        <w:rPr>
          <w:rFonts w:hint="eastAsia" w:ascii="宋体" w:hAnsi="宋体"/>
          <w:color w:val="auto"/>
          <w:kern w:val="0"/>
        </w:rPr>
      </w:pPr>
      <w:r>
        <w:rPr>
          <w:rFonts w:hint="eastAsia"/>
          <w:color w:val="auto"/>
        </w:rPr>
        <w:t xml:space="preserve"> </w:t>
      </w:r>
      <w:r>
        <w:rPr>
          <w:rFonts w:hint="eastAsia" w:ascii="宋体" w:hAnsi="宋体"/>
          <w:color w:val="auto"/>
          <w:kern w:val="0"/>
        </w:rPr>
        <w:t>注：填报的强制性产品认证证书（CCC）必须与投标文件正文表格（七、分项报价表）中所投品牌及型号相一致！</w:t>
      </w:r>
    </w:p>
    <w:p w14:paraId="135887D5">
      <w:pPr>
        <w:pStyle w:val="41"/>
        <w:ind w:firstLine="0" w:firstLineChars="0"/>
        <w:jc w:val="left"/>
        <w:rPr>
          <w:rFonts w:hint="eastAsia" w:ascii="方正黑体_GBK" w:hAnsi="方正黑体_GBK" w:eastAsia="方正黑体_GBK" w:cs="方正黑体_GBK"/>
          <w:b/>
          <w:bCs/>
          <w:color w:val="auto"/>
          <w:sz w:val="32"/>
          <w:szCs w:val="32"/>
        </w:rPr>
      </w:pPr>
      <w:r>
        <w:rPr>
          <w:rFonts w:hint="eastAsia" w:cs="宋体"/>
          <w:color w:val="auto"/>
          <w:szCs w:val="21"/>
        </w:rPr>
        <w:t>（</w:t>
      </w:r>
      <w:r>
        <w:rPr>
          <w:rFonts w:hint="eastAsia" w:cs="宋体"/>
          <w:color w:val="auto"/>
          <w:szCs w:val="21"/>
          <w:lang w:val="en-US" w:eastAsia="zh-CN"/>
        </w:rPr>
        <w:t>二</w:t>
      </w:r>
      <w:r>
        <w:rPr>
          <w:rFonts w:hint="eastAsia" w:cs="宋体"/>
          <w:color w:val="auto"/>
          <w:szCs w:val="21"/>
        </w:rPr>
        <w:t>）中国国家</w:t>
      </w:r>
      <w:r>
        <w:rPr>
          <w:rFonts w:hint="eastAsia" w:cs="宋体"/>
          <w:color w:val="auto"/>
          <w:szCs w:val="21"/>
          <w:lang w:val="en-US" w:eastAsia="zh-CN"/>
        </w:rPr>
        <w:t>强制节能</w:t>
      </w:r>
      <w:r>
        <w:rPr>
          <w:rFonts w:hint="eastAsia" w:cs="宋体"/>
          <w:color w:val="auto"/>
          <w:szCs w:val="21"/>
        </w:rPr>
        <w:t>产品认证证书</w:t>
      </w:r>
    </w:p>
    <w:p w14:paraId="1C483D44">
      <w:pPr>
        <w:rPr>
          <w:color w:val="auto"/>
        </w:rPr>
      </w:pPr>
    </w:p>
    <w:tbl>
      <w:tblPr>
        <w:tblStyle w:val="4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1399"/>
        <w:gridCol w:w="1612"/>
        <w:gridCol w:w="1452"/>
        <w:gridCol w:w="1836"/>
        <w:gridCol w:w="1124"/>
        <w:gridCol w:w="1226"/>
      </w:tblGrid>
      <w:tr w14:paraId="648E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Pr>
          <w:p w14:paraId="5F024965">
            <w:pPr>
              <w:jc w:val="center"/>
              <w:rPr>
                <w:rFonts w:hint="eastAsia" w:ascii="宋体" w:hAnsi="宋体" w:cs="宋体"/>
                <w:color w:val="auto"/>
              </w:rPr>
            </w:pPr>
            <w:r>
              <w:rPr>
                <w:rFonts w:hint="eastAsia" w:ascii="宋体" w:hAnsi="宋体" w:cs="宋体"/>
                <w:color w:val="auto"/>
              </w:rPr>
              <w:t>序号</w:t>
            </w:r>
          </w:p>
        </w:tc>
        <w:tc>
          <w:tcPr>
            <w:tcW w:w="763" w:type="pct"/>
          </w:tcPr>
          <w:p w14:paraId="77423C7E">
            <w:pPr>
              <w:ind w:firstLine="210" w:firstLineChars="100"/>
              <w:rPr>
                <w:rFonts w:hint="eastAsia" w:ascii="宋体" w:hAnsi="宋体" w:cs="宋体"/>
                <w:color w:val="auto"/>
              </w:rPr>
            </w:pPr>
            <w:r>
              <w:rPr>
                <w:rFonts w:hint="eastAsia" w:ascii="宋体" w:hAnsi="宋体" w:cs="宋体"/>
                <w:color w:val="auto"/>
              </w:rPr>
              <w:t>认证产品</w:t>
            </w:r>
          </w:p>
        </w:tc>
        <w:tc>
          <w:tcPr>
            <w:tcW w:w="879" w:type="pct"/>
          </w:tcPr>
          <w:p w14:paraId="5041F7C6">
            <w:pPr>
              <w:jc w:val="center"/>
              <w:rPr>
                <w:rFonts w:hint="eastAsia" w:ascii="宋体" w:hAnsi="宋体" w:cs="宋体"/>
                <w:color w:val="auto"/>
              </w:rPr>
            </w:pPr>
            <w:r>
              <w:rPr>
                <w:rFonts w:hint="eastAsia" w:ascii="宋体" w:hAnsi="宋体" w:cs="宋体"/>
                <w:color w:val="auto"/>
              </w:rPr>
              <w:t>证书编号</w:t>
            </w:r>
          </w:p>
        </w:tc>
        <w:tc>
          <w:tcPr>
            <w:tcW w:w="792" w:type="pct"/>
          </w:tcPr>
          <w:p w14:paraId="4BFCAB22">
            <w:pPr>
              <w:rPr>
                <w:rFonts w:hint="eastAsia" w:ascii="宋体" w:hAnsi="宋体" w:cs="宋体"/>
                <w:color w:val="auto"/>
              </w:rPr>
            </w:pPr>
            <w:r>
              <w:rPr>
                <w:rFonts w:hint="eastAsia" w:ascii="宋体" w:hAnsi="宋体" w:cs="宋体"/>
                <w:color w:val="auto"/>
              </w:rPr>
              <w:t>认证委托人名称</w:t>
            </w:r>
          </w:p>
        </w:tc>
        <w:tc>
          <w:tcPr>
            <w:tcW w:w="1001" w:type="pct"/>
          </w:tcPr>
          <w:p w14:paraId="6F3AA5E6">
            <w:pPr>
              <w:ind w:left="630" w:hanging="630" w:hangingChars="300"/>
              <w:jc w:val="center"/>
              <w:rPr>
                <w:rFonts w:hint="eastAsia" w:ascii="宋体" w:hAnsi="宋体" w:cs="宋体"/>
                <w:color w:val="auto"/>
              </w:rPr>
            </w:pPr>
            <w:r>
              <w:rPr>
                <w:rFonts w:hint="eastAsia" w:ascii="宋体" w:hAnsi="宋体" w:cs="宋体"/>
                <w:color w:val="auto"/>
              </w:rPr>
              <w:t>生产（制造商）名称</w:t>
            </w:r>
          </w:p>
        </w:tc>
        <w:tc>
          <w:tcPr>
            <w:tcW w:w="613" w:type="pct"/>
          </w:tcPr>
          <w:p w14:paraId="427CD8BF">
            <w:pPr>
              <w:rPr>
                <w:rFonts w:hint="eastAsia" w:ascii="宋体" w:hAnsi="宋体" w:cs="宋体"/>
                <w:color w:val="auto"/>
              </w:rPr>
            </w:pPr>
            <w:r>
              <w:rPr>
                <w:rFonts w:hint="eastAsia" w:ascii="宋体" w:hAnsi="宋体" w:cs="宋体"/>
                <w:color w:val="auto"/>
              </w:rPr>
              <w:t>规格型号</w:t>
            </w:r>
          </w:p>
        </w:tc>
        <w:tc>
          <w:tcPr>
            <w:tcW w:w="668" w:type="pct"/>
          </w:tcPr>
          <w:p w14:paraId="389D1DA1">
            <w:pPr>
              <w:rPr>
                <w:rFonts w:hint="eastAsia" w:ascii="宋体" w:hAnsi="宋体" w:cs="宋体"/>
                <w:color w:val="auto"/>
              </w:rPr>
            </w:pPr>
            <w:r>
              <w:rPr>
                <w:rFonts w:hint="eastAsia" w:ascii="宋体" w:hAnsi="宋体" w:cs="宋体"/>
                <w:color w:val="auto"/>
              </w:rPr>
              <w:t>认证机构</w:t>
            </w:r>
          </w:p>
        </w:tc>
      </w:tr>
      <w:tr w14:paraId="0FBF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Pr>
          <w:p w14:paraId="4CFF9D11">
            <w:pPr>
              <w:jc w:val="center"/>
              <w:rPr>
                <w:color w:val="auto"/>
              </w:rPr>
            </w:pPr>
            <w:r>
              <w:rPr>
                <w:rFonts w:hint="eastAsia"/>
                <w:color w:val="auto"/>
              </w:rPr>
              <w:t>1</w:t>
            </w:r>
          </w:p>
        </w:tc>
        <w:tc>
          <w:tcPr>
            <w:tcW w:w="763" w:type="pct"/>
          </w:tcPr>
          <w:p w14:paraId="58AF5795">
            <w:pPr>
              <w:jc w:val="center"/>
              <w:rPr>
                <w:rFonts w:hint="default" w:eastAsia="宋体"/>
                <w:color w:val="auto"/>
                <w:lang w:val="en-US" w:eastAsia="zh-CN"/>
              </w:rPr>
            </w:pPr>
            <w:r>
              <w:rPr>
                <w:rFonts w:hint="eastAsia"/>
                <w:color w:val="auto"/>
                <w:lang w:val="en-US" w:eastAsia="zh-CN"/>
              </w:rPr>
              <w:t>计算机</w:t>
            </w:r>
          </w:p>
        </w:tc>
        <w:tc>
          <w:tcPr>
            <w:tcW w:w="879" w:type="pct"/>
          </w:tcPr>
          <w:p w14:paraId="3FBA4429">
            <w:pPr>
              <w:jc w:val="center"/>
              <w:rPr>
                <w:color w:val="auto"/>
              </w:rPr>
            </w:pPr>
          </w:p>
        </w:tc>
        <w:tc>
          <w:tcPr>
            <w:tcW w:w="792" w:type="pct"/>
          </w:tcPr>
          <w:p w14:paraId="16E5A687">
            <w:pPr>
              <w:jc w:val="center"/>
              <w:rPr>
                <w:color w:val="auto"/>
              </w:rPr>
            </w:pPr>
          </w:p>
        </w:tc>
        <w:tc>
          <w:tcPr>
            <w:tcW w:w="1001" w:type="pct"/>
          </w:tcPr>
          <w:p w14:paraId="76694E45">
            <w:pPr>
              <w:jc w:val="center"/>
              <w:rPr>
                <w:color w:val="auto"/>
              </w:rPr>
            </w:pPr>
          </w:p>
        </w:tc>
        <w:tc>
          <w:tcPr>
            <w:tcW w:w="613" w:type="pct"/>
          </w:tcPr>
          <w:p w14:paraId="643241E0">
            <w:pPr>
              <w:jc w:val="center"/>
              <w:rPr>
                <w:color w:val="auto"/>
              </w:rPr>
            </w:pPr>
          </w:p>
        </w:tc>
        <w:tc>
          <w:tcPr>
            <w:tcW w:w="668" w:type="pct"/>
          </w:tcPr>
          <w:p w14:paraId="22869879">
            <w:pPr>
              <w:jc w:val="center"/>
              <w:rPr>
                <w:color w:val="auto"/>
              </w:rPr>
            </w:pPr>
          </w:p>
        </w:tc>
      </w:tr>
      <w:tr w14:paraId="0B93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80" w:type="pct"/>
          </w:tcPr>
          <w:p w14:paraId="65969C0D">
            <w:pPr>
              <w:jc w:val="center"/>
              <w:rPr>
                <w:rFonts w:hint="eastAsia" w:eastAsia="宋体"/>
                <w:color w:val="auto"/>
                <w:lang w:val="en-US" w:eastAsia="zh-CN"/>
              </w:rPr>
            </w:pPr>
            <w:r>
              <w:rPr>
                <w:rFonts w:hint="eastAsia"/>
                <w:color w:val="auto"/>
                <w:lang w:val="en-US" w:eastAsia="zh-CN"/>
              </w:rPr>
              <w:t>2</w:t>
            </w:r>
          </w:p>
        </w:tc>
        <w:tc>
          <w:tcPr>
            <w:tcW w:w="763" w:type="pct"/>
          </w:tcPr>
          <w:p w14:paraId="75F9724C">
            <w:pPr>
              <w:jc w:val="center"/>
              <w:rPr>
                <w:rFonts w:hint="eastAsia"/>
                <w:color w:val="auto"/>
                <w:lang w:val="en-US" w:eastAsia="zh-CN"/>
              </w:rPr>
            </w:pPr>
            <w:r>
              <w:rPr>
                <w:rFonts w:hint="eastAsia"/>
                <w:color w:val="auto"/>
                <w:lang w:val="en-US" w:eastAsia="zh-CN"/>
              </w:rPr>
              <w:t>空调</w:t>
            </w:r>
          </w:p>
        </w:tc>
        <w:tc>
          <w:tcPr>
            <w:tcW w:w="879" w:type="pct"/>
          </w:tcPr>
          <w:p w14:paraId="0268B83F">
            <w:pPr>
              <w:jc w:val="center"/>
              <w:rPr>
                <w:color w:val="auto"/>
              </w:rPr>
            </w:pPr>
          </w:p>
        </w:tc>
        <w:tc>
          <w:tcPr>
            <w:tcW w:w="792" w:type="pct"/>
          </w:tcPr>
          <w:p w14:paraId="4D3F1B45">
            <w:pPr>
              <w:jc w:val="center"/>
              <w:rPr>
                <w:color w:val="auto"/>
              </w:rPr>
            </w:pPr>
          </w:p>
        </w:tc>
        <w:tc>
          <w:tcPr>
            <w:tcW w:w="1001" w:type="pct"/>
          </w:tcPr>
          <w:p w14:paraId="7778FBE1">
            <w:pPr>
              <w:jc w:val="center"/>
              <w:rPr>
                <w:color w:val="auto"/>
              </w:rPr>
            </w:pPr>
          </w:p>
        </w:tc>
        <w:tc>
          <w:tcPr>
            <w:tcW w:w="613" w:type="pct"/>
          </w:tcPr>
          <w:p w14:paraId="1459BA5C">
            <w:pPr>
              <w:jc w:val="center"/>
              <w:rPr>
                <w:color w:val="auto"/>
              </w:rPr>
            </w:pPr>
          </w:p>
        </w:tc>
        <w:tc>
          <w:tcPr>
            <w:tcW w:w="668" w:type="pct"/>
          </w:tcPr>
          <w:p w14:paraId="110059CC">
            <w:pPr>
              <w:jc w:val="center"/>
              <w:rPr>
                <w:color w:val="auto"/>
              </w:rPr>
            </w:pPr>
          </w:p>
        </w:tc>
      </w:tr>
    </w:tbl>
    <w:p w14:paraId="0AD00CA4">
      <w:pPr>
        <w:rPr>
          <w:rFonts w:hint="eastAsia" w:ascii="宋体" w:hAnsi="宋体"/>
          <w:color w:val="auto"/>
          <w:kern w:val="0"/>
        </w:rPr>
      </w:pPr>
      <w:r>
        <w:rPr>
          <w:rFonts w:hint="eastAsia"/>
          <w:color w:val="auto"/>
        </w:rPr>
        <w:t xml:space="preserve"> </w:t>
      </w:r>
      <w:r>
        <w:rPr>
          <w:rFonts w:hint="eastAsia" w:ascii="宋体" w:hAnsi="宋体"/>
          <w:color w:val="auto"/>
          <w:kern w:val="0"/>
        </w:rPr>
        <w:t>注：填报的</w:t>
      </w:r>
      <w:r>
        <w:rPr>
          <w:rFonts w:hint="eastAsia" w:ascii="宋体" w:hAnsi="宋体"/>
          <w:color w:val="auto"/>
          <w:kern w:val="0"/>
          <w:lang w:val="en-US" w:eastAsia="zh-CN"/>
        </w:rPr>
        <w:t>强制节能</w:t>
      </w:r>
      <w:r>
        <w:rPr>
          <w:rFonts w:hint="eastAsia" w:ascii="宋体" w:hAnsi="宋体"/>
          <w:color w:val="auto"/>
          <w:kern w:val="0"/>
        </w:rPr>
        <w:t>产品认证证书必须与投标文件正文表格（七、分项报价表）中所投品牌及型号相一致！</w:t>
      </w:r>
    </w:p>
    <w:p w14:paraId="66DCD722">
      <w:pPr>
        <w:spacing w:line="360" w:lineRule="auto"/>
        <w:rPr>
          <w:rFonts w:hint="eastAsia" w:ascii="宋体" w:hAnsi="宋体" w:cs="宋体"/>
          <w:color w:val="auto"/>
        </w:rPr>
      </w:pPr>
    </w:p>
    <w:p w14:paraId="57E77BFC">
      <w:pPr>
        <w:widowControl/>
        <w:snapToGrid w:val="0"/>
        <w:jc w:val="left"/>
        <w:rPr>
          <w:rFonts w:hint="eastAsia" w:ascii="宋体" w:hAnsi="宋体"/>
          <w:color w:val="auto"/>
          <w:kern w:val="0"/>
        </w:rPr>
      </w:pPr>
    </w:p>
    <w:p w14:paraId="1CFAB5AD">
      <w:pPr>
        <w:pStyle w:val="41"/>
        <w:ind w:firstLine="0" w:firstLineChars="0"/>
        <w:jc w:val="left"/>
        <w:rPr>
          <w:rFonts w:hint="eastAsia" w:ascii="方正黑体_GBK" w:hAnsi="方正黑体_GBK" w:eastAsia="宋体" w:cs="方正黑体_GBK"/>
          <w:b/>
          <w:bCs/>
          <w:color w:val="auto"/>
          <w:sz w:val="32"/>
          <w:szCs w:val="32"/>
          <w:lang w:val="en-US" w:eastAsia="zh-CN"/>
        </w:rPr>
      </w:pPr>
      <w:r>
        <w:rPr>
          <w:rFonts w:hint="eastAsia" w:ascii="宋体" w:hAnsi="宋体" w:eastAsia="宋体" w:cs="宋体"/>
          <w:color w:val="auto"/>
          <w:sz w:val="21"/>
          <w:szCs w:val="21"/>
        </w:rPr>
        <w:t>（三）环保产品明细清单</w:t>
      </w:r>
      <w:r>
        <w:rPr>
          <w:rFonts w:hint="eastAsia" w:cs="宋体"/>
          <w:color w:val="auto"/>
          <w:sz w:val="21"/>
          <w:szCs w:val="21"/>
          <w:lang w:val="en-US" w:eastAsia="zh-CN"/>
        </w:rPr>
        <w:t xml:space="preserve"> </w:t>
      </w:r>
      <w:r>
        <w:rPr>
          <w:rFonts w:hint="eastAsia" w:cs="宋体"/>
          <w:b/>
          <w:bCs/>
          <w:color w:val="auto"/>
          <w:szCs w:val="21"/>
          <w:lang w:val="en-US" w:eastAsia="zh-CN"/>
        </w:rPr>
        <w:t>如有</w:t>
      </w:r>
    </w:p>
    <w:p w14:paraId="5D093F80">
      <w:pPr>
        <w:pStyle w:val="2"/>
        <w:spacing w:line="500" w:lineRule="exact"/>
        <w:rPr>
          <w:rFonts w:hint="eastAsia" w:ascii="宋体" w:hAnsi="宋体" w:eastAsia="宋体" w:cs="宋体"/>
          <w:color w:val="auto"/>
          <w:sz w:val="21"/>
          <w:szCs w:val="21"/>
        </w:rPr>
      </w:pPr>
      <w:r>
        <w:rPr>
          <w:rFonts w:hint="eastAsia" w:ascii="宋体" w:hAnsi="宋体" w:eastAsia="宋体" w:cs="宋体"/>
          <w:color w:val="auto"/>
          <w:sz w:val="21"/>
          <w:szCs w:val="21"/>
        </w:rPr>
        <w:t xml:space="preserve">                                   报价货币种类金额（单位：元）</w:t>
      </w:r>
    </w:p>
    <w:tbl>
      <w:tblPr>
        <w:tblStyle w:val="4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786"/>
        <w:gridCol w:w="658"/>
        <w:gridCol w:w="1014"/>
        <w:gridCol w:w="1047"/>
        <w:gridCol w:w="1283"/>
        <w:gridCol w:w="748"/>
        <w:gridCol w:w="772"/>
        <w:gridCol w:w="763"/>
        <w:gridCol w:w="759"/>
        <w:gridCol w:w="759"/>
      </w:tblGrid>
      <w:tr w14:paraId="2CD8B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2" w:type="pct"/>
          </w:tcPr>
          <w:p w14:paraId="78EDDC98">
            <w:pPr>
              <w:pStyle w:val="2"/>
              <w:spacing w:line="50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序号</w:t>
            </w:r>
          </w:p>
        </w:tc>
        <w:tc>
          <w:tcPr>
            <w:tcW w:w="429" w:type="pct"/>
            <w:vAlign w:val="top"/>
          </w:tcPr>
          <w:p w14:paraId="0391A230">
            <w:pPr>
              <w:pStyle w:val="2"/>
              <w:spacing w:line="500" w:lineRule="exact"/>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产品名称</w:t>
            </w:r>
          </w:p>
        </w:tc>
        <w:tc>
          <w:tcPr>
            <w:tcW w:w="658" w:type="dxa"/>
            <w:vAlign w:val="top"/>
          </w:tcPr>
          <w:p w14:paraId="0EFA3DBD">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制造商</w:t>
            </w:r>
          </w:p>
        </w:tc>
        <w:tc>
          <w:tcPr>
            <w:tcW w:w="1014" w:type="dxa"/>
            <w:vAlign w:val="top"/>
          </w:tcPr>
          <w:p w14:paraId="7F96AB1B">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制造商企业类型</w:t>
            </w:r>
          </w:p>
        </w:tc>
        <w:tc>
          <w:tcPr>
            <w:tcW w:w="1047" w:type="dxa"/>
            <w:vAlign w:val="top"/>
          </w:tcPr>
          <w:p w14:paraId="10343B9D">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品牌</w:t>
            </w:r>
          </w:p>
        </w:tc>
        <w:tc>
          <w:tcPr>
            <w:tcW w:w="1283" w:type="dxa"/>
            <w:vAlign w:val="top"/>
          </w:tcPr>
          <w:p w14:paraId="19CBC8D2">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产品名称、规格型号</w:t>
            </w:r>
          </w:p>
        </w:tc>
        <w:tc>
          <w:tcPr>
            <w:tcW w:w="748" w:type="dxa"/>
            <w:vAlign w:val="top"/>
          </w:tcPr>
          <w:p w14:paraId="289FE885">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中国环境标志认证证书编号</w:t>
            </w:r>
          </w:p>
        </w:tc>
        <w:tc>
          <w:tcPr>
            <w:tcW w:w="772" w:type="dxa"/>
            <w:vAlign w:val="top"/>
          </w:tcPr>
          <w:p w14:paraId="00790FA5">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认证证书有效截止日期</w:t>
            </w:r>
          </w:p>
        </w:tc>
        <w:tc>
          <w:tcPr>
            <w:tcW w:w="763" w:type="dxa"/>
            <w:vAlign w:val="top"/>
          </w:tcPr>
          <w:p w14:paraId="0347C7EE">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759" w:type="dxa"/>
            <w:vAlign w:val="top"/>
          </w:tcPr>
          <w:p w14:paraId="1E4AEB84">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759" w:type="dxa"/>
            <w:vAlign w:val="top"/>
          </w:tcPr>
          <w:p w14:paraId="5D38367B">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单价</w:t>
            </w:r>
          </w:p>
        </w:tc>
      </w:tr>
      <w:tr w14:paraId="29AE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dxa"/>
            <w:vAlign w:val="top"/>
          </w:tcPr>
          <w:p w14:paraId="5CD73919">
            <w:pPr>
              <w:jc w:val="center"/>
              <w:rPr>
                <w:rFonts w:hint="eastAsia" w:ascii="宋体" w:hAnsi="宋体" w:eastAsia="宋体" w:cs="宋体"/>
                <w:color w:val="auto"/>
                <w:sz w:val="21"/>
                <w:szCs w:val="21"/>
              </w:rPr>
            </w:pPr>
            <w:r>
              <w:rPr>
                <w:rFonts w:hint="eastAsia"/>
                <w:color w:val="auto"/>
              </w:rPr>
              <w:t>1</w:t>
            </w:r>
          </w:p>
        </w:tc>
        <w:tc>
          <w:tcPr>
            <w:tcW w:w="786" w:type="dxa"/>
            <w:vAlign w:val="top"/>
          </w:tcPr>
          <w:p w14:paraId="68D35591">
            <w:pPr>
              <w:jc w:val="center"/>
              <w:rPr>
                <w:rFonts w:hint="eastAsia" w:ascii="宋体" w:hAnsi="宋体" w:eastAsia="宋体" w:cs="宋体"/>
                <w:color w:val="auto"/>
                <w:sz w:val="21"/>
                <w:szCs w:val="21"/>
              </w:rPr>
            </w:pPr>
            <w:r>
              <w:rPr>
                <w:rFonts w:hint="eastAsia"/>
                <w:color w:val="auto"/>
                <w:lang w:val="en-US" w:eastAsia="zh-CN"/>
              </w:rPr>
              <w:t>乳胶漆</w:t>
            </w:r>
          </w:p>
        </w:tc>
        <w:tc>
          <w:tcPr>
            <w:tcW w:w="359" w:type="pct"/>
          </w:tcPr>
          <w:p w14:paraId="6B14C58E">
            <w:pPr>
              <w:pStyle w:val="2"/>
              <w:spacing w:line="500" w:lineRule="exact"/>
              <w:jc w:val="center"/>
              <w:rPr>
                <w:rFonts w:hint="eastAsia" w:ascii="宋体" w:hAnsi="宋体" w:eastAsia="宋体" w:cs="宋体"/>
                <w:color w:val="auto"/>
                <w:sz w:val="21"/>
                <w:szCs w:val="21"/>
              </w:rPr>
            </w:pPr>
          </w:p>
        </w:tc>
        <w:tc>
          <w:tcPr>
            <w:tcW w:w="553" w:type="pct"/>
          </w:tcPr>
          <w:p w14:paraId="2F551BFC">
            <w:pPr>
              <w:pStyle w:val="2"/>
              <w:spacing w:line="500" w:lineRule="exact"/>
              <w:jc w:val="center"/>
              <w:rPr>
                <w:rFonts w:hint="eastAsia" w:ascii="宋体" w:hAnsi="宋体" w:eastAsia="宋体" w:cs="宋体"/>
                <w:color w:val="auto"/>
                <w:sz w:val="21"/>
                <w:szCs w:val="21"/>
              </w:rPr>
            </w:pPr>
          </w:p>
        </w:tc>
        <w:tc>
          <w:tcPr>
            <w:tcW w:w="571" w:type="pct"/>
          </w:tcPr>
          <w:p w14:paraId="2EF3C050">
            <w:pPr>
              <w:pStyle w:val="2"/>
              <w:spacing w:line="500" w:lineRule="exact"/>
              <w:jc w:val="center"/>
              <w:rPr>
                <w:rFonts w:hint="eastAsia" w:ascii="宋体" w:hAnsi="宋体" w:eastAsia="宋体" w:cs="宋体"/>
                <w:color w:val="auto"/>
                <w:sz w:val="21"/>
                <w:szCs w:val="21"/>
              </w:rPr>
            </w:pPr>
          </w:p>
        </w:tc>
        <w:tc>
          <w:tcPr>
            <w:tcW w:w="697" w:type="pct"/>
          </w:tcPr>
          <w:p w14:paraId="6627DAED">
            <w:pPr>
              <w:pStyle w:val="2"/>
              <w:spacing w:line="500" w:lineRule="exact"/>
              <w:jc w:val="center"/>
              <w:rPr>
                <w:rFonts w:hint="eastAsia" w:ascii="宋体" w:hAnsi="宋体" w:eastAsia="宋体" w:cs="宋体"/>
                <w:color w:val="auto"/>
                <w:sz w:val="21"/>
                <w:szCs w:val="21"/>
              </w:rPr>
            </w:pPr>
          </w:p>
        </w:tc>
        <w:tc>
          <w:tcPr>
            <w:tcW w:w="408" w:type="pct"/>
          </w:tcPr>
          <w:p w14:paraId="6309F23E">
            <w:pPr>
              <w:pStyle w:val="2"/>
              <w:spacing w:line="500" w:lineRule="exact"/>
              <w:jc w:val="center"/>
              <w:rPr>
                <w:rFonts w:hint="eastAsia" w:ascii="宋体" w:hAnsi="宋体" w:eastAsia="宋体" w:cs="宋体"/>
                <w:color w:val="auto"/>
                <w:sz w:val="21"/>
                <w:szCs w:val="21"/>
              </w:rPr>
            </w:pPr>
          </w:p>
        </w:tc>
        <w:tc>
          <w:tcPr>
            <w:tcW w:w="421" w:type="pct"/>
          </w:tcPr>
          <w:p w14:paraId="37DF74B3">
            <w:pPr>
              <w:pStyle w:val="2"/>
              <w:spacing w:line="500" w:lineRule="exact"/>
              <w:jc w:val="center"/>
              <w:rPr>
                <w:rFonts w:hint="eastAsia" w:ascii="宋体" w:hAnsi="宋体" w:eastAsia="宋体" w:cs="宋体"/>
                <w:color w:val="auto"/>
                <w:sz w:val="21"/>
                <w:szCs w:val="21"/>
              </w:rPr>
            </w:pPr>
          </w:p>
        </w:tc>
        <w:tc>
          <w:tcPr>
            <w:tcW w:w="415" w:type="pct"/>
          </w:tcPr>
          <w:p w14:paraId="0EB92021">
            <w:pPr>
              <w:pStyle w:val="2"/>
              <w:spacing w:line="500" w:lineRule="exact"/>
              <w:jc w:val="center"/>
              <w:rPr>
                <w:rFonts w:hint="eastAsia" w:ascii="宋体" w:hAnsi="宋体" w:eastAsia="宋体" w:cs="宋体"/>
                <w:color w:val="auto"/>
                <w:sz w:val="21"/>
                <w:szCs w:val="21"/>
              </w:rPr>
            </w:pPr>
          </w:p>
        </w:tc>
        <w:tc>
          <w:tcPr>
            <w:tcW w:w="414" w:type="pct"/>
          </w:tcPr>
          <w:p w14:paraId="06CFB963">
            <w:pPr>
              <w:pStyle w:val="2"/>
              <w:spacing w:line="500" w:lineRule="exact"/>
              <w:jc w:val="center"/>
              <w:rPr>
                <w:rFonts w:hint="eastAsia" w:ascii="宋体" w:hAnsi="宋体" w:eastAsia="宋体" w:cs="宋体"/>
                <w:color w:val="auto"/>
                <w:sz w:val="21"/>
                <w:szCs w:val="21"/>
              </w:rPr>
            </w:pPr>
          </w:p>
        </w:tc>
        <w:tc>
          <w:tcPr>
            <w:tcW w:w="414" w:type="pct"/>
          </w:tcPr>
          <w:p w14:paraId="52F0F7EF">
            <w:pPr>
              <w:pStyle w:val="2"/>
              <w:spacing w:line="500" w:lineRule="exact"/>
              <w:jc w:val="center"/>
              <w:rPr>
                <w:rFonts w:hint="eastAsia" w:ascii="宋体" w:hAnsi="宋体" w:eastAsia="宋体" w:cs="宋体"/>
                <w:color w:val="auto"/>
                <w:sz w:val="21"/>
                <w:szCs w:val="21"/>
              </w:rPr>
            </w:pPr>
          </w:p>
        </w:tc>
      </w:tr>
      <w:tr w14:paraId="6576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dxa"/>
            <w:vAlign w:val="top"/>
          </w:tcPr>
          <w:p w14:paraId="3692022C">
            <w:pPr>
              <w:jc w:val="center"/>
              <w:rPr>
                <w:rFonts w:hint="eastAsia" w:ascii="宋体" w:hAnsi="宋体" w:eastAsia="宋体" w:cs="宋体"/>
                <w:color w:val="auto"/>
                <w:sz w:val="21"/>
                <w:szCs w:val="21"/>
              </w:rPr>
            </w:pPr>
            <w:r>
              <w:rPr>
                <w:rFonts w:hint="eastAsia"/>
                <w:color w:val="auto"/>
                <w:lang w:val="en-US" w:eastAsia="zh-CN"/>
              </w:rPr>
              <w:t>2</w:t>
            </w:r>
          </w:p>
        </w:tc>
        <w:tc>
          <w:tcPr>
            <w:tcW w:w="786" w:type="dxa"/>
            <w:vAlign w:val="top"/>
          </w:tcPr>
          <w:p w14:paraId="13F02F85">
            <w:pPr>
              <w:jc w:val="center"/>
              <w:rPr>
                <w:rFonts w:hint="eastAsia" w:ascii="宋体" w:hAnsi="宋体" w:eastAsia="宋体" w:cs="宋体"/>
                <w:color w:val="auto"/>
                <w:sz w:val="21"/>
                <w:szCs w:val="21"/>
              </w:rPr>
            </w:pPr>
            <w:r>
              <w:rPr>
                <w:rFonts w:hint="eastAsia"/>
                <w:color w:val="auto"/>
                <w:lang w:val="en-US" w:eastAsia="zh-CN"/>
              </w:rPr>
              <w:t>实木门</w:t>
            </w:r>
          </w:p>
        </w:tc>
        <w:tc>
          <w:tcPr>
            <w:tcW w:w="359" w:type="pct"/>
          </w:tcPr>
          <w:p w14:paraId="583891B4">
            <w:pPr>
              <w:pStyle w:val="2"/>
              <w:spacing w:line="500" w:lineRule="exact"/>
              <w:jc w:val="center"/>
              <w:rPr>
                <w:rFonts w:hint="eastAsia" w:ascii="宋体" w:hAnsi="宋体" w:eastAsia="宋体" w:cs="宋体"/>
                <w:color w:val="auto"/>
                <w:sz w:val="21"/>
                <w:szCs w:val="21"/>
              </w:rPr>
            </w:pPr>
          </w:p>
        </w:tc>
        <w:tc>
          <w:tcPr>
            <w:tcW w:w="553" w:type="pct"/>
          </w:tcPr>
          <w:p w14:paraId="43DD6AC8">
            <w:pPr>
              <w:pStyle w:val="2"/>
              <w:spacing w:line="500" w:lineRule="exact"/>
              <w:jc w:val="center"/>
              <w:rPr>
                <w:rFonts w:hint="eastAsia" w:ascii="宋体" w:hAnsi="宋体" w:eastAsia="宋体" w:cs="宋体"/>
                <w:color w:val="auto"/>
                <w:sz w:val="21"/>
                <w:szCs w:val="21"/>
              </w:rPr>
            </w:pPr>
          </w:p>
        </w:tc>
        <w:tc>
          <w:tcPr>
            <w:tcW w:w="571" w:type="pct"/>
          </w:tcPr>
          <w:p w14:paraId="36B3E457">
            <w:pPr>
              <w:pStyle w:val="2"/>
              <w:spacing w:line="500" w:lineRule="exact"/>
              <w:jc w:val="center"/>
              <w:rPr>
                <w:rFonts w:hint="eastAsia" w:ascii="宋体" w:hAnsi="宋体" w:eastAsia="宋体" w:cs="宋体"/>
                <w:color w:val="auto"/>
                <w:sz w:val="21"/>
                <w:szCs w:val="21"/>
              </w:rPr>
            </w:pPr>
          </w:p>
        </w:tc>
        <w:tc>
          <w:tcPr>
            <w:tcW w:w="697" w:type="pct"/>
          </w:tcPr>
          <w:p w14:paraId="07F772E6">
            <w:pPr>
              <w:pStyle w:val="2"/>
              <w:spacing w:line="500" w:lineRule="exact"/>
              <w:jc w:val="center"/>
              <w:rPr>
                <w:rFonts w:hint="eastAsia" w:ascii="宋体" w:hAnsi="宋体" w:eastAsia="宋体" w:cs="宋体"/>
                <w:color w:val="auto"/>
                <w:sz w:val="21"/>
                <w:szCs w:val="21"/>
              </w:rPr>
            </w:pPr>
          </w:p>
        </w:tc>
        <w:tc>
          <w:tcPr>
            <w:tcW w:w="408" w:type="pct"/>
          </w:tcPr>
          <w:p w14:paraId="4CD01A30">
            <w:pPr>
              <w:pStyle w:val="2"/>
              <w:spacing w:line="500" w:lineRule="exact"/>
              <w:jc w:val="center"/>
              <w:rPr>
                <w:rFonts w:hint="eastAsia" w:ascii="宋体" w:hAnsi="宋体" w:eastAsia="宋体" w:cs="宋体"/>
                <w:color w:val="auto"/>
                <w:sz w:val="21"/>
                <w:szCs w:val="21"/>
              </w:rPr>
            </w:pPr>
          </w:p>
        </w:tc>
        <w:tc>
          <w:tcPr>
            <w:tcW w:w="421" w:type="pct"/>
          </w:tcPr>
          <w:p w14:paraId="2AF5B244">
            <w:pPr>
              <w:pStyle w:val="2"/>
              <w:spacing w:line="500" w:lineRule="exact"/>
              <w:jc w:val="center"/>
              <w:rPr>
                <w:rFonts w:hint="eastAsia" w:ascii="宋体" w:hAnsi="宋体" w:eastAsia="宋体" w:cs="宋体"/>
                <w:color w:val="auto"/>
                <w:sz w:val="21"/>
                <w:szCs w:val="21"/>
              </w:rPr>
            </w:pPr>
          </w:p>
        </w:tc>
        <w:tc>
          <w:tcPr>
            <w:tcW w:w="415" w:type="pct"/>
          </w:tcPr>
          <w:p w14:paraId="54A6EF93">
            <w:pPr>
              <w:pStyle w:val="2"/>
              <w:spacing w:line="500" w:lineRule="exact"/>
              <w:jc w:val="center"/>
              <w:rPr>
                <w:rFonts w:hint="eastAsia" w:ascii="宋体" w:hAnsi="宋体" w:eastAsia="宋体" w:cs="宋体"/>
                <w:color w:val="auto"/>
                <w:sz w:val="21"/>
                <w:szCs w:val="21"/>
              </w:rPr>
            </w:pPr>
          </w:p>
        </w:tc>
        <w:tc>
          <w:tcPr>
            <w:tcW w:w="414" w:type="pct"/>
          </w:tcPr>
          <w:p w14:paraId="345EC407">
            <w:pPr>
              <w:pStyle w:val="2"/>
              <w:spacing w:line="500" w:lineRule="exact"/>
              <w:jc w:val="center"/>
              <w:rPr>
                <w:rFonts w:hint="eastAsia" w:ascii="宋体" w:hAnsi="宋体" w:eastAsia="宋体" w:cs="宋体"/>
                <w:color w:val="auto"/>
                <w:sz w:val="21"/>
                <w:szCs w:val="21"/>
              </w:rPr>
            </w:pPr>
          </w:p>
        </w:tc>
        <w:tc>
          <w:tcPr>
            <w:tcW w:w="414" w:type="pct"/>
          </w:tcPr>
          <w:p w14:paraId="3ADC8AEA">
            <w:pPr>
              <w:pStyle w:val="2"/>
              <w:spacing w:line="500" w:lineRule="exact"/>
              <w:jc w:val="center"/>
              <w:rPr>
                <w:rFonts w:hint="eastAsia" w:ascii="宋体" w:hAnsi="宋体" w:eastAsia="宋体" w:cs="宋体"/>
                <w:color w:val="auto"/>
                <w:sz w:val="21"/>
                <w:szCs w:val="21"/>
              </w:rPr>
            </w:pPr>
          </w:p>
        </w:tc>
      </w:tr>
      <w:tr w14:paraId="2A70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2" w:type="dxa"/>
            <w:vAlign w:val="top"/>
          </w:tcPr>
          <w:p w14:paraId="663FFBE1">
            <w:pPr>
              <w:jc w:val="center"/>
              <w:rPr>
                <w:color w:val="auto"/>
              </w:rPr>
            </w:pPr>
            <w:r>
              <w:rPr>
                <w:rFonts w:hint="eastAsia"/>
                <w:color w:val="auto"/>
                <w:lang w:val="en-US" w:eastAsia="zh-CN"/>
              </w:rPr>
              <w:t>3</w:t>
            </w:r>
          </w:p>
        </w:tc>
        <w:tc>
          <w:tcPr>
            <w:tcW w:w="786" w:type="dxa"/>
            <w:vAlign w:val="top"/>
          </w:tcPr>
          <w:p w14:paraId="4E894BB8">
            <w:pPr>
              <w:jc w:val="center"/>
              <w:rPr>
                <w:rFonts w:hint="eastAsia" w:ascii="宋体" w:hAnsi="宋体" w:eastAsia="宋体" w:cs="宋体"/>
                <w:color w:val="auto"/>
                <w:sz w:val="21"/>
                <w:szCs w:val="21"/>
              </w:rPr>
            </w:pPr>
            <w:r>
              <w:rPr>
                <w:rFonts w:hint="eastAsia"/>
                <w:color w:val="auto"/>
                <w:lang w:val="en-US" w:eastAsia="zh-CN"/>
              </w:rPr>
              <w:t>课桌椅</w:t>
            </w:r>
          </w:p>
        </w:tc>
        <w:tc>
          <w:tcPr>
            <w:tcW w:w="359" w:type="pct"/>
          </w:tcPr>
          <w:p w14:paraId="58A8EDFE">
            <w:pPr>
              <w:pStyle w:val="2"/>
              <w:spacing w:line="500" w:lineRule="exact"/>
              <w:jc w:val="center"/>
              <w:rPr>
                <w:rFonts w:hint="eastAsia" w:ascii="宋体" w:hAnsi="宋体" w:eastAsia="宋体" w:cs="宋体"/>
                <w:color w:val="auto"/>
                <w:sz w:val="21"/>
                <w:szCs w:val="21"/>
              </w:rPr>
            </w:pPr>
          </w:p>
        </w:tc>
        <w:tc>
          <w:tcPr>
            <w:tcW w:w="553" w:type="pct"/>
          </w:tcPr>
          <w:p w14:paraId="1F3CDAF2">
            <w:pPr>
              <w:pStyle w:val="2"/>
              <w:spacing w:line="500" w:lineRule="exact"/>
              <w:jc w:val="center"/>
              <w:rPr>
                <w:rFonts w:hint="eastAsia" w:ascii="宋体" w:hAnsi="宋体" w:eastAsia="宋体" w:cs="宋体"/>
                <w:color w:val="auto"/>
                <w:sz w:val="21"/>
                <w:szCs w:val="21"/>
              </w:rPr>
            </w:pPr>
          </w:p>
        </w:tc>
        <w:tc>
          <w:tcPr>
            <w:tcW w:w="571" w:type="pct"/>
          </w:tcPr>
          <w:p w14:paraId="034199C0">
            <w:pPr>
              <w:pStyle w:val="2"/>
              <w:spacing w:line="500" w:lineRule="exact"/>
              <w:jc w:val="center"/>
              <w:rPr>
                <w:rFonts w:hint="eastAsia" w:ascii="宋体" w:hAnsi="宋体" w:eastAsia="宋体" w:cs="宋体"/>
                <w:color w:val="auto"/>
                <w:sz w:val="21"/>
                <w:szCs w:val="21"/>
              </w:rPr>
            </w:pPr>
          </w:p>
        </w:tc>
        <w:tc>
          <w:tcPr>
            <w:tcW w:w="697" w:type="pct"/>
          </w:tcPr>
          <w:p w14:paraId="6E0C4B17">
            <w:pPr>
              <w:pStyle w:val="2"/>
              <w:spacing w:line="500" w:lineRule="exact"/>
              <w:jc w:val="center"/>
              <w:rPr>
                <w:rFonts w:hint="eastAsia" w:ascii="宋体" w:hAnsi="宋体" w:eastAsia="宋体" w:cs="宋体"/>
                <w:color w:val="auto"/>
                <w:sz w:val="21"/>
                <w:szCs w:val="21"/>
              </w:rPr>
            </w:pPr>
          </w:p>
        </w:tc>
        <w:tc>
          <w:tcPr>
            <w:tcW w:w="408" w:type="pct"/>
          </w:tcPr>
          <w:p w14:paraId="10877F8C">
            <w:pPr>
              <w:pStyle w:val="2"/>
              <w:spacing w:line="500" w:lineRule="exact"/>
              <w:jc w:val="center"/>
              <w:rPr>
                <w:rFonts w:hint="eastAsia" w:ascii="宋体" w:hAnsi="宋体" w:eastAsia="宋体" w:cs="宋体"/>
                <w:color w:val="auto"/>
                <w:sz w:val="21"/>
                <w:szCs w:val="21"/>
              </w:rPr>
            </w:pPr>
          </w:p>
        </w:tc>
        <w:tc>
          <w:tcPr>
            <w:tcW w:w="421" w:type="pct"/>
          </w:tcPr>
          <w:p w14:paraId="451CD34E">
            <w:pPr>
              <w:pStyle w:val="2"/>
              <w:spacing w:line="500" w:lineRule="exact"/>
              <w:jc w:val="center"/>
              <w:rPr>
                <w:rFonts w:hint="eastAsia" w:ascii="宋体" w:hAnsi="宋体" w:eastAsia="宋体" w:cs="宋体"/>
                <w:color w:val="auto"/>
                <w:sz w:val="21"/>
                <w:szCs w:val="21"/>
              </w:rPr>
            </w:pPr>
          </w:p>
        </w:tc>
        <w:tc>
          <w:tcPr>
            <w:tcW w:w="415" w:type="pct"/>
          </w:tcPr>
          <w:p w14:paraId="332FADE9">
            <w:pPr>
              <w:pStyle w:val="2"/>
              <w:spacing w:line="500" w:lineRule="exact"/>
              <w:jc w:val="center"/>
              <w:rPr>
                <w:rFonts w:hint="eastAsia" w:ascii="宋体" w:hAnsi="宋体" w:eastAsia="宋体" w:cs="宋体"/>
                <w:color w:val="auto"/>
                <w:sz w:val="21"/>
                <w:szCs w:val="21"/>
              </w:rPr>
            </w:pPr>
          </w:p>
        </w:tc>
        <w:tc>
          <w:tcPr>
            <w:tcW w:w="414" w:type="pct"/>
          </w:tcPr>
          <w:p w14:paraId="16B015C5">
            <w:pPr>
              <w:pStyle w:val="2"/>
              <w:spacing w:line="500" w:lineRule="exact"/>
              <w:jc w:val="center"/>
              <w:rPr>
                <w:rFonts w:hint="eastAsia" w:ascii="宋体" w:hAnsi="宋体" w:eastAsia="宋体" w:cs="宋体"/>
                <w:color w:val="auto"/>
                <w:sz w:val="21"/>
                <w:szCs w:val="21"/>
              </w:rPr>
            </w:pPr>
          </w:p>
        </w:tc>
        <w:tc>
          <w:tcPr>
            <w:tcW w:w="414" w:type="pct"/>
          </w:tcPr>
          <w:p w14:paraId="127554CE">
            <w:pPr>
              <w:pStyle w:val="2"/>
              <w:spacing w:line="500" w:lineRule="exact"/>
              <w:jc w:val="center"/>
              <w:rPr>
                <w:rFonts w:hint="eastAsia" w:ascii="宋体" w:hAnsi="宋体" w:eastAsia="宋体" w:cs="宋体"/>
                <w:color w:val="auto"/>
                <w:sz w:val="21"/>
                <w:szCs w:val="21"/>
              </w:rPr>
            </w:pPr>
          </w:p>
        </w:tc>
      </w:tr>
      <w:tr w14:paraId="20143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4" w:type="pct"/>
            <w:gridSpan w:val="6"/>
          </w:tcPr>
          <w:p w14:paraId="5B612BA2">
            <w:pPr>
              <w:pStyle w:val="2"/>
              <w:spacing w:line="50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合计金额</w:t>
            </w:r>
          </w:p>
        </w:tc>
        <w:tc>
          <w:tcPr>
            <w:tcW w:w="1245" w:type="pct"/>
            <w:gridSpan w:val="3"/>
          </w:tcPr>
          <w:p w14:paraId="3705E967">
            <w:pPr>
              <w:pStyle w:val="2"/>
              <w:spacing w:line="500" w:lineRule="exact"/>
              <w:jc w:val="center"/>
              <w:rPr>
                <w:rFonts w:hint="eastAsia" w:ascii="宋体" w:hAnsi="宋体" w:eastAsia="宋体" w:cs="宋体"/>
                <w:color w:val="auto"/>
                <w:sz w:val="21"/>
                <w:szCs w:val="21"/>
              </w:rPr>
            </w:pPr>
          </w:p>
        </w:tc>
        <w:tc>
          <w:tcPr>
            <w:tcW w:w="414" w:type="pct"/>
          </w:tcPr>
          <w:p w14:paraId="19BC046F">
            <w:pPr>
              <w:pStyle w:val="2"/>
              <w:spacing w:line="500" w:lineRule="exact"/>
              <w:jc w:val="center"/>
              <w:rPr>
                <w:rFonts w:hint="eastAsia" w:ascii="宋体" w:hAnsi="宋体" w:eastAsia="宋体" w:cs="宋体"/>
                <w:color w:val="auto"/>
                <w:sz w:val="21"/>
                <w:szCs w:val="21"/>
              </w:rPr>
            </w:pPr>
          </w:p>
        </w:tc>
        <w:tc>
          <w:tcPr>
            <w:tcW w:w="414" w:type="pct"/>
          </w:tcPr>
          <w:p w14:paraId="7289A2D9">
            <w:pPr>
              <w:pStyle w:val="2"/>
              <w:spacing w:line="500" w:lineRule="exact"/>
              <w:jc w:val="center"/>
              <w:rPr>
                <w:rFonts w:hint="eastAsia" w:ascii="宋体" w:hAnsi="宋体" w:eastAsia="宋体" w:cs="宋体"/>
                <w:color w:val="auto"/>
                <w:sz w:val="21"/>
                <w:szCs w:val="21"/>
              </w:rPr>
            </w:pPr>
          </w:p>
        </w:tc>
      </w:tr>
    </w:tbl>
    <w:p w14:paraId="2AE2C4DD">
      <w:pPr>
        <w:rPr>
          <w:rFonts w:hint="eastAsia" w:ascii="宋体" w:hAnsi="宋体"/>
          <w:color w:val="auto"/>
          <w:kern w:val="0"/>
        </w:rPr>
      </w:pPr>
      <w:r>
        <w:rPr>
          <w:rFonts w:hint="eastAsia" w:ascii="宋体" w:hAnsi="宋体"/>
          <w:color w:val="auto"/>
          <w:kern w:val="0"/>
        </w:rPr>
        <w:t>注：填报的环保产品必须与投标文件正文表格（七、分项报价表）中所投品牌及型号相一致！</w:t>
      </w:r>
    </w:p>
    <w:p w14:paraId="0256CF11">
      <w:pPr>
        <w:pStyle w:val="2"/>
        <w:rPr>
          <w:rFonts w:hint="eastAsia" w:ascii="宋体" w:hAnsi="宋体" w:eastAsia="宋体" w:cs="宋体"/>
          <w:color w:val="auto"/>
          <w:sz w:val="21"/>
          <w:szCs w:val="21"/>
        </w:rPr>
      </w:pPr>
    </w:p>
    <w:p w14:paraId="121D63E9">
      <w:pPr>
        <w:pStyle w:val="2"/>
        <w:rPr>
          <w:rFonts w:hint="eastAsia" w:ascii="宋体" w:hAnsi="宋体" w:eastAsia="宋体"/>
          <w:color w:val="auto"/>
          <w:kern w:val="0"/>
          <w:sz w:val="21"/>
          <w:szCs w:val="21"/>
        </w:rPr>
      </w:pPr>
    </w:p>
    <w:p w14:paraId="7FA76435">
      <w:pPr>
        <w:pStyle w:val="35"/>
        <w:rPr>
          <w:color w:val="auto"/>
        </w:rPr>
      </w:pPr>
    </w:p>
    <w:p w14:paraId="4F6B850B">
      <w:pPr>
        <w:pStyle w:val="2"/>
        <w:rPr>
          <w:rFonts w:hint="eastAsia" w:ascii="宋体" w:hAnsi="宋体" w:eastAsia="宋体"/>
          <w:color w:val="auto"/>
          <w:kern w:val="0"/>
          <w:sz w:val="21"/>
          <w:szCs w:val="21"/>
        </w:rPr>
      </w:pPr>
      <w:r>
        <w:rPr>
          <w:rFonts w:hint="eastAsia" w:ascii="宋体" w:hAnsi="宋体" w:eastAsia="宋体"/>
          <w:color w:val="auto"/>
          <w:kern w:val="0"/>
          <w:sz w:val="21"/>
          <w:szCs w:val="21"/>
        </w:rPr>
        <w:t>特别提示：</w:t>
      </w:r>
    </w:p>
    <w:p w14:paraId="07DEED8E">
      <w:pPr>
        <w:pStyle w:val="2"/>
        <w:rPr>
          <w:rFonts w:hint="eastAsia" w:ascii="宋体" w:hAnsi="宋体" w:eastAsia="宋体"/>
          <w:color w:val="auto"/>
          <w:kern w:val="0"/>
          <w:sz w:val="21"/>
          <w:szCs w:val="21"/>
        </w:rPr>
      </w:pPr>
      <w:r>
        <w:rPr>
          <w:rFonts w:hint="eastAsia" w:ascii="宋体" w:hAnsi="宋体" w:eastAsia="宋体"/>
          <w:color w:val="auto"/>
          <w:kern w:val="0"/>
          <w:sz w:val="21"/>
          <w:szCs w:val="21"/>
        </w:rPr>
        <w:t>1、空调机、照明产品（包括双端荧光灯、单端荧光灯、管形荧光灯镇流器）、电视机、电热水器、计算机、打印机、显示器、便器、水嘴等九类产品为政府强制采购节能产品。</w:t>
      </w:r>
    </w:p>
    <w:p w14:paraId="7E967711">
      <w:pPr>
        <w:pStyle w:val="2"/>
        <w:rPr>
          <w:rFonts w:hint="eastAsia" w:ascii="宋体" w:hAnsi="宋体" w:eastAsia="宋体"/>
          <w:color w:val="auto"/>
          <w:kern w:val="0"/>
          <w:sz w:val="21"/>
          <w:szCs w:val="21"/>
        </w:rPr>
      </w:pPr>
      <w:r>
        <w:rPr>
          <w:rFonts w:hint="eastAsia" w:ascii="宋体" w:hAnsi="宋体" w:eastAsia="宋体"/>
          <w:color w:val="auto"/>
          <w:kern w:val="0"/>
          <w:sz w:val="21"/>
          <w:szCs w:val="21"/>
        </w:rPr>
        <w:t>2、制造商为小型或微型企业时才需要填“制造商企业类型”栏,填写内容为“小型”或“微型”；</w:t>
      </w:r>
    </w:p>
    <w:p w14:paraId="7785FF5C">
      <w:pPr>
        <w:pStyle w:val="3"/>
        <w:ind w:firstLine="0" w:firstLineChars="0"/>
        <w:rPr>
          <w:rFonts w:hint="eastAsia" w:hAnsi="宋体"/>
          <w:color w:val="auto"/>
          <w:sz w:val="21"/>
          <w:szCs w:val="21"/>
        </w:rPr>
        <w:sectPr>
          <w:pgSz w:w="11906" w:h="16838"/>
          <w:pgMar w:top="1418" w:right="1588" w:bottom="1418" w:left="1366" w:header="851" w:footer="907" w:gutter="0"/>
          <w:cols w:space="720" w:num="1"/>
          <w:titlePg/>
          <w:docGrid w:type="lines" w:linePitch="290" w:charSpace="0"/>
        </w:sectPr>
      </w:pPr>
      <w:r>
        <w:rPr>
          <w:rFonts w:hint="eastAsia" w:hAnsi="宋体"/>
          <w:color w:val="auto"/>
          <w:sz w:val="21"/>
          <w:szCs w:val="21"/>
        </w:rPr>
        <w:t>3、若无货物属于优先采购节能、环境标志产品的，则不填写此表。</w:t>
      </w:r>
    </w:p>
    <w:p w14:paraId="0DB3C740">
      <w:pPr>
        <w:widowControl/>
        <w:tabs>
          <w:tab w:val="left" w:pos="720"/>
        </w:tabs>
        <w:spacing w:line="360" w:lineRule="auto"/>
        <w:jc w:val="center"/>
        <w:rPr>
          <w:rFonts w:hint="eastAsia" w:ascii="黑体" w:hAnsi="宋体" w:eastAsia="黑体"/>
          <w:b/>
          <w:color w:val="auto"/>
          <w:sz w:val="24"/>
          <w:szCs w:val="20"/>
        </w:rPr>
      </w:pPr>
      <w:r>
        <w:rPr>
          <w:rFonts w:hint="eastAsia" w:ascii="黑体" w:hAnsi="宋体" w:eastAsia="黑体"/>
          <w:b/>
          <w:color w:val="auto"/>
          <w:sz w:val="24"/>
        </w:rPr>
        <w:t>附件八、供应商或</w:t>
      </w:r>
      <w:r>
        <w:rPr>
          <w:rFonts w:ascii="黑体" w:hAnsi="宋体" w:eastAsia="黑体"/>
          <w:b/>
          <w:color w:val="auto"/>
          <w:sz w:val="24"/>
        </w:rPr>
        <w:t>制</w:t>
      </w:r>
      <w:r>
        <w:rPr>
          <w:rFonts w:hint="eastAsia" w:ascii="黑体" w:hAnsi="宋体" w:eastAsia="黑体"/>
          <w:b/>
          <w:color w:val="auto"/>
          <w:sz w:val="24"/>
        </w:rPr>
        <w:t>造</w:t>
      </w:r>
      <w:r>
        <w:rPr>
          <w:rFonts w:ascii="黑体" w:hAnsi="宋体" w:eastAsia="黑体"/>
          <w:b/>
          <w:color w:val="auto"/>
          <w:sz w:val="24"/>
        </w:rPr>
        <w:t>商</w:t>
      </w:r>
      <w:r>
        <w:rPr>
          <w:rFonts w:hint="eastAsia" w:ascii="黑体" w:hAnsi="宋体" w:eastAsia="黑体"/>
          <w:b/>
          <w:color w:val="auto"/>
          <w:sz w:val="24"/>
        </w:rPr>
        <w:t>同类项目业绩情况</w:t>
      </w:r>
    </w:p>
    <w:tbl>
      <w:tblPr>
        <w:tblStyle w:val="42"/>
        <w:tblpPr w:leftFromText="180" w:rightFromText="180" w:vertAnchor="text" w:horzAnchor="page" w:tblpX="1636" w:tblpY="227"/>
        <w:tblOverlap w:val="never"/>
        <w:tblW w:w="87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615"/>
        <w:gridCol w:w="1340"/>
        <w:gridCol w:w="1485"/>
        <w:gridCol w:w="1290"/>
        <w:gridCol w:w="2547"/>
      </w:tblGrid>
      <w:tr w14:paraId="10A63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20" w:type="dxa"/>
            <w:vAlign w:val="center"/>
          </w:tcPr>
          <w:p w14:paraId="58C7F301">
            <w:pPr>
              <w:jc w:val="center"/>
              <w:rPr>
                <w:rFonts w:hint="eastAsia" w:ascii="宋体" w:hAnsi="宋体" w:cs="宋体"/>
                <w:color w:val="auto"/>
                <w:spacing w:val="-1"/>
                <w:kern w:val="0"/>
              </w:rPr>
            </w:pPr>
            <w:r>
              <w:rPr>
                <w:rFonts w:hint="eastAsia" w:ascii="宋体" w:hAnsi="宋体" w:cs="宋体"/>
                <w:color w:val="auto"/>
                <w:spacing w:val="-1"/>
                <w:kern w:val="0"/>
              </w:rPr>
              <w:t>序号</w:t>
            </w:r>
          </w:p>
        </w:tc>
        <w:tc>
          <w:tcPr>
            <w:tcW w:w="1615" w:type="dxa"/>
            <w:vAlign w:val="center"/>
          </w:tcPr>
          <w:p w14:paraId="0BA54F25">
            <w:pPr>
              <w:jc w:val="center"/>
              <w:rPr>
                <w:rFonts w:hint="eastAsia" w:ascii="宋体" w:hAnsi="宋体" w:cs="宋体"/>
                <w:color w:val="auto"/>
                <w:spacing w:val="-1"/>
                <w:kern w:val="0"/>
              </w:rPr>
            </w:pPr>
            <w:r>
              <w:rPr>
                <w:rFonts w:hint="eastAsia" w:ascii="宋体" w:hAnsi="宋体" w:cs="宋体"/>
                <w:color w:val="auto"/>
                <w:spacing w:val="-1"/>
                <w:kern w:val="0"/>
              </w:rPr>
              <w:t>项目名称</w:t>
            </w:r>
          </w:p>
        </w:tc>
        <w:tc>
          <w:tcPr>
            <w:tcW w:w="1340" w:type="dxa"/>
            <w:vAlign w:val="center"/>
          </w:tcPr>
          <w:p w14:paraId="4DA03A0E">
            <w:pPr>
              <w:jc w:val="center"/>
              <w:rPr>
                <w:rFonts w:hint="eastAsia" w:ascii="宋体" w:hAnsi="宋体" w:cs="宋体"/>
                <w:color w:val="auto"/>
                <w:spacing w:val="-1"/>
                <w:kern w:val="0"/>
              </w:rPr>
            </w:pPr>
            <w:r>
              <w:rPr>
                <w:rFonts w:hint="eastAsia" w:ascii="宋体" w:hAnsi="宋体" w:cs="宋体"/>
                <w:color w:val="auto"/>
                <w:spacing w:val="-1"/>
                <w:kern w:val="0"/>
              </w:rPr>
              <w:t>合同金额（万元）</w:t>
            </w:r>
          </w:p>
        </w:tc>
        <w:tc>
          <w:tcPr>
            <w:tcW w:w="1485" w:type="dxa"/>
            <w:vAlign w:val="center"/>
          </w:tcPr>
          <w:p w14:paraId="51F1EA76">
            <w:pPr>
              <w:jc w:val="center"/>
              <w:rPr>
                <w:rFonts w:hint="eastAsia" w:ascii="宋体" w:hAnsi="宋体" w:cs="宋体"/>
                <w:color w:val="auto"/>
                <w:spacing w:val="-1"/>
                <w:kern w:val="0"/>
              </w:rPr>
            </w:pPr>
            <w:r>
              <w:rPr>
                <w:rFonts w:hint="eastAsia" w:ascii="宋体" w:hAnsi="宋体" w:cs="宋体"/>
                <w:color w:val="auto"/>
              </w:rPr>
              <w:t>签订合同时间</w:t>
            </w:r>
          </w:p>
        </w:tc>
        <w:tc>
          <w:tcPr>
            <w:tcW w:w="1290" w:type="dxa"/>
            <w:vAlign w:val="center"/>
          </w:tcPr>
          <w:p w14:paraId="7ECCBE17">
            <w:pPr>
              <w:jc w:val="center"/>
              <w:rPr>
                <w:rFonts w:hint="eastAsia" w:ascii="宋体" w:hAnsi="宋体" w:cs="宋体"/>
                <w:color w:val="auto"/>
                <w:spacing w:val="-1"/>
                <w:kern w:val="0"/>
              </w:rPr>
            </w:pPr>
            <w:r>
              <w:rPr>
                <w:rFonts w:hint="eastAsia" w:ascii="宋体" w:hAnsi="宋体" w:cs="宋体"/>
                <w:color w:val="auto"/>
              </w:rPr>
              <w:t>竣工验收报告时间</w:t>
            </w:r>
          </w:p>
        </w:tc>
        <w:tc>
          <w:tcPr>
            <w:tcW w:w="2547" w:type="dxa"/>
            <w:vAlign w:val="center"/>
          </w:tcPr>
          <w:p w14:paraId="424B5797">
            <w:pPr>
              <w:jc w:val="center"/>
              <w:rPr>
                <w:rFonts w:hint="eastAsia" w:ascii="宋体" w:hAnsi="宋体" w:cs="宋体"/>
                <w:color w:val="auto"/>
                <w:spacing w:val="-1"/>
                <w:kern w:val="0"/>
              </w:rPr>
            </w:pPr>
            <w:r>
              <w:rPr>
                <w:rFonts w:hint="eastAsia" w:ascii="宋体" w:hAnsi="宋体" w:cs="宋体"/>
                <w:color w:val="auto"/>
                <w:spacing w:val="-1"/>
                <w:kern w:val="0"/>
              </w:rPr>
              <w:t>采购人联系人及电话</w:t>
            </w:r>
          </w:p>
        </w:tc>
      </w:tr>
      <w:tr w14:paraId="3A73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20" w:type="dxa"/>
            <w:vAlign w:val="center"/>
          </w:tcPr>
          <w:p w14:paraId="3B054D5A">
            <w:pPr>
              <w:jc w:val="center"/>
              <w:rPr>
                <w:rFonts w:hint="eastAsia" w:ascii="宋体" w:hAnsi="宋体" w:cs="宋体"/>
                <w:color w:val="auto"/>
                <w:spacing w:val="-1"/>
                <w:kern w:val="0"/>
              </w:rPr>
            </w:pPr>
            <w:r>
              <w:rPr>
                <w:rFonts w:hint="eastAsia" w:ascii="宋体" w:hAnsi="宋体" w:cs="宋体"/>
                <w:color w:val="auto"/>
                <w:spacing w:val="-1"/>
                <w:kern w:val="0"/>
              </w:rPr>
              <w:t>1</w:t>
            </w:r>
          </w:p>
        </w:tc>
        <w:tc>
          <w:tcPr>
            <w:tcW w:w="1615" w:type="dxa"/>
            <w:vAlign w:val="center"/>
          </w:tcPr>
          <w:p w14:paraId="2A7D2D73">
            <w:pPr>
              <w:jc w:val="center"/>
              <w:rPr>
                <w:rFonts w:hint="eastAsia" w:ascii="宋体" w:hAnsi="宋体" w:cs="宋体"/>
                <w:color w:val="auto"/>
                <w:spacing w:val="-1"/>
                <w:kern w:val="0"/>
              </w:rPr>
            </w:pPr>
          </w:p>
        </w:tc>
        <w:tc>
          <w:tcPr>
            <w:tcW w:w="1340" w:type="dxa"/>
            <w:vAlign w:val="center"/>
          </w:tcPr>
          <w:p w14:paraId="3D5AE1DB">
            <w:pPr>
              <w:jc w:val="center"/>
              <w:rPr>
                <w:rFonts w:hint="eastAsia" w:ascii="宋体" w:hAnsi="宋体" w:cs="宋体"/>
                <w:color w:val="auto"/>
                <w:spacing w:val="-1"/>
                <w:kern w:val="0"/>
              </w:rPr>
            </w:pPr>
          </w:p>
        </w:tc>
        <w:tc>
          <w:tcPr>
            <w:tcW w:w="1485" w:type="dxa"/>
            <w:vAlign w:val="center"/>
          </w:tcPr>
          <w:p w14:paraId="766508B8">
            <w:pPr>
              <w:jc w:val="center"/>
              <w:rPr>
                <w:rFonts w:hint="eastAsia" w:ascii="宋体" w:hAnsi="宋体" w:cs="宋体"/>
                <w:color w:val="auto"/>
                <w:spacing w:val="-1"/>
                <w:kern w:val="0"/>
              </w:rPr>
            </w:pPr>
          </w:p>
        </w:tc>
        <w:tc>
          <w:tcPr>
            <w:tcW w:w="1290" w:type="dxa"/>
            <w:vAlign w:val="center"/>
          </w:tcPr>
          <w:p w14:paraId="42E84D34">
            <w:pPr>
              <w:jc w:val="center"/>
              <w:rPr>
                <w:rFonts w:hint="eastAsia" w:ascii="宋体" w:hAnsi="宋体" w:cs="宋体"/>
                <w:color w:val="auto"/>
                <w:spacing w:val="-1"/>
                <w:kern w:val="0"/>
              </w:rPr>
            </w:pPr>
          </w:p>
        </w:tc>
        <w:tc>
          <w:tcPr>
            <w:tcW w:w="2547" w:type="dxa"/>
            <w:vAlign w:val="center"/>
          </w:tcPr>
          <w:p w14:paraId="79A830B1">
            <w:pPr>
              <w:jc w:val="center"/>
              <w:rPr>
                <w:rFonts w:hint="eastAsia" w:ascii="宋体" w:hAnsi="宋体" w:cs="宋体"/>
                <w:color w:val="auto"/>
                <w:spacing w:val="-1"/>
                <w:kern w:val="0"/>
              </w:rPr>
            </w:pPr>
          </w:p>
        </w:tc>
      </w:tr>
      <w:tr w14:paraId="2424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20" w:type="dxa"/>
            <w:vAlign w:val="center"/>
          </w:tcPr>
          <w:p w14:paraId="596257BF">
            <w:pPr>
              <w:jc w:val="center"/>
              <w:rPr>
                <w:rFonts w:hint="eastAsia" w:ascii="宋体" w:hAnsi="宋体" w:cs="宋体"/>
                <w:color w:val="auto"/>
                <w:spacing w:val="-1"/>
                <w:kern w:val="0"/>
              </w:rPr>
            </w:pPr>
            <w:r>
              <w:rPr>
                <w:rFonts w:hint="eastAsia" w:ascii="宋体" w:hAnsi="宋体" w:cs="宋体"/>
                <w:color w:val="auto"/>
                <w:spacing w:val="-1"/>
                <w:kern w:val="0"/>
              </w:rPr>
              <w:t>2</w:t>
            </w:r>
          </w:p>
        </w:tc>
        <w:tc>
          <w:tcPr>
            <w:tcW w:w="1615" w:type="dxa"/>
            <w:vAlign w:val="center"/>
          </w:tcPr>
          <w:p w14:paraId="4A1CC57E">
            <w:pPr>
              <w:jc w:val="center"/>
              <w:rPr>
                <w:rFonts w:hint="eastAsia" w:ascii="宋体" w:hAnsi="宋体" w:cs="宋体"/>
                <w:color w:val="auto"/>
                <w:spacing w:val="-1"/>
                <w:kern w:val="0"/>
              </w:rPr>
            </w:pPr>
          </w:p>
        </w:tc>
        <w:tc>
          <w:tcPr>
            <w:tcW w:w="1340" w:type="dxa"/>
            <w:vAlign w:val="center"/>
          </w:tcPr>
          <w:p w14:paraId="08CB231C">
            <w:pPr>
              <w:jc w:val="center"/>
              <w:rPr>
                <w:rFonts w:hint="eastAsia" w:ascii="宋体" w:hAnsi="宋体" w:cs="宋体"/>
                <w:color w:val="auto"/>
                <w:spacing w:val="-1"/>
                <w:kern w:val="0"/>
              </w:rPr>
            </w:pPr>
          </w:p>
        </w:tc>
        <w:tc>
          <w:tcPr>
            <w:tcW w:w="1485" w:type="dxa"/>
            <w:vAlign w:val="center"/>
          </w:tcPr>
          <w:p w14:paraId="08656D6E">
            <w:pPr>
              <w:jc w:val="center"/>
              <w:rPr>
                <w:rFonts w:hint="eastAsia" w:ascii="宋体" w:hAnsi="宋体" w:cs="宋体"/>
                <w:color w:val="auto"/>
                <w:spacing w:val="-1"/>
                <w:kern w:val="0"/>
              </w:rPr>
            </w:pPr>
          </w:p>
        </w:tc>
        <w:tc>
          <w:tcPr>
            <w:tcW w:w="1290" w:type="dxa"/>
            <w:vAlign w:val="center"/>
          </w:tcPr>
          <w:p w14:paraId="2841D3E0">
            <w:pPr>
              <w:jc w:val="center"/>
              <w:rPr>
                <w:rFonts w:hint="eastAsia" w:ascii="宋体" w:hAnsi="宋体" w:cs="宋体"/>
                <w:color w:val="auto"/>
                <w:spacing w:val="-1"/>
                <w:kern w:val="0"/>
              </w:rPr>
            </w:pPr>
          </w:p>
        </w:tc>
        <w:tc>
          <w:tcPr>
            <w:tcW w:w="2547" w:type="dxa"/>
            <w:vAlign w:val="center"/>
          </w:tcPr>
          <w:p w14:paraId="5FFCDAD4">
            <w:pPr>
              <w:jc w:val="center"/>
              <w:rPr>
                <w:rFonts w:hint="eastAsia" w:ascii="宋体" w:hAnsi="宋体" w:cs="宋体"/>
                <w:color w:val="auto"/>
                <w:spacing w:val="-1"/>
                <w:kern w:val="0"/>
              </w:rPr>
            </w:pPr>
          </w:p>
        </w:tc>
      </w:tr>
      <w:tr w14:paraId="5F4E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520" w:type="dxa"/>
            <w:vAlign w:val="center"/>
          </w:tcPr>
          <w:p w14:paraId="272E6A7D">
            <w:pPr>
              <w:jc w:val="center"/>
              <w:rPr>
                <w:rFonts w:hint="eastAsia" w:ascii="宋体" w:hAnsi="宋体" w:cs="宋体"/>
                <w:color w:val="auto"/>
                <w:spacing w:val="-1"/>
                <w:kern w:val="0"/>
              </w:rPr>
            </w:pPr>
            <w:r>
              <w:rPr>
                <w:rFonts w:hint="eastAsia" w:ascii="宋体" w:hAnsi="宋体" w:cs="宋体"/>
                <w:color w:val="auto"/>
                <w:spacing w:val="-1"/>
                <w:kern w:val="0"/>
              </w:rPr>
              <w:t>3</w:t>
            </w:r>
          </w:p>
        </w:tc>
        <w:tc>
          <w:tcPr>
            <w:tcW w:w="1615" w:type="dxa"/>
            <w:vAlign w:val="center"/>
          </w:tcPr>
          <w:p w14:paraId="0B3F533D">
            <w:pPr>
              <w:jc w:val="center"/>
              <w:rPr>
                <w:rFonts w:hint="eastAsia" w:ascii="宋体" w:hAnsi="宋体" w:cs="宋体"/>
                <w:color w:val="auto"/>
                <w:spacing w:val="-1"/>
                <w:kern w:val="0"/>
              </w:rPr>
            </w:pPr>
          </w:p>
        </w:tc>
        <w:tc>
          <w:tcPr>
            <w:tcW w:w="1340" w:type="dxa"/>
            <w:vAlign w:val="center"/>
          </w:tcPr>
          <w:p w14:paraId="2A1070B6">
            <w:pPr>
              <w:jc w:val="center"/>
              <w:rPr>
                <w:rFonts w:hint="eastAsia" w:ascii="宋体" w:hAnsi="宋体" w:cs="宋体"/>
                <w:color w:val="auto"/>
                <w:spacing w:val="-1"/>
                <w:kern w:val="0"/>
              </w:rPr>
            </w:pPr>
          </w:p>
        </w:tc>
        <w:tc>
          <w:tcPr>
            <w:tcW w:w="1485" w:type="dxa"/>
            <w:vAlign w:val="center"/>
          </w:tcPr>
          <w:p w14:paraId="7A917D8F">
            <w:pPr>
              <w:jc w:val="center"/>
              <w:rPr>
                <w:rFonts w:hint="eastAsia" w:ascii="宋体" w:hAnsi="宋体" w:cs="宋体"/>
                <w:color w:val="auto"/>
                <w:spacing w:val="-1"/>
                <w:kern w:val="0"/>
              </w:rPr>
            </w:pPr>
          </w:p>
        </w:tc>
        <w:tc>
          <w:tcPr>
            <w:tcW w:w="1290" w:type="dxa"/>
            <w:vAlign w:val="center"/>
          </w:tcPr>
          <w:p w14:paraId="6D372EEA">
            <w:pPr>
              <w:jc w:val="center"/>
              <w:rPr>
                <w:rFonts w:hint="eastAsia" w:ascii="宋体" w:hAnsi="宋体" w:cs="宋体"/>
                <w:color w:val="auto"/>
                <w:spacing w:val="-1"/>
                <w:kern w:val="0"/>
              </w:rPr>
            </w:pPr>
          </w:p>
        </w:tc>
        <w:tc>
          <w:tcPr>
            <w:tcW w:w="2547" w:type="dxa"/>
            <w:vAlign w:val="center"/>
          </w:tcPr>
          <w:p w14:paraId="60B97511">
            <w:pPr>
              <w:jc w:val="center"/>
              <w:rPr>
                <w:rFonts w:hint="eastAsia" w:ascii="宋体" w:hAnsi="宋体" w:cs="宋体"/>
                <w:color w:val="auto"/>
                <w:spacing w:val="-1"/>
                <w:kern w:val="0"/>
              </w:rPr>
            </w:pPr>
          </w:p>
        </w:tc>
      </w:tr>
      <w:tr w14:paraId="1B045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520" w:type="dxa"/>
            <w:vAlign w:val="center"/>
          </w:tcPr>
          <w:p w14:paraId="171961FC">
            <w:pPr>
              <w:jc w:val="center"/>
              <w:rPr>
                <w:rFonts w:hint="eastAsia" w:ascii="宋体" w:hAnsi="宋体" w:cs="宋体"/>
                <w:color w:val="auto"/>
                <w:spacing w:val="-1"/>
                <w:kern w:val="0"/>
              </w:rPr>
            </w:pPr>
            <w:r>
              <w:rPr>
                <w:rFonts w:hint="eastAsia" w:ascii="宋体" w:hAnsi="宋体" w:cs="宋体"/>
                <w:color w:val="auto"/>
                <w:spacing w:val="-1"/>
                <w:kern w:val="0"/>
              </w:rPr>
              <w:t>…</w:t>
            </w:r>
          </w:p>
        </w:tc>
        <w:tc>
          <w:tcPr>
            <w:tcW w:w="1615" w:type="dxa"/>
            <w:vAlign w:val="center"/>
          </w:tcPr>
          <w:p w14:paraId="5C9D16C2">
            <w:pPr>
              <w:jc w:val="center"/>
              <w:rPr>
                <w:rFonts w:hint="eastAsia" w:ascii="宋体" w:hAnsi="宋体" w:cs="宋体"/>
                <w:color w:val="auto"/>
                <w:spacing w:val="-1"/>
                <w:kern w:val="0"/>
              </w:rPr>
            </w:pPr>
          </w:p>
        </w:tc>
        <w:tc>
          <w:tcPr>
            <w:tcW w:w="1340" w:type="dxa"/>
            <w:vAlign w:val="center"/>
          </w:tcPr>
          <w:p w14:paraId="2336E9B6">
            <w:pPr>
              <w:jc w:val="center"/>
              <w:rPr>
                <w:rFonts w:hint="eastAsia" w:ascii="宋体" w:hAnsi="宋体" w:cs="宋体"/>
                <w:color w:val="auto"/>
                <w:spacing w:val="-1"/>
                <w:kern w:val="0"/>
              </w:rPr>
            </w:pPr>
          </w:p>
        </w:tc>
        <w:tc>
          <w:tcPr>
            <w:tcW w:w="1485" w:type="dxa"/>
            <w:vAlign w:val="center"/>
          </w:tcPr>
          <w:p w14:paraId="61E70924">
            <w:pPr>
              <w:jc w:val="center"/>
              <w:rPr>
                <w:rFonts w:hint="eastAsia" w:ascii="宋体" w:hAnsi="宋体" w:cs="宋体"/>
                <w:color w:val="auto"/>
                <w:spacing w:val="-1"/>
                <w:kern w:val="0"/>
              </w:rPr>
            </w:pPr>
          </w:p>
        </w:tc>
        <w:tc>
          <w:tcPr>
            <w:tcW w:w="1290" w:type="dxa"/>
            <w:vAlign w:val="center"/>
          </w:tcPr>
          <w:p w14:paraId="679CF5CE">
            <w:pPr>
              <w:jc w:val="center"/>
              <w:rPr>
                <w:rFonts w:hint="eastAsia" w:ascii="宋体" w:hAnsi="宋体" w:cs="宋体"/>
                <w:color w:val="auto"/>
                <w:spacing w:val="-1"/>
                <w:kern w:val="0"/>
              </w:rPr>
            </w:pPr>
          </w:p>
        </w:tc>
        <w:tc>
          <w:tcPr>
            <w:tcW w:w="2547" w:type="dxa"/>
            <w:vAlign w:val="center"/>
          </w:tcPr>
          <w:p w14:paraId="1EB4C48C">
            <w:pPr>
              <w:jc w:val="center"/>
              <w:rPr>
                <w:rFonts w:hint="eastAsia" w:ascii="宋体" w:hAnsi="宋体" w:cs="宋体"/>
                <w:color w:val="auto"/>
                <w:spacing w:val="-1"/>
                <w:kern w:val="0"/>
              </w:rPr>
            </w:pPr>
          </w:p>
        </w:tc>
      </w:tr>
    </w:tbl>
    <w:p w14:paraId="21659968">
      <w:pPr>
        <w:widowControl/>
        <w:snapToGrid w:val="0"/>
        <w:jc w:val="left"/>
        <w:rPr>
          <w:rFonts w:hint="eastAsia" w:ascii="宋体" w:hAnsi="宋体"/>
          <w:color w:val="auto"/>
          <w:kern w:val="0"/>
        </w:rPr>
      </w:pPr>
    </w:p>
    <w:p w14:paraId="6A652369">
      <w:pPr>
        <w:widowControl/>
        <w:snapToGrid w:val="0"/>
        <w:ind w:firstLine="420" w:firstLineChars="200"/>
        <w:jc w:val="left"/>
        <w:rPr>
          <w:rFonts w:hint="eastAsia" w:ascii="宋体" w:hAnsi="宋体"/>
          <w:color w:val="auto"/>
          <w:kern w:val="0"/>
        </w:rPr>
      </w:pPr>
      <w:r>
        <w:rPr>
          <w:rFonts w:hint="eastAsia" w:ascii="宋体" w:hAnsi="宋体"/>
          <w:color w:val="auto"/>
          <w:kern w:val="0"/>
        </w:rPr>
        <w:t>特别提示：投标人须按本招标文件中“供应商或</w:t>
      </w:r>
      <w:r>
        <w:rPr>
          <w:rFonts w:ascii="宋体" w:hAnsi="宋体"/>
          <w:color w:val="auto"/>
          <w:kern w:val="0"/>
        </w:rPr>
        <w:t>制造商</w:t>
      </w:r>
      <w:r>
        <w:rPr>
          <w:rFonts w:hint="eastAsia" w:ascii="宋体" w:hAnsi="宋体"/>
          <w:color w:val="auto"/>
          <w:kern w:val="0"/>
        </w:rPr>
        <w:t>同类项目业绩情况”这一评审因素要求，提供相关证明资料。</w:t>
      </w:r>
    </w:p>
    <w:p w14:paraId="2C7A6945">
      <w:pPr>
        <w:pStyle w:val="2"/>
        <w:kinsoku w:val="0"/>
        <w:overflowPunct w:val="0"/>
        <w:spacing w:before="10"/>
        <w:rPr>
          <w:rFonts w:hint="eastAsia" w:ascii="宋体" w:hAnsi="宋体" w:eastAsia="宋体" w:cs="宋体"/>
          <w:color w:val="auto"/>
          <w:sz w:val="29"/>
          <w:szCs w:val="29"/>
        </w:rPr>
      </w:pPr>
    </w:p>
    <w:p w14:paraId="04144656">
      <w:pPr>
        <w:jc w:val="center"/>
        <w:rPr>
          <w:color w:val="auto"/>
        </w:rPr>
      </w:pPr>
      <w:r>
        <w:rPr>
          <w:rFonts w:hint="eastAsia"/>
          <w:color w:val="auto"/>
        </w:rPr>
        <w:t xml:space="preserve">                                                  </w:t>
      </w:r>
      <w:r>
        <w:rPr>
          <w:color w:val="auto"/>
        </w:rPr>
        <w:t>投标人</w:t>
      </w:r>
      <w:r>
        <w:rPr>
          <w:rFonts w:hint="eastAsia"/>
          <w:color w:val="auto"/>
        </w:rPr>
        <w:t>（</w:t>
      </w:r>
      <w:r>
        <w:rPr>
          <w:color w:val="auto"/>
        </w:rPr>
        <w:t>签章</w:t>
      </w:r>
      <w:r>
        <w:rPr>
          <w:rFonts w:hint="eastAsia"/>
          <w:color w:val="auto"/>
        </w:rPr>
        <w:t>）</w:t>
      </w:r>
      <w:r>
        <w:rPr>
          <w:color w:val="auto"/>
        </w:rPr>
        <w:t>：______________</w:t>
      </w:r>
    </w:p>
    <w:p w14:paraId="3EA0C4DC">
      <w:pPr>
        <w:pStyle w:val="41"/>
        <w:spacing w:line="240" w:lineRule="auto"/>
        <w:rPr>
          <w:rFonts w:hint="eastAsia"/>
          <w:color w:val="auto"/>
        </w:rPr>
      </w:pPr>
    </w:p>
    <w:p w14:paraId="7AA6A037">
      <w:pPr>
        <w:ind w:firstLine="5670" w:firstLineChars="2700"/>
        <w:rPr>
          <w:color w:val="auto"/>
        </w:rPr>
        <w:sectPr>
          <w:footerReference r:id="rId8" w:type="default"/>
          <w:pgSz w:w="11906" w:h="16838"/>
          <w:pgMar w:top="1418" w:right="1588" w:bottom="1418" w:left="1366" w:header="851" w:footer="907" w:gutter="0"/>
          <w:cols w:space="720" w:num="1"/>
          <w:titlePg/>
          <w:docGrid w:type="lines" w:linePitch="290" w:charSpace="0"/>
        </w:sectPr>
      </w:pPr>
      <w:r>
        <w:rPr>
          <w:rFonts w:hint="eastAsia" w:ascii="宋体" w:hAnsi="宋体"/>
          <w:color w:val="auto"/>
        </w:rPr>
        <w:t>日期：</w:t>
      </w:r>
      <w:r>
        <w:rPr>
          <w:rFonts w:hint="eastAsia" w:ascii="宋体" w:hAnsi="宋体"/>
          <w:color w:val="auto"/>
          <w:u w:val="single"/>
        </w:rPr>
        <w:t xml:space="preserve">       </w:t>
      </w:r>
      <w:r>
        <w:rPr>
          <w:rFonts w:hint="eastAsia" w:ascii="宋体" w:hAnsi="宋体"/>
          <w:color w:val="auto"/>
        </w:rPr>
        <w:t>年</w:t>
      </w:r>
      <w:r>
        <w:rPr>
          <w:rFonts w:hint="eastAsia" w:ascii="宋体" w:hAnsi="宋体"/>
          <w:color w:val="auto"/>
          <w:u w:val="single"/>
        </w:rPr>
        <w:t xml:space="preserve">     </w:t>
      </w:r>
      <w:r>
        <w:rPr>
          <w:rFonts w:hint="eastAsia" w:ascii="宋体" w:hAnsi="宋体"/>
          <w:color w:val="auto"/>
        </w:rPr>
        <w:t>月</w:t>
      </w:r>
      <w:r>
        <w:rPr>
          <w:rFonts w:hint="eastAsia" w:ascii="宋体" w:hAnsi="宋体"/>
          <w:color w:val="auto"/>
          <w:u w:val="single"/>
        </w:rPr>
        <w:t xml:space="preserve">     </w:t>
      </w:r>
      <w:r>
        <w:rPr>
          <w:rFonts w:hint="eastAsia" w:ascii="宋体" w:hAnsi="宋体"/>
          <w:color w:val="auto"/>
        </w:rPr>
        <w:t>日</w:t>
      </w:r>
    </w:p>
    <w:p w14:paraId="1538D78C">
      <w:pPr>
        <w:pStyle w:val="41"/>
        <w:rPr>
          <w:rFonts w:hint="eastAsia"/>
          <w:color w:val="auto"/>
        </w:rPr>
      </w:pPr>
    </w:p>
    <w:p w14:paraId="54D8D0F8">
      <w:pPr>
        <w:pStyle w:val="9"/>
        <w:spacing w:before="72" w:beforeLines="25" w:after="72" w:afterLines="25"/>
        <w:ind w:firstLine="2409" w:firstLineChars="1000"/>
        <w:rPr>
          <w:rFonts w:hint="eastAsia" w:ascii="黑体" w:hAnsi="宋体" w:eastAsia="黑体"/>
          <w:b/>
          <w:bCs/>
          <w:color w:val="auto"/>
          <w:sz w:val="24"/>
        </w:rPr>
      </w:pPr>
      <w:r>
        <w:rPr>
          <w:rFonts w:hint="eastAsia" w:ascii="黑体" w:hAnsi="宋体" w:eastAsia="黑体"/>
          <w:b/>
          <w:bCs/>
          <w:color w:val="auto"/>
          <w:sz w:val="24"/>
        </w:rPr>
        <w:t>附件九、拟安排的项目负责人情况</w:t>
      </w:r>
    </w:p>
    <w:p w14:paraId="0CAD104F">
      <w:pPr>
        <w:rPr>
          <w:color w:val="auto"/>
        </w:rPr>
      </w:pPr>
    </w:p>
    <w:tbl>
      <w:tblPr>
        <w:tblStyle w:val="42"/>
        <w:tblW w:w="0" w:type="auto"/>
        <w:jc w:val="center"/>
        <w:tblLayout w:type="fixed"/>
        <w:tblCellMar>
          <w:top w:w="0" w:type="dxa"/>
          <w:left w:w="108" w:type="dxa"/>
          <w:bottom w:w="0" w:type="dxa"/>
          <w:right w:w="108" w:type="dxa"/>
        </w:tblCellMar>
      </w:tblPr>
      <w:tblGrid>
        <w:gridCol w:w="1228"/>
        <w:gridCol w:w="862"/>
        <w:gridCol w:w="1331"/>
        <w:gridCol w:w="959"/>
        <w:gridCol w:w="787"/>
        <w:gridCol w:w="1638"/>
        <w:gridCol w:w="2144"/>
      </w:tblGrid>
      <w:tr w14:paraId="3E77EFFA">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6283411D">
            <w:pPr>
              <w:spacing w:line="440" w:lineRule="exact"/>
              <w:jc w:val="center"/>
              <w:rPr>
                <w:rFonts w:hint="eastAsia" w:ascii="宋体" w:hAnsi="宋体" w:cs="宋体"/>
                <w:b/>
                <w:bCs/>
                <w:color w:val="auto"/>
              </w:rPr>
            </w:pPr>
            <w:r>
              <w:rPr>
                <w:rFonts w:hint="eastAsia" w:ascii="宋体" w:hAnsi="宋体" w:cs="宋体"/>
                <w:b/>
                <w:bCs/>
                <w:color w:val="auto"/>
              </w:rPr>
              <w:t>姓名</w:t>
            </w:r>
          </w:p>
        </w:tc>
        <w:tc>
          <w:tcPr>
            <w:tcW w:w="2193" w:type="dxa"/>
            <w:gridSpan w:val="2"/>
            <w:tcBorders>
              <w:top w:val="single" w:color="auto" w:sz="6" w:space="0"/>
              <w:left w:val="single" w:color="auto" w:sz="6" w:space="0"/>
              <w:bottom w:val="single" w:color="auto" w:sz="6" w:space="0"/>
              <w:right w:val="single" w:color="auto" w:sz="6" w:space="0"/>
            </w:tcBorders>
          </w:tcPr>
          <w:p w14:paraId="5BF64373">
            <w:pPr>
              <w:spacing w:line="440" w:lineRule="exact"/>
              <w:rPr>
                <w:rFonts w:hint="eastAsia" w:ascii="宋体" w:hAnsi="宋体" w:cs="宋体"/>
                <w:color w:val="auto"/>
              </w:rPr>
            </w:pPr>
          </w:p>
        </w:tc>
        <w:tc>
          <w:tcPr>
            <w:tcW w:w="959" w:type="dxa"/>
            <w:tcBorders>
              <w:top w:val="single" w:color="auto" w:sz="6" w:space="0"/>
              <w:left w:val="single" w:color="auto" w:sz="6" w:space="0"/>
              <w:bottom w:val="single" w:color="auto" w:sz="6" w:space="0"/>
              <w:right w:val="single" w:color="auto" w:sz="6" w:space="0"/>
            </w:tcBorders>
          </w:tcPr>
          <w:p w14:paraId="72CA92AF">
            <w:pPr>
              <w:spacing w:line="440" w:lineRule="exact"/>
              <w:jc w:val="center"/>
              <w:rPr>
                <w:rFonts w:hint="eastAsia" w:ascii="宋体" w:hAnsi="宋体" w:cs="宋体"/>
                <w:b/>
                <w:bCs/>
                <w:color w:val="auto"/>
              </w:rPr>
            </w:pPr>
            <w:r>
              <w:rPr>
                <w:rFonts w:hint="eastAsia" w:ascii="宋体" w:hAnsi="宋体" w:cs="宋体"/>
                <w:b/>
                <w:bCs/>
                <w:color w:val="auto"/>
              </w:rPr>
              <w:t>年龄</w:t>
            </w:r>
          </w:p>
        </w:tc>
        <w:tc>
          <w:tcPr>
            <w:tcW w:w="787" w:type="dxa"/>
            <w:tcBorders>
              <w:top w:val="single" w:color="auto" w:sz="6" w:space="0"/>
              <w:left w:val="single" w:color="auto" w:sz="6" w:space="0"/>
              <w:bottom w:val="single" w:color="auto" w:sz="6" w:space="0"/>
              <w:right w:val="single" w:color="auto" w:sz="6" w:space="0"/>
            </w:tcBorders>
          </w:tcPr>
          <w:p w14:paraId="4B8288E7">
            <w:pPr>
              <w:spacing w:line="440" w:lineRule="exact"/>
              <w:jc w:val="center"/>
              <w:rPr>
                <w:rFonts w:hint="eastAsia" w:ascii="宋体" w:hAnsi="宋体" w:cs="宋体"/>
                <w:color w:val="auto"/>
              </w:rPr>
            </w:pPr>
          </w:p>
        </w:tc>
        <w:tc>
          <w:tcPr>
            <w:tcW w:w="1638" w:type="dxa"/>
            <w:tcBorders>
              <w:top w:val="single" w:color="auto" w:sz="6" w:space="0"/>
              <w:left w:val="single" w:color="auto" w:sz="6" w:space="0"/>
              <w:bottom w:val="single" w:color="auto" w:sz="6" w:space="0"/>
              <w:right w:val="single" w:color="auto" w:sz="6" w:space="0"/>
            </w:tcBorders>
          </w:tcPr>
          <w:p w14:paraId="63A1EF22">
            <w:pPr>
              <w:spacing w:line="440" w:lineRule="exact"/>
              <w:jc w:val="center"/>
              <w:rPr>
                <w:rFonts w:hint="eastAsia" w:ascii="宋体" w:hAnsi="宋体" w:cs="宋体"/>
                <w:b/>
                <w:bCs/>
                <w:color w:val="auto"/>
              </w:rPr>
            </w:pPr>
            <w:r>
              <w:rPr>
                <w:rFonts w:hint="eastAsia" w:ascii="宋体" w:hAnsi="宋体" w:cs="宋体"/>
                <w:b/>
                <w:bCs/>
                <w:color w:val="auto"/>
              </w:rPr>
              <w:t>身份证号码</w:t>
            </w:r>
          </w:p>
        </w:tc>
        <w:tc>
          <w:tcPr>
            <w:tcW w:w="2144" w:type="dxa"/>
            <w:tcBorders>
              <w:top w:val="single" w:color="auto" w:sz="6" w:space="0"/>
              <w:left w:val="single" w:color="auto" w:sz="6" w:space="0"/>
              <w:bottom w:val="single" w:color="auto" w:sz="6" w:space="0"/>
              <w:right w:val="single" w:color="auto" w:sz="6" w:space="0"/>
            </w:tcBorders>
          </w:tcPr>
          <w:p w14:paraId="5D8DFB66">
            <w:pPr>
              <w:spacing w:line="440" w:lineRule="exact"/>
              <w:jc w:val="center"/>
              <w:rPr>
                <w:rFonts w:hint="eastAsia" w:ascii="宋体" w:hAnsi="宋体" w:cs="宋体"/>
                <w:color w:val="auto"/>
              </w:rPr>
            </w:pPr>
          </w:p>
        </w:tc>
      </w:tr>
      <w:tr w14:paraId="62BFED10">
        <w:tblPrEx>
          <w:tblCellMar>
            <w:top w:w="0" w:type="dxa"/>
            <w:left w:w="108" w:type="dxa"/>
            <w:bottom w:w="0" w:type="dxa"/>
            <w:right w:w="108" w:type="dxa"/>
          </w:tblCellMar>
        </w:tblPrEx>
        <w:trPr>
          <w:trHeight w:val="454" w:hRule="atLeast"/>
          <w:jc w:val="center"/>
        </w:trPr>
        <w:tc>
          <w:tcPr>
            <w:tcW w:w="1228" w:type="dxa"/>
            <w:tcBorders>
              <w:top w:val="single" w:color="auto" w:sz="6" w:space="0"/>
              <w:left w:val="single" w:color="auto" w:sz="6" w:space="0"/>
              <w:bottom w:val="single" w:color="auto" w:sz="6" w:space="0"/>
              <w:right w:val="single" w:color="auto" w:sz="6" w:space="0"/>
            </w:tcBorders>
          </w:tcPr>
          <w:p w14:paraId="48969E15">
            <w:pPr>
              <w:spacing w:line="440" w:lineRule="exact"/>
              <w:jc w:val="center"/>
              <w:rPr>
                <w:rFonts w:hint="eastAsia" w:ascii="宋体" w:hAnsi="宋体" w:cs="宋体"/>
                <w:b/>
                <w:bCs/>
                <w:color w:val="auto"/>
              </w:rPr>
            </w:pPr>
            <w:r>
              <w:rPr>
                <w:rFonts w:hint="eastAsia" w:ascii="宋体" w:hAnsi="宋体" w:cs="宋体"/>
                <w:b/>
                <w:bCs/>
                <w:color w:val="auto"/>
              </w:rPr>
              <w:t>毕业学校</w:t>
            </w:r>
          </w:p>
        </w:tc>
        <w:tc>
          <w:tcPr>
            <w:tcW w:w="3939" w:type="dxa"/>
            <w:gridSpan w:val="4"/>
            <w:tcBorders>
              <w:top w:val="single" w:color="auto" w:sz="6" w:space="0"/>
              <w:left w:val="single" w:color="auto" w:sz="6" w:space="0"/>
              <w:bottom w:val="single" w:color="auto" w:sz="6" w:space="0"/>
              <w:right w:val="single" w:color="auto" w:sz="6" w:space="0"/>
            </w:tcBorders>
          </w:tcPr>
          <w:p w14:paraId="7D36C873">
            <w:pPr>
              <w:spacing w:line="440" w:lineRule="exact"/>
              <w:jc w:val="center"/>
              <w:rPr>
                <w:rFonts w:hint="eastAsia" w:ascii="宋体" w:hAnsi="宋体" w:cs="宋体"/>
                <w:b/>
                <w:bCs/>
                <w:color w:val="auto"/>
              </w:rPr>
            </w:pPr>
          </w:p>
        </w:tc>
        <w:tc>
          <w:tcPr>
            <w:tcW w:w="1638" w:type="dxa"/>
            <w:tcBorders>
              <w:top w:val="single" w:color="auto" w:sz="6" w:space="0"/>
              <w:left w:val="single" w:color="auto" w:sz="6" w:space="0"/>
              <w:bottom w:val="single" w:color="auto" w:sz="6" w:space="0"/>
              <w:right w:val="single" w:color="auto" w:sz="6" w:space="0"/>
            </w:tcBorders>
          </w:tcPr>
          <w:p w14:paraId="571DB110">
            <w:pPr>
              <w:spacing w:line="440" w:lineRule="exact"/>
              <w:jc w:val="center"/>
              <w:rPr>
                <w:rFonts w:hint="eastAsia" w:ascii="宋体" w:hAnsi="宋体" w:cs="宋体"/>
                <w:b/>
                <w:bCs/>
                <w:color w:val="auto"/>
              </w:rPr>
            </w:pPr>
            <w:r>
              <w:rPr>
                <w:rFonts w:hint="eastAsia" w:ascii="宋体" w:hAnsi="宋体" w:cs="宋体"/>
                <w:b/>
                <w:bCs/>
                <w:color w:val="auto"/>
              </w:rPr>
              <w:t>专     业</w:t>
            </w:r>
          </w:p>
        </w:tc>
        <w:tc>
          <w:tcPr>
            <w:tcW w:w="2144" w:type="dxa"/>
            <w:tcBorders>
              <w:top w:val="single" w:color="auto" w:sz="6" w:space="0"/>
              <w:left w:val="single" w:color="auto" w:sz="6" w:space="0"/>
              <w:bottom w:val="single" w:color="auto" w:sz="6" w:space="0"/>
              <w:right w:val="single" w:color="auto" w:sz="6" w:space="0"/>
            </w:tcBorders>
          </w:tcPr>
          <w:p w14:paraId="74454758">
            <w:pPr>
              <w:spacing w:line="440" w:lineRule="exact"/>
              <w:jc w:val="center"/>
              <w:rPr>
                <w:rFonts w:hint="eastAsia" w:ascii="宋体" w:hAnsi="宋体" w:cs="宋体"/>
                <w:color w:val="auto"/>
              </w:rPr>
            </w:pPr>
          </w:p>
        </w:tc>
      </w:tr>
      <w:tr w14:paraId="78AAB010">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41921794">
            <w:pPr>
              <w:spacing w:line="440" w:lineRule="exact"/>
              <w:jc w:val="center"/>
              <w:rPr>
                <w:rFonts w:hint="eastAsia" w:ascii="宋体" w:hAnsi="宋体" w:cs="宋体"/>
                <w:b/>
                <w:bCs/>
                <w:color w:val="auto"/>
              </w:rPr>
            </w:pPr>
            <w:r>
              <w:rPr>
                <w:rFonts w:hint="eastAsia" w:ascii="宋体" w:hAnsi="宋体" w:cs="宋体"/>
                <w:b/>
                <w:bCs/>
                <w:color w:val="auto"/>
              </w:rPr>
              <w:t>学位</w:t>
            </w:r>
          </w:p>
        </w:tc>
        <w:tc>
          <w:tcPr>
            <w:tcW w:w="2193" w:type="dxa"/>
            <w:gridSpan w:val="2"/>
            <w:tcBorders>
              <w:top w:val="single" w:color="auto" w:sz="6" w:space="0"/>
              <w:left w:val="single" w:color="auto" w:sz="6" w:space="0"/>
              <w:bottom w:val="single" w:color="auto" w:sz="6" w:space="0"/>
              <w:right w:val="single" w:color="auto" w:sz="6" w:space="0"/>
            </w:tcBorders>
          </w:tcPr>
          <w:p w14:paraId="3A62CE76">
            <w:pPr>
              <w:spacing w:line="440" w:lineRule="exact"/>
              <w:rPr>
                <w:rFonts w:hint="eastAsia" w:ascii="宋体" w:hAnsi="宋体" w:cs="宋体"/>
                <w:color w:val="auto"/>
              </w:rPr>
            </w:pPr>
          </w:p>
        </w:tc>
        <w:tc>
          <w:tcPr>
            <w:tcW w:w="959" w:type="dxa"/>
            <w:tcBorders>
              <w:top w:val="single" w:color="auto" w:sz="6" w:space="0"/>
              <w:left w:val="single" w:color="auto" w:sz="6" w:space="0"/>
              <w:bottom w:val="single" w:color="auto" w:sz="6" w:space="0"/>
              <w:right w:val="single" w:color="auto" w:sz="6" w:space="0"/>
            </w:tcBorders>
          </w:tcPr>
          <w:p w14:paraId="6A3BCF6D">
            <w:pPr>
              <w:spacing w:line="440" w:lineRule="exact"/>
              <w:jc w:val="center"/>
              <w:rPr>
                <w:rFonts w:hint="eastAsia" w:ascii="宋体" w:hAnsi="宋体" w:cs="宋体"/>
                <w:b/>
                <w:bCs/>
                <w:color w:val="auto"/>
              </w:rPr>
            </w:pPr>
            <w:r>
              <w:rPr>
                <w:rFonts w:hint="eastAsia" w:ascii="宋体" w:hAnsi="宋体" w:cs="宋体"/>
                <w:b/>
                <w:bCs/>
                <w:color w:val="auto"/>
              </w:rPr>
              <w:t>职称</w:t>
            </w:r>
          </w:p>
        </w:tc>
        <w:tc>
          <w:tcPr>
            <w:tcW w:w="787" w:type="dxa"/>
            <w:tcBorders>
              <w:top w:val="single" w:color="auto" w:sz="6" w:space="0"/>
              <w:left w:val="single" w:color="auto" w:sz="6" w:space="0"/>
              <w:bottom w:val="single" w:color="auto" w:sz="6" w:space="0"/>
              <w:right w:val="single" w:color="auto" w:sz="6" w:space="0"/>
            </w:tcBorders>
          </w:tcPr>
          <w:p w14:paraId="0C84AB90">
            <w:pPr>
              <w:spacing w:line="440" w:lineRule="exact"/>
              <w:jc w:val="center"/>
              <w:rPr>
                <w:rFonts w:hint="eastAsia" w:ascii="宋体" w:hAnsi="宋体" w:cs="宋体"/>
                <w:color w:val="auto"/>
              </w:rPr>
            </w:pPr>
          </w:p>
        </w:tc>
        <w:tc>
          <w:tcPr>
            <w:tcW w:w="1638" w:type="dxa"/>
            <w:tcBorders>
              <w:top w:val="single" w:color="auto" w:sz="6" w:space="0"/>
              <w:left w:val="single" w:color="auto" w:sz="6" w:space="0"/>
              <w:bottom w:val="single" w:color="auto" w:sz="6" w:space="0"/>
              <w:right w:val="single" w:color="auto" w:sz="6" w:space="0"/>
            </w:tcBorders>
          </w:tcPr>
          <w:p w14:paraId="40C88220">
            <w:pPr>
              <w:spacing w:line="440" w:lineRule="exact"/>
              <w:jc w:val="center"/>
              <w:rPr>
                <w:rFonts w:hint="eastAsia" w:ascii="宋体" w:hAnsi="宋体" w:cs="宋体"/>
                <w:b/>
                <w:bCs/>
                <w:color w:val="auto"/>
              </w:rPr>
            </w:pPr>
            <w:r>
              <w:rPr>
                <w:rFonts w:hint="eastAsia" w:ascii="宋体" w:hAnsi="宋体" w:cs="宋体"/>
                <w:b/>
                <w:bCs/>
                <w:color w:val="auto"/>
              </w:rPr>
              <w:t>职     务</w:t>
            </w:r>
          </w:p>
        </w:tc>
        <w:tc>
          <w:tcPr>
            <w:tcW w:w="2144" w:type="dxa"/>
            <w:tcBorders>
              <w:top w:val="single" w:color="auto" w:sz="6" w:space="0"/>
              <w:left w:val="single" w:color="auto" w:sz="6" w:space="0"/>
              <w:bottom w:val="single" w:color="auto" w:sz="6" w:space="0"/>
              <w:right w:val="single" w:color="auto" w:sz="6" w:space="0"/>
            </w:tcBorders>
          </w:tcPr>
          <w:p w14:paraId="654EE276">
            <w:pPr>
              <w:spacing w:line="440" w:lineRule="exact"/>
              <w:jc w:val="center"/>
              <w:rPr>
                <w:rFonts w:hint="eastAsia" w:ascii="宋体" w:hAnsi="宋体" w:cs="宋体"/>
                <w:color w:val="auto"/>
              </w:rPr>
            </w:pPr>
          </w:p>
        </w:tc>
      </w:tr>
      <w:tr w14:paraId="1DEEC52F">
        <w:tblPrEx>
          <w:tblCellMar>
            <w:top w:w="0" w:type="dxa"/>
            <w:left w:w="108" w:type="dxa"/>
            <w:bottom w:w="0" w:type="dxa"/>
            <w:right w:w="108" w:type="dxa"/>
          </w:tblCellMar>
        </w:tblPrEx>
        <w:trPr>
          <w:trHeight w:val="892" w:hRule="atLeast"/>
          <w:jc w:val="center"/>
        </w:trPr>
        <w:tc>
          <w:tcPr>
            <w:tcW w:w="1228" w:type="dxa"/>
            <w:tcBorders>
              <w:top w:val="single" w:color="auto" w:sz="6" w:space="0"/>
              <w:left w:val="single" w:color="auto" w:sz="6" w:space="0"/>
              <w:bottom w:val="single" w:color="auto" w:sz="6" w:space="0"/>
              <w:right w:val="single" w:color="auto" w:sz="6" w:space="0"/>
            </w:tcBorders>
          </w:tcPr>
          <w:p w14:paraId="586913D4">
            <w:pPr>
              <w:spacing w:line="440" w:lineRule="exact"/>
              <w:jc w:val="center"/>
              <w:rPr>
                <w:rFonts w:hint="eastAsia" w:ascii="宋体" w:hAnsi="宋体" w:cs="宋体"/>
                <w:b/>
                <w:bCs/>
                <w:color w:val="auto"/>
              </w:rPr>
            </w:pPr>
            <w:r>
              <w:rPr>
                <w:rFonts w:hint="eastAsia" w:ascii="宋体" w:hAnsi="宋体" w:cs="宋体"/>
                <w:b/>
                <w:bCs/>
                <w:color w:val="auto"/>
              </w:rPr>
              <w:t>现所在机构或部门</w:t>
            </w:r>
          </w:p>
        </w:tc>
        <w:tc>
          <w:tcPr>
            <w:tcW w:w="3939" w:type="dxa"/>
            <w:gridSpan w:val="4"/>
            <w:tcBorders>
              <w:top w:val="single" w:color="auto" w:sz="6" w:space="0"/>
              <w:left w:val="single" w:color="auto" w:sz="6" w:space="0"/>
              <w:bottom w:val="single" w:color="auto" w:sz="6" w:space="0"/>
              <w:right w:val="single" w:color="auto" w:sz="6" w:space="0"/>
            </w:tcBorders>
          </w:tcPr>
          <w:p w14:paraId="52016DC7">
            <w:pPr>
              <w:spacing w:line="440" w:lineRule="exact"/>
              <w:jc w:val="center"/>
              <w:rPr>
                <w:rFonts w:hint="eastAsia" w:ascii="宋体" w:hAnsi="宋体" w:cs="宋体"/>
                <w:color w:val="auto"/>
              </w:rPr>
            </w:pPr>
          </w:p>
        </w:tc>
        <w:tc>
          <w:tcPr>
            <w:tcW w:w="1638" w:type="dxa"/>
            <w:tcBorders>
              <w:top w:val="single" w:color="auto" w:sz="6" w:space="0"/>
              <w:left w:val="single" w:color="auto" w:sz="6" w:space="0"/>
              <w:bottom w:val="single" w:color="auto" w:sz="6" w:space="0"/>
              <w:right w:val="single" w:color="auto" w:sz="6" w:space="0"/>
            </w:tcBorders>
            <w:vAlign w:val="center"/>
          </w:tcPr>
          <w:p w14:paraId="333C1145">
            <w:pPr>
              <w:spacing w:line="440" w:lineRule="exact"/>
              <w:jc w:val="center"/>
              <w:rPr>
                <w:rFonts w:hint="eastAsia" w:ascii="宋体" w:hAnsi="宋体" w:cs="宋体"/>
                <w:b/>
                <w:bCs/>
                <w:color w:val="auto"/>
              </w:rPr>
            </w:pPr>
            <w:r>
              <w:rPr>
                <w:rFonts w:hint="eastAsia" w:ascii="宋体" w:hAnsi="宋体" w:cs="宋体"/>
                <w:b/>
                <w:bCs/>
                <w:color w:val="auto"/>
              </w:rPr>
              <w:t>服务时间</w:t>
            </w:r>
          </w:p>
        </w:tc>
        <w:tc>
          <w:tcPr>
            <w:tcW w:w="2144" w:type="dxa"/>
            <w:tcBorders>
              <w:top w:val="single" w:color="auto" w:sz="6" w:space="0"/>
              <w:left w:val="single" w:color="auto" w:sz="6" w:space="0"/>
              <w:bottom w:val="single" w:color="auto" w:sz="6" w:space="0"/>
              <w:right w:val="single" w:color="auto" w:sz="6" w:space="0"/>
            </w:tcBorders>
          </w:tcPr>
          <w:p w14:paraId="3BB1E6B8">
            <w:pPr>
              <w:spacing w:line="440" w:lineRule="exact"/>
              <w:jc w:val="center"/>
              <w:rPr>
                <w:rFonts w:hint="eastAsia" w:ascii="宋体" w:hAnsi="宋体" w:cs="宋体"/>
                <w:color w:val="auto"/>
              </w:rPr>
            </w:pPr>
          </w:p>
        </w:tc>
      </w:tr>
      <w:tr w14:paraId="35A05BAD">
        <w:tblPrEx>
          <w:tblCellMar>
            <w:top w:w="0" w:type="dxa"/>
            <w:left w:w="108" w:type="dxa"/>
            <w:bottom w:w="0" w:type="dxa"/>
            <w:right w:w="108" w:type="dxa"/>
          </w:tblCellMar>
        </w:tblPrEx>
        <w:trPr>
          <w:trHeight w:val="438" w:hRule="atLeast"/>
          <w:jc w:val="center"/>
        </w:trPr>
        <w:tc>
          <w:tcPr>
            <w:tcW w:w="1228" w:type="dxa"/>
            <w:vMerge w:val="restart"/>
            <w:tcBorders>
              <w:top w:val="single" w:color="auto" w:sz="6" w:space="0"/>
              <w:left w:val="single" w:color="auto" w:sz="6" w:space="0"/>
              <w:right w:val="single" w:color="auto" w:sz="6" w:space="0"/>
            </w:tcBorders>
          </w:tcPr>
          <w:p w14:paraId="5FBC2FDF">
            <w:pPr>
              <w:spacing w:line="440" w:lineRule="exact"/>
              <w:rPr>
                <w:rFonts w:hint="eastAsia" w:ascii="宋体" w:hAnsi="宋体" w:cs="宋体"/>
                <w:b/>
                <w:bCs/>
                <w:color w:val="auto"/>
              </w:rPr>
            </w:pPr>
            <w:r>
              <w:rPr>
                <w:rFonts w:hint="eastAsia" w:ascii="宋体" w:hAnsi="宋体" w:cs="宋体"/>
                <w:b/>
                <w:bCs/>
                <w:color w:val="auto"/>
              </w:rPr>
              <w:t>注册证书及注册号</w:t>
            </w:r>
          </w:p>
        </w:tc>
        <w:tc>
          <w:tcPr>
            <w:tcW w:w="862" w:type="dxa"/>
            <w:tcBorders>
              <w:top w:val="single" w:color="auto" w:sz="6" w:space="0"/>
              <w:left w:val="single" w:color="auto" w:sz="6" w:space="0"/>
              <w:bottom w:val="single" w:color="auto" w:sz="6" w:space="0"/>
              <w:right w:val="single" w:color="auto" w:sz="6" w:space="0"/>
            </w:tcBorders>
          </w:tcPr>
          <w:p w14:paraId="2AA061AD">
            <w:pPr>
              <w:spacing w:line="440" w:lineRule="exact"/>
              <w:jc w:val="center"/>
              <w:rPr>
                <w:rFonts w:hint="eastAsia" w:ascii="宋体" w:hAnsi="宋体" w:cs="宋体"/>
                <w:b/>
                <w:bCs/>
                <w:color w:val="auto"/>
              </w:rPr>
            </w:pPr>
            <w:r>
              <w:rPr>
                <w:rFonts w:hint="eastAsia" w:ascii="宋体" w:hAnsi="宋体" w:cs="宋体"/>
                <w:b/>
                <w:bCs/>
                <w:color w:val="auto"/>
              </w:rPr>
              <w:t>序号</w:t>
            </w:r>
          </w:p>
        </w:tc>
        <w:tc>
          <w:tcPr>
            <w:tcW w:w="3077" w:type="dxa"/>
            <w:gridSpan w:val="3"/>
            <w:tcBorders>
              <w:top w:val="single" w:color="auto" w:sz="6" w:space="0"/>
              <w:left w:val="single" w:color="auto" w:sz="6" w:space="0"/>
              <w:bottom w:val="single" w:color="auto" w:sz="6" w:space="0"/>
              <w:right w:val="single" w:color="auto" w:sz="6" w:space="0"/>
            </w:tcBorders>
          </w:tcPr>
          <w:p w14:paraId="42B8B735">
            <w:pPr>
              <w:spacing w:line="440" w:lineRule="exact"/>
              <w:jc w:val="center"/>
              <w:rPr>
                <w:rFonts w:hint="eastAsia" w:ascii="宋体" w:hAnsi="宋体" w:cs="宋体"/>
                <w:b/>
                <w:bCs/>
                <w:color w:val="auto"/>
              </w:rPr>
            </w:pPr>
            <w:r>
              <w:rPr>
                <w:rFonts w:hint="eastAsia" w:ascii="宋体" w:hAnsi="宋体" w:cs="宋体"/>
                <w:b/>
                <w:bCs/>
                <w:color w:val="auto"/>
              </w:rPr>
              <w:t>证书名</w:t>
            </w:r>
          </w:p>
        </w:tc>
        <w:tc>
          <w:tcPr>
            <w:tcW w:w="1638" w:type="dxa"/>
            <w:tcBorders>
              <w:top w:val="single" w:color="auto" w:sz="6" w:space="0"/>
              <w:left w:val="single" w:color="auto" w:sz="6" w:space="0"/>
              <w:bottom w:val="single" w:color="auto" w:sz="6" w:space="0"/>
              <w:right w:val="single" w:color="auto" w:sz="6" w:space="0"/>
            </w:tcBorders>
            <w:vAlign w:val="center"/>
          </w:tcPr>
          <w:p w14:paraId="280860EB">
            <w:pPr>
              <w:spacing w:line="440" w:lineRule="exact"/>
              <w:jc w:val="center"/>
              <w:rPr>
                <w:rFonts w:hint="eastAsia" w:ascii="宋体" w:hAnsi="宋体" w:cs="宋体"/>
                <w:b/>
                <w:bCs/>
                <w:color w:val="auto"/>
              </w:rPr>
            </w:pPr>
            <w:r>
              <w:rPr>
                <w:rFonts w:hint="eastAsia" w:ascii="宋体" w:hAnsi="宋体" w:cs="宋体"/>
                <w:b/>
                <w:bCs/>
                <w:color w:val="auto"/>
              </w:rPr>
              <w:t>证书号</w:t>
            </w:r>
          </w:p>
        </w:tc>
        <w:tc>
          <w:tcPr>
            <w:tcW w:w="2144" w:type="dxa"/>
            <w:tcBorders>
              <w:top w:val="single" w:color="auto" w:sz="6" w:space="0"/>
              <w:left w:val="single" w:color="auto" w:sz="6" w:space="0"/>
              <w:bottom w:val="single" w:color="auto" w:sz="6" w:space="0"/>
              <w:right w:val="single" w:color="auto" w:sz="6" w:space="0"/>
            </w:tcBorders>
          </w:tcPr>
          <w:p w14:paraId="62B3AD38">
            <w:pPr>
              <w:spacing w:line="440" w:lineRule="exact"/>
              <w:jc w:val="center"/>
              <w:rPr>
                <w:rFonts w:hint="eastAsia" w:ascii="宋体" w:hAnsi="宋体" w:cs="宋体"/>
                <w:color w:val="auto"/>
              </w:rPr>
            </w:pPr>
          </w:p>
        </w:tc>
      </w:tr>
      <w:tr w14:paraId="40BB531C">
        <w:tblPrEx>
          <w:tblCellMar>
            <w:top w:w="0" w:type="dxa"/>
            <w:left w:w="108" w:type="dxa"/>
            <w:bottom w:w="0" w:type="dxa"/>
            <w:right w:w="108" w:type="dxa"/>
          </w:tblCellMar>
        </w:tblPrEx>
        <w:trPr>
          <w:trHeight w:val="145" w:hRule="atLeast"/>
          <w:jc w:val="center"/>
        </w:trPr>
        <w:tc>
          <w:tcPr>
            <w:tcW w:w="1228" w:type="dxa"/>
            <w:vMerge w:val="continue"/>
            <w:tcBorders>
              <w:top w:val="single" w:color="auto" w:sz="6" w:space="0"/>
              <w:left w:val="single" w:color="auto" w:sz="6" w:space="0"/>
              <w:right w:val="single" w:color="auto" w:sz="6" w:space="0"/>
            </w:tcBorders>
          </w:tcPr>
          <w:p w14:paraId="6D895E34">
            <w:pPr>
              <w:spacing w:line="440" w:lineRule="exact"/>
              <w:jc w:val="center"/>
              <w:rPr>
                <w:rFonts w:hint="eastAsia" w:ascii="宋体" w:hAnsi="宋体" w:cs="宋体"/>
                <w:b/>
                <w:bCs/>
                <w:color w:val="auto"/>
              </w:rPr>
            </w:pPr>
          </w:p>
        </w:tc>
        <w:tc>
          <w:tcPr>
            <w:tcW w:w="862" w:type="dxa"/>
            <w:tcBorders>
              <w:top w:val="single" w:color="auto" w:sz="6" w:space="0"/>
              <w:left w:val="single" w:color="auto" w:sz="6" w:space="0"/>
              <w:bottom w:val="single" w:color="auto" w:sz="6" w:space="0"/>
              <w:right w:val="single" w:color="auto" w:sz="6" w:space="0"/>
            </w:tcBorders>
          </w:tcPr>
          <w:p w14:paraId="19A692EE">
            <w:pPr>
              <w:spacing w:line="440" w:lineRule="exact"/>
              <w:jc w:val="center"/>
              <w:rPr>
                <w:rFonts w:hint="eastAsia" w:ascii="宋体" w:hAnsi="宋体" w:cs="宋体"/>
                <w:color w:val="auto"/>
              </w:rPr>
            </w:pPr>
            <w:r>
              <w:rPr>
                <w:rFonts w:hint="eastAsia" w:ascii="宋体" w:hAnsi="宋体" w:cs="宋体"/>
                <w:color w:val="auto"/>
              </w:rPr>
              <w:t>1</w:t>
            </w:r>
          </w:p>
        </w:tc>
        <w:tc>
          <w:tcPr>
            <w:tcW w:w="3077" w:type="dxa"/>
            <w:gridSpan w:val="3"/>
            <w:tcBorders>
              <w:top w:val="single" w:color="auto" w:sz="6" w:space="0"/>
              <w:left w:val="single" w:color="auto" w:sz="6" w:space="0"/>
              <w:bottom w:val="single" w:color="auto" w:sz="6" w:space="0"/>
              <w:right w:val="single" w:color="auto" w:sz="6" w:space="0"/>
            </w:tcBorders>
          </w:tcPr>
          <w:p w14:paraId="51F7B230">
            <w:pPr>
              <w:spacing w:line="440" w:lineRule="exact"/>
              <w:jc w:val="center"/>
              <w:rPr>
                <w:rFonts w:hint="eastAsia" w:ascii="宋体" w:hAnsi="宋体" w:cs="宋体"/>
                <w:color w:val="auto"/>
              </w:rPr>
            </w:pPr>
          </w:p>
        </w:tc>
        <w:tc>
          <w:tcPr>
            <w:tcW w:w="1638" w:type="dxa"/>
            <w:tcBorders>
              <w:top w:val="single" w:color="auto" w:sz="6" w:space="0"/>
              <w:left w:val="single" w:color="auto" w:sz="6" w:space="0"/>
              <w:bottom w:val="single" w:color="auto" w:sz="6" w:space="0"/>
              <w:right w:val="single" w:color="auto" w:sz="6" w:space="0"/>
            </w:tcBorders>
            <w:vAlign w:val="center"/>
          </w:tcPr>
          <w:p w14:paraId="1DBB63EA">
            <w:pPr>
              <w:spacing w:line="440" w:lineRule="exact"/>
              <w:jc w:val="center"/>
              <w:rPr>
                <w:rFonts w:hint="eastAsia" w:ascii="宋体" w:hAnsi="宋体" w:cs="宋体"/>
                <w:color w:val="auto"/>
              </w:rPr>
            </w:pPr>
          </w:p>
        </w:tc>
        <w:tc>
          <w:tcPr>
            <w:tcW w:w="2144" w:type="dxa"/>
            <w:tcBorders>
              <w:top w:val="single" w:color="auto" w:sz="6" w:space="0"/>
              <w:left w:val="single" w:color="auto" w:sz="6" w:space="0"/>
              <w:bottom w:val="single" w:color="auto" w:sz="6" w:space="0"/>
              <w:right w:val="single" w:color="auto" w:sz="6" w:space="0"/>
            </w:tcBorders>
          </w:tcPr>
          <w:p w14:paraId="68BEE888">
            <w:pPr>
              <w:spacing w:line="440" w:lineRule="exact"/>
              <w:jc w:val="center"/>
              <w:rPr>
                <w:rFonts w:hint="eastAsia" w:ascii="宋体" w:hAnsi="宋体" w:cs="宋体"/>
                <w:color w:val="auto"/>
              </w:rPr>
            </w:pPr>
          </w:p>
        </w:tc>
      </w:tr>
      <w:tr w14:paraId="14E5E6A4">
        <w:tblPrEx>
          <w:tblCellMar>
            <w:top w:w="0" w:type="dxa"/>
            <w:left w:w="108" w:type="dxa"/>
            <w:bottom w:w="0" w:type="dxa"/>
            <w:right w:w="108" w:type="dxa"/>
          </w:tblCellMar>
        </w:tblPrEx>
        <w:trPr>
          <w:trHeight w:val="145" w:hRule="atLeast"/>
          <w:jc w:val="center"/>
        </w:trPr>
        <w:tc>
          <w:tcPr>
            <w:tcW w:w="1228" w:type="dxa"/>
            <w:vMerge w:val="continue"/>
            <w:tcBorders>
              <w:top w:val="single" w:color="auto" w:sz="6" w:space="0"/>
              <w:left w:val="single" w:color="auto" w:sz="6" w:space="0"/>
              <w:right w:val="single" w:color="auto" w:sz="6" w:space="0"/>
            </w:tcBorders>
          </w:tcPr>
          <w:p w14:paraId="3812F6B3">
            <w:pPr>
              <w:spacing w:line="440" w:lineRule="exact"/>
              <w:jc w:val="center"/>
              <w:rPr>
                <w:rFonts w:hint="eastAsia" w:ascii="宋体" w:hAnsi="宋体" w:cs="宋体"/>
                <w:b/>
                <w:bCs/>
                <w:color w:val="auto"/>
              </w:rPr>
            </w:pPr>
          </w:p>
        </w:tc>
        <w:tc>
          <w:tcPr>
            <w:tcW w:w="862" w:type="dxa"/>
            <w:tcBorders>
              <w:top w:val="single" w:color="auto" w:sz="6" w:space="0"/>
              <w:left w:val="single" w:color="auto" w:sz="6" w:space="0"/>
              <w:bottom w:val="single" w:color="auto" w:sz="6" w:space="0"/>
              <w:right w:val="single" w:color="auto" w:sz="6" w:space="0"/>
            </w:tcBorders>
          </w:tcPr>
          <w:p w14:paraId="0E3D9E90">
            <w:pPr>
              <w:spacing w:line="440" w:lineRule="exact"/>
              <w:jc w:val="center"/>
              <w:rPr>
                <w:rFonts w:hint="eastAsia" w:ascii="宋体" w:hAnsi="宋体" w:cs="宋体"/>
                <w:color w:val="auto"/>
              </w:rPr>
            </w:pPr>
            <w:r>
              <w:rPr>
                <w:rFonts w:hint="eastAsia" w:ascii="宋体" w:hAnsi="宋体" w:cs="宋体"/>
                <w:color w:val="auto"/>
              </w:rPr>
              <w:t>2</w:t>
            </w:r>
          </w:p>
        </w:tc>
        <w:tc>
          <w:tcPr>
            <w:tcW w:w="3077" w:type="dxa"/>
            <w:gridSpan w:val="3"/>
            <w:tcBorders>
              <w:top w:val="single" w:color="auto" w:sz="6" w:space="0"/>
              <w:left w:val="single" w:color="auto" w:sz="6" w:space="0"/>
              <w:bottom w:val="single" w:color="auto" w:sz="6" w:space="0"/>
              <w:right w:val="single" w:color="auto" w:sz="6" w:space="0"/>
            </w:tcBorders>
          </w:tcPr>
          <w:p w14:paraId="725098ED">
            <w:pPr>
              <w:spacing w:line="440" w:lineRule="exact"/>
              <w:jc w:val="center"/>
              <w:rPr>
                <w:rFonts w:hint="eastAsia" w:ascii="宋体" w:hAnsi="宋体" w:cs="宋体"/>
                <w:color w:val="auto"/>
              </w:rPr>
            </w:pPr>
          </w:p>
        </w:tc>
        <w:tc>
          <w:tcPr>
            <w:tcW w:w="1638" w:type="dxa"/>
            <w:tcBorders>
              <w:top w:val="single" w:color="auto" w:sz="6" w:space="0"/>
              <w:left w:val="single" w:color="auto" w:sz="6" w:space="0"/>
              <w:bottom w:val="single" w:color="auto" w:sz="6" w:space="0"/>
              <w:right w:val="single" w:color="auto" w:sz="6" w:space="0"/>
            </w:tcBorders>
            <w:vAlign w:val="center"/>
          </w:tcPr>
          <w:p w14:paraId="403CBF36">
            <w:pPr>
              <w:spacing w:line="440" w:lineRule="exact"/>
              <w:jc w:val="center"/>
              <w:rPr>
                <w:rFonts w:hint="eastAsia" w:ascii="宋体" w:hAnsi="宋体" w:cs="宋体"/>
                <w:color w:val="auto"/>
              </w:rPr>
            </w:pPr>
          </w:p>
        </w:tc>
        <w:tc>
          <w:tcPr>
            <w:tcW w:w="2144" w:type="dxa"/>
            <w:tcBorders>
              <w:top w:val="single" w:color="auto" w:sz="6" w:space="0"/>
              <w:left w:val="single" w:color="auto" w:sz="6" w:space="0"/>
              <w:bottom w:val="single" w:color="auto" w:sz="6" w:space="0"/>
              <w:right w:val="single" w:color="auto" w:sz="6" w:space="0"/>
            </w:tcBorders>
          </w:tcPr>
          <w:p w14:paraId="164F4749">
            <w:pPr>
              <w:spacing w:line="440" w:lineRule="exact"/>
              <w:jc w:val="center"/>
              <w:rPr>
                <w:rFonts w:hint="eastAsia" w:ascii="宋体" w:hAnsi="宋体" w:cs="宋体"/>
                <w:color w:val="auto"/>
              </w:rPr>
            </w:pPr>
          </w:p>
        </w:tc>
      </w:tr>
      <w:tr w14:paraId="2A27E9DD">
        <w:tblPrEx>
          <w:tblCellMar>
            <w:top w:w="0" w:type="dxa"/>
            <w:left w:w="108" w:type="dxa"/>
            <w:bottom w:w="0" w:type="dxa"/>
            <w:right w:w="108" w:type="dxa"/>
          </w:tblCellMar>
        </w:tblPrEx>
        <w:trPr>
          <w:trHeight w:val="944" w:hRule="atLeast"/>
          <w:jc w:val="center"/>
        </w:trPr>
        <w:tc>
          <w:tcPr>
            <w:tcW w:w="1228" w:type="dxa"/>
            <w:tcBorders>
              <w:top w:val="single" w:color="auto" w:sz="6" w:space="0"/>
              <w:left w:val="single" w:color="auto" w:sz="6" w:space="0"/>
              <w:bottom w:val="single" w:color="auto" w:sz="6" w:space="0"/>
              <w:right w:val="single" w:color="auto" w:sz="6" w:space="0"/>
            </w:tcBorders>
            <w:vAlign w:val="center"/>
          </w:tcPr>
          <w:p w14:paraId="14CB77FA">
            <w:pPr>
              <w:spacing w:line="440" w:lineRule="exact"/>
              <w:jc w:val="center"/>
              <w:rPr>
                <w:rFonts w:hint="eastAsia" w:ascii="宋体" w:hAnsi="宋体" w:cs="宋体"/>
                <w:b/>
                <w:bCs/>
                <w:color w:val="auto"/>
              </w:rPr>
            </w:pPr>
            <w:r>
              <w:rPr>
                <w:rFonts w:hint="eastAsia" w:ascii="宋体" w:hAnsi="宋体" w:cs="宋体"/>
                <w:b/>
                <w:bCs/>
                <w:color w:val="auto"/>
              </w:rPr>
              <w:t>主要经历</w:t>
            </w:r>
          </w:p>
        </w:tc>
        <w:tc>
          <w:tcPr>
            <w:tcW w:w="7721" w:type="dxa"/>
            <w:gridSpan w:val="6"/>
            <w:tcBorders>
              <w:top w:val="single" w:color="auto" w:sz="6" w:space="0"/>
              <w:left w:val="single" w:color="auto" w:sz="6" w:space="0"/>
              <w:bottom w:val="single" w:color="auto" w:sz="6" w:space="0"/>
              <w:right w:val="single" w:color="auto" w:sz="6" w:space="0"/>
            </w:tcBorders>
            <w:vAlign w:val="center"/>
          </w:tcPr>
          <w:p w14:paraId="56E5EE93">
            <w:pPr>
              <w:spacing w:line="440" w:lineRule="exact"/>
              <w:jc w:val="center"/>
              <w:rPr>
                <w:rFonts w:hint="eastAsia" w:ascii="宋体" w:hAnsi="宋体" w:cs="宋体"/>
                <w:color w:val="auto"/>
              </w:rPr>
            </w:pPr>
          </w:p>
        </w:tc>
      </w:tr>
      <w:tr w14:paraId="3C6FFA08">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399023D1">
            <w:pPr>
              <w:spacing w:line="440" w:lineRule="exact"/>
              <w:jc w:val="center"/>
              <w:rPr>
                <w:rFonts w:hint="eastAsia" w:ascii="宋体" w:hAnsi="宋体" w:cs="宋体"/>
                <w:b/>
                <w:bCs/>
                <w:color w:val="auto"/>
              </w:rPr>
            </w:pPr>
            <w:r>
              <w:rPr>
                <w:rFonts w:hint="eastAsia" w:ascii="宋体" w:hAnsi="宋体" w:cs="宋体"/>
                <w:b/>
                <w:bCs/>
                <w:color w:val="auto"/>
              </w:rPr>
              <w:t>日期</w:t>
            </w:r>
          </w:p>
        </w:tc>
        <w:tc>
          <w:tcPr>
            <w:tcW w:w="3152" w:type="dxa"/>
            <w:gridSpan w:val="3"/>
            <w:tcBorders>
              <w:top w:val="single" w:color="auto" w:sz="6" w:space="0"/>
              <w:left w:val="single" w:color="auto" w:sz="6" w:space="0"/>
              <w:bottom w:val="single" w:color="auto" w:sz="6" w:space="0"/>
              <w:right w:val="single" w:color="auto" w:sz="6" w:space="0"/>
            </w:tcBorders>
          </w:tcPr>
          <w:p w14:paraId="442B250F">
            <w:pPr>
              <w:spacing w:line="440" w:lineRule="exact"/>
              <w:jc w:val="center"/>
              <w:rPr>
                <w:rFonts w:hint="eastAsia" w:ascii="宋体" w:hAnsi="宋体" w:cs="宋体"/>
                <w:b/>
                <w:bCs/>
                <w:color w:val="auto"/>
              </w:rPr>
            </w:pPr>
            <w:r>
              <w:rPr>
                <w:rFonts w:hint="eastAsia" w:ascii="宋体" w:hAnsi="宋体" w:cs="宋体"/>
                <w:b/>
                <w:bCs/>
                <w:color w:val="auto"/>
              </w:rPr>
              <w:t>参加过的项目名称</w:t>
            </w:r>
          </w:p>
        </w:tc>
        <w:tc>
          <w:tcPr>
            <w:tcW w:w="2425" w:type="dxa"/>
            <w:gridSpan w:val="2"/>
            <w:tcBorders>
              <w:top w:val="single" w:color="auto" w:sz="6" w:space="0"/>
              <w:left w:val="single" w:color="auto" w:sz="6" w:space="0"/>
              <w:bottom w:val="single" w:color="auto" w:sz="6" w:space="0"/>
              <w:right w:val="single" w:color="auto" w:sz="6" w:space="0"/>
            </w:tcBorders>
          </w:tcPr>
          <w:p w14:paraId="11420048">
            <w:pPr>
              <w:spacing w:line="440" w:lineRule="exact"/>
              <w:jc w:val="center"/>
              <w:rPr>
                <w:rFonts w:hint="eastAsia" w:ascii="宋体" w:hAnsi="宋体" w:cs="宋体"/>
                <w:b/>
                <w:bCs/>
                <w:color w:val="auto"/>
              </w:rPr>
            </w:pPr>
            <w:r>
              <w:rPr>
                <w:rFonts w:hint="eastAsia" w:ascii="宋体" w:hAnsi="宋体" w:cs="宋体"/>
                <w:b/>
                <w:bCs/>
                <w:color w:val="auto"/>
              </w:rPr>
              <w:t>担任何职务</w:t>
            </w:r>
          </w:p>
        </w:tc>
        <w:tc>
          <w:tcPr>
            <w:tcW w:w="2144" w:type="dxa"/>
            <w:tcBorders>
              <w:top w:val="single" w:color="auto" w:sz="6" w:space="0"/>
              <w:left w:val="single" w:color="auto" w:sz="6" w:space="0"/>
              <w:bottom w:val="single" w:color="auto" w:sz="6" w:space="0"/>
              <w:right w:val="single" w:color="auto" w:sz="6" w:space="0"/>
            </w:tcBorders>
          </w:tcPr>
          <w:p w14:paraId="4593BD68">
            <w:pPr>
              <w:spacing w:line="440" w:lineRule="exact"/>
              <w:jc w:val="center"/>
              <w:rPr>
                <w:rFonts w:hint="eastAsia" w:ascii="宋体" w:hAnsi="宋体" w:cs="宋体"/>
                <w:b/>
                <w:bCs/>
                <w:color w:val="auto"/>
              </w:rPr>
            </w:pPr>
            <w:r>
              <w:rPr>
                <w:rFonts w:hint="eastAsia" w:ascii="宋体" w:hAnsi="宋体" w:cs="宋体"/>
                <w:b/>
                <w:bCs/>
                <w:color w:val="auto"/>
              </w:rPr>
              <w:t>备注</w:t>
            </w:r>
          </w:p>
        </w:tc>
      </w:tr>
      <w:tr w14:paraId="677C1B02">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5B4F78EB">
            <w:pPr>
              <w:spacing w:line="440" w:lineRule="exact"/>
              <w:jc w:val="center"/>
              <w:rPr>
                <w:rFonts w:hint="eastAsia" w:ascii="宋体" w:hAnsi="宋体" w:cs="宋体"/>
                <w:color w:val="auto"/>
              </w:rPr>
            </w:pPr>
          </w:p>
        </w:tc>
        <w:tc>
          <w:tcPr>
            <w:tcW w:w="3152" w:type="dxa"/>
            <w:gridSpan w:val="3"/>
            <w:tcBorders>
              <w:top w:val="single" w:color="auto" w:sz="6" w:space="0"/>
              <w:left w:val="single" w:color="auto" w:sz="6" w:space="0"/>
              <w:bottom w:val="single" w:color="auto" w:sz="6" w:space="0"/>
              <w:right w:val="single" w:color="auto" w:sz="6" w:space="0"/>
            </w:tcBorders>
          </w:tcPr>
          <w:p w14:paraId="641A27F5">
            <w:pPr>
              <w:spacing w:line="440" w:lineRule="exact"/>
              <w:jc w:val="center"/>
              <w:rPr>
                <w:rFonts w:hint="eastAsia" w:ascii="宋体" w:hAnsi="宋体" w:cs="宋体"/>
                <w:color w:val="auto"/>
              </w:rPr>
            </w:pPr>
          </w:p>
        </w:tc>
        <w:tc>
          <w:tcPr>
            <w:tcW w:w="2425" w:type="dxa"/>
            <w:gridSpan w:val="2"/>
            <w:tcBorders>
              <w:top w:val="single" w:color="auto" w:sz="6" w:space="0"/>
              <w:left w:val="single" w:color="auto" w:sz="6" w:space="0"/>
              <w:bottom w:val="single" w:color="auto" w:sz="6" w:space="0"/>
              <w:right w:val="single" w:color="auto" w:sz="6" w:space="0"/>
            </w:tcBorders>
          </w:tcPr>
          <w:p w14:paraId="19D760BB">
            <w:pPr>
              <w:spacing w:line="440" w:lineRule="exact"/>
              <w:jc w:val="center"/>
              <w:rPr>
                <w:rFonts w:hint="eastAsia" w:ascii="宋体" w:hAnsi="宋体" w:cs="宋体"/>
                <w:color w:val="auto"/>
              </w:rPr>
            </w:pPr>
          </w:p>
        </w:tc>
        <w:tc>
          <w:tcPr>
            <w:tcW w:w="2144" w:type="dxa"/>
            <w:tcBorders>
              <w:top w:val="single" w:color="auto" w:sz="6" w:space="0"/>
              <w:left w:val="single" w:color="auto" w:sz="6" w:space="0"/>
              <w:bottom w:val="single" w:color="auto" w:sz="6" w:space="0"/>
              <w:right w:val="single" w:color="auto" w:sz="6" w:space="0"/>
            </w:tcBorders>
          </w:tcPr>
          <w:p w14:paraId="1CAA3BA4">
            <w:pPr>
              <w:spacing w:line="440" w:lineRule="exact"/>
              <w:jc w:val="center"/>
              <w:rPr>
                <w:rFonts w:hint="eastAsia" w:ascii="宋体" w:hAnsi="宋体" w:cs="宋体"/>
                <w:color w:val="auto"/>
              </w:rPr>
            </w:pPr>
          </w:p>
        </w:tc>
      </w:tr>
      <w:tr w14:paraId="2AF72FC0">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0D7EE6E1">
            <w:pPr>
              <w:spacing w:line="440" w:lineRule="exact"/>
              <w:jc w:val="center"/>
              <w:rPr>
                <w:rFonts w:hint="eastAsia" w:ascii="宋体" w:hAnsi="宋体" w:cs="宋体"/>
                <w:color w:val="auto"/>
              </w:rPr>
            </w:pPr>
          </w:p>
        </w:tc>
        <w:tc>
          <w:tcPr>
            <w:tcW w:w="3152" w:type="dxa"/>
            <w:gridSpan w:val="3"/>
            <w:tcBorders>
              <w:top w:val="single" w:color="auto" w:sz="6" w:space="0"/>
              <w:left w:val="single" w:color="auto" w:sz="6" w:space="0"/>
              <w:bottom w:val="single" w:color="auto" w:sz="6" w:space="0"/>
              <w:right w:val="single" w:color="auto" w:sz="6" w:space="0"/>
            </w:tcBorders>
          </w:tcPr>
          <w:p w14:paraId="6A83B812">
            <w:pPr>
              <w:spacing w:line="440" w:lineRule="exact"/>
              <w:jc w:val="center"/>
              <w:rPr>
                <w:rFonts w:hint="eastAsia" w:ascii="宋体" w:hAnsi="宋体" w:cs="宋体"/>
                <w:color w:val="auto"/>
              </w:rPr>
            </w:pPr>
          </w:p>
        </w:tc>
        <w:tc>
          <w:tcPr>
            <w:tcW w:w="2425" w:type="dxa"/>
            <w:gridSpan w:val="2"/>
            <w:tcBorders>
              <w:top w:val="single" w:color="auto" w:sz="6" w:space="0"/>
              <w:left w:val="single" w:color="auto" w:sz="6" w:space="0"/>
              <w:bottom w:val="single" w:color="auto" w:sz="6" w:space="0"/>
              <w:right w:val="single" w:color="auto" w:sz="6" w:space="0"/>
            </w:tcBorders>
          </w:tcPr>
          <w:p w14:paraId="1792AE2A">
            <w:pPr>
              <w:spacing w:line="440" w:lineRule="exact"/>
              <w:jc w:val="center"/>
              <w:rPr>
                <w:rFonts w:hint="eastAsia" w:ascii="宋体" w:hAnsi="宋体" w:cs="宋体"/>
                <w:color w:val="auto"/>
              </w:rPr>
            </w:pPr>
          </w:p>
        </w:tc>
        <w:tc>
          <w:tcPr>
            <w:tcW w:w="2144" w:type="dxa"/>
            <w:tcBorders>
              <w:top w:val="single" w:color="auto" w:sz="6" w:space="0"/>
              <w:left w:val="single" w:color="auto" w:sz="6" w:space="0"/>
              <w:bottom w:val="single" w:color="auto" w:sz="6" w:space="0"/>
              <w:right w:val="single" w:color="auto" w:sz="6" w:space="0"/>
            </w:tcBorders>
          </w:tcPr>
          <w:p w14:paraId="675CC67B">
            <w:pPr>
              <w:spacing w:line="440" w:lineRule="exact"/>
              <w:jc w:val="center"/>
              <w:rPr>
                <w:rFonts w:hint="eastAsia" w:ascii="宋体" w:hAnsi="宋体" w:cs="宋体"/>
                <w:color w:val="auto"/>
              </w:rPr>
            </w:pPr>
          </w:p>
        </w:tc>
      </w:tr>
    </w:tbl>
    <w:p w14:paraId="706CCDFB">
      <w:pPr>
        <w:autoSpaceDE w:val="0"/>
        <w:autoSpaceDN w:val="0"/>
        <w:adjustRightInd w:val="0"/>
        <w:snapToGrid w:val="0"/>
        <w:spacing w:line="240" w:lineRule="atLeast"/>
        <w:rPr>
          <w:rFonts w:hint="eastAsia" w:ascii="宋体" w:hAnsi="宋体" w:cs="宋体"/>
          <w:b/>
          <w:color w:val="auto"/>
          <w:spacing w:val="10"/>
        </w:rPr>
      </w:pPr>
    </w:p>
    <w:p w14:paraId="7988DE19">
      <w:pPr>
        <w:pStyle w:val="9"/>
        <w:spacing w:before="72" w:beforeLines="25" w:after="72" w:afterLines="25"/>
        <w:ind w:firstLine="0"/>
        <w:rPr>
          <w:rFonts w:hint="eastAsia" w:ascii="宋体" w:hAnsi="宋体" w:cs="宋体"/>
          <w:color w:val="auto"/>
        </w:rPr>
      </w:pPr>
      <w:r>
        <w:rPr>
          <w:rFonts w:hint="eastAsia" w:ascii="宋体" w:hAnsi="宋体" w:cs="宋体"/>
          <w:color w:val="auto"/>
        </w:rPr>
        <w:t>特别提示：</w:t>
      </w:r>
    </w:p>
    <w:p w14:paraId="6C2938C6">
      <w:pPr>
        <w:pStyle w:val="9"/>
        <w:spacing w:before="72" w:beforeLines="25" w:after="72" w:afterLines="25"/>
        <w:ind w:firstLineChars="200"/>
        <w:rPr>
          <w:rFonts w:hint="eastAsia" w:ascii="宋体" w:hAnsi="宋体" w:cs="宋体"/>
          <w:b/>
          <w:bCs/>
          <w:color w:val="auto"/>
        </w:rPr>
      </w:pPr>
      <w:r>
        <w:rPr>
          <w:rFonts w:hint="eastAsia" w:ascii="宋体" w:hAnsi="宋体" w:cs="宋体"/>
          <w:color w:val="auto"/>
        </w:rPr>
        <w:t>投标人须按本招标文件评标信息中“拟安排的项目负责人情况（仅限一人）”这一评审因素要求，提供相关证明资料如：</w:t>
      </w:r>
      <w:r>
        <w:rPr>
          <w:rFonts w:hint="eastAsia" w:ascii="宋体" w:hAnsi="宋体" w:cs="宋体"/>
          <w:b/>
          <w:color w:val="auto"/>
          <w:spacing w:val="10"/>
        </w:rPr>
        <w:t>身份证复印件、职称证书复印件、</w:t>
      </w:r>
      <w:r>
        <w:rPr>
          <w:rFonts w:hint="eastAsia" w:ascii="宋体" w:hAnsi="宋体" w:cs="宋体"/>
          <w:b/>
          <w:bCs/>
          <w:color w:val="auto"/>
        </w:rPr>
        <w:t>国家规定或行业相关上岗、执业资格证书复印件、本单位社保缴纳证明、</w:t>
      </w:r>
      <w:r>
        <w:rPr>
          <w:rFonts w:hint="eastAsia" w:ascii="宋体" w:hAnsi="宋体" w:cs="宋体"/>
          <w:b/>
          <w:color w:val="auto"/>
          <w:spacing w:val="10"/>
        </w:rPr>
        <w:t>相关业绩证明材料复印件等</w:t>
      </w:r>
      <w:r>
        <w:rPr>
          <w:rFonts w:hint="eastAsia" w:ascii="宋体" w:hAnsi="宋体" w:cs="宋体"/>
          <w:b/>
          <w:bCs/>
          <w:color w:val="auto"/>
        </w:rPr>
        <w:t>。</w:t>
      </w:r>
    </w:p>
    <w:p w14:paraId="2E04BD1F">
      <w:pPr>
        <w:pStyle w:val="2"/>
        <w:rPr>
          <w:color w:val="auto"/>
        </w:rPr>
      </w:pPr>
    </w:p>
    <w:p w14:paraId="6C0C54F4">
      <w:pPr>
        <w:autoSpaceDE w:val="0"/>
        <w:autoSpaceDN w:val="0"/>
        <w:adjustRightInd w:val="0"/>
        <w:snapToGrid w:val="0"/>
        <w:spacing w:line="240" w:lineRule="atLeast"/>
        <w:rPr>
          <w:rFonts w:hint="eastAsia" w:ascii="宋体" w:hAnsi="宋体" w:cs="宋体"/>
          <w:color w:val="auto"/>
        </w:rPr>
      </w:pPr>
      <w:r>
        <w:rPr>
          <w:rFonts w:hint="eastAsia" w:ascii="宋体" w:hAnsi="宋体" w:cs="宋体"/>
          <w:color w:val="auto"/>
        </w:rPr>
        <w:t>特别要求：</w:t>
      </w:r>
    </w:p>
    <w:p w14:paraId="6E878B18">
      <w:pPr>
        <w:autoSpaceDE w:val="0"/>
        <w:autoSpaceDN w:val="0"/>
        <w:adjustRightInd w:val="0"/>
        <w:snapToGrid w:val="0"/>
        <w:spacing w:line="240" w:lineRule="atLeast"/>
        <w:ind w:firstLine="420" w:firstLineChars="200"/>
        <w:rPr>
          <w:rFonts w:hint="eastAsia" w:ascii="宋体" w:hAnsi="宋体" w:cs="宋体"/>
          <w:color w:val="auto"/>
          <w:sz w:val="24"/>
        </w:rPr>
      </w:pPr>
      <w:r>
        <w:rPr>
          <w:rFonts w:hint="eastAsia" w:ascii="宋体" w:hAnsi="宋体" w:cs="宋体"/>
          <w:color w:val="auto"/>
          <w:kern w:val="1"/>
        </w:rPr>
        <w:t>拟投入本项目的工作人员须满足本项目的工作要求，在合同履行过程中，中标人须根据本项目的实际需求或采购人的进度要求，对人员进行合理的增加，费用均包含在投标报价中。</w:t>
      </w:r>
    </w:p>
    <w:p w14:paraId="2A8B17DB">
      <w:pPr>
        <w:pStyle w:val="9"/>
        <w:spacing w:before="72" w:beforeLines="25" w:after="72" w:afterLines="25"/>
        <w:ind w:firstLine="0"/>
        <w:rPr>
          <w:rFonts w:hint="eastAsia" w:ascii="黑体" w:hAnsi="宋体" w:eastAsia="黑体"/>
          <w:color w:val="auto"/>
          <w:sz w:val="24"/>
        </w:rPr>
      </w:pPr>
    </w:p>
    <w:p w14:paraId="077C1AB8">
      <w:pPr>
        <w:rPr>
          <w:rFonts w:hint="eastAsia" w:ascii="黑体" w:hAnsi="宋体" w:eastAsia="黑体"/>
          <w:color w:val="auto"/>
          <w:sz w:val="24"/>
        </w:rPr>
      </w:pPr>
    </w:p>
    <w:p w14:paraId="5B8E1B7B">
      <w:pPr>
        <w:pStyle w:val="41"/>
        <w:ind w:firstLine="480"/>
        <w:rPr>
          <w:rFonts w:hint="eastAsia" w:ascii="黑体" w:eastAsia="黑体"/>
          <w:color w:val="auto"/>
          <w:sz w:val="24"/>
        </w:rPr>
      </w:pPr>
    </w:p>
    <w:p w14:paraId="537C945F">
      <w:pPr>
        <w:rPr>
          <w:rFonts w:hint="eastAsia" w:ascii="黑体" w:hAnsi="宋体" w:eastAsia="黑体"/>
          <w:color w:val="auto"/>
          <w:sz w:val="24"/>
        </w:rPr>
      </w:pPr>
    </w:p>
    <w:p w14:paraId="1D319354">
      <w:pPr>
        <w:pStyle w:val="41"/>
        <w:ind w:firstLine="480"/>
        <w:rPr>
          <w:rFonts w:hint="eastAsia" w:ascii="黑体" w:eastAsia="黑体"/>
          <w:color w:val="auto"/>
          <w:sz w:val="24"/>
        </w:rPr>
      </w:pPr>
    </w:p>
    <w:p w14:paraId="036990F6">
      <w:pPr>
        <w:rPr>
          <w:rFonts w:hint="eastAsia" w:ascii="黑体" w:hAnsi="宋体" w:eastAsia="黑体"/>
          <w:color w:val="auto"/>
          <w:sz w:val="24"/>
        </w:rPr>
      </w:pPr>
    </w:p>
    <w:p w14:paraId="5BBB0977">
      <w:pPr>
        <w:rPr>
          <w:rFonts w:hint="eastAsia" w:ascii="黑体" w:hAnsi="宋体" w:eastAsia="黑体"/>
          <w:color w:val="auto"/>
          <w:sz w:val="24"/>
        </w:rPr>
      </w:pPr>
    </w:p>
    <w:p w14:paraId="571C49C0">
      <w:pPr>
        <w:rPr>
          <w:color w:val="auto"/>
        </w:rPr>
      </w:pPr>
    </w:p>
    <w:p w14:paraId="08C0CA39">
      <w:pPr>
        <w:pStyle w:val="9"/>
        <w:spacing w:before="72" w:beforeLines="25" w:after="72" w:afterLines="25"/>
        <w:ind w:firstLine="0"/>
        <w:rPr>
          <w:rFonts w:hint="eastAsia" w:ascii="黑体" w:hAnsi="宋体" w:eastAsia="黑体"/>
          <w:b/>
          <w:bCs/>
          <w:color w:val="auto"/>
          <w:sz w:val="24"/>
        </w:rPr>
      </w:pPr>
      <w:r>
        <w:rPr>
          <w:rFonts w:hint="eastAsia" w:ascii="黑体" w:hAnsi="宋体" w:eastAsia="黑体"/>
          <w:b/>
          <w:bCs/>
          <w:color w:val="auto"/>
          <w:sz w:val="24"/>
        </w:rPr>
        <w:t>附件十、拟安排的项目主要团队成员（主要技术人员）情况（项目负责人除外）</w:t>
      </w:r>
    </w:p>
    <w:p w14:paraId="7CB9E6BB">
      <w:pPr>
        <w:rPr>
          <w:color w:val="auto"/>
        </w:rPr>
      </w:pPr>
    </w:p>
    <w:tbl>
      <w:tblPr>
        <w:tblStyle w:val="42"/>
        <w:tblpPr w:leftFromText="180" w:rightFromText="180" w:vertAnchor="text" w:horzAnchor="page" w:tblpXSpec="center" w:tblpY="219"/>
        <w:tblOverlap w:val="never"/>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078"/>
        <w:gridCol w:w="1019"/>
        <w:gridCol w:w="1157"/>
        <w:gridCol w:w="1250"/>
        <w:gridCol w:w="1197"/>
        <w:gridCol w:w="1344"/>
        <w:gridCol w:w="1600"/>
      </w:tblGrid>
      <w:tr w14:paraId="10B9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282" w:type="pct"/>
            <w:vAlign w:val="center"/>
          </w:tcPr>
          <w:p w14:paraId="3926ED30">
            <w:pPr>
              <w:spacing w:line="440" w:lineRule="exact"/>
              <w:jc w:val="center"/>
              <w:rPr>
                <w:rFonts w:hint="eastAsia" w:ascii="宋体" w:hAnsi="宋体" w:cs="宋体"/>
                <w:color w:val="auto"/>
              </w:rPr>
            </w:pPr>
            <w:r>
              <w:rPr>
                <w:rFonts w:hint="eastAsia" w:ascii="宋体" w:hAnsi="宋体" w:cs="宋体"/>
                <w:color w:val="auto"/>
              </w:rPr>
              <w:t>序号</w:t>
            </w:r>
          </w:p>
        </w:tc>
        <w:tc>
          <w:tcPr>
            <w:tcW w:w="588" w:type="pct"/>
            <w:vAlign w:val="center"/>
          </w:tcPr>
          <w:p w14:paraId="3A19D25D">
            <w:pPr>
              <w:spacing w:line="440" w:lineRule="exact"/>
              <w:jc w:val="center"/>
              <w:rPr>
                <w:rFonts w:hint="eastAsia" w:ascii="宋体" w:hAnsi="宋体" w:cs="宋体"/>
                <w:color w:val="auto"/>
              </w:rPr>
            </w:pPr>
            <w:r>
              <w:rPr>
                <w:rFonts w:hint="eastAsia" w:ascii="宋体" w:hAnsi="宋体" w:cs="宋体"/>
                <w:color w:val="auto"/>
              </w:rPr>
              <w:t>姓名</w:t>
            </w:r>
          </w:p>
        </w:tc>
        <w:tc>
          <w:tcPr>
            <w:tcW w:w="556" w:type="pct"/>
            <w:vAlign w:val="center"/>
          </w:tcPr>
          <w:p w14:paraId="6569597A">
            <w:pPr>
              <w:spacing w:line="440" w:lineRule="exact"/>
              <w:jc w:val="center"/>
              <w:rPr>
                <w:rFonts w:hint="eastAsia" w:ascii="宋体" w:hAnsi="宋体" w:cs="宋体"/>
                <w:color w:val="auto"/>
              </w:rPr>
            </w:pPr>
            <w:r>
              <w:rPr>
                <w:rFonts w:hint="eastAsia" w:ascii="宋体" w:hAnsi="宋体" w:cs="宋体"/>
                <w:color w:val="auto"/>
              </w:rPr>
              <w:t>性别</w:t>
            </w:r>
          </w:p>
        </w:tc>
        <w:tc>
          <w:tcPr>
            <w:tcW w:w="631" w:type="pct"/>
            <w:vAlign w:val="center"/>
          </w:tcPr>
          <w:p w14:paraId="79832E35">
            <w:pPr>
              <w:spacing w:line="440" w:lineRule="exact"/>
              <w:jc w:val="center"/>
              <w:rPr>
                <w:rFonts w:hint="eastAsia" w:ascii="宋体" w:hAnsi="宋体" w:cs="宋体"/>
                <w:color w:val="auto"/>
              </w:rPr>
            </w:pPr>
            <w:r>
              <w:rPr>
                <w:rFonts w:hint="eastAsia" w:ascii="宋体" w:hAnsi="宋体" w:cs="宋体"/>
                <w:color w:val="auto"/>
              </w:rPr>
              <w:t>职称</w:t>
            </w:r>
          </w:p>
        </w:tc>
        <w:tc>
          <w:tcPr>
            <w:tcW w:w="682" w:type="pct"/>
            <w:vAlign w:val="center"/>
          </w:tcPr>
          <w:p w14:paraId="0F397B73">
            <w:pPr>
              <w:spacing w:line="440" w:lineRule="exact"/>
              <w:jc w:val="center"/>
              <w:rPr>
                <w:rFonts w:hint="eastAsia" w:ascii="宋体" w:hAnsi="宋体" w:cs="宋体"/>
                <w:color w:val="auto"/>
              </w:rPr>
            </w:pPr>
            <w:r>
              <w:rPr>
                <w:rFonts w:hint="eastAsia" w:ascii="宋体" w:hAnsi="宋体" w:cs="宋体"/>
                <w:color w:val="auto"/>
              </w:rPr>
              <w:t>目前从事的岗位</w:t>
            </w:r>
          </w:p>
        </w:tc>
        <w:tc>
          <w:tcPr>
            <w:tcW w:w="653" w:type="pct"/>
            <w:vAlign w:val="center"/>
          </w:tcPr>
          <w:p w14:paraId="2CE62D5D">
            <w:pPr>
              <w:spacing w:line="440" w:lineRule="exact"/>
              <w:jc w:val="center"/>
              <w:rPr>
                <w:rFonts w:hint="eastAsia" w:ascii="宋体" w:hAnsi="宋体" w:cs="宋体"/>
                <w:color w:val="auto"/>
              </w:rPr>
            </w:pPr>
            <w:r>
              <w:rPr>
                <w:rFonts w:hint="eastAsia" w:ascii="宋体" w:hAnsi="宋体" w:cs="宋体"/>
                <w:color w:val="auto"/>
              </w:rPr>
              <w:t>从业资格证书</w:t>
            </w:r>
          </w:p>
        </w:tc>
        <w:tc>
          <w:tcPr>
            <w:tcW w:w="733" w:type="pct"/>
            <w:vAlign w:val="center"/>
          </w:tcPr>
          <w:p w14:paraId="0C469874">
            <w:pPr>
              <w:spacing w:line="440" w:lineRule="exact"/>
              <w:jc w:val="center"/>
              <w:rPr>
                <w:rFonts w:hint="eastAsia" w:ascii="宋体" w:hAnsi="宋体" w:cs="宋体"/>
                <w:color w:val="auto"/>
              </w:rPr>
            </w:pPr>
            <w:r>
              <w:rPr>
                <w:rFonts w:hint="eastAsia" w:ascii="宋体" w:hAnsi="宋体" w:cs="宋体"/>
                <w:color w:val="auto"/>
              </w:rPr>
              <w:t>从事该岗位的时间</w:t>
            </w:r>
          </w:p>
        </w:tc>
        <w:tc>
          <w:tcPr>
            <w:tcW w:w="873" w:type="pct"/>
            <w:vAlign w:val="center"/>
          </w:tcPr>
          <w:p w14:paraId="7F8A26BA">
            <w:pPr>
              <w:spacing w:line="440" w:lineRule="exact"/>
              <w:jc w:val="center"/>
              <w:rPr>
                <w:rFonts w:hint="eastAsia" w:ascii="宋体" w:hAnsi="宋体" w:cs="宋体"/>
                <w:color w:val="auto"/>
              </w:rPr>
            </w:pPr>
            <w:r>
              <w:rPr>
                <w:rFonts w:hint="eastAsia" w:ascii="宋体" w:hAnsi="宋体" w:cs="宋体"/>
                <w:color w:val="auto"/>
              </w:rPr>
              <w:t>项目业绩案列</w:t>
            </w:r>
          </w:p>
        </w:tc>
      </w:tr>
      <w:tr w14:paraId="7862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82" w:type="pct"/>
          </w:tcPr>
          <w:p w14:paraId="32FF8122">
            <w:pPr>
              <w:spacing w:line="440" w:lineRule="exact"/>
              <w:jc w:val="center"/>
              <w:rPr>
                <w:rFonts w:hint="eastAsia" w:ascii="宋体" w:hAnsi="宋体" w:cs="宋体"/>
                <w:color w:val="auto"/>
              </w:rPr>
            </w:pPr>
            <w:r>
              <w:rPr>
                <w:rFonts w:hint="eastAsia" w:ascii="宋体" w:hAnsi="宋体" w:cs="宋体"/>
                <w:color w:val="auto"/>
              </w:rPr>
              <w:t>1</w:t>
            </w:r>
          </w:p>
        </w:tc>
        <w:tc>
          <w:tcPr>
            <w:tcW w:w="588" w:type="pct"/>
          </w:tcPr>
          <w:p w14:paraId="0B1C0767">
            <w:pPr>
              <w:spacing w:line="440" w:lineRule="exact"/>
              <w:jc w:val="center"/>
              <w:rPr>
                <w:rFonts w:hint="eastAsia" w:ascii="宋体" w:hAnsi="宋体" w:cs="宋体"/>
                <w:color w:val="auto"/>
              </w:rPr>
            </w:pPr>
          </w:p>
        </w:tc>
        <w:tc>
          <w:tcPr>
            <w:tcW w:w="556" w:type="pct"/>
          </w:tcPr>
          <w:p w14:paraId="7E5C79C1">
            <w:pPr>
              <w:spacing w:line="440" w:lineRule="exact"/>
              <w:jc w:val="center"/>
              <w:rPr>
                <w:rFonts w:hint="eastAsia" w:ascii="宋体" w:hAnsi="宋体" w:cs="宋体"/>
                <w:color w:val="auto"/>
              </w:rPr>
            </w:pPr>
          </w:p>
        </w:tc>
        <w:tc>
          <w:tcPr>
            <w:tcW w:w="631" w:type="pct"/>
          </w:tcPr>
          <w:p w14:paraId="0E82B178">
            <w:pPr>
              <w:spacing w:line="440" w:lineRule="exact"/>
              <w:jc w:val="center"/>
              <w:rPr>
                <w:rFonts w:hint="eastAsia" w:ascii="宋体" w:hAnsi="宋体" w:cs="宋体"/>
                <w:color w:val="auto"/>
              </w:rPr>
            </w:pPr>
          </w:p>
        </w:tc>
        <w:tc>
          <w:tcPr>
            <w:tcW w:w="682" w:type="pct"/>
          </w:tcPr>
          <w:p w14:paraId="5BE7AF91">
            <w:pPr>
              <w:spacing w:line="440" w:lineRule="exact"/>
              <w:jc w:val="center"/>
              <w:rPr>
                <w:rFonts w:hint="eastAsia" w:ascii="宋体" w:hAnsi="宋体" w:cs="宋体"/>
                <w:color w:val="auto"/>
              </w:rPr>
            </w:pPr>
          </w:p>
        </w:tc>
        <w:tc>
          <w:tcPr>
            <w:tcW w:w="653" w:type="pct"/>
          </w:tcPr>
          <w:p w14:paraId="7243A639">
            <w:pPr>
              <w:spacing w:line="440" w:lineRule="exact"/>
              <w:jc w:val="center"/>
              <w:rPr>
                <w:rFonts w:hint="eastAsia" w:ascii="宋体" w:hAnsi="宋体" w:cs="宋体"/>
                <w:color w:val="auto"/>
              </w:rPr>
            </w:pPr>
          </w:p>
        </w:tc>
        <w:tc>
          <w:tcPr>
            <w:tcW w:w="733" w:type="pct"/>
          </w:tcPr>
          <w:p w14:paraId="5704A881">
            <w:pPr>
              <w:spacing w:line="440" w:lineRule="exact"/>
              <w:jc w:val="center"/>
              <w:rPr>
                <w:rFonts w:hint="eastAsia" w:ascii="宋体" w:hAnsi="宋体" w:cs="宋体"/>
                <w:color w:val="auto"/>
              </w:rPr>
            </w:pPr>
          </w:p>
        </w:tc>
        <w:tc>
          <w:tcPr>
            <w:tcW w:w="873" w:type="pct"/>
          </w:tcPr>
          <w:p w14:paraId="4A4D90D8">
            <w:pPr>
              <w:spacing w:line="440" w:lineRule="exact"/>
              <w:jc w:val="center"/>
              <w:rPr>
                <w:rFonts w:hint="eastAsia" w:ascii="宋体" w:hAnsi="宋体" w:cs="宋体"/>
                <w:color w:val="auto"/>
              </w:rPr>
            </w:pPr>
          </w:p>
        </w:tc>
      </w:tr>
      <w:tr w14:paraId="2728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82" w:type="pct"/>
          </w:tcPr>
          <w:p w14:paraId="7585CAF0">
            <w:pPr>
              <w:spacing w:line="440" w:lineRule="exact"/>
              <w:jc w:val="center"/>
              <w:rPr>
                <w:rFonts w:hint="eastAsia" w:ascii="宋体" w:hAnsi="宋体" w:cs="宋体"/>
                <w:color w:val="auto"/>
              </w:rPr>
            </w:pPr>
            <w:r>
              <w:rPr>
                <w:rFonts w:hint="eastAsia" w:ascii="宋体" w:hAnsi="宋体" w:cs="宋体"/>
                <w:color w:val="auto"/>
              </w:rPr>
              <w:t>2</w:t>
            </w:r>
          </w:p>
        </w:tc>
        <w:tc>
          <w:tcPr>
            <w:tcW w:w="588" w:type="pct"/>
          </w:tcPr>
          <w:p w14:paraId="4200C5D7">
            <w:pPr>
              <w:spacing w:line="440" w:lineRule="exact"/>
              <w:jc w:val="center"/>
              <w:rPr>
                <w:rFonts w:hint="eastAsia" w:ascii="宋体" w:hAnsi="宋体" w:cs="宋体"/>
                <w:color w:val="auto"/>
              </w:rPr>
            </w:pPr>
          </w:p>
        </w:tc>
        <w:tc>
          <w:tcPr>
            <w:tcW w:w="556" w:type="pct"/>
          </w:tcPr>
          <w:p w14:paraId="192B71A8">
            <w:pPr>
              <w:spacing w:line="440" w:lineRule="exact"/>
              <w:jc w:val="center"/>
              <w:rPr>
                <w:rFonts w:hint="eastAsia" w:ascii="宋体" w:hAnsi="宋体" w:cs="宋体"/>
                <w:color w:val="auto"/>
              </w:rPr>
            </w:pPr>
          </w:p>
        </w:tc>
        <w:tc>
          <w:tcPr>
            <w:tcW w:w="631" w:type="pct"/>
          </w:tcPr>
          <w:p w14:paraId="5FD110F4">
            <w:pPr>
              <w:spacing w:line="440" w:lineRule="exact"/>
              <w:jc w:val="center"/>
              <w:rPr>
                <w:rFonts w:hint="eastAsia" w:ascii="宋体" w:hAnsi="宋体" w:cs="宋体"/>
                <w:color w:val="auto"/>
              </w:rPr>
            </w:pPr>
          </w:p>
        </w:tc>
        <w:tc>
          <w:tcPr>
            <w:tcW w:w="682" w:type="pct"/>
          </w:tcPr>
          <w:p w14:paraId="014D65E9">
            <w:pPr>
              <w:spacing w:line="440" w:lineRule="exact"/>
              <w:jc w:val="center"/>
              <w:rPr>
                <w:rFonts w:hint="eastAsia" w:ascii="宋体" w:hAnsi="宋体" w:cs="宋体"/>
                <w:color w:val="auto"/>
              </w:rPr>
            </w:pPr>
          </w:p>
        </w:tc>
        <w:tc>
          <w:tcPr>
            <w:tcW w:w="653" w:type="pct"/>
          </w:tcPr>
          <w:p w14:paraId="4B0014BA">
            <w:pPr>
              <w:spacing w:line="440" w:lineRule="exact"/>
              <w:jc w:val="center"/>
              <w:rPr>
                <w:rFonts w:hint="eastAsia" w:ascii="宋体" w:hAnsi="宋体" w:cs="宋体"/>
                <w:color w:val="auto"/>
              </w:rPr>
            </w:pPr>
          </w:p>
        </w:tc>
        <w:tc>
          <w:tcPr>
            <w:tcW w:w="733" w:type="pct"/>
          </w:tcPr>
          <w:p w14:paraId="4EFE7738">
            <w:pPr>
              <w:spacing w:line="440" w:lineRule="exact"/>
              <w:jc w:val="center"/>
              <w:rPr>
                <w:rFonts w:hint="eastAsia" w:ascii="宋体" w:hAnsi="宋体" w:cs="宋体"/>
                <w:color w:val="auto"/>
              </w:rPr>
            </w:pPr>
          </w:p>
        </w:tc>
        <w:tc>
          <w:tcPr>
            <w:tcW w:w="873" w:type="pct"/>
          </w:tcPr>
          <w:p w14:paraId="3A5759B0">
            <w:pPr>
              <w:spacing w:line="440" w:lineRule="exact"/>
              <w:jc w:val="center"/>
              <w:rPr>
                <w:rFonts w:hint="eastAsia" w:ascii="宋体" w:hAnsi="宋体" w:cs="宋体"/>
                <w:color w:val="auto"/>
              </w:rPr>
            </w:pPr>
          </w:p>
        </w:tc>
      </w:tr>
      <w:tr w14:paraId="71A9D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82" w:type="pct"/>
          </w:tcPr>
          <w:p w14:paraId="242681C7">
            <w:pPr>
              <w:spacing w:line="440" w:lineRule="exact"/>
              <w:jc w:val="center"/>
              <w:rPr>
                <w:rFonts w:hint="eastAsia" w:ascii="宋体" w:hAnsi="宋体" w:cs="宋体"/>
                <w:color w:val="auto"/>
              </w:rPr>
            </w:pPr>
            <w:r>
              <w:rPr>
                <w:rFonts w:hint="eastAsia" w:ascii="宋体" w:hAnsi="宋体" w:cs="宋体"/>
                <w:color w:val="auto"/>
              </w:rPr>
              <w:t>3</w:t>
            </w:r>
          </w:p>
        </w:tc>
        <w:tc>
          <w:tcPr>
            <w:tcW w:w="588" w:type="pct"/>
          </w:tcPr>
          <w:p w14:paraId="61249F0E">
            <w:pPr>
              <w:spacing w:line="440" w:lineRule="exact"/>
              <w:jc w:val="center"/>
              <w:rPr>
                <w:rFonts w:hint="eastAsia" w:ascii="宋体" w:hAnsi="宋体" w:cs="宋体"/>
                <w:color w:val="auto"/>
              </w:rPr>
            </w:pPr>
          </w:p>
        </w:tc>
        <w:tc>
          <w:tcPr>
            <w:tcW w:w="556" w:type="pct"/>
          </w:tcPr>
          <w:p w14:paraId="1A03DF65">
            <w:pPr>
              <w:spacing w:line="440" w:lineRule="exact"/>
              <w:jc w:val="center"/>
              <w:rPr>
                <w:rFonts w:hint="eastAsia" w:ascii="宋体" w:hAnsi="宋体" w:cs="宋体"/>
                <w:color w:val="auto"/>
              </w:rPr>
            </w:pPr>
          </w:p>
        </w:tc>
        <w:tc>
          <w:tcPr>
            <w:tcW w:w="631" w:type="pct"/>
          </w:tcPr>
          <w:p w14:paraId="0C45192C">
            <w:pPr>
              <w:spacing w:line="440" w:lineRule="exact"/>
              <w:jc w:val="center"/>
              <w:rPr>
                <w:rFonts w:hint="eastAsia" w:ascii="宋体" w:hAnsi="宋体" w:cs="宋体"/>
                <w:color w:val="auto"/>
              </w:rPr>
            </w:pPr>
          </w:p>
        </w:tc>
        <w:tc>
          <w:tcPr>
            <w:tcW w:w="682" w:type="pct"/>
          </w:tcPr>
          <w:p w14:paraId="35C5CB27">
            <w:pPr>
              <w:spacing w:line="440" w:lineRule="exact"/>
              <w:jc w:val="center"/>
              <w:rPr>
                <w:rFonts w:hint="eastAsia" w:ascii="宋体" w:hAnsi="宋体" w:cs="宋体"/>
                <w:color w:val="auto"/>
              </w:rPr>
            </w:pPr>
          </w:p>
        </w:tc>
        <w:tc>
          <w:tcPr>
            <w:tcW w:w="653" w:type="pct"/>
          </w:tcPr>
          <w:p w14:paraId="6279E667">
            <w:pPr>
              <w:spacing w:line="440" w:lineRule="exact"/>
              <w:jc w:val="center"/>
              <w:rPr>
                <w:rFonts w:hint="eastAsia" w:ascii="宋体" w:hAnsi="宋体" w:cs="宋体"/>
                <w:color w:val="auto"/>
              </w:rPr>
            </w:pPr>
          </w:p>
        </w:tc>
        <w:tc>
          <w:tcPr>
            <w:tcW w:w="733" w:type="pct"/>
          </w:tcPr>
          <w:p w14:paraId="4AF5224F">
            <w:pPr>
              <w:spacing w:line="440" w:lineRule="exact"/>
              <w:jc w:val="center"/>
              <w:rPr>
                <w:rFonts w:hint="eastAsia" w:ascii="宋体" w:hAnsi="宋体" w:cs="宋体"/>
                <w:color w:val="auto"/>
              </w:rPr>
            </w:pPr>
          </w:p>
        </w:tc>
        <w:tc>
          <w:tcPr>
            <w:tcW w:w="873" w:type="pct"/>
          </w:tcPr>
          <w:p w14:paraId="6B2C84A2">
            <w:pPr>
              <w:spacing w:line="440" w:lineRule="exact"/>
              <w:jc w:val="center"/>
              <w:rPr>
                <w:rFonts w:hint="eastAsia" w:ascii="宋体" w:hAnsi="宋体" w:cs="宋体"/>
                <w:color w:val="auto"/>
              </w:rPr>
            </w:pPr>
          </w:p>
        </w:tc>
      </w:tr>
      <w:tr w14:paraId="51E3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282" w:type="pct"/>
          </w:tcPr>
          <w:p w14:paraId="6B39B472">
            <w:pPr>
              <w:spacing w:line="440" w:lineRule="exact"/>
              <w:jc w:val="center"/>
              <w:rPr>
                <w:rFonts w:hint="eastAsia" w:ascii="宋体" w:hAnsi="宋体" w:cs="宋体"/>
                <w:color w:val="auto"/>
              </w:rPr>
            </w:pPr>
            <w:r>
              <w:rPr>
                <w:rFonts w:hint="eastAsia" w:ascii="宋体" w:hAnsi="宋体" w:cs="宋体"/>
                <w:color w:val="auto"/>
              </w:rPr>
              <w:t>…</w:t>
            </w:r>
          </w:p>
        </w:tc>
        <w:tc>
          <w:tcPr>
            <w:tcW w:w="588" w:type="pct"/>
          </w:tcPr>
          <w:p w14:paraId="3475CB54">
            <w:pPr>
              <w:spacing w:line="440" w:lineRule="exact"/>
              <w:jc w:val="center"/>
              <w:rPr>
                <w:rFonts w:hint="eastAsia" w:ascii="宋体" w:hAnsi="宋体" w:cs="宋体"/>
                <w:color w:val="auto"/>
              </w:rPr>
            </w:pPr>
          </w:p>
        </w:tc>
        <w:tc>
          <w:tcPr>
            <w:tcW w:w="556" w:type="pct"/>
          </w:tcPr>
          <w:p w14:paraId="0EC74C8C">
            <w:pPr>
              <w:spacing w:line="440" w:lineRule="exact"/>
              <w:jc w:val="center"/>
              <w:rPr>
                <w:rFonts w:hint="eastAsia" w:ascii="宋体" w:hAnsi="宋体" w:cs="宋体"/>
                <w:color w:val="auto"/>
              </w:rPr>
            </w:pPr>
          </w:p>
        </w:tc>
        <w:tc>
          <w:tcPr>
            <w:tcW w:w="631" w:type="pct"/>
          </w:tcPr>
          <w:p w14:paraId="39AA0F38">
            <w:pPr>
              <w:spacing w:line="440" w:lineRule="exact"/>
              <w:jc w:val="center"/>
              <w:rPr>
                <w:rFonts w:hint="eastAsia" w:ascii="宋体" w:hAnsi="宋体" w:cs="宋体"/>
                <w:color w:val="auto"/>
              </w:rPr>
            </w:pPr>
          </w:p>
        </w:tc>
        <w:tc>
          <w:tcPr>
            <w:tcW w:w="682" w:type="pct"/>
          </w:tcPr>
          <w:p w14:paraId="42E9C1B6">
            <w:pPr>
              <w:spacing w:line="440" w:lineRule="exact"/>
              <w:jc w:val="center"/>
              <w:rPr>
                <w:rFonts w:hint="eastAsia" w:ascii="宋体" w:hAnsi="宋体" w:cs="宋体"/>
                <w:color w:val="auto"/>
              </w:rPr>
            </w:pPr>
          </w:p>
        </w:tc>
        <w:tc>
          <w:tcPr>
            <w:tcW w:w="653" w:type="pct"/>
          </w:tcPr>
          <w:p w14:paraId="0A909289">
            <w:pPr>
              <w:spacing w:line="440" w:lineRule="exact"/>
              <w:jc w:val="center"/>
              <w:rPr>
                <w:rFonts w:hint="eastAsia" w:ascii="宋体" w:hAnsi="宋体" w:cs="宋体"/>
                <w:color w:val="auto"/>
              </w:rPr>
            </w:pPr>
          </w:p>
        </w:tc>
        <w:tc>
          <w:tcPr>
            <w:tcW w:w="733" w:type="pct"/>
          </w:tcPr>
          <w:p w14:paraId="1FE1EA14">
            <w:pPr>
              <w:spacing w:line="440" w:lineRule="exact"/>
              <w:jc w:val="center"/>
              <w:rPr>
                <w:rFonts w:hint="eastAsia" w:ascii="宋体" w:hAnsi="宋体" w:cs="宋体"/>
                <w:color w:val="auto"/>
              </w:rPr>
            </w:pPr>
          </w:p>
        </w:tc>
        <w:tc>
          <w:tcPr>
            <w:tcW w:w="873" w:type="pct"/>
          </w:tcPr>
          <w:p w14:paraId="07E79931">
            <w:pPr>
              <w:spacing w:line="440" w:lineRule="exact"/>
              <w:jc w:val="center"/>
              <w:rPr>
                <w:rFonts w:hint="eastAsia" w:ascii="宋体" w:hAnsi="宋体" w:cs="宋体"/>
                <w:color w:val="auto"/>
              </w:rPr>
            </w:pPr>
          </w:p>
        </w:tc>
      </w:tr>
    </w:tbl>
    <w:p w14:paraId="683B354F">
      <w:pPr>
        <w:pStyle w:val="9"/>
        <w:spacing w:before="72" w:beforeLines="25" w:after="72" w:afterLines="25"/>
        <w:ind w:firstLine="0"/>
        <w:rPr>
          <w:rFonts w:hint="eastAsia" w:ascii="宋体" w:hAnsi="宋体" w:cs="宋体"/>
          <w:color w:val="auto"/>
        </w:rPr>
      </w:pPr>
      <w:r>
        <w:rPr>
          <w:rFonts w:hint="eastAsia" w:ascii="宋体" w:hAnsi="宋体" w:cs="宋体"/>
          <w:color w:val="auto"/>
        </w:rPr>
        <w:t>特别提示：</w:t>
      </w:r>
    </w:p>
    <w:p w14:paraId="04741C58">
      <w:pPr>
        <w:pStyle w:val="9"/>
        <w:spacing w:before="72" w:beforeLines="25" w:after="72" w:afterLines="25"/>
        <w:ind w:firstLineChars="200"/>
        <w:rPr>
          <w:rFonts w:hint="eastAsia" w:ascii="宋体" w:hAnsi="宋体" w:cs="宋体"/>
          <w:b/>
          <w:bCs/>
          <w:color w:val="auto"/>
        </w:rPr>
      </w:pPr>
      <w:r>
        <w:rPr>
          <w:rFonts w:hint="eastAsia" w:ascii="宋体" w:hAnsi="宋体" w:cs="宋体"/>
          <w:color w:val="auto"/>
        </w:rPr>
        <w:t>投标人须按本招标文件评标信息中“拟安排的项目主要团队成员（主要技术人员）情况（项目负责人除外）”这一评审因素要求，提供证明相关资料如：</w:t>
      </w:r>
      <w:r>
        <w:rPr>
          <w:rFonts w:hint="eastAsia" w:ascii="宋体" w:hAnsi="宋体" w:cs="宋体"/>
          <w:b/>
          <w:color w:val="auto"/>
          <w:spacing w:val="10"/>
        </w:rPr>
        <w:t>身份证复印件、职称证书复印件、</w:t>
      </w:r>
      <w:r>
        <w:rPr>
          <w:rFonts w:hint="eastAsia" w:ascii="宋体" w:hAnsi="宋体" w:cs="宋体"/>
          <w:b/>
          <w:bCs/>
          <w:color w:val="auto"/>
        </w:rPr>
        <w:t>国家规定或行业相关上岗、执业资格证书复印件、本单位社保缴纳证明、</w:t>
      </w:r>
      <w:r>
        <w:rPr>
          <w:rFonts w:hint="eastAsia" w:ascii="宋体" w:hAnsi="宋体" w:cs="宋体"/>
          <w:b/>
          <w:color w:val="auto"/>
          <w:spacing w:val="10"/>
        </w:rPr>
        <w:t>相关业绩证明材料复印件等</w:t>
      </w:r>
      <w:r>
        <w:rPr>
          <w:rFonts w:hint="eastAsia" w:ascii="宋体" w:hAnsi="宋体" w:cs="宋体"/>
          <w:b/>
          <w:bCs/>
          <w:color w:val="auto"/>
        </w:rPr>
        <w:t>。</w:t>
      </w:r>
    </w:p>
    <w:p w14:paraId="0670E074">
      <w:pPr>
        <w:pStyle w:val="9"/>
        <w:spacing w:before="72" w:beforeLines="25" w:after="72" w:afterLines="25"/>
        <w:ind w:firstLine="480" w:firstLineChars="200"/>
        <w:rPr>
          <w:rFonts w:hint="eastAsia" w:ascii="宋体" w:hAnsi="宋体" w:cs="宋体"/>
          <w:color w:val="auto"/>
          <w:sz w:val="24"/>
        </w:rPr>
      </w:pPr>
    </w:p>
    <w:p w14:paraId="12A6AF91">
      <w:pPr>
        <w:rPr>
          <w:rFonts w:hint="eastAsia" w:ascii="宋体" w:hAnsi="宋体" w:cs="宋体"/>
          <w:color w:val="auto"/>
          <w:sz w:val="24"/>
        </w:rPr>
      </w:pPr>
    </w:p>
    <w:p w14:paraId="7059860A">
      <w:pPr>
        <w:pStyle w:val="41"/>
        <w:rPr>
          <w:rFonts w:hint="eastAsia"/>
          <w:color w:val="auto"/>
        </w:rPr>
      </w:pPr>
    </w:p>
    <w:p w14:paraId="3DD612F3">
      <w:pPr>
        <w:pStyle w:val="9"/>
        <w:spacing w:before="72" w:beforeLines="25" w:after="72" w:afterLines="25"/>
        <w:ind w:firstLine="0"/>
        <w:rPr>
          <w:rFonts w:hint="eastAsia" w:ascii="黑体" w:hAnsi="宋体" w:eastAsia="黑体"/>
          <w:color w:val="auto"/>
          <w:sz w:val="24"/>
        </w:rPr>
      </w:pPr>
    </w:p>
    <w:p w14:paraId="491D0E3A">
      <w:pPr>
        <w:pStyle w:val="9"/>
        <w:spacing w:before="72" w:beforeLines="25" w:after="72" w:afterLines="25"/>
        <w:ind w:firstLine="0"/>
        <w:jc w:val="center"/>
        <w:rPr>
          <w:rFonts w:hint="eastAsia" w:ascii="黑体" w:hAnsi="宋体" w:eastAsia="黑体"/>
          <w:b/>
          <w:bCs/>
          <w:color w:val="auto"/>
          <w:sz w:val="24"/>
        </w:rPr>
      </w:pPr>
      <w:r>
        <w:rPr>
          <w:rFonts w:hint="eastAsia" w:ascii="黑体" w:hAnsi="宋体" w:eastAsia="黑体"/>
          <w:b/>
          <w:bCs/>
          <w:color w:val="auto"/>
          <w:sz w:val="24"/>
        </w:rPr>
        <w:t>附件十一、项目服务承诺</w:t>
      </w:r>
    </w:p>
    <w:p w14:paraId="3E3D1BF6">
      <w:pPr>
        <w:autoSpaceDE w:val="0"/>
        <w:autoSpaceDN w:val="0"/>
        <w:adjustRightInd w:val="0"/>
        <w:snapToGrid w:val="0"/>
        <w:spacing w:line="240" w:lineRule="atLeast"/>
        <w:rPr>
          <w:rFonts w:hint="eastAsia" w:ascii="宋体" w:hAnsi="宋体" w:cs="宋体"/>
          <w:color w:val="auto"/>
          <w:kern w:val="1"/>
        </w:rPr>
      </w:pPr>
      <w:r>
        <w:rPr>
          <w:rFonts w:hint="eastAsia" w:ascii="宋体" w:hAnsi="宋体" w:cs="宋体"/>
          <w:color w:val="auto"/>
          <w:kern w:val="1"/>
        </w:rPr>
        <w:t>特别提示：</w:t>
      </w:r>
    </w:p>
    <w:p w14:paraId="101D3D42">
      <w:pPr>
        <w:autoSpaceDE w:val="0"/>
        <w:autoSpaceDN w:val="0"/>
        <w:adjustRightInd w:val="0"/>
        <w:snapToGrid w:val="0"/>
        <w:spacing w:line="240" w:lineRule="atLeast"/>
        <w:ind w:firstLine="420" w:firstLineChars="200"/>
        <w:rPr>
          <w:rFonts w:hint="eastAsia" w:ascii="宋体" w:hAnsi="宋体" w:cs="宋体"/>
          <w:color w:val="auto"/>
          <w:kern w:val="1"/>
        </w:rPr>
      </w:pPr>
      <w:r>
        <w:rPr>
          <w:rFonts w:hint="eastAsia" w:ascii="宋体" w:hAnsi="宋体" w:cs="宋体"/>
          <w:color w:val="auto"/>
          <w:kern w:val="1"/>
        </w:rPr>
        <w:t>若此项列入评审因素必须填写；未列入评审因素，则无须填写！</w:t>
      </w:r>
    </w:p>
    <w:p w14:paraId="6062BBE6">
      <w:pPr>
        <w:pStyle w:val="41"/>
        <w:rPr>
          <w:rFonts w:hint="eastAsia" w:cs="宋体"/>
          <w:color w:val="auto"/>
          <w:kern w:val="1"/>
        </w:rPr>
      </w:pPr>
    </w:p>
    <w:p w14:paraId="5016C150">
      <w:pPr>
        <w:rPr>
          <w:rFonts w:hint="eastAsia" w:ascii="宋体" w:hAnsi="宋体" w:cs="宋体"/>
          <w:color w:val="auto"/>
          <w:kern w:val="1"/>
        </w:rPr>
      </w:pPr>
    </w:p>
    <w:p w14:paraId="20EE4922">
      <w:pPr>
        <w:pStyle w:val="41"/>
        <w:rPr>
          <w:rFonts w:hint="eastAsia" w:cs="宋体"/>
          <w:color w:val="auto"/>
          <w:kern w:val="1"/>
        </w:rPr>
      </w:pPr>
    </w:p>
    <w:p w14:paraId="3CD5FBE6">
      <w:pPr>
        <w:rPr>
          <w:rFonts w:hint="eastAsia" w:ascii="宋体" w:hAnsi="宋体" w:cs="宋体"/>
          <w:color w:val="auto"/>
          <w:kern w:val="1"/>
        </w:rPr>
      </w:pPr>
    </w:p>
    <w:p w14:paraId="1C7E102B">
      <w:pPr>
        <w:pStyle w:val="41"/>
        <w:rPr>
          <w:rFonts w:hint="eastAsia"/>
          <w:color w:val="auto"/>
        </w:rPr>
      </w:pPr>
    </w:p>
    <w:p w14:paraId="4DDC17C5">
      <w:pPr>
        <w:pStyle w:val="9"/>
        <w:spacing w:before="72" w:beforeLines="25" w:after="72" w:afterLines="25"/>
        <w:ind w:firstLine="0"/>
        <w:jc w:val="center"/>
        <w:rPr>
          <w:rFonts w:hint="eastAsia" w:ascii="黑体" w:hAnsi="宋体" w:eastAsia="黑体"/>
          <w:b/>
          <w:bCs/>
          <w:color w:val="auto"/>
          <w:sz w:val="24"/>
        </w:rPr>
      </w:pPr>
    </w:p>
    <w:p w14:paraId="3ADC9E03">
      <w:pPr>
        <w:pStyle w:val="9"/>
        <w:spacing w:before="72" w:beforeLines="25" w:after="72" w:afterLines="25"/>
        <w:ind w:firstLine="0"/>
        <w:jc w:val="center"/>
        <w:rPr>
          <w:rFonts w:hint="eastAsia" w:ascii="黑体" w:hAnsi="宋体" w:eastAsia="黑体"/>
          <w:b/>
          <w:bCs/>
          <w:color w:val="auto"/>
          <w:sz w:val="24"/>
        </w:rPr>
      </w:pPr>
      <w:r>
        <w:rPr>
          <w:rFonts w:hint="eastAsia" w:ascii="黑体" w:hAnsi="宋体" w:eastAsia="黑体"/>
          <w:b/>
          <w:bCs/>
          <w:color w:val="auto"/>
          <w:sz w:val="24"/>
        </w:rPr>
        <w:t>附件十二、违约承诺</w:t>
      </w:r>
    </w:p>
    <w:p w14:paraId="05493A3B">
      <w:pPr>
        <w:autoSpaceDE w:val="0"/>
        <w:autoSpaceDN w:val="0"/>
        <w:adjustRightInd w:val="0"/>
        <w:snapToGrid w:val="0"/>
        <w:spacing w:line="240" w:lineRule="atLeast"/>
        <w:rPr>
          <w:rFonts w:hint="eastAsia" w:ascii="宋体" w:hAnsi="宋体" w:cs="宋体"/>
          <w:color w:val="auto"/>
          <w:kern w:val="1"/>
        </w:rPr>
      </w:pPr>
      <w:r>
        <w:rPr>
          <w:rFonts w:hint="eastAsia" w:ascii="宋体" w:hAnsi="宋体" w:cs="宋体"/>
          <w:color w:val="auto"/>
          <w:kern w:val="1"/>
        </w:rPr>
        <w:t>特别提示：</w:t>
      </w:r>
    </w:p>
    <w:p w14:paraId="44FF6172">
      <w:pPr>
        <w:pStyle w:val="41"/>
        <w:rPr>
          <w:rFonts w:hint="eastAsia"/>
          <w:color w:val="auto"/>
        </w:rPr>
      </w:pPr>
      <w:r>
        <w:rPr>
          <w:rFonts w:hint="eastAsia" w:cs="宋体"/>
          <w:color w:val="auto"/>
          <w:kern w:val="1"/>
        </w:rPr>
        <w:t>若此项列入评审因素必须填写；若未列入评审因素，则无须填写！</w:t>
      </w:r>
    </w:p>
    <w:p w14:paraId="406BFC7C">
      <w:pPr>
        <w:pStyle w:val="2"/>
        <w:rPr>
          <w:color w:val="auto"/>
        </w:rPr>
      </w:pPr>
    </w:p>
    <w:p w14:paraId="1B41DD28">
      <w:pPr>
        <w:pStyle w:val="7"/>
        <w:jc w:val="left"/>
        <w:rPr>
          <w:rFonts w:hint="eastAsia" w:ascii="方正小标宋_GBK" w:hAnsi="方正小标宋_GBK" w:eastAsia="方正小标宋_GBK" w:cs="方正小标宋_GBK"/>
          <w:color w:val="auto"/>
        </w:rPr>
      </w:pPr>
      <w:r>
        <w:rPr>
          <w:rFonts w:hint="eastAsia" w:ascii="方正小标宋_GBK" w:hAnsi="方正小标宋_GBK" w:eastAsia="方正小标宋_GBK" w:cs="方正小标宋_GBK"/>
          <w:color w:val="auto"/>
        </w:rPr>
        <w:t>投标文件增项</w:t>
      </w:r>
    </w:p>
    <w:p w14:paraId="0AB23B78">
      <w:pPr>
        <w:pStyle w:val="140"/>
        <w:ind w:firstLine="880"/>
        <w:rPr>
          <w:rFonts w:hint="eastAsia" w:ascii="方正小标宋_GBK" w:hAnsi="方正小标宋_GBK" w:eastAsia="方正小标宋_GBK" w:cs="方正小标宋_GBK"/>
          <w:b/>
          <w:bCs/>
          <w:color w:val="auto"/>
          <w:sz w:val="44"/>
          <w:szCs w:val="44"/>
        </w:rPr>
      </w:pPr>
    </w:p>
    <w:p w14:paraId="2018B8C9">
      <w:pPr>
        <w:widowControl/>
        <w:tabs>
          <w:tab w:val="left" w:pos="720"/>
        </w:tabs>
        <w:spacing w:line="360" w:lineRule="auto"/>
        <w:ind w:left="630" w:firstLine="1446" w:firstLineChars="600"/>
        <w:rPr>
          <w:rFonts w:hint="eastAsia" w:ascii="黑体" w:hAnsi="宋体" w:eastAsia="黑体"/>
          <w:b/>
          <w:color w:val="auto"/>
          <w:sz w:val="24"/>
          <w:szCs w:val="20"/>
        </w:rPr>
      </w:pPr>
      <w:r>
        <w:rPr>
          <w:rFonts w:hint="eastAsia" w:ascii="黑体" w:hAnsi="宋体" w:eastAsia="黑体"/>
          <w:b/>
          <w:color w:val="auto"/>
          <w:sz w:val="24"/>
        </w:rPr>
        <w:t>一、供应商获奖情况</w:t>
      </w:r>
      <w:r>
        <w:rPr>
          <w:rFonts w:hint="eastAsia" w:ascii="黑体" w:hAnsi="宋体" w:eastAsia="黑体"/>
          <w:b/>
          <w:color w:val="auto"/>
          <w:sz w:val="24"/>
          <w:szCs w:val="20"/>
        </w:rPr>
        <w:t>（如有，格式自定）</w:t>
      </w:r>
    </w:p>
    <w:p w14:paraId="7647F256">
      <w:pPr>
        <w:autoSpaceDE w:val="0"/>
        <w:autoSpaceDN w:val="0"/>
        <w:adjustRightInd w:val="0"/>
        <w:snapToGrid w:val="0"/>
        <w:spacing w:line="240" w:lineRule="atLeast"/>
        <w:rPr>
          <w:rFonts w:hint="eastAsia" w:ascii="宋体" w:hAnsi="宋体" w:cs="宋体"/>
          <w:color w:val="auto"/>
          <w:kern w:val="1"/>
        </w:rPr>
      </w:pPr>
      <w:r>
        <w:rPr>
          <w:rFonts w:hint="eastAsia" w:ascii="宋体" w:hAnsi="宋体" w:cs="宋体"/>
          <w:color w:val="auto"/>
          <w:kern w:val="1"/>
        </w:rPr>
        <w:t>特别提示：</w:t>
      </w:r>
    </w:p>
    <w:p w14:paraId="19D400E0">
      <w:pPr>
        <w:pStyle w:val="41"/>
        <w:rPr>
          <w:rFonts w:hint="eastAsia"/>
          <w:color w:val="auto"/>
        </w:rPr>
      </w:pPr>
      <w:r>
        <w:rPr>
          <w:rFonts w:hint="eastAsia" w:cs="宋体"/>
          <w:color w:val="auto"/>
          <w:kern w:val="1"/>
        </w:rPr>
        <w:t>若此项列入评审因素必须填写；若未列入评审因素，则无须填写！</w:t>
      </w:r>
    </w:p>
    <w:p w14:paraId="32CDF33C">
      <w:pPr>
        <w:pStyle w:val="35"/>
        <w:rPr>
          <w:color w:val="auto"/>
        </w:rPr>
      </w:pPr>
    </w:p>
    <w:p w14:paraId="1A85F496">
      <w:pPr>
        <w:widowControl/>
        <w:tabs>
          <w:tab w:val="left" w:pos="720"/>
        </w:tabs>
        <w:spacing w:line="360" w:lineRule="auto"/>
        <w:ind w:left="630" w:firstLine="241" w:firstLineChars="100"/>
        <w:jc w:val="left"/>
        <w:rPr>
          <w:rFonts w:hint="eastAsia" w:ascii="黑体" w:hAnsi="宋体" w:eastAsia="黑体"/>
          <w:b/>
          <w:color w:val="auto"/>
          <w:sz w:val="24"/>
        </w:rPr>
      </w:pPr>
    </w:p>
    <w:p w14:paraId="3700F88A">
      <w:pPr>
        <w:widowControl/>
        <w:tabs>
          <w:tab w:val="left" w:pos="720"/>
        </w:tabs>
        <w:spacing w:line="360" w:lineRule="auto"/>
        <w:ind w:left="630" w:firstLine="241" w:firstLineChars="100"/>
        <w:jc w:val="left"/>
        <w:rPr>
          <w:rFonts w:hint="eastAsia" w:ascii="黑体" w:hAnsi="宋体" w:eastAsia="黑体"/>
          <w:b/>
          <w:color w:val="auto"/>
          <w:sz w:val="24"/>
        </w:rPr>
      </w:pPr>
    </w:p>
    <w:p w14:paraId="10EF47DE">
      <w:pPr>
        <w:widowControl/>
        <w:tabs>
          <w:tab w:val="left" w:pos="720"/>
        </w:tabs>
        <w:spacing w:line="360" w:lineRule="auto"/>
        <w:ind w:left="630" w:firstLine="241" w:firstLineChars="100"/>
        <w:jc w:val="left"/>
        <w:rPr>
          <w:rFonts w:hint="eastAsia" w:ascii="黑体" w:hAnsi="宋体" w:eastAsia="黑体"/>
          <w:b/>
          <w:color w:val="auto"/>
          <w:sz w:val="24"/>
        </w:rPr>
      </w:pPr>
    </w:p>
    <w:p w14:paraId="0E59A639">
      <w:pPr>
        <w:widowControl/>
        <w:tabs>
          <w:tab w:val="left" w:pos="720"/>
        </w:tabs>
        <w:spacing w:line="360" w:lineRule="auto"/>
        <w:ind w:left="630" w:firstLine="241" w:firstLineChars="100"/>
        <w:jc w:val="left"/>
        <w:rPr>
          <w:rFonts w:hint="eastAsia" w:ascii="黑体" w:hAnsi="宋体" w:eastAsia="黑体"/>
          <w:b/>
          <w:color w:val="auto"/>
          <w:sz w:val="24"/>
          <w:szCs w:val="20"/>
        </w:rPr>
      </w:pPr>
      <w:r>
        <w:rPr>
          <w:rFonts w:hint="eastAsia" w:ascii="黑体" w:hAnsi="宋体" w:eastAsia="黑体"/>
          <w:b/>
          <w:color w:val="auto"/>
          <w:sz w:val="24"/>
        </w:rPr>
        <w:t>二、供应商自主知识产权产品（创新、设计）情况</w:t>
      </w:r>
      <w:r>
        <w:rPr>
          <w:rFonts w:hint="eastAsia" w:ascii="黑体" w:hAnsi="宋体" w:eastAsia="黑体"/>
          <w:b/>
          <w:color w:val="auto"/>
          <w:sz w:val="24"/>
          <w:szCs w:val="20"/>
        </w:rPr>
        <w:t>（如有，格式自定）</w:t>
      </w:r>
    </w:p>
    <w:p w14:paraId="1DA0D93A">
      <w:pPr>
        <w:autoSpaceDE w:val="0"/>
        <w:autoSpaceDN w:val="0"/>
        <w:adjustRightInd w:val="0"/>
        <w:snapToGrid w:val="0"/>
        <w:spacing w:line="240" w:lineRule="atLeast"/>
        <w:rPr>
          <w:rFonts w:hint="eastAsia" w:ascii="宋体" w:hAnsi="宋体" w:cs="宋体"/>
          <w:color w:val="auto"/>
          <w:kern w:val="1"/>
        </w:rPr>
      </w:pPr>
      <w:r>
        <w:rPr>
          <w:rFonts w:hint="eastAsia" w:ascii="宋体" w:hAnsi="宋体" w:cs="宋体"/>
          <w:color w:val="auto"/>
          <w:kern w:val="1"/>
        </w:rPr>
        <w:t>特别提示：</w:t>
      </w:r>
    </w:p>
    <w:p w14:paraId="4657CB2F">
      <w:pPr>
        <w:pStyle w:val="41"/>
        <w:rPr>
          <w:rFonts w:hint="eastAsia"/>
          <w:color w:val="auto"/>
        </w:rPr>
      </w:pPr>
      <w:r>
        <w:rPr>
          <w:rFonts w:hint="eastAsia" w:cs="宋体"/>
          <w:color w:val="auto"/>
          <w:kern w:val="1"/>
        </w:rPr>
        <w:t>若此项列入评审因素必须填写；若未列入评审因素，则无须填写！</w:t>
      </w:r>
    </w:p>
    <w:p w14:paraId="36274493">
      <w:pPr>
        <w:pStyle w:val="2"/>
        <w:rPr>
          <w:rFonts w:hint="eastAsia" w:ascii="宋体" w:hAnsi="宋体" w:eastAsia="宋体" w:cs="宋体"/>
          <w:color w:val="auto"/>
          <w:sz w:val="21"/>
          <w:szCs w:val="21"/>
        </w:rPr>
      </w:pPr>
    </w:p>
    <w:p w14:paraId="324FFDDB">
      <w:pPr>
        <w:pStyle w:val="140"/>
        <w:ind w:firstLine="420"/>
        <w:rPr>
          <w:color w:val="auto"/>
        </w:rPr>
      </w:pPr>
    </w:p>
    <w:p w14:paraId="09293C42">
      <w:pPr>
        <w:pStyle w:val="140"/>
        <w:ind w:firstLine="420"/>
        <w:rPr>
          <w:color w:val="auto"/>
        </w:rPr>
      </w:pPr>
    </w:p>
    <w:p w14:paraId="76DFC234">
      <w:pPr>
        <w:pStyle w:val="140"/>
        <w:ind w:firstLine="420"/>
        <w:rPr>
          <w:color w:val="auto"/>
        </w:rPr>
      </w:pPr>
    </w:p>
    <w:p w14:paraId="13C82443">
      <w:pPr>
        <w:pStyle w:val="9"/>
        <w:ind w:left="315" w:leftChars="150" w:firstLine="0"/>
        <w:jc w:val="left"/>
        <w:rPr>
          <w:rFonts w:hint="eastAsia" w:ascii="黑体" w:hAnsi="宋体" w:eastAsia="黑体"/>
          <w:b/>
          <w:color w:val="auto"/>
          <w:sz w:val="24"/>
        </w:rPr>
      </w:pPr>
      <w:r>
        <w:rPr>
          <w:rFonts w:hint="eastAsia" w:ascii="黑体" w:hAnsi="宋体" w:eastAsia="黑体"/>
          <w:b/>
          <w:color w:val="auto"/>
          <w:sz w:val="24"/>
        </w:rPr>
        <w:t>三、拟投入的服务资源（车辆、场地、工具、机器等）情况（格式自定）</w:t>
      </w:r>
    </w:p>
    <w:p w14:paraId="3AB9EF84">
      <w:pPr>
        <w:autoSpaceDE w:val="0"/>
        <w:autoSpaceDN w:val="0"/>
        <w:adjustRightInd w:val="0"/>
        <w:snapToGrid w:val="0"/>
        <w:spacing w:line="240" w:lineRule="atLeast"/>
        <w:rPr>
          <w:rFonts w:hint="eastAsia" w:ascii="宋体" w:hAnsi="宋体" w:cs="宋体"/>
          <w:color w:val="auto"/>
          <w:kern w:val="1"/>
        </w:rPr>
      </w:pPr>
    </w:p>
    <w:p w14:paraId="011A674C">
      <w:pPr>
        <w:autoSpaceDE w:val="0"/>
        <w:autoSpaceDN w:val="0"/>
        <w:adjustRightInd w:val="0"/>
        <w:snapToGrid w:val="0"/>
        <w:spacing w:line="240" w:lineRule="atLeast"/>
        <w:rPr>
          <w:rFonts w:hint="eastAsia" w:ascii="宋体" w:hAnsi="宋体" w:cs="宋体"/>
          <w:color w:val="auto"/>
          <w:kern w:val="1"/>
        </w:rPr>
      </w:pPr>
      <w:r>
        <w:rPr>
          <w:rFonts w:hint="eastAsia" w:ascii="宋体" w:hAnsi="宋体" w:cs="宋体"/>
          <w:color w:val="auto"/>
          <w:kern w:val="1"/>
        </w:rPr>
        <w:t>特别提示：</w:t>
      </w:r>
    </w:p>
    <w:p w14:paraId="74EEF5EC">
      <w:pPr>
        <w:pStyle w:val="41"/>
        <w:rPr>
          <w:rFonts w:hint="eastAsia"/>
          <w:color w:val="auto"/>
        </w:rPr>
      </w:pPr>
      <w:r>
        <w:rPr>
          <w:rFonts w:hint="eastAsia" w:cs="宋体"/>
          <w:color w:val="auto"/>
          <w:kern w:val="1"/>
        </w:rPr>
        <w:t>若此项列入评审因素必须填写；若未列入评审因素，则无须填写！</w:t>
      </w:r>
    </w:p>
    <w:p w14:paraId="2A4944A8">
      <w:pPr>
        <w:ind w:left="315" w:leftChars="150"/>
        <w:rPr>
          <w:color w:val="auto"/>
        </w:rPr>
      </w:pPr>
    </w:p>
    <w:p w14:paraId="72E44BE6">
      <w:pPr>
        <w:pStyle w:val="9"/>
        <w:ind w:firstLine="0"/>
        <w:jc w:val="left"/>
        <w:rPr>
          <w:rFonts w:hint="eastAsia" w:ascii="黑体" w:hAnsi="宋体" w:eastAsia="黑体"/>
          <w:b/>
          <w:color w:val="auto"/>
          <w:sz w:val="24"/>
        </w:rPr>
      </w:pPr>
    </w:p>
    <w:p w14:paraId="20985AF6">
      <w:pPr>
        <w:rPr>
          <w:rFonts w:hint="eastAsia" w:ascii="黑体" w:hAnsi="宋体" w:eastAsia="黑体"/>
          <w:b/>
          <w:color w:val="auto"/>
          <w:sz w:val="24"/>
        </w:rPr>
      </w:pPr>
    </w:p>
    <w:p w14:paraId="2DF0A7FF">
      <w:pPr>
        <w:pStyle w:val="41"/>
        <w:ind w:firstLine="482"/>
        <w:rPr>
          <w:rFonts w:hint="eastAsia" w:ascii="黑体" w:eastAsia="黑体"/>
          <w:b/>
          <w:color w:val="auto"/>
          <w:sz w:val="24"/>
          <w:szCs w:val="21"/>
        </w:rPr>
      </w:pPr>
    </w:p>
    <w:p w14:paraId="5315CED7">
      <w:pPr>
        <w:rPr>
          <w:rFonts w:hint="eastAsia" w:ascii="黑体" w:hAnsi="宋体" w:eastAsia="黑体"/>
          <w:b/>
          <w:color w:val="auto"/>
          <w:sz w:val="24"/>
        </w:rPr>
      </w:pPr>
    </w:p>
    <w:p w14:paraId="687DE815">
      <w:pPr>
        <w:pStyle w:val="41"/>
        <w:ind w:firstLine="482"/>
        <w:rPr>
          <w:rFonts w:hint="eastAsia" w:ascii="黑体" w:eastAsia="黑体"/>
          <w:b/>
          <w:color w:val="auto"/>
          <w:sz w:val="24"/>
          <w:szCs w:val="21"/>
        </w:rPr>
      </w:pPr>
    </w:p>
    <w:p w14:paraId="1D3102A8">
      <w:pPr>
        <w:rPr>
          <w:color w:val="auto"/>
        </w:rPr>
      </w:pPr>
    </w:p>
    <w:p w14:paraId="7B1D9847">
      <w:pPr>
        <w:pStyle w:val="9"/>
        <w:ind w:firstLine="1205" w:firstLineChars="500"/>
        <w:jc w:val="left"/>
        <w:rPr>
          <w:rFonts w:hint="eastAsia" w:ascii="黑体" w:hAnsi="宋体" w:eastAsia="黑体"/>
          <w:b/>
          <w:color w:val="auto"/>
          <w:sz w:val="24"/>
        </w:rPr>
      </w:pPr>
      <w:r>
        <w:rPr>
          <w:rFonts w:hint="eastAsia" w:ascii="黑体" w:hAnsi="宋体" w:eastAsia="黑体"/>
          <w:b/>
          <w:color w:val="auto"/>
          <w:sz w:val="24"/>
        </w:rPr>
        <w:t>四、投标人认为需要加以说明的其他内容（格式自定）</w:t>
      </w:r>
    </w:p>
    <w:p w14:paraId="33680D90">
      <w:pPr>
        <w:autoSpaceDE w:val="0"/>
        <w:autoSpaceDN w:val="0"/>
        <w:adjustRightInd w:val="0"/>
        <w:snapToGrid w:val="0"/>
        <w:spacing w:line="240" w:lineRule="atLeast"/>
        <w:rPr>
          <w:rFonts w:hint="eastAsia" w:ascii="宋体" w:hAnsi="宋体" w:cs="宋体"/>
          <w:color w:val="auto"/>
          <w:kern w:val="1"/>
        </w:rPr>
      </w:pPr>
    </w:p>
    <w:p w14:paraId="75AA9DBB">
      <w:pPr>
        <w:autoSpaceDE w:val="0"/>
        <w:autoSpaceDN w:val="0"/>
        <w:adjustRightInd w:val="0"/>
        <w:snapToGrid w:val="0"/>
        <w:spacing w:line="240" w:lineRule="atLeast"/>
        <w:rPr>
          <w:rFonts w:hint="eastAsia" w:ascii="宋体" w:hAnsi="宋体" w:cs="宋体"/>
          <w:color w:val="auto"/>
          <w:kern w:val="1"/>
        </w:rPr>
      </w:pPr>
      <w:r>
        <w:rPr>
          <w:rFonts w:hint="eastAsia" w:ascii="宋体" w:hAnsi="宋体" w:cs="宋体"/>
          <w:color w:val="auto"/>
          <w:kern w:val="1"/>
        </w:rPr>
        <w:t>特别提示：</w:t>
      </w:r>
    </w:p>
    <w:p w14:paraId="24FE7B62">
      <w:pPr>
        <w:pStyle w:val="41"/>
        <w:rPr>
          <w:rFonts w:hint="eastAsia" w:ascii="方正小标宋_GBK" w:hAnsi="方正小标宋_GBK" w:eastAsia="方正小标宋_GBK" w:cs="方正小标宋_GBK"/>
          <w:b/>
          <w:bCs/>
          <w:color w:val="auto"/>
          <w:sz w:val="32"/>
          <w:szCs w:val="32"/>
        </w:rPr>
      </w:pPr>
      <w:r>
        <w:rPr>
          <w:rFonts w:hint="eastAsia" w:cs="宋体"/>
          <w:color w:val="auto"/>
          <w:kern w:val="1"/>
        </w:rPr>
        <w:t>若此项列入评审因素必须填写；若未列入评审因素，则无须填写。</w:t>
      </w:r>
    </w:p>
    <w:p w14:paraId="25D37F25">
      <w:pPr>
        <w:pStyle w:val="7"/>
        <w:ind w:firstLine="2570" w:firstLineChars="800"/>
        <w:jc w:val="both"/>
        <w:rPr>
          <w:rFonts w:hint="eastAsia" w:ascii="方正小标宋_GBK" w:hAnsi="方正小标宋_GBK" w:eastAsia="方正小标宋_GBK" w:cs="方正小标宋_GBK"/>
          <w:color w:val="auto"/>
          <w:sz w:val="32"/>
          <w:szCs w:val="32"/>
        </w:rPr>
      </w:pPr>
    </w:p>
    <w:p w14:paraId="48E8323F">
      <w:pPr>
        <w:rPr>
          <w:color w:val="auto"/>
        </w:rPr>
      </w:pPr>
    </w:p>
    <w:p w14:paraId="46822422">
      <w:pPr>
        <w:pStyle w:val="7"/>
        <w:ind w:firstLine="2570" w:firstLineChars="800"/>
        <w:jc w:val="both"/>
        <w:rPr>
          <w:rFonts w:hint="eastAsia" w:ascii="方正小标宋_GBK" w:hAnsi="方正小标宋_GBK" w:eastAsia="方正小标宋_GBK" w:cs="方正小标宋_GBK"/>
          <w:color w:val="auto"/>
          <w:sz w:val="32"/>
          <w:szCs w:val="32"/>
        </w:rPr>
      </w:pPr>
      <w:r>
        <w:rPr>
          <w:rFonts w:hint="eastAsia" w:ascii="方正小标宋_GBK" w:hAnsi="方正小标宋_GBK" w:eastAsia="方正小标宋_GBK" w:cs="方正小标宋_GBK"/>
          <w:color w:val="auto"/>
          <w:sz w:val="32"/>
          <w:szCs w:val="32"/>
        </w:rPr>
        <w:t>第五章  合同条款及格式</w:t>
      </w:r>
    </w:p>
    <w:p w14:paraId="77B29F6E">
      <w:pPr>
        <w:pStyle w:val="7"/>
        <w:rPr>
          <w:rFonts w:hint="eastAsia" w:ascii="方正小标宋_GBK" w:hAnsi="方正小标宋_GBK" w:eastAsia="方正小标宋_GBK" w:cs="方正小标宋_GBK"/>
          <w:color w:val="auto"/>
          <w:sz w:val="32"/>
          <w:szCs w:val="32"/>
        </w:rPr>
      </w:pPr>
      <w:bookmarkStart w:id="84" w:name="_Toc27624"/>
      <w:r>
        <w:rPr>
          <w:rFonts w:hint="eastAsia" w:ascii="方正小标宋_GBK" w:hAnsi="方正小标宋_GBK" w:eastAsia="方正小标宋_GBK" w:cs="方正小标宋_GBK"/>
          <w:color w:val="auto"/>
          <w:sz w:val="32"/>
          <w:szCs w:val="32"/>
        </w:rPr>
        <w:t>合同文本（模板）</w:t>
      </w:r>
    </w:p>
    <w:p w14:paraId="5310B5F9">
      <w:pPr>
        <w:spacing w:line="500" w:lineRule="exact"/>
        <w:ind w:firstLine="420" w:firstLineChars="200"/>
        <w:rPr>
          <w:rFonts w:hint="eastAsia" w:ascii="宋体" w:hAnsi="宋体" w:cs="宋体"/>
          <w:bCs/>
          <w:color w:val="auto"/>
        </w:rPr>
      </w:pPr>
      <w:bookmarkStart w:id="85" w:name="_Toc513029243"/>
      <w:bookmarkStart w:id="86" w:name="_Toc20823315"/>
      <w:bookmarkStart w:id="87" w:name="_Toc16938559"/>
      <w:r>
        <w:rPr>
          <w:rFonts w:hint="eastAsia" w:ascii="宋体" w:hAnsi="宋体" w:cs="宋体"/>
          <w:bCs/>
          <w:color w:val="auto"/>
        </w:rPr>
        <w:t>以下为中标后签定本项目合同的通用条款，中标人不得提出实质性的修改，关于专用条款将由采购人与中标人结合本项目具体情况协商后签订。</w:t>
      </w:r>
    </w:p>
    <w:p w14:paraId="377FD494">
      <w:pPr>
        <w:jc w:val="center"/>
        <w:rPr>
          <w:rFonts w:hint="eastAsia" w:ascii="宋体" w:hAnsi="宋体" w:cs="宋体"/>
          <w:b/>
          <w:bCs/>
          <w:color w:val="auto"/>
        </w:rPr>
      </w:pPr>
      <w:r>
        <w:rPr>
          <w:rFonts w:hint="eastAsia" w:ascii="宋体" w:hAnsi="宋体" w:cs="宋体"/>
          <w:b/>
          <w:color w:val="auto"/>
        </w:rPr>
        <w:t>政府采购合同（合同编号）</w:t>
      </w:r>
    </w:p>
    <w:p w14:paraId="6DD7C0EF">
      <w:pPr>
        <w:pStyle w:val="23"/>
        <w:snapToGrid w:val="0"/>
        <w:spacing w:before="120" w:after="120"/>
        <w:rPr>
          <w:rFonts w:hint="eastAsia" w:hAnsi="宋体" w:cs="宋体"/>
          <w:color w:val="auto"/>
        </w:rPr>
      </w:pPr>
      <w:r>
        <w:rPr>
          <w:rFonts w:hint="eastAsia" w:hAnsi="宋体" w:cs="宋体"/>
          <w:color w:val="auto"/>
        </w:rPr>
        <w:t>项目名称：                                       项目编号：</w:t>
      </w:r>
    </w:p>
    <w:p w14:paraId="2D604722">
      <w:pPr>
        <w:pStyle w:val="23"/>
        <w:snapToGrid w:val="0"/>
        <w:spacing w:before="120" w:after="120"/>
        <w:rPr>
          <w:rFonts w:hint="eastAsia" w:hAnsi="宋体" w:cs="宋体"/>
          <w:color w:val="auto"/>
        </w:rPr>
      </w:pPr>
      <w:r>
        <w:rPr>
          <w:rFonts w:hint="eastAsia" w:hAnsi="宋体" w:cs="宋体"/>
          <w:color w:val="auto"/>
        </w:rPr>
        <w:t>甲方：（买方）_________</w:t>
      </w:r>
    </w:p>
    <w:p w14:paraId="0D974FF1">
      <w:pPr>
        <w:pStyle w:val="23"/>
        <w:snapToGrid w:val="0"/>
        <w:spacing w:before="120" w:after="120"/>
        <w:rPr>
          <w:rFonts w:hint="eastAsia" w:hAnsi="宋体" w:cs="宋体"/>
          <w:color w:val="auto"/>
        </w:rPr>
      </w:pPr>
      <w:r>
        <w:rPr>
          <w:rFonts w:hint="eastAsia" w:hAnsi="宋体" w:cs="宋体"/>
          <w:color w:val="auto"/>
        </w:rPr>
        <w:t>乙方：（卖方）_________</w:t>
      </w:r>
    </w:p>
    <w:p w14:paraId="5D17DB3E">
      <w:pPr>
        <w:pStyle w:val="23"/>
        <w:snapToGrid w:val="0"/>
        <w:spacing w:before="120" w:after="120"/>
        <w:rPr>
          <w:rFonts w:hint="eastAsia" w:hAnsi="宋体" w:cs="宋体"/>
          <w:b/>
          <w:color w:val="auto"/>
        </w:rPr>
      </w:pPr>
      <w:r>
        <w:rPr>
          <w:rFonts w:hint="eastAsia" w:hAnsi="宋体" w:cs="宋体"/>
          <w:b/>
          <w:color w:val="auto"/>
        </w:rPr>
        <w:t xml:space="preserve">   </w:t>
      </w:r>
      <w:r>
        <w:rPr>
          <w:rFonts w:hint="eastAsia" w:hAnsi="宋体" w:cs="宋体"/>
          <w:color w:val="auto"/>
        </w:rPr>
        <w:t>甲、乙双方根据巴音郭楞蒙古自治州政务服务和公共资源交易中心</w:t>
      </w:r>
      <w:r>
        <w:rPr>
          <w:rFonts w:hint="eastAsia" w:hAnsi="宋体" w:cs="宋体"/>
          <w:color w:val="auto"/>
          <w:u w:val="single"/>
        </w:rPr>
        <w:t xml:space="preserve">                          组织的                                   </w:t>
      </w:r>
      <w:r>
        <w:rPr>
          <w:rFonts w:hint="eastAsia" w:hAnsi="宋体" w:cs="宋体"/>
          <w:color w:val="auto"/>
        </w:rPr>
        <w:t>项目公开招标的结果，签署本合同。</w:t>
      </w:r>
    </w:p>
    <w:p w14:paraId="454E179D">
      <w:pPr>
        <w:pStyle w:val="23"/>
        <w:snapToGrid w:val="0"/>
        <w:spacing w:before="120" w:after="120"/>
        <w:rPr>
          <w:rFonts w:hint="eastAsia" w:hAnsi="宋体" w:cs="宋体"/>
          <w:b/>
          <w:color w:val="auto"/>
        </w:rPr>
      </w:pPr>
      <w:r>
        <w:rPr>
          <w:rFonts w:hint="eastAsia" w:hAnsi="宋体" w:cs="宋体"/>
          <w:b/>
          <w:color w:val="auto"/>
        </w:rPr>
        <w:t>一、产品内容</w:t>
      </w:r>
    </w:p>
    <w:p w14:paraId="3D11EC93">
      <w:pPr>
        <w:pStyle w:val="23"/>
        <w:snapToGrid w:val="0"/>
        <w:spacing w:before="120" w:after="120"/>
        <w:rPr>
          <w:rFonts w:hint="eastAsia" w:hAnsi="宋体" w:cs="宋体"/>
          <w:color w:val="auto"/>
        </w:rPr>
      </w:pPr>
      <w:r>
        <w:rPr>
          <w:rFonts w:hint="eastAsia" w:hAnsi="宋体" w:cs="宋体"/>
          <w:color w:val="auto"/>
        </w:rPr>
        <w:t>1.1 产品名称：</w:t>
      </w:r>
    </w:p>
    <w:p w14:paraId="0DB67DF1">
      <w:pPr>
        <w:pStyle w:val="23"/>
        <w:snapToGrid w:val="0"/>
        <w:spacing w:before="120" w:after="120"/>
        <w:rPr>
          <w:rFonts w:hint="eastAsia" w:hAnsi="宋体" w:cs="宋体"/>
          <w:color w:val="auto"/>
        </w:rPr>
      </w:pPr>
      <w:r>
        <w:rPr>
          <w:rFonts w:hint="eastAsia" w:hAnsi="宋体" w:cs="宋体"/>
          <w:color w:val="auto"/>
        </w:rPr>
        <w:t>1.2 型号规格：</w:t>
      </w:r>
    </w:p>
    <w:p w14:paraId="1A2E6CB4">
      <w:pPr>
        <w:pStyle w:val="23"/>
        <w:snapToGrid w:val="0"/>
        <w:spacing w:before="120" w:after="120"/>
        <w:rPr>
          <w:rFonts w:hint="eastAsia" w:hAnsi="宋体" w:cs="宋体"/>
          <w:color w:val="auto"/>
        </w:rPr>
      </w:pPr>
      <w:r>
        <w:rPr>
          <w:rFonts w:hint="eastAsia" w:hAnsi="宋体" w:cs="宋体"/>
          <w:color w:val="auto"/>
        </w:rPr>
        <w:t>1.3 数量（单位）：</w:t>
      </w:r>
    </w:p>
    <w:p w14:paraId="21AEC323">
      <w:pPr>
        <w:pStyle w:val="23"/>
        <w:snapToGrid w:val="0"/>
        <w:spacing w:before="120" w:after="120"/>
        <w:rPr>
          <w:rFonts w:hint="eastAsia" w:hAnsi="宋体" w:cs="宋体"/>
          <w:b/>
          <w:color w:val="auto"/>
        </w:rPr>
      </w:pPr>
      <w:r>
        <w:rPr>
          <w:rFonts w:hint="eastAsia" w:hAnsi="宋体" w:cs="宋体"/>
          <w:b/>
          <w:color w:val="auto"/>
        </w:rPr>
        <w:t>二、合同金额</w:t>
      </w:r>
    </w:p>
    <w:p w14:paraId="70D2F600">
      <w:pPr>
        <w:pStyle w:val="23"/>
        <w:snapToGrid w:val="0"/>
        <w:spacing w:before="120" w:after="120"/>
        <w:ind w:left="359" w:hanging="359" w:hangingChars="171"/>
        <w:rPr>
          <w:rFonts w:hint="eastAsia" w:hAnsi="宋体" w:cs="宋体"/>
          <w:color w:val="auto"/>
        </w:rPr>
      </w:pPr>
      <w:r>
        <w:rPr>
          <w:rFonts w:hint="eastAsia" w:hAnsi="宋体" w:cs="宋体"/>
          <w:color w:val="auto"/>
        </w:rPr>
        <w:t>2.1 本合同金额为（大写）：____________________________________圆（_______________元）人民币或其他币种。</w:t>
      </w:r>
    </w:p>
    <w:p w14:paraId="367446A0">
      <w:pPr>
        <w:pStyle w:val="23"/>
        <w:snapToGrid w:val="0"/>
        <w:spacing w:before="120" w:after="120"/>
        <w:rPr>
          <w:rFonts w:hint="eastAsia" w:hAnsi="宋体" w:cs="宋体"/>
          <w:b/>
          <w:color w:val="auto"/>
        </w:rPr>
      </w:pPr>
      <w:r>
        <w:rPr>
          <w:rFonts w:hint="eastAsia" w:hAnsi="宋体" w:cs="宋体"/>
          <w:b/>
          <w:color w:val="auto"/>
        </w:rPr>
        <w:t>三、技术资料</w:t>
      </w:r>
    </w:p>
    <w:p w14:paraId="6390DAA4">
      <w:pPr>
        <w:pStyle w:val="23"/>
        <w:snapToGrid w:val="0"/>
        <w:spacing w:before="120" w:after="120"/>
        <w:ind w:left="359" w:hanging="359" w:hangingChars="171"/>
        <w:rPr>
          <w:rFonts w:hint="eastAsia" w:hAnsi="宋体" w:cs="宋体"/>
          <w:color w:val="auto"/>
        </w:rPr>
      </w:pPr>
      <w:r>
        <w:rPr>
          <w:rFonts w:hint="eastAsia" w:hAnsi="宋体" w:cs="宋体"/>
          <w:color w:val="auto"/>
        </w:rPr>
        <w:t>3.1乙方应按招标文件规定的时间向甲方提供使用货物的有关技术资料。</w:t>
      </w:r>
    </w:p>
    <w:p w14:paraId="2F1EA3AA">
      <w:pPr>
        <w:pStyle w:val="23"/>
        <w:snapToGrid w:val="0"/>
        <w:spacing w:before="120" w:after="120"/>
        <w:ind w:left="359" w:hanging="359" w:hangingChars="171"/>
        <w:rPr>
          <w:rFonts w:hint="eastAsia" w:hAnsi="宋体" w:cs="宋体"/>
          <w:color w:val="auto"/>
        </w:rPr>
      </w:pPr>
      <w:r>
        <w:rPr>
          <w:rFonts w:hint="eastAsia" w:hAnsi="宋体" w:cs="宋体"/>
          <w:color w:val="auto"/>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5DA12959">
      <w:pPr>
        <w:pStyle w:val="23"/>
        <w:snapToGrid w:val="0"/>
        <w:spacing w:before="120" w:after="120"/>
        <w:ind w:left="360" w:hanging="361" w:hangingChars="171"/>
        <w:rPr>
          <w:rFonts w:hint="eastAsia" w:hAnsi="宋体" w:cs="宋体"/>
          <w:b/>
          <w:color w:val="auto"/>
        </w:rPr>
      </w:pPr>
      <w:r>
        <w:rPr>
          <w:rFonts w:hint="eastAsia" w:hAnsi="宋体" w:cs="宋体"/>
          <w:b/>
          <w:color w:val="auto"/>
        </w:rPr>
        <w:t>四、知识产权</w:t>
      </w:r>
    </w:p>
    <w:p w14:paraId="1DE19C22">
      <w:pPr>
        <w:spacing w:line="500" w:lineRule="exact"/>
        <w:rPr>
          <w:rFonts w:hint="eastAsia" w:ascii="宋体" w:hAnsi="宋体" w:cs="宋体"/>
          <w:color w:val="auto"/>
        </w:rPr>
      </w:pPr>
      <w:r>
        <w:rPr>
          <w:rFonts w:hint="eastAsia" w:ascii="宋体" w:hAnsi="宋体" w:cs="宋体"/>
          <w:color w:val="auto"/>
        </w:rPr>
        <w:t>4.1乙方应保证甲方在使用、接受本合同货物和服务或其任何一部分时不受第三方提出侵犯其专利权、版权、商标权和工业设计权等知识产权的起诉。一旦出现侵权，由乙方负全部责任。</w:t>
      </w:r>
    </w:p>
    <w:p w14:paraId="2FA70827">
      <w:pPr>
        <w:pStyle w:val="23"/>
        <w:snapToGrid w:val="0"/>
        <w:spacing w:before="120" w:after="120"/>
        <w:rPr>
          <w:rFonts w:hint="eastAsia" w:hAnsi="宋体" w:cs="宋体"/>
          <w:color w:val="auto"/>
          <w:u w:val="single"/>
        </w:rPr>
      </w:pPr>
      <w:r>
        <w:rPr>
          <w:rFonts w:hint="eastAsia" w:hAnsi="宋体" w:cs="宋体"/>
          <w:b/>
          <w:color w:val="auto"/>
        </w:rPr>
        <w:t>五、产权担保</w:t>
      </w:r>
    </w:p>
    <w:p w14:paraId="486FC115">
      <w:pPr>
        <w:pStyle w:val="23"/>
        <w:snapToGrid w:val="0"/>
        <w:spacing w:before="120" w:after="120"/>
        <w:ind w:left="357" w:hanging="357" w:hangingChars="170"/>
        <w:rPr>
          <w:rFonts w:hint="eastAsia" w:hAnsi="宋体" w:cs="宋体"/>
          <w:color w:val="auto"/>
          <w:u w:val="single"/>
        </w:rPr>
      </w:pPr>
      <w:r>
        <w:rPr>
          <w:rFonts w:hint="eastAsia" w:hAnsi="宋体" w:cs="宋体"/>
          <w:color w:val="auto"/>
        </w:rPr>
        <w:t>5.1 乙方保证所交付的产品的所有权完全属于乙方且无任何抵押、查封等产权瑕疵。</w:t>
      </w:r>
    </w:p>
    <w:p w14:paraId="55FE69FA">
      <w:pPr>
        <w:snapToGrid w:val="0"/>
        <w:spacing w:before="145" w:beforeLines="50" w:after="145" w:afterLines="50"/>
        <w:rPr>
          <w:rFonts w:hint="eastAsia" w:ascii="宋体" w:hAnsi="宋体" w:cs="宋体"/>
          <w:b/>
          <w:color w:val="auto"/>
        </w:rPr>
      </w:pPr>
      <w:r>
        <w:rPr>
          <w:rFonts w:hint="eastAsia" w:ascii="宋体" w:hAnsi="宋体" w:cs="宋体"/>
          <w:b/>
          <w:color w:val="auto"/>
        </w:rPr>
        <w:t>六、转包或分包</w:t>
      </w:r>
    </w:p>
    <w:p w14:paraId="6B17F220">
      <w:pPr>
        <w:snapToGrid w:val="0"/>
        <w:spacing w:before="145" w:beforeLines="50" w:after="145" w:afterLines="50"/>
        <w:rPr>
          <w:rFonts w:hint="eastAsia" w:ascii="宋体" w:hAnsi="宋体" w:cs="宋体"/>
          <w:color w:val="auto"/>
        </w:rPr>
      </w:pPr>
      <w:r>
        <w:rPr>
          <w:rFonts w:hint="eastAsia" w:ascii="宋体" w:hAnsi="宋体" w:cs="宋体"/>
          <w:color w:val="auto"/>
        </w:rPr>
        <w:t>6.1本合同范围的产品，应由乙方直接供应，不得转让他人供应；</w:t>
      </w:r>
    </w:p>
    <w:p w14:paraId="4FF00B96">
      <w:pPr>
        <w:snapToGrid w:val="0"/>
        <w:spacing w:before="145" w:beforeLines="50" w:after="145" w:afterLines="50"/>
        <w:rPr>
          <w:rFonts w:hint="eastAsia" w:ascii="宋体" w:hAnsi="宋体" w:cs="宋体"/>
          <w:color w:val="auto"/>
        </w:rPr>
      </w:pPr>
      <w:r>
        <w:rPr>
          <w:rFonts w:hint="eastAsia" w:ascii="宋体" w:hAnsi="宋体" w:cs="宋体"/>
          <w:color w:val="auto"/>
        </w:rPr>
        <w:t>6.2 除非得到甲方的书面同意，乙方不得部分分包给他人供应。</w:t>
      </w:r>
    </w:p>
    <w:p w14:paraId="4EE98CDA">
      <w:pPr>
        <w:snapToGrid w:val="0"/>
        <w:spacing w:before="145" w:beforeLines="50" w:after="145" w:afterLines="50"/>
        <w:rPr>
          <w:rFonts w:hint="eastAsia" w:ascii="宋体" w:hAnsi="宋体" w:cs="宋体"/>
          <w:color w:val="auto"/>
        </w:rPr>
      </w:pPr>
      <w:r>
        <w:rPr>
          <w:rFonts w:hint="eastAsia" w:ascii="宋体" w:hAnsi="宋体" w:cs="宋体"/>
          <w:color w:val="auto"/>
        </w:rPr>
        <w:t>6.3如有转让和未经甲方同意的分包行为，甲方有权给予终止合同。</w:t>
      </w:r>
    </w:p>
    <w:p w14:paraId="092DE72C">
      <w:pPr>
        <w:pStyle w:val="23"/>
        <w:snapToGrid w:val="0"/>
        <w:spacing w:before="120" w:after="120"/>
        <w:rPr>
          <w:rFonts w:hint="eastAsia" w:hAnsi="宋体" w:cs="宋体"/>
          <w:color w:val="auto"/>
        </w:rPr>
      </w:pPr>
      <w:r>
        <w:rPr>
          <w:rFonts w:hint="eastAsia" w:hAnsi="宋体" w:cs="宋体"/>
          <w:b/>
          <w:color w:val="auto"/>
        </w:rPr>
        <w:t>七、质保期</w:t>
      </w:r>
    </w:p>
    <w:p w14:paraId="4338C68A">
      <w:pPr>
        <w:pStyle w:val="23"/>
        <w:snapToGrid w:val="0"/>
        <w:spacing w:before="120" w:after="120"/>
        <w:rPr>
          <w:rFonts w:hint="eastAsia" w:hAnsi="宋体" w:cs="宋体"/>
          <w:color w:val="auto"/>
        </w:rPr>
      </w:pPr>
      <w:r>
        <w:rPr>
          <w:rFonts w:hint="eastAsia" w:hAnsi="宋体" w:cs="宋体"/>
          <w:color w:val="auto"/>
        </w:rPr>
        <w:t>8.1 质保期</w:t>
      </w:r>
      <w:r>
        <w:rPr>
          <w:rFonts w:hint="eastAsia" w:hAnsi="宋体" w:cs="宋体"/>
          <w:color w:val="auto"/>
          <w:u w:val="single"/>
        </w:rPr>
        <w:t xml:space="preserve">      </w:t>
      </w:r>
      <w:r>
        <w:rPr>
          <w:rFonts w:hint="eastAsia" w:hAnsi="宋体" w:cs="宋体"/>
          <w:color w:val="auto"/>
        </w:rPr>
        <w:t>年。（自交货验收合格之日起计）</w:t>
      </w:r>
    </w:p>
    <w:p w14:paraId="431EBA21">
      <w:pPr>
        <w:pStyle w:val="23"/>
        <w:snapToGrid w:val="0"/>
        <w:spacing w:before="120" w:after="120"/>
        <w:rPr>
          <w:rFonts w:hint="eastAsia" w:hAnsi="宋体" w:cs="宋体"/>
          <w:b/>
          <w:color w:val="auto"/>
        </w:rPr>
      </w:pPr>
      <w:r>
        <w:rPr>
          <w:rFonts w:hint="eastAsia" w:hAnsi="宋体" w:cs="宋体"/>
          <w:b/>
          <w:color w:val="auto"/>
        </w:rPr>
        <w:t>八、交货期、交货方式及交货地点</w:t>
      </w:r>
    </w:p>
    <w:p w14:paraId="6C4DACA6">
      <w:pPr>
        <w:pStyle w:val="23"/>
        <w:snapToGrid w:val="0"/>
        <w:spacing w:before="120" w:after="120"/>
        <w:rPr>
          <w:rFonts w:hint="eastAsia" w:hAnsi="宋体" w:cs="宋体"/>
          <w:bCs/>
          <w:color w:val="auto"/>
        </w:rPr>
      </w:pPr>
      <w:r>
        <w:rPr>
          <w:rFonts w:hint="eastAsia" w:hAnsi="宋体" w:cs="宋体"/>
          <w:bCs/>
          <w:color w:val="auto"/>
        </w:rPr>
        <w:t>8.1 交货期：</w:t>
      </w:r>
      <w:r>
        <w:rPr>
          <w:rFonts w:hint="eastAsia" w:hAnsi="宋体" w:cs="宋体"/>
          <w:color w:val="auto"/>
        </w:rPr>
        <w:t>__</w:t>
      </w:r>
      <w:r>
        <w:rPr>
          <w:rFonts w:hint="eastAsia" w:hAnsi="宋体" w:cs="宋体"/>
          <w:color w:val="auto"/>
          <w:u w:val="single"/>
        </w:rPr>
        <w:t xml:space="preserve">    </w:t>
      </w:r>
      <w:r>
        <w:rPr>
          <w:rFonts w:hint="eastAsia" w:hAnsi="宋体" w:cs="宋体"/>
          <w:color w:val="auto"/>
        </w:rPr>
        <w:t>____</w:t>
      </w:r>
    </w:p>
    <w:p w14:paraId="1A91DAB3">
      <w:pPr>
        <w:pStyle w:val="23"/>
        <w:snapToGrid w:val="0"/>
        <w:spacing w:before="120" w:after="120"/>
        <w:rPr>
          <w:rFonts w:hint="eastAsia" w:hAnsi="宋体" w:cs="宋体"/>
          <w:bCs/>
          <w:color w:val="auto"/>
        </w:rPr>
      </w:pPr>
      <w:r>
        <w:rPr>
          <w:rFonts w:hint="eastAsia" w:hAnsi="宋体" w:cs="宋体"/>
          <w:bCs/>
          <w:color w:val="auto"/>
        </w:rPr>
        <w:t>8.2 交货方式：</w:t>
      </w:r>
      <w:r>
        <w:rPr>
          <w:rFonts w:hint="eastAsia" w:hAnsi="宋体" w:cs="宋体"/>
          <w:color w:val="auto"/>
        </w:rPr>
        <w:t>___________</w:t>
      </w:r>
    </w:p>
    <w:p w14:paraId="029BD4BD">
      <w:pPr>
        <w:pStyle w:val="23"/>
        <w:snapToGrid w:val="0"/>
        <w:spacing w:before="120" w:after="120"/>
        <w:rPr>
          <w:rFonts w:hint="eastAsia" w:hAnsi="宋体" w:cs="宋体"/>
          <w:b/>
          <w:color w:val="auto"/>
        </w:rPr>
      </w:pPr>
      <w:r>
        <w:rPr>
          <w:rFonts w:hint="eastAsia" w:hAnsi="宋体" w:cs="宋体"/>
          <w:bCs/>
          <w:color w:val="auto"/>
        </w:rPr>
        <w:t>8.3 交货地点：</w:t>
      </w:r>
      <w:r>
        <w:rPr>
          <w:rFonts w:hint="eastAsia" w:hAnsi="宋体" w:cs="宋体"/>
          <w:color w:val="auto"/>
        </w:rPr>
        <w:t>__</w:t>
      </w:r>
      <w:r>
        <w:rPr>
          <w:rFonts w:hint="eastAsia" w:hAnsi="宋体" w:cs="宋体"/>
          <w:color w:val="auto"/>
          <w:u w:val="single"/>
        </w:rPr>
        <w:t xml:space="preserve">       </w:t>
      </w:r>
      <w:r>
        <w:rPr>
          <w:rFonts w:hint="eastAsia" w:hAnsi="宋体" w:cs="宋体"/>
          <w:color w:val="auto"/>
        </w:rPr>
        <w:t>___</w:t>
      </w:r>
    </w:p>
    <w:p w14:paraId="7094F31B">
      <w:pPr>
        <w:pStyle w:val="23"/>
        <w:snapToGrid w:val="0"/>
        <w:spacing w:before="120" w:after="120"/>
        <w:rPr>
          <w:rFonts w:hint="eastAsia" w:hAnsi="宋体" w:cs="宋体"/>
          <w:bCs/>
          <w:color w:val="auto"/>
        </w:rPr>
      </w:pPr>
      <w:r>
        <w:rPr>
          <w:rFonts w:hint="eastAsia" w:hAnsi="宋体" w:cs="宋体"/>
          <w:b/>
          <w:color w:val="auto"/>
        </w:rPr>
        <w:t>九、货款支付</w:t>
      </w:r>
    </w:p>
    <w:p w14:paraId="7D72D704">
      <w:pPr>
        <w:pStyle w:val="23"/>
        <w:snapToGrid w:val="0"/>
        <w:spacing w:before="120" w:after="120"/>
        <w:rPr>
          <w:rFonts w:hint="eastAsia" w:hAnsi="宋体" w:cs="宋体"/>
          <w:bCs/>
          <w:color w:val="auto"/>
        </w:rPr>
      </w:pPr>
      <w:r>
        <w:rPr>
          <w:rFonts w:hint="eastAsia" w:hAnsi="宋体" w:cs="宋体"/>
          <w:bCs/>
          <w:color w:val="auto"/>
        </w:rPr>
        <w:t>9.1 采购资金的支付方式、时间及条件：</w:t>
      </w:r>
      <w:r>
        <w:rPr>
          <w:rFonts w:hint="eastAsia" w:hAnsi="宋体" w:cs="宋体"/>
          <w:color w:val="auto"/>
        </w:rPr>
        <w:t>_________</w:t>
      </w:r>
    </w:p>
    <w:p w14:paraId="57770C5A">
      <w:pPr>
        <w:pStyle w:val="23"/>
        <w:snapToGrid w:val="0"/>
        <w:spacing w:before="120" w:after="120"/>
        <w:ind w:left="420" w:hanging="420" w:hangingChars="200"/>
        <w:rPr>
          <w:rFonts w:hint="eastAsia" w:hAnsi="宋体" w:cs="宋体"/>
          <w:bCs/>
          <w:color w:val="auto"/>
        </w:rPr>
      </w:pPr>
      <w:r>
        <w:rPr>
          <w:rFonts w:hint="eastAsia" w:hAnsi="宋体" w:cs="宋体"/>
          <w:bCs/>
          <w:color w:val="auto"/>
        </w:rPr>
        <w:t>9.2</w:t>
      </w:r>
      <w:r>
        <w:rPr>
          <w:rFonts w:hint="eastAsia" w:hAnsi="宋体" w:cs="宋体"/>
          <w:color w:val="auto"/>
        </w:rPr>
        <w:t>当采购数量与实际使用数量不一致时，乙方应根据实际使用量供货，合同的最终结算金额按实际使用量乘以成交单价进行计算。</w:t>
      </w:r>
    </w:p>
    <w:p w14:paraId="5A914AD6">
      <w:pPr>
        <w:snapToGrid w:val="0"/>
        <w:spacing w:before="145" w:beforeLines="50" w:after="145" w:afterLines="50"/>
        <w:rPr>
          <w:rFonts w:hint="eastAsia" w:ascii="宋体" w:hAnsi="宋体" w:cs="宋体"/>
          <w:b/>
          <w:color w:val="auto"/>
        </w:rPr>
      </w:pPr>
      <w:r>
        <w:rPr>
          <w:rFonts w:hint="eastAsia" w:ascii="宋体" w:hAnsi="宋体" w:cs="宋体"/>
          <w:b/>
          <w:color w:val="auto"/>
        </w:rPr>
        <w:t>十.税费</w:t>
      </w:r>
    </w:p>
    <w:p w14:paraId="2486240A">
      <w:pPr>
        <w:snapToGrid w:val="0"/>
        <w:spacing w:before="145" w:beforeLines="50" w:after="145" w:afterLines="50"/>
        <w:rPr>
          <w:rFonts w:hint="eastAsia" w:ascii="宋体" w:hAnsi="宋体" w:cs="宋体"/>
          <w:color w:val="auto"/>
        </w:rPr>
      </w:pPr>
      <w:r>
        <w:rPr>
          <w:rFonts w:hint="eastAsia" w:ascii="宋体" w:hAnsi="宋体" w:cs="宋体"/>
          <w:color w:val="auto"/>
        </w:rPr>
        <w:t>10.1本合同执行中相关的一切税费均由乙方负担。</w:t>
      </w:r>
    </w:p>
    <w:p w14:paraId="316D665A">
      <w:pPr>
        <w:pStyle w:val="23"/>
        <w:snapToGrid w:val="0"/>
        <w:spacing w:before="120" w:after="120"/>
        <w:ind w:left="360" w:hanging="361" w:hangingChars="171"/>
        <w:rPr>
          <w:rFonts w:hint="eastAsia" w:hAnsi="宋体" w:cs="宋体"/>
          <w:color w:val="auto"/>
        </w:rPr>
      </w:pPr>
      <w:r>
        <w:rPr>
          <w:rFonts w:hint="eastAsia" w:hAnsi="宋体" w:cs="宋体"/>
          <w:b/>
          <w:color w:val="auto"/>
        </w:rPr>
        <w:t>十一、质量保证及售后服务</w:t>
      </w:r>
    </w:p>
    <w:p w14:paraId="0E712DB7">
      <w:pPr>
        <w:pStyle w:val="23"/>
        <w:snapToGrid w:val="0"/>
        <w:spacing w:before="120" w:after="120"/>
        <w:ind w:left="359" w:hanging="359" w:hangingChars="171"/>
        <w:rPr>
          <w:rFonts w:hint="eastAsia" w:hAnsi="宋体" w:cs="宋体"/>
          <w:color w:val="auto"/>
        </w:rPr>
      </w:pPr>
      <w:r>
        <w:rPr>
          <w:rFonts w:hint="eastAsia" w:hAnsi="宋体" w:cs="宋体"/>
          <w:color w:val="auto"/>
        </w:rPr>
        <w:t>11.1 乙方应按招标文件规定的货物性能、技术要求、质量标准向甲方提供未经使用的全新产品。</w:t>
      </w:r>
    </w:p>
    <w:p w14:paraId="6C5A5A11">
      <w:pPr>
        <w:pStyle w:val="23"/>
        <w:snapToGrid w:val="0"/>
        <w:spacing w:before="120" w:after="120"/>
        <w:ind w:left="420" w:hanging="420" w:hangingChars="200"/>
        <w:rPr>
          <w:rFonts w:hint="eastAsia" w:hAnsi="宋体" w:cs="宋体"/>
          <w:color w:val="auto"/>
        </w:rPr>
      </w:pPr>
      <w:r>
        <w:rPr>
          <w:rFonts w:hint="eastAsia" w:hAnsi="宋体" w:cs="宋体"/>
          <w:color w:val="auto"/>
        </w:rPr>
        <w:t>11.2 乙方提供的货物在质保期内因产品本身的质量问题发生故障，乙方应负责免费更换。对达不到技术要求者，根据实际情况，经双方协商，可按以下办法处理：</w:t>
      </w:r>
    </w:p>
    <w:p w14:paraId="2F72C476">
      <w:pPr>
        <w:pStyle w:val="23"/>
        <w:snapToGrid w:val="0"/>
        <w:spacing w:before="120" w:after="120"/>
        <w:ind w:firstLine="420"/>
        <w:rPr>
          <w:rFonts w:hint="eastAsia" w:hAnsi="宋体" w:cs="宋体"/>
          <w:color w:val="auto"/>
        </w:rPr>
      </w:pPr>
      <w:r>
        <w:rPr>
          <w:rFonts w:hint="eastAsia" w:hAnsi="宋体" w:cs="宋体"/>
          <w:color w:val="auto"/>
        </w:rPr>
        <w:t>⑴更换：由乙方承担所发生的全部费用。</w:t>
      </w:r>
    </w:p>
    <w:p w14:paraId="5AF5C446">
      <w:pPr>
        <w:pStyle w:val="23"/>
        <w:snapToGrid w:val="0"/>
        <w:spacing w:before="120" w:after="120"/>
        <w:ind w:firstLine="420"/>
        <w:rPr>
          <w:rFonts w:hint="eastAsia" w:hAnsi="宋体" w:cs="宋体"/>
          <w:color w:val="auto"/>
        </w:rPr>
      </w:pPr>
      <w:r>
        <w:rPr>
          <w:rFonts w:hint="eastAsia" w:hAnsi="宋体" w:cs="宋体"/>
          <w:color w:val="auto"/>
        </w:rPr>
        <w:t>⑵贬值处理：由甲乙双方合议定价。</w:t>
      </w:r>
    </w:p>
    <w:p w14:paraId="28FEE764">
      <w:pPr>
        <w:pStyle w:val="23"/>
        <w:snapToGrid w:val="0"/>
        <w:spacing w:before="120" w:after="120"/>
        <w:ind w:left="420" w:leftChars="200"/>
        <w:rPr>
          <w:rFonts w:hint="eastAsia" w:hAnsi="宋体" w:cs="宋体"/>
          <w:color w:val="auto"/>
        </w:rPr>
      </w:pPr>
      <w:r>
        <w:rPr>
          <w:rFonts w:hint="eastAsia" w:hAnsi="宋体" w:cs="宋体"/>
          <w:color w:val="auto"/>
        </w:rPr>
        <w:t>⑶退货处理：乙方应退还甲方支付的合同款，同时应承担该产品的直接费用（运输、保险、检验、货款利息及银行手续费等）。</w:t>
      </w:r>
    </w:p>
    <w:p w14:paraId="274A7DD1">
      <w:pPr>
        <w:pStyle w:val="23"/>
        <w:snapToGrid w:val="0"/>
        <w:spacing w:before="120" w:after="120"/>
        <w:rPr>
          <w:rFonts w:hint="eastAsia" w:hAnsi="宋体" w:cs="宋体"/>
          <w:color w:val="auto"/>
        </w:rPr>
      </w:pPr>
      <w:r>
        <w:rPr>
          <w:rFonts w:hint="eastAsia" w:hAnsi="宋体" w:cs="宋体"/>
          <w:color w:val="auto"/>
        </w:rPr>
        <w:t>11.3 如在使用过程中发生质量问题，乙方在接到甲方通知后在_____小时内到达甲方现场。</w:t>
      </w:r>
    </w:p>
    <w:p w14:paraId="5F4C1A7E">
      <w:pPr>
        <w:pStyle w:val="23"/>
        <w:snapToGrid w:val="0"/>
        <w:spacing w:before="120" w:after="120"/>
        <w:rPr>
          <w:rFonts w:hint="eastAsia" w:hAnsi="宋体" w:cs="宋体"/>
          <w:color w:val="auto"/>
        </w:rPr>
      </w:pPr>
      <w:r>
        <w:rPr>
          <w:rFonts w:hint="eastAsia" w:hAnsi="宋体" w:cs="宋体"/>
          <w:color w:val="auto"/>
        </w:rPr>
        <w:t>11.4 在质保期内，乙方应对产品出现的质量及安全问题负责处理解决并承担一切费用。</w:t>
      </w:r>
    </w:p>
    <w:p w14:paraId="75B33DAF">
      <w:pPr>
        <w:pStyle w:val="23"/>
        <w:snapToGrid w:val="0"/>
        <w:spacing w:before="120" w:after="120"/>
        <w:ind w:left="420" w:hanging="420" w:hangingChars="200"/>
        <w:rPr>
          <w:rFonts w:hint="eastAsia" w:hAnsi="宋体" w:cs="宋体"/>
          <w:color w:val="auto"/>
        </w:rPr>
      </w:pPr>
      <w:r>
        <w:rPr>
          <w:rFonts w:hint="eastAsia" w:hAnsi="宋体" w:cs="宋体"/>
          <w:color w:val="auto"/>
        </w:rPr>
        <w:t>11.5上述的产品的免费保修期为</w:t>
      </w:r>
      <w:r>
        <w:rPr>
          <w:rFonts w:hint="eastAsia" w:hAnsi="宋体" w:cs="宋体"/>
          <w:color w:val="auto"/>
          <w:u w:val="single"/>
        </w:rPr>
        <w:t xml:space="preserve">    </w:t>
      </w:r>
      <w:r>
        <w:rPr>
          <w:rFonts w:hint="eastAsia" w:hAnsi="宋体" w:cs="宋体"/>
          <w:color w:val="auto"/>
        </w:rPr>
        <w:t>年，因人为因素出现的故障不在免费保修范围内。超过保修期后，终生维修，维修时只收部件成本费。</w:t>
      </w:r>
    </w:p>
    <w:p w14:paraId="46BB13F1">
      <w:pPr>
        <w:pStyle w:val="23"/>
        <w:snapToGrid w:val="0"/>
        <w:spacing w:before="120" w:after="120"/>
        <w:rPr>
          <w:rFonts w:hint="eastAsia" w:hAnsi="宋体" w:cs="宋体"/>
          <w:b/>
          <w:color w:val="auto"/>
        </w:rPr>
      </w:pPr>
      <w:r>
        <w:rPr>
          <w:rFonts w:hint="eastAsia" w:hAnsi="宋体" w:cs="宋体"/>
          <w:b/>
          <w:color w:val="auto"/>
        </w:rPr>
        <w:t>十二、调试和验收</w:t>
      </w:r>
    </w:p>
    <w:p w14:paraId="16BA449E">
      <w:pPr>
        <w:pStyle w:val="23"/>
        <w:snapToGrid w:val="0"/>
        <w:spacing w:before="120" w:after="120"/>
        <w:ind w:left="420" w:hanging="420" w:hangingChars="200"/>
        <w:rPr>
          <w:rFonts w:hint="eastAsia" w:hAnsi="宋体" w:cs="宋体"/>
          <w:color w:val="auto"/>
        </w:rPr>
      </w:pPr>
      <w:r>
        <w:rPr>
          <w:rFonts w:hint="eastAsia" w:hAnsi="宋体" w:cs="宋体"/>
          <w:color w:val="auto"/>
        </w:rPr>
        <w:t>12.1 甲方对乙方提交的货物依据招标文件上的技术规格要求和国家有关质量标准进行现场初步验收，外观、说明书符合招标文件技术要求的，给予签收，初步验收不合格的不予签收。货到后，甲方需在五个工作日内验收。</w:t>
      </w:r>
    </w:p>
    <w:p w14:paraId="7D43832E">
      <w:pPr>
        <w:pStyle w:val="23"/>
        <w:snapToGrid w:val="0"/>
        <w:spacing w:before="120" w:after="120"/>
        <w:ind w:left="420" w:hanging="420" w:hangingChars="200"/>
        <w:rPr>
          <w:rFonts w:hint="eastAsia" w:hAnsi="宋体" w:cs="宋体"/>
          <w:color w:val="auto"/>
        </w:rPr>
      </w:pPr>
      <w:r>
        <w:rPr>
          <w:rFonts w:hint="eastAsia" w:hAnsi="宋体" w:cs="宋体"/>
          <w:color w:val="auto"/>
        </w:rPr>
        <w:t>12.2 乙方交货前应对产品做出全面检查和对验收文件进行整理，并列出清单，作为甲方收货验收和使用的技术条件依据，检验的结果应随货物交甲方。</w:t>
      </w:r>
    </w:p>
    <w:p w14:paraId="6A23E663">
      <w:pPr>
        <w:pStyle w:val="23"/>
        <w:snapToGrid w:val="0"/>
        <w:spacing w:before="120" w:after="120"/>
        <w:ind w:left="420" w:hanging="420" w:hangingChars="200"/>
        <w:rPr>
          <w:rFonts w:hint="eastAsia" w:hAnsi="宋体" w:cs="宋体"/>
          <w:color w:val="auto"/>
          <w:u w:val="single"/>
        </w:rPr>
      </w:pPr>
      <w:r>
        <w:rPr>
          <w:rFonts w:hint="eastAsia" w:hAnsi="宋体" w:cs="宋体"/>
          <w:color w:val="auto"/>
        </w:rPr>
        <w:t>12.3 甲方对乙方提供的货物在使用前进行调试时，乙方需负责安装并培训甲方的使用操作人员，并协助甲方一起调试，直到符合技术要求，甲方才做最终验收。</w:t>
      </w:r>
    </w:p>
    <w:p w14:paraId="32C1813C">
      <w:pPr>
        <w:pStyle w:val="23"/>
        <w:snapToGrid w:val="0"/>
        <w:spacing w:before="120" w:after="120"/>
        <w:ind w:left="420" w:hanging="420" w:hangingChars="200"/>
        <w:rPr>
          <w:rFonts w:hint="eastAsia" w:hAnsi="宋体" w:cs="宋体"/>
          <w:color w:val="auto"/>
        </w:rPr>
      </w:pPr>
      <w:r>
        <w:rPr>
          <w:rFonts w:hint="eastAsia" w:hAnsi="宋体" w:cs="宋体"/>
          <w:color w:val="auto"/>
        </w:rPr>
        <w:t>12.4 对技术复杂的货物，甲方可请国家认可的专业检测机构参与初步验收及最终验收，并由其出具质量检测报告。</w:t>
      </w:r>
    </w:p>
    <w:p w14:paraId="0D275F6C">
      <w:pPr>
        <w:pStyle w:val="23"/>
        <w:snapToGrid w:val="0"/>
        <w:spacing w:before="120" w:after="120"/>
        <w:ind w:left="420" w:hanging="420" w:hangingChars="200"/>
        <w:rPr>
          <w:rFonts w:hint="eastAsia" w:hAnsi="宋体" w:cs="宋体"/>
          <w:color w:val="auto"/>
        </w:rPr>
      </w:pPr>
      <w:r>
        <w:rPr>
          <w:rFonts w:hint="eastAsia" w:hAnsi="宋体" w:cs="宋体"/>
          <w:color w:val="auto"/>
        </w:rPr>
        <w:t>12.5 验收时乙方必须在现场，验收完毕后作出验收结果报告；验收费用由甲乙双方协商解决。</w:t>
      </w:r>
    </w:p>
    <w:p w14:paraId="19CB5312">
      <w:pPr>
        <w:pStyle w:val="23"/>
        <w:snapToGrid w:val="0"/>
        <w:spacing w:before="120" w:after="120"/>
        <w:rPr>
          <w:rFonts w:hint="eastAsia" w:hAnsi="宋体" w:cs="宋体"/>
          <w:b/>
          <w:color w:val="auto"/>
        </w:rPr>
      </w:pPr>
      <w:r>
        <w:rPr>
          <w:rFonts w:hint="eastAsia" w:hAnsi="宋体" w:cs="宋体"/>
          <w:b/>
          <w:color w:val="auto"/>
        </w:rPr>
        <w:t>十三、产品包装、发运及运输</w:t>
      </w:r>
    </w:p>
    <w:p w14:paraId="7177515A">
      <w:pPr>
        <w:pStyle w:val="23"/>
        <w:snapToGrid w:val="0"/>
        <w:spacing w:before="120" w:after="120"/>
        <w:ind w:left="420" w:hanging="420" w:hangingChars="200"/>
        <w:rPr>
          <w:rFonts w:hint="eastAsia" w:hAnsi="宋体" w:cs="宋体"/>
          <w:color w:val="auto"/>
        </w:rPr>
      </w:pPr>
      <w:r>
        <w:rPr>
          <w:rFonts w:hint="eastAsia" w:hAnsi="宋体" w:cs="宋体"/>
          <w:color w:val="auto"/>
        </w:rPr>
        <w:t>13.1 乙方应在产品发运前对其进行满足运输距离、防潮、防震、防锈和防破损装卸等要求包装，以保证产品安全运达甲方指定地点。</w:t>
      </w:r>
    </w:p>
    <w:p w14:paraId="5937D341">
      <w:pPr>
        <w:pStyle w:val="23"/>
        <w:snapToGrid w:val="0"/>
        <w:spacing w:before="120" w:after="120"/>
        <w:ind w:left="420" w:hanging="420" w:hangingChars="200"/>
        <w:rPr>
          <w:rFonts w:hint="eastAsia" w:hAnsi="宋体" w:cs="宋体"/>
          <w:color w:val="auto"/>
        </w:rPr>
      </w:pPr>
      <w:r>
        <w:rPr>
          <w:rFonts w:hint="eastAsia" w:hAnsi="宋体" w:cs="宋体"/>
          <w:color w:val="auto"/>
        </w:rPr>
        <w:t>13.2 使用说明书、质量检验证明书、随配附件和工具以及清单一并附于产品内。</w:t>
      </w:r>
    </w:p>
    <w:p w14:paraId="318DA99C">
      <w:pPr>
        <w:pStyle w:val="23"/>
        <w:snapToGrid w:val="0"/>
        <w:spacing w:before="120" w:after="120"/>
        <w:ind w:left="420" w:hanging="420" w:hangingChars="200"/>
        <w:rPr>
          <w:rFonts w:hint="eastAsia" w:hAnsi="宋体" w:cs="宋体"/>
          <w:color w:val="auto"/>
        </w:rPr>
      </w:pPr>
      <w:r>
        <w:rPr>
          <w:rFonts w:hint="eastAsia" w:hAnsi="宋体" w:cs="宋体"/>
          <w:color w:val="auto"/>
        </w:rPr>
        <w:t>13.3 乙方在产品发运手续办理完毕后24小时内或货到甲方48小时前通知甲方，以准备接货。</w:t>
      </w:r>
    </w:p>
    <w:p w14:paraId="17401748">
      <w:pPr>
        <w:pStyle w:val="23"/>
        <w:snapToGrid w:val="0"/>
        <w:spacing w:before="120" w:after="120"/>
        <w:ind w:left="420" w:hanging="420" w:hangingChars="200"/>
        <w:rPr>
          <w:rFonts w:hint="eastAsia" w:hAnsi="宋体" w:cs="宋体"/>
          <w:color w:val="auto"/>
        </w:rPr>
      </w:pPr>
      <w:r>
        <w:rPr>
          <w:rFonts w:hint="eastAsia" w:hAnsi="宋体" w:cs="宋体"/>
          <w:color w:val="auto"/>
        </w:rPr>
        <w:t>13.4 产品在交付甲方前发生的风险均由乙方负责。</w:t>
      </w:r>
    </w:p>
    <w:p w14:paraId="2069C2B4">
      <w:pPr>
        <w:pStyle w:val="23"/>
        <w:snapToGrid w:val="0"/>
        <w:spacing w:before="156" w:after="156"/>
        <w:ind w:left="420" w:right="26" w:hanging="420" w:hangingChars="200"/>
        <w:rPr>
          <w:rFonts w:hint="eastAsia" w:hAnsi="宋体" w:cs="宋体"/>
          <w:color w:val="auto"/>
        </w:rPr>
      </w:pPr>
      <w:r>
        <w:rPr>
          <w:rFonts w:hint="eastAsia" w:hAnsi="宋体" w:cs="宋体"/>
          <w:color w:val="auto"/>
        </w:rPr>
        <w:t>13.5 产品在规定的交付期限内由乙方送达甲方指定的地点视为交付，乙方同时需通知甲方产品已送达。</w:t>
      </w:r>
    </w:p>
    <w:p w14:paraId="463FF769">
      <w:pPr>
        <w:pStyle w:val="23"/>
        <w:snapToGrid w:val="0"/>
        <w:spacing w:before="120" w:after="120"/>
        <w:rPr>
          <w:rFonts w:hint="eastAsia" w:hAnsi="宋体" w:cs="宋体"/>
          <w:b/>
          <w:color w:val="auto"/>
        </w:rPr>
      </w:pPr>
      <w:r>
        <w:rPr>
          <w:rFonts w:hint="eastAsia" w:hAnsi="宋体" w:cs="宋体"/>
          <w:b/>
          <w:color w:val="auto"/>
        </w:rPr>
        <w:t>十四、违约责任</w:t>
      </w:r>
    </w:p>
    <w:p w14:paraId="4446C994">
      <w:pPr>
        <w:pStyle w:val="23"/>
        <w:snapToGrid w:val="0"/>
        <w:spacing w:before="120" w:after="120"/>
        <w:ind w:left="359" w:hanging="359" w:hangingChars="171"/>
        <w:rPr>
          <w:rFonts w:hint="eastAsia" w:hAnsi="宋体" w:cs="宋体"/>
          <w:color w:val="auto"/>
        </w:rPr>
      </w:pPr>
      <w:r>
        <w:rPr>
          <w:rFonts w:hint="eastAsia" w:hAnsi="宋体" w:cs="宋体"/>
          <w:color w:val="auto"/>
        </w:rPr>
        <w:t>14.1 甲方无正当理由拒收产品的，甲方向乙方偿付拒收货款总值的百分之五违约金。</w:t>
      </w:r>
    </w:p>
    <w:p w14:paraId="7C81CEBF">
      <w:pPr>
        <w:pStyle w:val="23"/>
        <w:snapToGrid w:val="0"/>
        <w:spacing w:before="120" w:after="120"/>
        <w:ind w:left="359" w:hanging="359" w:hangingChars="171"/>
        <w:rPr>
          <w:rFonts w:hint="eastAsia" w:hAnsi="宋体" w:cs="宋体"/>
          <w:color w:val="auto"/>
        </w:rPr>
      </w:pPr>
      <w:r>
        <w:rPr>
          <w:rFonts w:hint="eastAsia" w:hAnsi="宋体" w:cs="宋体"/>
          <w:color w:val="auto"/>
        </w:rPr>
        <w:t>14.2 甲方无故逾期验收和办理货款支付手续的,甲方应按逾期付款总额每日万分之五向乙方支付违约金。</w:t>
      </w:r>
    </w:p>
    <w:p w14:paraId="799F455F">
      <w:pPr>
        <w:pStyle w:val="23"/>
        <w:snapToGrid w:val="0"/>
        <w:spacing w:before="120" w:after="120"/>
        <w:ind w:left="359" w:hanging="359" w:hangingChars="171"/>
        <w:rPr>
          <w:rFonts w:hint="eastAsia" w:hAnsi="宋体" w:cs="宋体"/>
          <w:color w:val="auto"/>
        </w:rPr>
      </w:pPr>
      <w:r>
        <w:rPr>
          <w:rFonts w:hint="eastAsia" w:hAnsi="宋体" w:cs="宋体"/>
          <w:color w:val="auto"/>
        </w:rPr>
        <w:t xml:space="preserve">14.3 乙方逾期交付产品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14:paraId="59D45EDA">
      <w:pPr>
        <w:pStyle w:val="23"/>
        <w:snapToGrid w:val="0"/>
        <w:spacing w:before="120" w:after="120"/>
        <w:ind w:left="359" w:hanging="359" w:hangingChars="171"/>
        <w:rPr>
          <w:rFonts w:hint="eastAsia" w:hAnsi="宋体" w:cs="宋体"/>
          <w:color w:val="auto"/>
        </w:rPr>
      </w:pPr>
      <w:r>
        <w:rPr>
          <w:rFonts w:hint="eastAsia" w:hAnsi="宋体" w:cs="宋体"/>
          <w:color w:val="auto"/>
        </w:rPr>
        <w:t>14.4 乙方所交的货物品种、型号、规格、技术参数、质量不符合合同规定及招标文件规定标准的，甲方有权拒收该货物，乙方愿意更换货物但逾期交货的，按乙方逾期交货处理。乙方拒绝更换产品的，甲方可单方面解除合同。</w:t>
      </w:r>
    </w:p>
    <w:p w14:paraId="2773B362">
      <w:pPr>
        <w:pStyle w:val="23"/>
        <w:snapToGrid w:val="0"/>
        <w:spacing w:before="120" w:after="120"/>
        <w:rPr>
          <w:rFonts w:hint="eastAsia" w:hAnsi="宋体" w:cs="宋体"/>
          <w:b/>
          <w:color w:val="auto"/>
        </w:rPr>
      </w:pPr>
      <w:r>
        <w:rPr>
          <w:rFonts w:hint="eastAsia" w:hAnsi="宋体" w:cs="宋体"/>
          <w:b/>
          <w:color w:val="auto"/>
        </w:rPr>
        <w:t>十五、不可抗力事件处理</w:t>
      </w:r>
    </w:p>
    <w:p w14:paraId="77EB55B9">
      <w:pPr>
        <w:pStyle w:val="23"/>
        <w:snapToGrid w:val="0"/>
        <w:spacing w:before="120" w:after="120"/>
        <w:ind w:left="420" w:hanging="420" w:hangingChars="200"/>
        <w:rPr>
          <w:rFonts w:hint="eastAsia" w:hAnsi="宋体" w:cs="宋体"/>
          <w:color w:val="auto"/>
        </w:rPr>
      </w:pPr>
      <w:r>
        <w:rPr>
          <w:rFonts w:hint="eastAsia" w:hAnsi="宋体" w:cs="宋体"/>
          <w:color w:val="auto"/>
        </w:rPr>
        <w:t>15.1 在合同有效期内，任何一方因不可抗力事件导致不能履行合同，则合同履行期可延长，其延长期与不可抗力影响期相同。</w:t>
      </w:r>
    </w:p>
    <w:p w14:paraId="39B7AA47">
      <w:pPr>
        <w:pStyle w:val="23"/>
        <w:snapToGrid w:val="0"/>
        <w:spacing w:before="120" w:after="120"/>
        <w:rPr>
          <w:rFonts w:hint="eastAsia" w:hAnsi="宋体" w:cs="宋体"/>
          <w:color w:val="auto"/>
        </w:rPr>
      </w:pPr>
      <w:r>
        <w:rPr>
          <w:rFonts w:hint="eastAsia" w:hAnsi="宋体" w:cs="宋体"/>
          <w:color w:val="auto"/>
        </w:rPr>
        <w:t>15.2 不可抗力事件发生后，应立即通知对方，并寄送有关权威机构出具的证明。</w:t>
      </w:r>
    </w:p>
    <w:p w14:paraId="3138C370">
      <w:pPr>
        <w:pStyle w:val="23"/>
        <w:snapToGrid w:val="0"/>
        <w:spacing w:before="120" w:after="120"/>
        <w:rPr>
          <w:rFonts w:hint="eastAsia" w:hAnsi="宋体" w:cs="宋体"/>
          <w:color w:val="auto"/>
        </w:rPr>
      </w:pPr>
      <w:r>
        <w:rPr>
          <w:rFonts w:hint="eastAsia" w:hAnsi="宋体" w:cs="宋体"/>
          <w:color w:val="auto"/>
        </w:rPr>
        <w:t>15.3 不可抗力事件延续120天以上，双方应通过友好协商，确定是否继续履行合同。</w:t>
      </w:r>
    </w:p>
    <w:p w14:paraId="66EB2FD2">
      <w:pPr>
        <w:pStyle w:val="23"/>
        <w:snapToGrid w:val="0"/>
        <w:spacing w:before="120" w:after="120"/>
        <w:rPr>
          <w:rFonts w:hint="eastAsia" w:hAnsi="宋体" w:cs="宋体"/>
          <w:b/>
          <w:color w:val="auto"/>
        </w:rPr>
      </w:pPr>
      <w:r>
        <w:rPr>
          <w:rFonts w:hint="eastAsia" w:hAnsi="宋体" w:cs="宋体"/>
          <w:b/>
          <w:color w:val="auto"/>
        </w:rPr>
        <w:t>十六、诉讼</w:t>
      </w:r>
    </w:p>
    <w:p w14:paraId="5BD4C5DC">
      <w:pPr>
        <w:pStyle w:val="23"/>
        <w:snapToGrid w:val="0"/>
        <w:spacing w:before="120" w:after="120"/>
        <w:ind w:left="420" w:hanging="420" w:hangingChars="200"/>
        <w:rPr>
          <w:rFonts w:hint="eastAsia" w:hAnsi="宋体" w:cs="宋体"/>
          <w:color w:val="auto"/>
        </w:rPr>
      </w:pPr>
      <w:r>
        <w:rPr>
          <w:rFonts w:hint="eastAsia" w:hAnsi="宋体" w:cs="宋体"/>
          <w:color w:val="auto"/>
        </w:rPr>
        <w:t>16.1 双方在执行合同中所发生的一切争议，应通过协商解决。如协商不成，可向合同签订地法院起诉，合同签订地在此约定为</w:t>
      </w:r>
      <w:r>
        <w:rPr>
          <w:rFonts w:hint="eastAsia" w:hAnsi="宋体" w:cs="宋体"/>
          <w:color w:val="auto"/>
          <w:u w:val="single"/>
        </w:rPr>
        <w:t xml:space="preserve">        </w:t>
      </w:r>
      <w:r>
        <w:rPr>
          <w:rFonts w:hint="eastAsia" w:hAnsi="宋体" w:cs="宋体"/>
          <w:color w:val="auto"/>
        </w:rPr>
        <w:t>。</w:t>
      </w:r>
    </w:p>
    <w:p w14:paraId="7AB4D14B">
      <w:pPr>
        <w:pStyle w:val="23"/>
        <w:snapToGrid w:val="0"/>
        <w:spacing w:before="120" w:after="120"/>
        <w:rPr>
          <w:rFonts w:hint="eastAsia" w:hAnsi="宋体" w:cs="宋体"/>
          <w:b/>
          <w:color w:val="auto"/>
        </w:rPr>
      </w:pPr>
      <w:r>
        <w:rPr>
          <w:rFonts w:hint="eastAsia" w:hAnsi="宋体" w:cs="宋体"/>
          <w:b/>
          <w:color w:val="auto"/>
        </w:rPr>
        <w:t>十七、合同生效及其它</w:t>
      </w:r>
    </w:p>
    <w:p w14:paraId="46788F57">
      <w:pPr>
        <w:pStyle w:val="23"/>
        <w:snapToGrid w:val="0"/>
        <w:spacing w:before="120" w:after="120"/>
        <w:rPr>
          <w:rFonts w:hint="eastAsia" w:hAnsi="宋体" w:cs="宋体"/>
          <w:color w:val="auto"/>
        </w:rPr>
      </w:pPr>
      <w:r>
        <w:rPr>
          <w:rFonts w:hint="eastAsia" w:hAnsi="宋体" w:cs="宋体"/>
          <w:color w:val="auto"/>
        </w:rPr>
        <w:t>17.1合同经双方法定代表人或授权委托代表人签字并加盖单位公章后生效。</w:t>
      </w:r>
    </w:p>
    <w:p w14:paraId="30E76B68">
      <w:pPr>
        <w:pStyle w:val="23"/>
        <w:snapToGrid w:val="0"/>
        <w:spacing w:before="120" w:after="120"/>
        <w:rPr>
          <w:rFonts w:hint="eastAsia" w:hAnsi="宋体" w:cs="宋体"/>
          <w:color w:val="auto"/>
        </w:rPr>
      </w:pPr>
      <w:r>
        <w:rPr>
          <w:rFonts w:hint="eastAsia" w:hAnsi="宋体" w:cs="宋体"/>
          <w:color w:val="auto"/>
        </w:rPr>
        <w:t>17.2本合同未尽事宜，遵照《合同法》有关条文执行。</w:t>
      </w:r>
    </w:p>
    <w:p w14:paraId="13E87EF7">
      <w:pPr>
        <w:pStyle w:val="23"/>
        <w:snapToGrid w:val="0"/>
        <w:spacing w:before="120" w:after="120"/>
        <w:ind w:left="420" w:hanging="420" w:hangingChars="200"/>
        <w:rPr>
          <w:rFonts w:hint="eastAsia" w:hAnsi="宋体" w:cs="宋体"/>
          <w:color w:val="auto"/>
        </w:rPr>
      </w:pPr>
      <w:r>
        <w:rPr>
          <w:rFonts w:hint="eastAsia" w:hAnsi="宋体" w:cs="宋体"/>
          <w:color w:val="auto"/>
        </w:rPr>
        <w:t>17.3本合同正本一式三份，具有同等法律效力，甲方、乙方及财政监管部门各执一份。</w:t>
      </w:r>
    </w:p>
    <w:p w14:paraId="796C5A01">
      <w:pPr>
        <w:pStyle w:val="23"/>
        <w:snapToGrid w:val="0"/>
        <w:spacing w:before="120" w:after="120"/>
        <w:ind w:left="420" w:hanging="420" w:hangingChars="200"/>
        <w:rPr>
          <w:rFonts w:hint="eastAsia" w:hAnsi="宋体" w:cs="宋体"/>
          <w:color w:val="auto"/>
        </w:rPr>
      </w:pPr>
    </w:p>
    <w:p w14:paraId="22B68AFA">
      <w:pPr>
        <w:pStyle w:val="23"/>
        <w:snapToGrid w:val="0"/>
        <w:spacing w:before="120" w:after="120" w:line="0" w:lineRule="atLeast"/>
        <w:ind w:left="420" w:hanging="420" w:hangingChars="200"/>
        <w:rPr>
          <w:rFonts w:hint="eastAsia" w:hAnsi="宋体" w:cs="宋体"/>
          <w:color w:val="auto"/>
        </w:rPr>
      </w:pPr>
      <w:r>
        <w:rPr>
          <w:rFonts w:hint="eastAsia" w:hAnsi="宋体" w:cs="宋体"/>
          <w:color w:val="auto"/>
        </w:rPr>
        <w:t xml:space="preserve">  甲方：                        乙方： </w:t>
      </w:r>
    </w:p>
    <w:p w14:paraId="77F9ABBB">
      <w:pPr>
        <w:pStyle w:val="23"/>
        <w:snapToGrid w:val="0"/>
        <w:spacing w:before="120" w:after="120" w:line="0" w:lineRule="atLeast"/>
        <w:rPr>
          <w:rFonts w:hint="eastAsia" w:hAnsi="宋体" w:cs="宋体"/>
          <w:color w:val="auto"/>
        </w:rPr>
      </w:pPr>
      <w:r>
        <w:rPr>
          <w:rFonts w:hint="eastAsia" w:hAnsi="宋体" w:cs="宋体"/>
          <w:color w:val="auto"/>
        </w:rPr>
        <w:t xml:space="preserve">  地址：                        地址： </w:t>
      </w:r>
    </w:p>
    <w:p w14:paraId="2DD37F2D">
      <w:pPr>
        <w:pStyle w:val="23"/>
        <w:snapToGrid w:val="0"/>
        <w:spacing w:before="120" w:after="120" w:line="0" w:lineRule="atLeast"/>
        <w:rPr>
          <w:rFonts w:hint="eastAsia" w:hAnsi="宋体" w:cs="宋体"/>
          <w:color w:val="auto"/>
        </w:rPr>
      </w:pPr>
      <w:r>
        <w:rPr>
          <w:rFonts w:hint="eastAsia" w:hAnsi="宋体" w:cs="宋体"/>
          <w:color w:val="auto"/>
        </w:rPr>
        <w:t xml:space="preserve">  法定代表人或授权代表：        法定代表人或授权代表：</w:t>
      </w:r>
    </w:p>
    <w:p w14:paraId="570182FA">
      <w:pPr>
        <w:pStyle w:val="23"/>
        <w:snapToGrid w:val="0"/>
        <w:spacing w:before="120" w:after="120" w:line="0" w:lineRule="atLeast"/>
        <w:jc w:val="center"/>
        <w:rPr>
          <w:rFonts w:hint="eastAsia" w:hAnsi="宋体" w:cs="宋体"/>
          <w:bCs/>
          <w:color w:val="auto"/>
        </w:rPr>
        <w:sectPr>
          <w:footerReference r:id="rId9" w:type="default"/>
          <w:pgSz w:w="11906" w:h="16838"/>
          <w:pgMar w:top="1418" w:right="1588" w:bottom="1418" w:left="1366" w:header="851" w:footer="907" w:gutter="0"/>
          <w:cols w:space="720" w:num="1"/>
          <w:titlePg/>
          <w:docGrid w:type="lines" w:linePitch="290" w:charSpace="0"/>
        </w:sectPr>
      </w:pPr>
      <w:r>
        <w:rPr>
          <w:rFonts w:hint="eastAsia" w:hAnsi="宋体" w:cs="宋体"/>
          <w:color w:val="auto"/>
        </w:rPr>
        <w:t xml:space="preserve">  联系电话：                    联系电话：           签订日期：      年  月  日</w:t>
      </w:r>
      <w:bookmarkEnd w:id="85"/>
      <w:bookmarkEnd w:id="86"/>
      <w:bookmarkEnd w:id="87"/>
      <w:bookmarkStart w:id="88" w:name="_Hlt16619369"/>
      <w:bookmarkEnd w:id="88"/>
      <w:bookmarkStart w:id="89" w:name="_Toc20823346"/>
      <w:bookmarkStart w:id="90" w:name="_Hlt16619350"/>
      <w:bookmarkStart w:id="91" w:name="_Toc16938590"/>
      <w:bookmarkStart w:id="92" w:name="_Toc120614244"/>
    </w:p>
    <w:bookmarkEnd w:id="89"/>
    <w:bookmarkEnd w:id="90"/>
    <w:bookmarkEnd w:id="91"/>
    <w:bookmarkEnd w:id="92"/>
    <w:p w14:paraId="01E90063">
      <w:pPr>
        <w:pStyle w:val="7"/>
        <w:adjustRightInd w:val="0"/>
        <w:snapToGrid w:val="0"/>
        <w:spacing w:before="156" w:beforeLines="50"/>
        <w:rPr>
          <w:rFonts w:hint="eastAsia" w:ascii="黑体" w:hAnsi="黑体"/>
          <w:color w:val="auto"/>
          <w:sz w:val="28"/>
          <w:szCs w:val="28"/>
        </w:rPr>
      </w:pPr>
      <w:r>
        <w:rPr>
          <w:rFonts w:hint="eastAsia" w:ascii="黑体" w:hAnsi="黑体"/>
          <w:b w:val="0"/>
          <w:bCs w:val="0"/>
          <w:color w:val="auto"/>
          <w:sz w:val="28"/>
          <w:szCs w:val="28"/>
        </w:rPr>
        <w:t>第二节 政府采购合同通用条款</w:t>
      </w:r>
      <w:bookmarkEnd w:id="84"/>
    </w:p>
    <w:p w14:paraId="77AFB199">
      <w:pPr>
        <w:tabs>
          <w:tab w:val="left" w:pos="8820"/>
          <w:tab w:val="left" w:pos="9345"/>
          <w:tab w:val="left" w:pos="9765"/>
        </w:tabs>
        <w:adjustRightInd w:val="0"/>
        <w:snapToGrid w:val="0"/>
        <w:spacing w:line="400" w:lineRule="exact"/>
        <w:jc w:val="left"/>
        <w:rPr>
          <w:rFonts w:hint="eastAsia" w:ascii="宋体" w:hAnsi="宋体"/>
          <w:b/>
          <w:bCs/>
          <w:color w:val="auto"/>
          <w:sz w:val="24"/>
        </w:rPr>
      </w:pPr>
      <w:r>
        <w:rPr>
          <w:rFonts w:hint="eastAsia" w:ascii="宋体" w:hAnsi="宋体"/>
          <w:b/>
          <w:color w:val="auto"/>
          <w:sz w:val="24"/>
        </w:rPr>
        <w:t xml:space="preserve">1. </w:t>
      </w:r>
      <w:r>
        <w:rPr>
          <w:rFonts w:hint="eastAsia" w:ascii="宋体" w:hAnsi="宋体"/>
          <w:b/>
          <w:bCs/>
          <w:color w:val="auto"/>
          <w:sz w:val="24"/>
        </w:rPr>
        <w:t>定义</w:t>
      </w:r>
    </w:p>
    <w:p w14:paraId="1DA1088F">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1.1合同当事人</w:t>
      </w:r>
    </w:p>
    <w:p w14:paraId="56286798">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（1）采购人（以下称甲方）是指使用财政性资金，通过政府采购方式向供应商购买货物及其相关服务的国家机关、事业单位、团体组织。</w:t>
      </w:r>
    </w:p>
    <w:p w14:paraId="17F1D54D">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（2）供应商（以下称乙方）是指参加政府采购活动并且中标（成交），向采购人提供合同约定的货物及其相关服务的法人、非法人组织或者自然人。</w:t>
      </w:r>
    </w:p>
    <w:p w14:paraId="355ACDAE">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（3）其他合同主体是指除采购人和供应商以外，</w:t>
      </w:r>
      <w:r>
        <w:rPr>
          <w:rFonts w:hint="eastAsia" w:ascii="宋体" w:hAnsi="宋体" w:cs="宋体"/>
          <w:bCs/>
          <w:color w:val="auto"/>
        </w:rPr>
        <w:t>依法参与合同缔结或履行，享有权利、承担义务的合同当事人</w:t>
      </w:r>
      <w:r>
        <w:rPr>
          <w:rFonts w:hint="eastAsia" w:ascii="宋体" w:hAnsi="宋体"/>
          <w:color w:val="auto"/>
        </w:rPr>
        <w:t>。</w:t>
      </w:r>
    </w:p>
    <w:p w14:paraId="60A549F3">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1.2本合同下列术语应解释为：</w:t>
      </w:r>
    </w:p>
    <w:p w14:paraId="7FC74889">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（1）“合同”系指</w:t>
      </w:r>
      <w:r>
        <w:rPr>
          <w:rFonts w:hint="eastAsia" w:ascii="宋体" w:hAnsi="宋体" w:cs="宋体"/>
          <w:bCs/>
          <w:color w:val="auto"/>
        </w:rPr>
        <w:t>合同当事人意思表示达成一致的任何协议，包括签署的</w:t>
      </w:r>
      <w:r>
        <w:rPr>
          <w:rFonts w:hint="eastAsia" w:ascii="宋体" w:hAnsi="宋体"/>
          <w:color w:val="auto"/>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rPr>
        <w:t>国家法律、行政法规和规章制度规定或合同约定的作为合同组成部分的其他文件</w:t>
      </w:r>
      <w:r>
        <w:rPr>
          <w:rFonts w:hint="eastAsia" w:ascii="宋体" w:hAnsi="宋体"/>
          <w:color w:val="auto"/>
        </w:rPr>
        <w:t>。</w:t>
      </w:r>
    </w:p>
    <w:p w14:paraId="3102701F">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（2）“合同价款”系指根据本合同规定乙方在全面履行合同义务后甲方应支付给乙方的价款。</w:t>
      </w:r>
    </w:p>
    <w:p w14:paraId="53C1A190">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（3）“货物”系指乙方根据本合同规定须向甲方提供的各种形态和种类的物品，包括原材料、设备、产品（包括软件）及相关的其备品备件、工具、手册及</w:t>
      </w:r>
      <w:r>
        <w:rPr>
          <w:rFonts w:ascii="宋体" w:hAnsi="宋体"/>
          <w:color w:val="auto"/>
          <w:lang w:val="en"/>
        </w:rPr>
        <w:t>其他</w:t>
      </w:r>
      <w:r>
        <w:rPr>
          <w:rFonts w:hint="eastAsia" w:ascii="宋体" w:hAnsi="宋体"/>
          <w:color w:val="auto"/>
        </w:rPr>
        <w:t>技术资料和材料等。</w:t>
      </w:r>
    </w:p>
    <w:p w14:paraId="77734D58">
      <w:pPr>
        <w:adjustRightInd w:val="0"/>
        <w:snapToGrid w:val="0"/>
        <w:spacing w:line="400" w:lineRule="exact"/>
        <w:ind w:firstLine="420" w:firstLineChars="200"/>
        <w:jc w:val="left"/>
        <w:rPr>
          <w:rFonts w:hint="eastAsia" w:ascii="宋体" w:hAnsi="宋体"/>
          <w:color w:val="auto"/>
          <w:highlight w:val="yellow"/>
        </w:rPr>
      </w:pPr>
      <w:r>
        <w:rPr>
          <w:rFonts w:hint="eastAsia" w:ascii="宋体" w:hAnsi="宋体"/>
          <w:color w:val="auto"/>
        </w:rPr>
        <w:t>（4）“相关服务”系指根据合同规定，乙方应提供的与货物有关的技术、管理和</w:t>
      </w:r>
      <w:r>
        <w:rPr>
          <w:rFonts w:ascii="宋体" w:hAnsi="宋体"/>
          <w:color w:val="auto"/>
          <w:lang w:val="en"/>
        </w:rPr>
        <w:t>其他</w:t>
      </w:r>
      <w:r>
        <w:rPr>
          <w:rFonts w:hint="eastAsia" w:ascii="宋体" w:hAnsi="宋体"/>
          <w:color w:val="auto"/>
        </w:rPr>
        <w:t>服务，包括但不限于：管理和质量保证、运输、保险、检验、现场准备、安装、集成、调试、培训、维修、废弃处置、技术支持等以及合同中规定乙方应承担的</w:t>
      </w:r>
      <w:r>
        <w:rPr>
          <w:rFonts w:ascii="宋体" w:hAnsi="宋体"/>
          <w:color w:val="auto"/>
          <w:lang w:val="en"/>
        </w:rPr>
        <w:t>其他</w:t>
      </w:r>
      <w:r>
        <w:rPr>
          <w:rFonts w:hint="eastAsia" w:ascii="宋体" w:hAnsi="宋体"/>
          <w:color w:val="auto"/>
        </w:rPr>
        <w:t>义务。</w:t>
      </w:r>
    </w:p>
    <w:p w14:paraId="13DD7C4C">
      <w:pPr>
        <w:adjustRightInd w:val="0"/>
        <w:snapToGrid w:val="0"/>
        <w:spacing w:line="400" w:lineRule="exact"/>
        <w:ind w:firstLine="420" w:firstLineChars="200"/>
        <w:jc w:val="left"/>
        <w:rPr>
          <w:rFonts w:hint="eastAsia" w:ascii="宋体" w:hAnsi="宋体"/>
          <w:color w:val="auto"/>
          <w:highlight w:val="yellow"/>
        </w:rPr>
      </w:pPr>
      <w:r>
        <w:rPr>
          <w:rFonts w:hint="eastAsia" w:ascii="宋体" w:hAnsi="宋体"/>
          <w:color w:val="auto"/>
        </w:rPr>
        <w:t>（5）“分包”系指中标（成交）供应商按采购文件、投标（响应）文件的规定，根据分包意向协议，将中标（成交）项目中的部分履约内容，分给具有相应资质条件的供应商履行合同的行为。</w:t>
      </w:r>
    </w:p>
    <w:p w14:paraId="3D0996F2">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rPr>
        <w:t>政府采购合同专用条款</w:t>
      </w:r>
      <w:r>
        <w:rPr>
          <w:rFonts w:hint="eastAsia" w:ascii="宋体" w:hAnsi="宋体"/>
          <w:color w:val="auto"/>
        </w:rPr>
        <w:t>】。</w:t>
      </w:r>
    </w:p>
    <w:p w14:paraId="106CA949">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（7）其他术语解释，见【</w:t>
      </w:r>
      <w:r>
        <w:rPr>
          <w:rFonts w:hint="eastAsia" w:ascii="宋体" w:hAnsi="宋体"/>
          <w:b/>
          <w:bCs/>
          <w:color w:val="auto"/>
        </w:rPr>
        <w:t>政府采购合同专用条款</w:t>
      </w:r>
      <w:r>
        <w:rPr>
          <w:rFonts w:hint="eastAsia" w:ascii="宋体" w:hAnsi="宋体"/>
          <w:color w:val="auto"/>
        </w:rPr>
        <w:t>】。</w:t>
      </w:r>
    </w:p>
    <w:p w14:paraId="31A52C4D">
      <w:pPr>
        <w:numPr>
          <w:ilvl w:val="0"/>
          <w:numId w:val="15"/>
        </w:num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color w:val="auto"/>
          <w:sz w:val="24"/>
        </w:rPr>
        <w:t>合同标的及金额</w:t>
      </w:r>
    </w:p>
    <w:p w14:paraId="53723E2C">
      <w:pPr>
        <w:autoSpaceDE w:val="0"/>
        <w:autoSpaceDN w:val="0"/>
        <w:adjustRightInd w:val="0"/>
        <w:snapToGrid w:val="0"/>
        <w:spacing w:line="400" w:lineRule="exact"/>
        <w:ind w:firstLine="420" w:firstLineChars="200"/>
        <w:jc w:val="left"/>
        <w:rPr>
          <w:rFonts w:hint="eastAsia" w:ascii="宋体" w:hAnsi="宋体"/>
          <w:b/>
          <w:bCs/>
          <w:i/>
          <w:iCs/>
          <w:color w:val="auto"/>
        </w:rPr>
      </w:pPr>
      <w:r>
        <w:rPr>
          <w:rFonts w:hint="eastAsia" w:ascii="宋体" w:hAnsi="宋体"/>
          <w:color w:val="auto"/>
        </w:rPr>
        <w:t>2.1 合同标的及金额应与中标（成交）结果一致。乙方为履行本合同而发生的所有费用均应包含在合同价款中，甲方不再另行支付</w:t>
      </w:r>
      <w:r>
        <w:rPr>
          <w:rFonts w:ascii="宋体" w:hAnsi="宋体"/>
          <w:color w:val="auto"/>
          <w:lang w:val="en"/>
        </w:rPr>
        <w:t>其他</w:t>
      </w:r>
      <w:r>
        <w:rPr>
          <w:rFonts w:hint="eastAsia" w:ascii="宋体" w:hAnsi="宋体"/>
          <w:color w:val="auto"/>
        </w:rPr>
        <w:t>任何费用。</w:t>
      </w:r>
    </w:p>
    <w:p w14:paraId="6B61FE63">
      <w:pPr>
        <w:adjustRightInd w:val="0"/>
        <w:snapToGrid w:val="0"/>
        <w:spacing w:line="400" w:lineRule="exact"/>
        <w:jc w:val="left"/>
        <w:rPr>
          <w:rFonts w:hint="eastAsia" w:ascii="宋体" w:hAnsi="宋体"/>
          <w:b/>
          <w:color w:val="auto"/>
          <w:sz w:val="24"/>
        </w:rPr>
      </w:pPr>
      <w:r>
        <w:rPr>
          <w:rFonts w:hint="eastAsia" w:ascii="宋体" w:hAnsi="宋体"/>
          <w:b/>
          <w:color w:val="auto"/>
          <w:sz w:val="24"/>
        </w:rPr>
        <w:t>3. 履行合同的时间、地点和方式</w:t>
      </w:r>
    </w:p>
    <w:p w14:paraId="14965AE9">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 xml:space="preserve">3.1 </w:t>
      </w:r>
      <w:r>
        <w:rPr>
          <w:rFonts w:hint="eastAsia" w:ascii="宋体" w:hAnsi="宋体" w:cs="宋体"/>
          <w:color w:val="auto"/>
        </w:rPr>
        <w:t>乙方应当在约定的时间、地点，按照约定方式履行合同。</w:t>
      </w:r>
    </w:p>
    <w:p w14:paraId="3D0AB043">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4. 甲方的权利和义务</w:t>
      </w:r>
    </w:p>
    <w:p w14:paraId="4D1C3B46">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4.1</w:t>
      </w:r>
      <w:r>
        <w:rPr>
          <w:rFonts w:ascii="宋体" w:hAnsi="宋体"/>
          <w:color w:val="auto"/>
        </w:rPr>
        <w:t xml:space="preserve"> 签署合同后，甲方</w:t>
      </w:r>
      <w:r>
        <w:rPr>
          <w:rFonts w:hint="eastAsia" w:ascii="宋体" w:hAnsi="宋体"/>
          <w:color w:val="auto"/>
        </w:rPr>
        <w:t>应</w:t>
      </w:r>
      <w:r>
        <w:rPr>
          <w:rFonts w:ascii="宋体" w:hAnsi="宋体"/>
          <w:color w:val="auto"/>
        </w:rPr>
        <w:t>确定</w:t>
      </w:r>
      <w:r>
        <w:rPr>
          <w:rFonts w:hint="eastAsia" w:ascii="宋体" w:hAnsi="宋体"/>
          <w:color w:val="auto"/>
        </w:rPr>
        <w:t>项目负责人（或项目联系人）</w:t>
      </w:r>
      <w:r>
        <w:rPr>
          <w:rFonts w:ascii="宋体" w:hAnsi="宋体"/>
          <w:color w:val="auto"/>
        </w:rPr>
        <w:t>，负责与本合同有关的事务。</w:t>
      </w:r>
      <w:r>
        <w:rPr>
          <w:rFonts w:hint="eastAsia" w:ascii="宋体" w:hAnsi="宋体"/>
          <w:color w:val="auto"/>
        </w:rPr>
        <w:t>甲方有权对乙方的履约行为进行检查，并</w:t>
      </w:r>
      <w:r>
        <w:rPr>
          <w:rFonts w:ascii="宋体" w:hAnsi="宋体"/>
          <w:color w:val="auto"/>
        </w:rPr>
        <w:t>及时确认乙方提交的事项</w:t>
      </w:r>
      <w:r>
        <w:rPr>
          <w:rFonts w:hint="eastAsia" w:ascii="宋体" w:hAnsi="宋体"/>
          <w:color w:val="auto"/>
        </w:rPr>
        <w:t>。甲方应当</w:t>
      </w:r>
      <w:r>
        <w:rPr>
          <w:rFonts w:ascii="宋体" w:hAnsi="宋体"/>
          <w:color w:val="auto"/>
        </w:rPr>
        <w:t>配合乙方完成</w:t>
      </w:r>
      <w:r>
        <w:rPr>
          <w:rFonts w:hint="eastAsia" w:ascii="宋体" w:hAnsi="宋体"/>
          <w:color w:val="auto"/>
        </w:rPr>
        <w:t>相关项目</w:t>
      </w:r>
      <w:r>
        <w:rPr>
          <w:rFonts w:ascii="宋体" w:hAnsi="宋体"/>
          <w:color w:val="auto"/>
        </w:rPr>
        <w:t>实施工作。</w:t>
      </w:r>
    </w:p>
    <w:p w14:paraId="63BBFDF2">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 xml:space="preserve">4.2 </w:t>
      </w:r>
      <w:r>
        <w:rPr>
          <w:rFonts w:ascii="宋体" w:hAnsi="宋体"/>
          <w:color w:val="auto"/>
        </w:rPr>
        <w:t>甲方有权要求乙方按时提交各阶段有关</w:t>
      </w:r>
      <w:r>
        <w:rPr>
          <w:rFonts w:hint="eastAsia" w:ascii="宋体" w:hAnsi="宋体"/>
          <w:color w:val="auto"/>
        </w:rPr>
        <w:t>安排计划</w:t>
      </w:r>
      <w:r>
        <w:rPr>
          <w:rFonts w:ascii="宋体" w:hAnsi="宋体"/>
          <w:color w:val="auto"/>
        </w:rPr>
        <w:t>，并有权</w:t>
      </w:r>
      <w:r>
        <w:rPr>
          <w:rFonts w:hint="eastAsia" w:ascii="宋体" w:hAnsi="宋体"/>
          <w:color w:val="auto"/>
        </w:rPr>
        <w:t>定期核对乙方提供货物数量、规格、质量等内容。甲方</w:t>
      </w:r>
      <w:r>
        <w:rPr>
          <w:rFonts w:ascii="宋体" w:hAnsi="宋体"/>
          <w:color w:val="auto"/>
        </w:rPr>
        <w:t>有权督促乙方工作并要求乙方</w:t>
      </w:r>
      <w:r>
        <w:rPr>
          <w:rFonts w:hint="eastAsia" w:ascii="宋体" w:hAnsi="宋体"/>
          <w:color w:val="auto"/>
        </w:rPr>
        <w:t>更</w:t>
      </w:r>
      <w:r>
        <w:rPr>
          <w:rFonts w:ascii="宋体" w:hAnsi="宋体"/>
          <w:color w:val="auto"/>
        </w:rPr>
        <w:t>换不符合要求的</w:t>
      </w:r>
      <w:r>
        <w:rPr>
          <w:rFonts w:hint="eastAsia" w:ascii="宋体" w:hAnsi="宋体"/>
          <w:color w:val="auto"/>
        </w:rPr>
        <w:t>货物</w:t>
      </w:r>
      <w:r>
        <w:rPr>
          <w:rFonts w:ascii="宋体" w:hAnsi="宋体"/>
          <w:color w:val="auto"/>
        </w:rPr>
        <w:t>。</w:t>
      </w:r>
    </w:p>
    <w:p w14:paraId="5E20B398">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4.</w:t>
      </w:r>
      <w:r>
        <w:rPr>
          <w:rFonts w:ascii="宋体" w:hAnsi="宋体"/>
          <w:color w:val="auto"/>
        </w:rPr>
        <w:t>3</w:t>
      </w:r>
      <w:r>
        <w:rPr>
          <w:rFonts w:hint="eastAsia" w:ascii="宋体" w:hAnsi="宋体"/>
          <w:color w:val="auto"/>
        </w:rPr>
        <w:t xml:space="preserve"> </w:t>
      </w:r>
      <w:r>
        <w:rPr>
          <w:rFonts w:ascii="宋体" w:hAnsi="宋体"/>
          <w:color w:val="auto"/>
        </w:rPr>
        <w:t>甲方</w:t>
      </w:r>
      <w:r>
        <w:rPr>
          <w:rFonts w:hint="eastAsia" w:ascii="宋体" w:hAnsi="宋体"/>
          <w:color w:val="auto"/>
        </w:rPr>
        <w:t>有权要求乙方对缺陷部分予以修复，并按合同约定享有货物保修及其他合同约定的权利。</w:t>
      </w:r>
    </w:p>
    <w:p w14:paraId="7BC9A062">
      <w:pPr>
        <w:snapToGrid w:val="0"/>
        <w:spacing w:line="400" w:lineRule="exact"/>
        <w:ind w:firstLine="420" w:firstLineChars="200"/>
        <w:rPr>
          <w:rFonts w:eastAsia="华文楷体"/>
          <w:color w:val="auto"/>
        </w:rPr>
      </w:pPr>
      <w:r>
        <w:rPr>
          <w:rFonts w:ascii="宋体" w:hAnsi="宋体"/>
          <w:color w:val="auto"/>
        </w:rPr>
        <w:t>4.4 甲方应当按照合同约定及时对交付的货物进行验收</w:t>
      </w:r>
      <w:r>
        <w:rPr>
          <w:rFonts w:hint="eastAsia" w:ascii="宋体" w:hAnsi="宋体"/>
          <w:color w:val="auto"/>
        </w:rPr>
        <w:t>，</w:t>
      </w:r>
      <w:r>
        <w:rPr>
          <w:rFonts w:hint="eastAsia" w:ascii="宋体" w:hAnsi="宋体" w:cs="宋体"/>
          <w:color w:val="auto"/>
        </w:rPr>
        <w:t>未</w:t>
      </w:r>
      <w:r>
        <w:rPr>
          <w:rFonts w:hint="eastAsia" w:ascii="宋体" w:hAnsi="宋体"/>
          <w:color w:val="auto"/>
        </w:rPr>
        <w:t>在</w:t>
      </w:r>
      <w:r>
        <w:rPr>
          <w:rFonts w:hint="eastAsia" w:ascii="宋体" w:hAnsi="宋体" w:cs="宋体"/>
          <w:b/>
          <w:bCs/>
          <w:color w:val="auto"/>
        </w:rPr>
        <w:t>【政府采购合同专用条款】</w:t>
      </w:r>
      <w:r>
        <w:rPr>
          <w:rFonts w:hint="eastAsia" w:ascii="宋体" w:hAnsi="宋体" w:cs="宋体"/>
          <w:color w:val="auto"/>
        </w:rPr>
        <w:t>约定的期限内对乙方履约提出任何异议或者向乙方作出任何说明的，</w:t>
      </w:r>
      <w:r>
        <w:rPr>
          <w:rFonts w:hint="eastAsia" w:ascii="宋体" w:hAnsi="宋体"/>
          <w:color w:val="auto"/>
        </w:rPr>
        <w:t>视为验收通过。</w:t>
      </w:r>
    </w:p>
    <w:p w14:paraId="3D81CE1F">
      <w:pPr>
        <w:autoSpaceDE w:val="0"/>
        <w:autoSpaceDN w:val="0"/>
        <w:adjustRightInd w:val="0"/>
        <w:snapToGrid w:val="0"/>
        <w:spacing w:line="400" w:lineRule="exact"/>
        <w:ind w:firstLine="420" w:firstLineChars="200"/>
        <w:jc w:val="left"/>
        <w:rPr>
          <w:rFonts w:hint="eastAsia" w:ascii="宋体" w:hAnsi="宋体"/>
          <w:color w:val="auto"/>
        </w:rPr>
      </w:pPr>
      <w:r>
        <w:rPr>
          <w:rFonts w:ascii="宋体" w:hAnsi="宋体"/>
          <w:color w:val="auto"/>
        </w:rPr>
        <w:t>4</w:t>
      </w:r>
      <w:r>
        <w:rPr>
          <w:rFonts w:hint="eastAsia" w:ascii="宋体" w:hAnsi="宋体"/>
          <w:color w:val="auto"/>
        </w:rPr>
        <w:t>.</w:t>
      </w:r>
      <w:r>
        <w:rPr>
          <w:rFonts w:ascii="宋体" w:hAnsi="宋体"/>
          <w:color w:val="auto"/>
        </w:rPr>
        <w:t xml:space="preserve">5 </w:t>
      </w:r>
      <w:r>
        <w:rPr>
          <w:rFonts w:hint="eastAsia" w:ascii="宋体" w:hAnsi="宋体"/>
          <w:color w:val="auto"/>
        </w:rPr>
        <w:t>甲方应当根据合同约定及时向乙方支付合同价款</w:t>
      </w:r>
      <w:r>
        <w:rPr>
          <w:rFonts w:ascii="宋体" w:hAnsi="宋体"/>
          <w:color w:val="auto"/>
        </w:rPr>
        <w:t>，不得以内部人员变更、履行内部付款流程等为由，拒绝或迟延支付。</w:t>
      </w:r>
    </w:p>
    <w:p w14:paraId="2CD77350">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4.6</w:t>
      </w:r>
      <w:r>
        <w:rPr>
          <w:rFonts w:ascii="宋体" w:hAnsi="宋体"/>
          <w:color w:val="auto"/>
        </w:rPr>
        <w:t xml:space="preserve"> </w:t>
      </w:r>
      <w:r>
        <w:rPr>
          <w:rFonts w:hint="eastAsia" w:ascii="宋体" w:hAnsi="宋体"/>
          <w:color w:val="auto"/>
        </w:rPr>
        <w:t>国家法律法规规定及</w:t>
      </w:r>
      <w:r>
        <w:rPr>
          <w:rFonts w:hint="eastAsia" w:ascii="宋体" w:hAnsi="宋体" w:cs="宋体"/>
          <w:b/>
          <w:bCs/>
          <w:color w:val="auto"/>
        </w:rPr>
        <w:t>【政府采购合同专用条款】</w:t>
      </w:r>
      <w:r>
        <w:rPr>
          <w:rFonts w:hint="eastAsia" w:ascii="宋体" w:hAnsi="宋体"/>
          <w:color w:val="auto"/>
        </w:rPr>
        <w:t>约定应由甲方承担的其他义务和责任。</w:t>
      </w:r>
    </w:p>
    <w:p w14:paraId="2039115D">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5. 乙方的权利和义务</w:t>
      </w:r>
    </w:p>
    <w:p w14:paraId="3FA6403F">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 xml:space="preserve">5.1 </w:t>
      </w:r>
      <w:r>
        <w:rPr>
          <w:rFonts w:ascii="宋体" w:hAnsi="宋体"/>
          <w:color w:val="auto"/>
        </w:rPr>
        <w:t>签署合同后，乙方</w:t>
      </w:r>
      <w:r>
        <w:rPr>
          <w:rFonts w:hint="eastAsia" w:ascii="宋体" w:hAnsi="宋体"/>
          <w:color w:val="auto"/>
        </w:rPr>
        <w:t>应</w:t>
      </w:r>
      <w:r>
        <w:rPr>
          <w:rFonts w:ascii="宋体" w:hAnsi="宋体"/>
          <w:color w:val="auto"/>
        </w:rPr>
        <w:t>确定</w:t>
      </w:r>
      <w:r>
        <w:rPr>
          <w:rFonts w:hint="eastAsia" w:ascii="宋体" w:hAnsi="宋体"/>
          <w:color w:val="auto"/>
        </w:rPr>
        <w:t>项目负责人（或项目联系人）</w:t>
      </w:r>
      <w:r>
        <w:rPr>
          <w:rFonts w:ascii="宋体" w:hAnsi="宋体"/>
          <w:color w:val="auto"/>
        </w:rPr>
        <w:t>，负责与本合同有关的事务。</w:t>
      </w:r>
    </w:p>
    <w:p w14:paraId="20356941">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5.</w:t>
      </w:r>
      <w:r>
        <w:rPr>
          <w:rFonts w:ascii="宋体" w:hAnsi="宋体"/>
          <w:color w:val="auto"/>
        </w:rPr>
        <w:t>2 乙方应按照合同要求</w:t>
      </w:r>
      <w:r>
        <w:rPr>
          <w:rFonts w:hint="eastAsia" w:ascii="宋体" w:hAnsi="宋体"/>
          <w:color w:val="auto"/>
        </w:rPr>
        <w:t>履约</w:t>
      </w:r>
      <w:r>
        <w:rPr>
          <w:rFonts w:ascii="宋体" w:hAnsi="宋体"/>
          <w:color w:val="auto"/>
        </w:rPr>
        <w:t>，充分合理安排，确保</w:t>
      </w:r>
      <w:r>
        <w:rPr>
          <w:rFonts w:hint="eastAsia" w:ascii="宋体" w:hAnsi="宋体"/>
          <w:color w:val="auto"/>
        </w:rPr>
        <w:t>提供的货物及相关服务符合合同有关</w:t>
      </w:r>
      <w:r>
        <w:rPr>
          <w:rFonts w:ascii="宋体" w:hAnsi="宋体"/>
          <w:color w:val="auto"/>
        </w:rPr>
        <w:t>要求</w:t>
      </w:r>
      <w:r>
        <w:rPr>
          <w:rFonts w:hint="eastAsia" w:ascii="宋体" w:hAnsi="宋体"/>
          <w:color w:val="auto"/>
        </w:rPr>
        <w:t>。接受项目行业管理部门及政府有关部门的指导，配合甲方的履约检查及验收，并</w:t>
      </w:r>
      <w:r>
        <w:rPr>
          <w:rFonts w:ascii="宋体" w:hAnsi="宋体"/>
          <w:color w:val="auto"/>
        </w:rPr>
        <w:t>负责项目实施过程中的所有协调工作。</w:t>
      </w:r>
    </w:p>
    <w:p w14:paraId="15AB4697">
      <w:pPr>
        <w:pStyle w:val="2"/>
        <w:spacing w:line="400" w:lineRule="exact"/>
        <w:ind w:firstLine="369" w:firstLineChars="176"/>
        <w:rPr>
          <w:rFonts w:hint="eastAsia" w:ascii="宋体" w:hAnsi="宋体" w:eastAsia="宋体"/>
          <w:color w:val="auto"/>
          <w:sz w:val="21"/>
          <w:szCs w:val="21"/>
        </w:rPr>
      </w:pPr>
      <w:r>
        <w:rPr>
          <w:rFonts w:hint="eastAsia" w:ascii="宋体" w:hAnsi="宋体" w:eastAsia="宋体"/>
          <w:color w:val="auto"/>
          <w:sz w:val="21"/>
          <w:szCs w:val="21"/>
        </w:rPr>
        <w:t>5.3乙方有权根据合同约定向甲方收取合同价款。</w:t>
      </w:r>
    </w:p>
    <w:p w14:paraId="012FF66C">
      <w:pPr>
        <w:pStyle w:val="2"/>
        <w:spacing w:line="400" w:lineRule="exact"/>
        <w:ind w:firstLine="369" w:firstLineChars="176"/>
        <w:rPr>
          <w:rFonts w:hint="eastAsia" w:ascii="宋体" w:hAnsi="宋体" w:eastAsia="宋体"/>
          <w:color w:val="auto"/>
          <w:sz w:val="21"/>
          <w:szCs w:val="21"/>
        </w:rPr>
      </w:pPr>
      <w:r>
        <w:rPr>
          <w:rFonts w:hint="eastAsia" w:ascii="宋体" w:hAnsi="宋体" w:eastAsia="宋体"/>
          <w:color w:val="auto"/>
          <w:sz w:val="21"/>
          <w:szCs w:val="21"/>
        </w:rPr>
        <w:t>5.4国家法律法规规定及</w:t>
      </w:r>
      <w:bookmarkStart w:id="93" w:name="OLE_LINK1"/>
      <w:r>
        <w:rPr>
          <w:rFonts w:hint="eastAsia" w:ascii="宋体" w:hAnsi="宋体" w:eastAsia="宋体"/>
          <w:b/>
          <w:bCs/>
          <w:color w:val="auto"/>
          <w:sz w:val="21"/>
          <w:szCs w:val="21"/>
        </w:rPr>
        <w:t>【政府采购合同专用条款】</w:t>
      </w:r>
      <w:bookmarkEnd w:id="93"/>
      <w:r>
        <w:rPr>
          <w:rFonts w:hint="eastAsia" w:ascii="宋体" w:hAnsi="宋体" w:eastAsia="宋体"/>
          <w:color w:val="auto"/>
          <w:sz w:val="21"/>
          <w:szCs w:val="21"/>
        </w:rPr>
        <w:t>约定应由乙方承担的其他义务和责任。</w:t>
      </w:r>
    </w:p>
    <w:p w14:paraId="4ABC9340">
      <w:pPr>
        <w:numPr>
          <w:ilvl w:val="0"/>
          <w:numId w:val="16"/>
        </w:num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合同履行</w:t>
      </w:r>
    </w:p>
    <w:p w14:paraId="2FC1DF09">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6.1 甲乙双方应当按照</w:t>
      </w:r>
      <w:r>
        <w:rPr>
          <w:rFonts w:hint="eastAsia" w:ascii="宋体" w:hAnsi="宋体" w:cs="宋体"/>
          <w:b/>
          <w:bCs/>
          <w:color w:val="auto"/>
        </w:rPr>
        <w:t>【政府采购合同专用条款】</w:t>
      </w:r>
      <w:r>
        <w:rPr>
          <w:rFonts w:hint="eastAsia" w:ascii="宋体" w:hAnsi="宋体"/>
          <w:color w:val="auto"/>
        </w:rPr>
        <w:t>约定顺序履行合同义务；如果没有先后顺序的，应当同时履行。</w:t>
      </w:r>
    </w:p>
    <w:p w14:paraId="40023E41">
      <w:pPr>
        <w:autoSpaceDE w:val="0"/>
        <w:autoSpaceDN w:val="0"/>
        <w:adjustRightInd w:val="0"/>
        <w:snapToGrid w:val="0"/>
        <w:spacing w:line="400" w:lineRule="exact"/>
        <w:ind w:firstLine="420" w:firstLineChars="200"/>
        <w:jc w:val="left"/>
        <w:rPr>
          <w:color w:val="auto"/>
        </w:rPr>
      </w:pPr>
      <w:r>
        <w:rPr>
          <w:rFonts w:hint="eastAsia" w:ascii="宋体" w:hAnsi="宋体"/>
          <w:color w:val="auto"/>
        </w:rPr>
        <w:t>6.2 甲乙双方按照合同约定顺序履行合同义务时，应当先履行一方未履行的，后履行一方有权拒绝其履行请求。先履行一方履行不符合约定的，后履行一方有权拒绝其相应的履行请求。</w:t>
      </w:r>
    </w:p>
    <w:p w14:paraId="356488CE">
      <w:pPr>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7. 货物包装、运输、保险和交付要求</w:t>
      </w:r>
    </w:p>
    <w:p w14:paraId="7620E319">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7.1 本合同</w:t>
      </w:r>
      <w:r>
        <w:rPr>
          <w:rFonts w:hint="eastAsia" w:ascii="宋体" w:hAnsi="宋体"/>
          <w:bCs/>
          <w:color w:val="auto"/>
        </w:rPr>
        <w:t>涉及商品包装、快递包装的，</w:t>
      </w:r>
      <w:r>
        <w:rPr>
          <w:rFonts w:hint="eastAsia" w:ascii="宋体" w:hAnsi="宋体"/>
          <w:color w:val="auto"/>
        </w:rPr>
        <w:t>除</w:t>
      </w:r>
      <w:r>
        <w:rPr>
          <w:rFonts w:hint="eastAsia" w:ascii="宋体" w:hAnsi="宋体"/>
          <w:b/>
          <w:color w:val="auto"/>
        </w:rPr>
        <w:t>【政府采购合同专用条款】</w:t>
      </w:r>
      <w:r>
        <w:rPr>
          <w:rFonts w:hint="eastAsia" w:ascii="宋体" w:hAnsi="宋体"/>
          <w:bCs/>
          <w:color w:val="auto"/>
        </w:rPr>
        <w:t>另有约定外，</w:t>
      </w:r>
      <w:r>
        <w:rPr>
          <w:rFonts w:hint="eastAsia" w:ascii="宋体" w:hAnsi="宋体"/>
          <w:color w:val="auto"/>
        </w:rPr>
        <w:t>包装应适应远距离运输、防潮、防震、防锈和防野蛮装卸等要求，确保货物安全无损地运抵</w:t>
      </w:r>
      <w:r>
        <w:rPr>
          <w:rFonts w:hint="eastAsia" w:ascii="宋体" w:hAnsi="宋体"/>
          <w:b/>
          <w:color w:val="auto"/>
        </w:rPr>
        <w:t>【政府采购合同专用条款】</w:t>
      </w:r>
      <w:r>
        <w:rPr>
          <w:rFonts w:hint="eastAsia" w:ascii="宋体" w:hAnsi="宋体"/>
          <w:bCs/>
          <w:color w:val="auto"/>
        </w:rPr>
        <w:t>约定的</w:t>
      </w:r>
      <w:r>
        <w:rPr>
          <w:rFonts w:hint="eastAsia" w:ascii="宋体" w:hAnsi="宋体"/>
          <w:color w:val="auto"/>
        </w:rPr>
        <w:t>指定现场。</w:t>
      </w:r>
    </w:p>
    <w:p w14:paraId="6D9F5D8A">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7.2 除</w:t>
      </w:r>
      <w:r>
        <w:rPr>
          <w:rFonts w:hint="eastAsia" w:ascii="宋体" w:hAnsi="宋体"/>
          <w:b/>
          <w:color w:val="auto"/>
        </w:rPr>
        <w:t>【政府采购合同专用条款】</w:t>
      </w:r>
      <w:r>
        <w:rPr>
          <w:rFonts w:hint="eastAsia" w:ascii="宋体" w:hAnsi="宋体"/>
          <w:bCs/>
          <w:color w:val="auto"/>
        </w:rPr>
        <w:t>另有约定外，</w:t>
      </w:r>
      <w:r>
        <w:rPr>
          <w:rFonts w:hint="eastAsia" w:ascii="宋体" w:hAnsi="宋体"/>
          <w:color w:val="auto"/>
        </w:rPr>
        <w:t>乙方负责办理将货物运抵本合同规定的交货地点，并装卸、交付至甲方的一切运输事项，相关费用应包含在合同价款中。</w:t>
      </w:r>
    </w:p>
    <w:p w14:paraId="4059E1B3">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7.3 货物保险要求按</w:t>
      </w:r>
      <w:r>
        <w:rPr>
          <w:rFonts w:hint="eastAsia" w:ascii="宋体" w:hAnsi="宋体"/>
          <w:b/>
          <w:color w:val="auto"/>
        </w:rPr>
        <w:t>【政府采购合同专用条款】</w:t>
      </w:r>
      <w:r>
        <w:rPr>
          <w:rFonts w:hint="eastAsia" w:ascii="宋体" w:hAnsi="宋体"/>
          <w:bCs/>
          <w:color w:val="auto"/>
        </w:rPr>
        <w:t>规定执行</w:t>
      </w:r>
      <w:r>
        <w:rPr>
          <w:rFonts w:hint="eastAsia" w:ascii="宋体" w:hAnsi="宋体"/>
          <w:color w:val="auto"/>
        </w:rPr>
        <w:t>。</w:t>
      </w:r>
    </w:p>
    <w:p w14:paraId="08FCFB1D">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A5EE9CC">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 xml:space="preserve">7.5 </w:t>
      </w:r>
      <w:r>
        <w:rPr>
          <w:rFonts w:hint="eastAsia" w:ascii="宋体" w:hAnsi="宋体" w:cs="宋体"/>
          <w:color w:val="auto"/>
        </w:rPr>
        <w:t>乙方在运输到达之前应提前通知甲方，并提示货物运输装卸的注意事项，甲方配合乙方做好货物的接收工作。</w:t>
      </w:r>
    </w:p>
    <w:p w14:paraId="0C6D6EC1">
      <w:pPr>
        <w:pStyle w:val="143"/>
        <w:ind w:firstLine="420"/>
        <w:rPr>
          <w:rFonts w:hint="eastAsia"/>
          <w:color w:val="auto"/>
          <w:sz w:val="21"/>
        </w:rPr>
      </w:pPr>
      <w:r>
        <w:rPr>
          <w:rFonts w:hint="eastAsia" w:ascii="宋体" w:hAnsi="宋体" w:eastAsia="宋体" w:cs="Times New Roman"/>
          <w:color w:val="auto"/>
          <w:kern w:val="2"/>
          <w:sz w:val="21"/>
        </w:rPr>
        <w:t>7.6 如因包装、运输问题导致货物损毁、丢失或者品质下降，甲方有权要求降价、换货、拒收部分或整批货物，由此产生的费用和损失，均由乙方承担。</w:t>
      </w:r>
    </w:p>
    <w:p w14:paraId="377DC753">
      <w:pPr>
        <w:adjustRightInd w:val="0"/>
        <w:snapToGrid w:val="0"/>
        <w:spacing w:line="400" w:lineRule="exact"/>
        <w:jc w:val="left"/>
        <w:rPr>
          <w:rFonts w:hint="eastAsia" w:ascii="宋体" w:hAnsi="宋体"/>
          <w:b/>
          <w:color w:val="auto"/>
          <w:sz w:val="24"/>
        </w:rPr>
      </w:pPr>
      <w:r>
        <w:rPr>
          <w:rFonts w:hint="eastAsia" w:ascii="宋体" w:hAnsi="宋体"/>
          <w:b/>
          <w:color w:val="auto"/>
          <w:sz w:val="24"/>
        </w:rPr>
        <w:t>8. 质量标准和保证</w:t>
      </w:r>
    </w:p>
    <w:p w14:paraId="6133ECE1">
      <w:pPr>
        <w:pStyle w:val="23"/>
        <w:adjustRightInd w:val="0"/>
        <w:snapToGrid w:val="0"/>
        <w:spacing w:line="400" w:lineRule="exact"/>
        <w:ind w:firstLine="420" w:firstLineChars="200"/>
        <w:jc w:val="left"/>
        <w:rPr>
          <w:rFonts w:hint="eastAsia" w:hAnsi="宋体"/>
          <w:b/>
          <w:color w:val="auto"/>
        </w:rPr>
      </w:pPr>
      <w:r>
        <w:rPr>
          <w:rFonts w:hint="eastAsia" w:hAnsi="宋体"/>
          <w:color w:val="auto"/>
        </w:rPr>
        <w:t>8.1 质量标准</w:t>
      </w:r>
    </w:p>
    <w:p w14:paraId="7161F46C">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（1）本合同下提供的货物应符合合同</w:t>
      </w:r>
      <w:r>
        <w:rPr>
          <w:rFonts w:hint="eastAsia" w:ascii="宋体" w:hAnsi="宋体" w:cs="宋体"/>
          <w:color w:val="auto"/>
        </w:rPr>
        <w:t>约定的品牌、规格型号、技术性能、配置、质量、数量等要求。</w:t>
      </w:r>
      <w:r>
        <w:rPr>
          <w:rFonts w:hint="eastAsia" w:ascii="宋体" w:hAnsi="宋体"/>
          <w:color w:val="auto"/>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87BCB5A">
      <w:pPr>
        <w:pStyle w:val="23"/>
        <w:adjustRightInd w:val="0"/>
        <w:snapToGrid w:val="0"/>
        <w:spacing w:line="400" w:lineRule="exact"/>
        <w:ind w:firstLine="420" w:firstLineChars="200"/>
        <w:jc w:val="left"/>
        <w:rPr>
          <w:rFonts w:hint="eastAsia" w:hAnsi="宋体"/>
          <w:color w:val="auto"/>
        </w:rPr>
      </w:pPr>
      <w:r>
        <w:rPr>
          <w:rFonts w:hint="eastAsia" w:hAnsi="宋体"/>
          <w:color w:val="auto"/>
        </w:rPr>
        <w:t>（2）采用中华人民共和国法定计量单位。</w:t>
      </w:r>
    </w:p>
    <w:p w14:paraId="13A1B6F1">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（3）乙方所提供的货物应符合国家有关安全、环保、卫生的规定。</w:t>
      </w:r>
    </w:p>
    <w:p w14:paraId="280C5C2C">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（4）乙方应向甲方提交所提供货物的技术文件，包括相应的中文技术文件，如：产品目录、图纸、操作手册、使用说明、维护手册或服务指南等。上述文件应包装好随货物一同发运。</w:t>
      </w:r>
    </w:p>
    <w:p w14:paraId="27B8D99E">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8.2 保证</w:t>
      </w:r>
    </w:p>
    <w:p w14:paraId="4BE20C0B">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（1）乙方应保证提供的货物完全符合合同规定的质量、规格和性能要求。乙方应保证货物在正确安装、正常使用和保养条件下，</w:t>
      </w:r>
      <w:r>
        <w:rPr>
          <w:rFonts w:hint="eastAsia" w:ascii="宋体" w:hAnsi="宋体" w:cs="宋体"/>
          <w:color w:val="auto"/>
        </w:rPr>
        <w:t>在其使用寿命期内具备合同约定的性能</w:t>
      </w:r>
      <w:r>
        <w:rPr>
          <w:rFonts w:hint="eastAsia" w:ascii="宋体" w:hAnsi="宋体"/>
          <w:color w:val="auto"/>
        </w:rPr>
        <w:t>。存在质量保证期的，货物最终交付验收合格后在</w:t>
      </w:r>
      <w:r>
        <w:rPr>
          <w:rFonts w:hint="eastAsia" w:ascii="宋体" w:hAnsi="宋体"/>
          <w:b/>
          <w:color w:val="auto"/>
        </w:rPr>
        <w:t>【政府采购合同专用条款】</w:t>
      </w:r>
      <w:r>
        <w:rPr>
          <w:rFonts w:hint="eastAsia" w:ascii="宋体" w:hAnsi="宋体"/>
          <w:color w:val="auto"/>
        </w:rPr>
        <w:t>规定或乙方书面承诺（两者以较长的为准）的质量保证期内，本保证保持有效。</w:t>
      </w:r>
    </w:p>
    <w:p w14:paraId="655AEA3F">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（2）在质量保证期内所发现的缺陷，甲方应尽快以书面形式通知乙方。</w:t>
      </w:r>
    </w:p>
    <w:p w14:paraId="0C968254">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（3）乙方收到通知后，应在</w:t>
      </w:r>
      <w:r>
        <w:rPr>
          <w:rFonts w:hint="eastAsia" w:ascii="宋体" w:hAnsi="宋体"/>
          <w:b/>
          <w:color w:val="auto"/>
        </w:rPr>
        <w:t>【政府采购合同专用条款】</w:t>
      </w:r>
      <w:r>
        <w:rPr>
          <w:rFonts w:hint="eastAsia" w:ascii="宋体" w:hAnsi="宋体"/>
          <w:color w:val="auto"/>
        </w:rPr>
        <w:t>规定的响应时间内以合理的速度免费维修或更换有缺陷的货物或部件。</w:t>
      </w:r>
    </w:p>
    <w:p w14:paraId="25455012">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（4）在质量保证期内，如果货物的质量或规格与合同不符，或证实货物是有缺陷的，包括潜在的缺陷或使用不符合要求的材料等，甲方可以根据本合同第15.1条规定以书面形式追究乙方的违约责任。</w:t>
      </w:r>
    </w:p>
    <w:p w14:paraId="2D9FA706">
      <w:pPr>
        <w:adjustRightInd w:val="0"/>
        <w:snapToGrid w:val="0"/>
        <w:spacing w:line="400" w:lineRule="exact"/>
        <w:ind w:firstLine="420" w:firstLineChars="200"/>
        <w:jc w:val="left"/>
        <w:rPr>
          <w:color w:val="auto"/>
        </w:rPr>
      </w:pPr>
      <w:r>
        <w:rPr>
          <w:rFonts w:hint="eastAsia" w:ascii="宋体" w:hAnsi="宋体"/>
          <w:color w:val="auto"/>
        </w:rPr>
        <w:t>（5）乙方在约定的时间内未能弥补缺陷，甲方可采取必要的补救措施，但其风险和费用将由乙方承担，甲方根据合同约定对乙方行使的其他权利不受影响。</w:t>
      </w:r>
    </w:p>
    <w:p w14:paraId="17BB7691">
      <w:pPr>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9. 权利瑕疵担保</w:t>
      </w:r>
    </w:p>
    <w:p w14:paraId="574207B8">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9.1 乙方保证对其出售的货物享有合法的权利。</w:t>
      </w:r>
    </w:p>
    <w:p w14:paraId="7AAAEFFB">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 xml:space="preserve">9.2 </w:t>
      </w:r>
      <w:r>
        <w:rPr>
          <w:rFonts w:hint="eastAsia" w:ascii="宋体" w:hAnsi="宋体" w:cs="宋体"/>
          <w:color w:val="auto"/>
          <w:szCs w:val="15"/>
        </w:rPr>
        <w:t>乙方保证在交付的货物上不存在抵押权等担保物权。</w:t>
      </w:r>
    </w:p>
    <w:p w14:paraId="22C7555F">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9.3 如甲方使用上述货物构成对第三人侵权的，则由乙方承担全部责任。</w:t>
      </w:r>
    </w:p>
    <w:p w14:paraId="0C4768E7">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10. 知识产权保护</w:t>
      </w:r>
    </w:p>
    <w:p w14:paraId="5C5F37E9">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10.1 乙方对其所销售的货物应当享有知识产权或经权利人合法授权，保证没有侵犯任何第三人的知识产权等权利。</w:t>
      </w:r>
      <w:bookmarkStart w:id="94" w:name="_Hlk163047038"/>
      <w:r>
        <w:rPr>
          <w:rFonts w:hint="eastAsia" w:ascii="宋体" w:hAnsi="宋体" w:cs="宋体"/>
          <w:color w:val="auto"/>
          <w:szCs w:val="15"/>
        </w:rPr>
        <w:t>因违反前述约定对第三人构成侵权的，应当由乙方向第三人承担法律责任；甲方依法向第三人赔偿后，有权向乙方追偿。甲方有其他损失的，乙方应当赔偿</w:t>
      </w:r>
      <w:bookmarkEnd w:id="94"/>
      <w:r>
        <w:rPr>
          <w:rFonts w:hint="eastAsia" w:ascii="宋体" w:hAnsi="宋体"/>
          <w:color w:val="auto"/>
        </w:rPr>
        <w:t>。</w:t>
      </w:r>
    </w:p>
    <w:p w14:paraId="5E36C20C">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11. 保密义务</w:t>
      </w:r>
    </w:p>
    <w:p w14:paraId="5216C502">
      <w:pPr>
        <w:autoSpaceDE w:val="0"/>
        <w:autoSpaceDN w:val="0"/>
        <w:adjustRightInd w:val="0"/>
        <w:snapToGrid w:val="0"/>
        <w:spacing w:line="400" w:lineRule="exact"/>
        <w:ind w:firstLine="420" w:firstLineChars="200"/>
        <w:jc w:val="left"/>
        <w:rPr>
          <w:rFonts w:hint="eastAsia" w:ascii="宋体" w:hAnsi="宋体" w:cs="宋体"/>
          <w:color w:val="auto"/>
          <w:szCs w:val="15"/>
        </w:rPr>
      </w:pPr>
      <w:r>
        <w:rPr>
          <w:rFonts w:hint="eastAsia" w:ascii="宋体" w:hAnsi="宋体" w:cs="宋体"/>
          <w:color w:val="auto"/>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rPr>
        <w:t>【政府采购合同专用条款】</w:t>
      </w:r>
      <w:r>
        <w:rPr>
          <w:rFonts w:hint="eastAsia" w:ascii="宋体" w:hAnsi="宋体" w:cs="宋体"/>
          <w:color w:val="auto"/>
          <w:szCs w:val="15"/>
        </w:rPr>
        <w:t>中约定。</w:t>
      </w:r>
    </w:p>
    <w:p w14:paraId="2191CB51">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12. 合同价款支付</w:t>
      </w:r>
    </w:p>
    <w:p w14:paraId="6CF04C50">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12.1 合同价款支付按照国库集中支付制度及财政管理相关规定执行。</w:t>
      </w:r>
    </w:p>
    <w:p w14:paraId="6F946797">
      <w:pPr>
        <w:pStyle w:val="7"/>
        <w:spacing w:line="400" w:lineRule="exact"/>
        <w:ind w:firstLine="420" w:firstLineChars="200"/>
        <w:rPr>
          <w:rFonts w:eastAsia="宋体"/>
          <w:color w:val="auto"/>
        </w:rPr>
      </w:pPr>
      <w:r>
        <w:rPr>
          <w:rFonts w:hint="eastAsia" w:ascii="宋体" w:hAnsi="宋体" w:cs="Times New Roman"/>
          <w:b w:val="0"/>
          <w:bCs w:val="0"/>
          <w:color w:val="auto"/>
          <w:sz w:val="21"/>
          <w:szCs w:val="21"/>
        </w:rPr>
        <w:t xml:space="preserve">12.2 </w:t>
      </w:r>
      <w:r>
        <w:rPr>
          <w:rFonts w:hint="eastAsia" w:ascii="宋体" w:hAnsi="宋体" w:eastAsia="宋体" w:cs="Times New Roman"/>
          <w:b w:val="0"/>
          <w:bCs w:val="0"/>
          <w:color w:val="auto"/>
          <w:sz w:val="21"/>
          <w:szCs w:val="21"/>
        </w:rPr>
        <w:t>对于满足合同约定支付条件的，甲方原则上应当自收到发票后10个工作日内将资金支付到合同约定的</w:t>
      </w:r>
      <w:r>
        <w:rPr>
          <w:rFonts w:hint="eastAsia" w:ascii="宋体" w:hAnsi="宋体" w:cs="Times New Roman"/>
          <w:b w:val="0"/>
          <w:bCs w:val="0"/>
          <w:color w:val="auto"/>
          <w:sz w:val="21"/>
          <w:szCs w:val="21"/>
        </w:rPr>
        <w:t>乙方</w:t>
      </w:r>
      <w:r>
        <w:rPr>
          <w:rFonts w:hint="eastAsia" w:ascii="宋体" w:hAnsi="宋体" w:eastAsia="宋体" w:cs="Times New Roman"/>
          <w:b w:val="0"/>
          <w:bCs w:val="0"/>
          <w:color w:val="auto"/>
          <w:sz w:val="21"/>
          <w:szCs w:val="21"/>
        </w:rPr>
        <w:t>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color w:val="auto"/>
          <w:sz w:val="21"/>
          <w:szCs w:val="21"/>
        </w:rPr>
        <w:t>政府采购合同专用条款</w:t>
      </w:r>
      <w:r>
        <w:rPr>
          <w:rFonts w:hint="eastAsia" w:ascii="宋体" w:hAnsi="宋体" w:eastAsia="宋体" w:cs="Times New Roman"/>
          <w:b w:val="0"/>
          <w:bCs w:val="0"/>
          <w:color w:val="auto"/>
          <w:sz w:val="21"/>
          <w:szCs w:val="21"/>
        </w:rPr>
        <w:t>】中</w:t>
      </w:r>
      <w:r>
        <w:rPr>
          <w:rFonts w:hint="eastAsia" w:ascii="宋体" w:hAnsi="宋体" w:cs="Times New Roman"/>
          <w:b w:val="0"/>
          <w:bCs w:val="0"/>
          <w:color w:val="auto"/>
          <w:sz w:val="21"/>
          <w:szCs w:val="21"/>
        </w:rPr>
        <w:t>约</w:t>
      </w:r>
      <w:r>
        <w:rPr>
          <w:rFonts w:hint="eastAsia" w:ascii="宋体" w:hAnsi="宋体" w:eastAsia="宋体" w:cs="Times New Roman"/>
          <w:b w:val="0"/>
          <w:bCs w:val="0"/>
          <w:color w:val="auto"/>
          <w:sz w:val="21"/>
          <w:szCs w:val="21"/>
        </w:rPr>
        <w:t>定。</w:t>
      </w:r>
    </w:p>
    <w:p w14:paraId="40BF19F1">
      <w:pPr>
        <w:pStyle w:val="2"/>
        <w:spacing w:line="400" w:lineRule="exact"/>
        <w:rPr>
          <w:rFonts w:hint="eastAsia" w:ascii="宋体" w:hAnsi="宋体"/>
          <w:b/>
          <w:bCs/>
          <w:color w:val="auto"/>
          <w:sz w:val="24"/>
          <w:szCs w:val="24"/>
        </w:rPr>
      </w:pPr>
      <w:r>
        <w:rPr>
          <w:rFonts w:hint="eastAsia" w:ascii="宋体" w:hAnsi="宋体"/>
          <w:b/>
          <w:bCs/>
          <w:color w:val="auto"/>
          <w:sz w:val="24"/>
          <w:szCs w:val="24"/>
        </w:rPr>
        <w:t>13. 履约保证金</w:t>
      </w:r>
    </w:p>
    <w:p w14:paraId="1237ED61">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 xml:space="preserve">13.1 </w:t>
      </w:r>
      <w:r>
        <w:rPr>
          <w:rFonts w:hint="eastAsia" w:ascii="宋体" w:hAnsi="宋体" w:cs="宋体"/>
          <w:color w:val="auto"/>
          <w:szCs w:val="15"/>
        </w:rPr>
        <w:t>乙方应当以支票、汇票、本票或者金融机构、担保机构出具的保函等非现金形式提交。</w:t>
      </w:r>
    </w:p>
    <w:p w14:paraId="40AF8725">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13.2 如果乙方出现</w:t>
      </w:r>
      <w:r>
        <w:rPr>
          <w:rFonts w:hint="eastAsia" w:ascii="宋体" w:hAnsi="宋体" w:cs="宋体"/>
          <w:b/>
          <w:bCs/>
          <w:color w:val="auto"/>
          <w:szCs w:val="15"/>
        </w:rPr>
        <w:t>【政府采购合同专用条款】</w:t>
      </w:r>
      <w:r>
        <w:rPr>
          <w:rFonts w:hint="eastAsia" w:ascii="宋体" w:hAnsi="宋体" w:cs="宋体"/>
          <w:color w:val="auto"/>
          <w:szCs w:val="15"/>
        </w:rPr>
        <w:t>约定情形的</w:t>
      </w:r>
      <w:r>
        <w:rPr>
          <w:rFonts w:hint="eastAsia" w:ascii="宋体" w:hAnsi="宋体"/>
          <w:color w:val="auto"/>
        </w:rPr>
        <w:t>，履约保证金不予退还；如果乙方未能按合同约定全面履行义务，甲方有权从履约保证金中取得补偿或赔偿，且不影响甲方要求乙方承担合同约定的超过履约保证金的违约责任的权利。</w:t>
      </w:r>
    </w:p>
    <w:p w14:paraId="7FD3886E">
      <w:pPr>
        <w:spacing w:line="400" w:lineRule="exact"/>
        <w:ind w:firstLine="420"/>
        <w:rPr>
          <w:color w:val="auto"/>
        </w:rPr>
      </w:pPr>
      <w:r>
        <w:rPr>
          <w:rFonts w:hint="eastAsia" w:ascii="宋体" w:hAnsi="宋体"/>
          <w:color w:val="auto"/>
        </w:rPr>
        <w:t>13.3 甲方在项目通过验收后按照</w:t>
      </w:r>
      <w:r>
        <w:rPr>
          <w:rFonts w:hint="eastAsia" w:ascii="宋体" w:hAnsi="宋体"/>
          <w:b/>
          <w:color w:val="auto"/>
        </w:rPr>
        <w:t>【政府采购合同专用条款】</w:t>
      </w:r>
      <w:r>
        <w:rPr>
          <w:rFonts w:hint="eastAsia" w:ascii="宋体" w:hAnsi="宋体"/>
          <w:color w:val="auto"/>
        </w:rPr>
        <w:t>规定的时间内将履约保证金退还乙方；逾期退还的，乙方可要求甲方支付违约金，违约金按照</w:t>
      </w:r>
      <w:r>
        <w:rPr>
          <w:rFonts w:hint="eastAsia" w:ascii="宋体" w:hAnsi="宋体"/>
          <w:b/>
          <w:color w:val="auto"/>
        </w:rPr>
        <w:t>【政府采购合同专用条款】</w:t>
      </w:r>
      <w:r>
        <w:rPr>
          <w:rFonts w:hint="eastAsia" w:ascii="宋体" w:hAnsi="宋体"/>
          <w:color w:val="auto"/>
        </w:rPr>
        <w:t>规定支付。</w:t>
      </w:r>
    </w:p>
    <w:p w14:paraId="0AAF32C6">
      <w:pPr>
        <w:autoSpaceDE w:val="0"/>
        <w:autoSpaceDN w:val="0"/>
        <w:adjustRightInd w:val="0"/>
        <w:snapToGrid w:val="0"/>
        <w:spacing w:line="400" w:lineRule="exact"/>
        <w:jc w:val="left"/>
        <w:rPr>
          <w:rFonts w:hint="eastAsia" w:ascii="宋体" w:hAnsi="宋体"/>
          <w:b/>
          <w:color w:val="auto"/>
          <w:sz w:val="24"/>
        </w:rPr>
      </w:pPr>
      <w:r>
        <w:rPr>
          <w:rFonts w:hint="eastAsia" w:ascii="宋体" w:hAnsi="宋体"/>
          <w:b/>
          <w:bCs/>
          <w:color w:val="auto"/>
          <w:sz w:val="24"/>
        </w:rPr>
        <w:t xml:space="preserve">14. </w:t>
      </w:r>
      <w:r>
        <w:rPr>
          <w:rFonts w:hint="eastAsia"/>
          <w:b/>
          <w:color w:val="auto"/>
          <w:sz w:val="24"/>
        </w:rPr>
        <w:t>售后</w:t>
      </w:r>
      <w:r>
        <w:rPr>
          <w:rFonts w:hint="eastAsia" w:ascii="宋体" w:hAnsi="宋体"/>
          <w:b/>
          <w:color w:val="auto"/>
          <w:sz w:val="24"/>
        </w:rPr>
        <w:t>服务</w:t>
      </w:r>
    </w:p>
    <w:p w14:paraId="1EE4C1F3">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14.1 除项目不涉及或采购活动中明确约定无须承担外，乙方还应提供下列服务：</w:t>
      </w:r>
    </w:p>
    <w:p w14:paraId="0E84517C">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（1）货物的现场移动、安装、调试、启动监督及技术支持；</w:t>
      </w:r>
    </w:p>
    <w:p w14:paraId="57F5AD62">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（2）提供货物组装和维修所需的专用工具和辅助材料；</w:t>
      </w:r>
    </w:p>
    <w:p w14:paraId="3084854E">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（3）在</w:t>
      </w:r>
      <w:r>
        <w:rPr>
          <w:rFonts w:hint="eastAsia" w:ascii="宋体" w:hAnsi="宋体" w:cs="宋体"/>
          <w:b/>
          <w:bCs/>
          <w:color w:val="auto"/>
          <w:szCs w:val="15"/>
        </w:rPr>
        <w:t>【政府采购合同专用条款】</w:t>
      </w:r>
      <w:r>
        <w:rPr>
          <w:rFonts w:hint="eastAsia" w:ascii="宋体" w:hAnsi="宋体"/>
          <w:color w:val="auto"/>
        </w:rPr>
        <w:t>约定的期限内对所有的货物实施运行监督、维修，但前提条件是该服务并不能免除乙方在质量保证期内所承担的义务；</w:t>
      </w:r>
    </w:p>
    <w:p w14:paraId="5915A8E0">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（4）在制造商所在地或指定现场就货物的安装、启动、运营、维护、废弃处置等对甲方操作人员进行培训</w:t>
      </w:r>
      <w:r>
        <w:rPr>
          <w:rFonts w:hint="eastAsia" w:ascii="宋体" w:hAnsi="宋体" w:cs="宋体"/>
          <w:color w:val="auto"/>
          <w:szCs w:val="15"/>
        </w:rPr>
        <w:t>；</w:t>
      </w:r>
    </w:p>
    <w:p w14:paraId="58C3A561">
      <w:pPr>
        <w:pStyle w:val="143"/>
        <w:ind w:firstLine="420"/>
        <w:rPr>
          <w:rFonts w:hint="eastAsia" w:ascii="宋体" w:hAnsi="宋体" w:eastAsia="宋体" w:cs="宋体"/>
          <w:color w:val="auto"/>
          <w:sz w:val="21"/>
        </w:rPr>
      </w:pPr>
      <w:r>
        <w:rPr>
          <w:rFonts w:hint="eastAsia" w:ascii="宋体" w:hAnsi="宋体" w:eastAsia="宋体" w:cs="宋体"/>
          <w:color w:val="auto"/>
          <w:sz w:val="21"/>
        </w:rPr>
        <w:t>（5）依照法律、行政法规的规定或者按照</w:t>
      </w:r>
      <w:r>
        <w:rPr>
          <w:rFonts w:hint="eastAsia" w:ascii="宋体" w:hAnsi="宋体" w:eastAsia="宋体" w:cs="宋体"/>
          <w:b/>
          <w:bCs/>
          <w:color w:val="auto"/>
          <w:sz w:val="21"/>
        </w:rPr>
        <w:t>【政府采购合同专用条款】</w:t>
      </w:r>
      <w:r>
        <w:rPr>
          <w:rFonts w:hint="eastAsia" w:ascii="宋体" w:hAnsi="宋体" w:eastAsia="宋体" w:cs="宋体"/>
          <w:color w:val="auto"/>
          <w:sz w:val="21"/>
        </w:rPr>
        <w:t>约定，货物在有效使用年限届满后应予回收的，乙方负有自行或者委托第三人对货物予以回收的义务；</w:t>
      </w:r>
    </w:p>
    <w:p w14:paraId="128FD712">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（6）</w:t>
      </w:r>
      <w:r>
        <w:rPr>
          <w:rFonts w:hint="eastAsia" w:ascii="宋体" w:hAnsi="宋体"/>
          <w:b/>
          <w:color w:val="auto"/>
        </w:rPr>
        <w:t>【政府采购合同专用条款】</w:t>
      </w:r>
      <w:r>
        <w:rPr>
          <w:rFonts w:hint="eastAsia" w:ascii="宋体" w:hAnsi="宋体"/>
          <w:color w:val="auto"/>
        </w:rPr>
        <w:t>规定由乙方提供的其他服务。</w:t>
      </w:r>
    </w:p>
    <w:p w14:paraId="1E05FA99">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14.2 乙方提供的售后服务的费用已包含在合同价款中，甲方不再另行支付。</w:t>
      </w:r>
    </w:p>
    <w:p w14:paraId="09C33B80">
      <w:pPr>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15. 违约责任</w:t>
      </w:r>
    </w:p>
    <w:p w14:paraId="47E6B6AE">
      <w:pPr>
        <w:adjustRightInd w:val="0"/>
        <w:snapToGrid w:val="0"/>
        <w:spacing w:line="400" w:lineRule="exact"/>
        <w:ind w:firstLine="420" w:firstLineChars="200"/>
        <w:jc w:val="left"/>
        <w:rPr>
          <w:rFonts w:hint="eastAsia" w:ascii="宋体" w:hAnsi="宋体"/>
          <w:bCs/>
          <w:color w:val="auto"/>
        </w:rPr>
      </w:pPr>
      <w:r>
        <w:rPr>
          <w:rFonts w:hint="eastAsia" w:ascii="宋体" w:hAnsi="宋体"/>
          <w:bCs/>
          <w:color w:val="auto"/>
        </w:rPr>
        <w:t>15.1质量瑕疵的违约责任</w:t>
      </w:r>
    </w:p>
    <w:p w14:paraId="7A3295FC">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乙方提供的产品不符合合同约定的质量标准或存在产品质量缺陷，甲方有权要求乙方根据</w:t>
      </w:r>
      <w:r>
        <w:rPr>
          <w:rFonts w:hint="eastAsia" w:ascii="宋体" w:hAnsi="宋体"/>
          <w:b/>
          <w:color w:val="auto"/>
        </w:rPr>
        <w:t>【政府采购合同专用条款】</w:t>
      </w:r>
      <w:r>
        <w:rPr>
          <w:rFonts w:hint="eastAsia" w:ascii="宋体" w:hAnsi="宋体"/>
          <w:bCs/>
          <w:color w:val="auto"/>
        </w:rPr>
        <w:t>要求</w:t>
      </w:r>
      <w:r>
        <w:rPr>
          <w:rFonts w:hint="eastAsia" w:ascii="宋体" w:hAnsi="宋体"/>
          <w:color w:val="auto"/>
        </w:rPr>
        <w:t>及时修理、重作、更换，并承担由此给甲方造成的损失。</w:t>
      </w:r>
    </w:p>
    <w:p w14:paraId="1B603BC5">
      <w:pPr>
        <w:autoSpaceDE w:val="0"/>
        <w:autoSpaceDN w:val="0"/>
        <w:adjustRightInd w:val="0"/>
        <w:snapToGrid w:val="0"/>
        <w:spacing w:line="400" w:lineRule="exact"/>
        <w:ind w:firstLine="420" w:firstLineChars="200"/>
        <w:jc w:val="left"/>
        <w:rPr>
          <w:rFonts w:hint="eastAsia" w:ascii="宋体" w:hAnsi="宋体"/>
          <w:bCs/>
          <w:color w:val="auto"/>
        </w:rPr>
      </w:pPr>
      <w:r>
        <w:rPr>
          <w:rFonts w:hint="eastAsia" w:ascii="宋体" w:hAnsi="宋体"/>
          <w:bCs/>
          <w:color w:val="auto"/>
        </w:rPr>
        <w:t>15.2 迟延交货的违约责任</w:t>
      </w:r>
    </w:p>
    <w:p w14:paraId="7E68910D">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7B7EE2C7">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（2）如果乙方没有按照合同规定的时间交货和提供相关服务，甲方有权从货款中扣除误期赔偿费而不影响合同项下的其他补救方法，赔偿费按</w:t>
      </w:r>
      <w:r>
        <w:rPr>
          <w:rFonts w:hint="eastAsia" w:ascii="宋体" w:hAnsi="宋体"/>
          <w:b/>
          <w:color w:val="auto"/>
        </w:rPr>
        <w:t>【政府采购合同专用条款】</w:t>
      </w:r>
      <w:r>
        <w:rPr>
          <w:rFonts w:hint="eastAsia" w:ascii="宋体" w:hAnsi="宋体"/>
          <w:color w:val="auto"/>
        </w:rPr>
        <w:t>规定执行。如果涉及公共利益，且赔偿金额无法弥补公共利益损失，甲方可要求继续履行或者采取其他补救措施。</w:t>
      </w:r>
    </w:p>
    <w:p w14:paraId="71892660">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15.3 迟延支付的违约责任</w:t>
      </w:r>
    </w:p>
    <w:p w14:paraId="73DE4633">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甲方存在迟延支付乙方合同款项的，应当承担</w:t>
      </w:r>
      <w:r>
        <w:rPr>
          <w:rFonts w:hint="eastAsia" w:ascii="宋体" w:hAnsi="宋体"/>
          <w:b/>
          <w:bCs/>
          <w:color w:val="auto"/>
        </w:rPr>
        <w:t>【政府采购合同专用条款】</w:t>
      </w:r>
      <w:r>
        <w:rPr>
          <w:rFonts w:hint="eastAsia" w:ascii="宋体" w:hAnsi="宋体"/>
          <w:color w:val="auto"/>
        </w:rPr>
        <w:t>规定的逾期付款利息。</w:t>
      </w:r>
    </w:p>
    <w:p w14:paraId="60A941A1">
      <w:pPr>
        <w:adjustRightInd w:val="0"/>
        <w:snapToGrid w:val="0"/>
        <w:spacing w:line="400" w:lineRule="exact"/>
        <w:ind w:firstLine="420" w:firstLineChars="200"/>
        <w:jc w:val="left"/>
        <w:rPr>
          <w:rFonts w:hint="eastAsia" w:ascii="宋体" w:hAnsi="宋体"/>
          <w:color w:val="auto"/>
        </w:rPr>
      </w:pPr>
      <w:r>
        <w:rPr>
          <w:rFonts w:hint="eastAsia" w:ascii="宋体" w:hAnsi="宋体"/>
          <w:bCs/>
          <w:color w:val="auto"/>
        </w:rPr>
        <w:t>15.4其他违约责任根据项目实际需要按</w:t>
      </w:r>
      <w:r>
        <w:rPr>
          <w:rFonts w:hint="eastAsia" w:ascii="宋体" w:hAnsi="宋体"/>
          <w:b/>
          <w:bCs/>
          <w:color w:val="auto"/>
        </w:rPr>
        <w:t>【政府采购合同专用条款】</w:t>
      </w:r>
      <w:r>
        <w:rPr>
          <w:rFonts w:hint="eastAsia" w:ascii="宋体" w:hAnsi="宋体"/>
          <w:color w:val="auto"/>
        </w:rPr>
        <w:t>规定执行。</w:t>
      </w:r>
    </w:p>
    <w:p w14:paraId="43A7FA2C">
      <w:pPr>
        <w:numPr>
          <w:ilvl w:val="0"/>
          <w:numId w:val="17"/>
        </w:numPr>
        <w:autoSpaceDE w:val="0"/>
        <w:autoSpaceDN w:val="0"/>
        <w:adjustRightInd w:val="0"/>
        <w:snapToGrid w:val="0"/>
        <w:spacing w:line="400" w:lineRule="exact"/>
        <w:jc w:val="left"/>
        <w:rPr>
          <w:rFonts w:hint="eastAsia" w:ascii="宋体" w:hAnsi="宋体"/>
          <w:b/>
          <w:color w:val="auto"/>
          <w:sz w:val="24"/>
        </w:rPr>
      </w:pPr>
      <w:r>
        <w:rPr>
          <w:rFonts w:hint="eastAsia" w:ascii="宋体" w:hAnsi="宋体"/>
          <w:b/>
          <w:color w:val="auto"/>
          <w:sz w:val="24"/>
        </w:rPr>
        <w:t>合同变更、中止与终止</w:t>
      </w:r>
    </w:p>
    <w:p w14:paraId="0E04215E">
      <w:pPr>
        <w:adjustRightInd w:val="0"/>
        <w:snapToGrid w:val="0"/>
        <w:spacing w:line="400" w:lineRule="exact"/>
        <w:jc w:val="left"/>
        <w:rPr>
          <w:rFonts w:hint="eastAsia" w:ascii="宋体" w:hAnsi="宋体"/>
          <w:color w:val="auto"/>
        </w:rPr>
      </w:pPr>
      <w:r>
        <w:rPr>
          <w:rFonts w:hint="eastAsia" w:ascii="宋体" w:hAnsi="宋体"/>
          <w:color w:val="auto"/>
        </w:rPr>
        <w:t xml:space="preserve">    16.1合同的变更</w:t>
      </w:r>
    </w:p>
    <w:p w14:paraId="49C9D4D0">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政府采购合同履行中，在不改变合同其他条款的前提下，甲方可以在合同价款10%的范围内追加与合同标的相同的货物，并就此与乙方协商一致后签订补充协议。</w:t>
      </w:r>
    </w:p>
    <w:p w14:paraId="18CE677E">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16.2合同的中止</w:t>
      </w:r>
    </w:p>
    <w:p w14:paraId="34459E6E">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（1）合同履行过程中因供应商就采购文件、采购过程或结果提起投诉的，甲方认为有必要的，可以中止合同的履行。</w:t>
      </w:r>
    </w:p>
    <w:p w14:paraId="51BB0080">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0126737E">
      <w:pPr>
        <w:pStyle w:val="143"/>
        <w:ind w:firstLine="420"/>
        <w:jc w:val="both"/>
        <w:rPr>
          <w:rFonts w:hint="eastAsia"/>
          <w:color w:val="auto"/>
          <w:sz w:val="21"/>
        </w:rPr>
      </w:pPr>
      <w:r>
        <w:rPr>
          <w:rFonts w:hint="eastAsia" w:ascii="宋体" w:hAnsi="宋体" w:eastAsia="宋体" w:cs="宋体"/>
          <w:color w:val="auto"/>
          <w:sz w:val="21"/>
        </w:rPr>
        <w:t>（3）乙方分立、合并或者变更住所的，应当及时以书面形式告知甲方。乙方没有及时告知甲方，致使合同履行发生困难的，甲方可以中止合同履行并要求乙方承担由此给甲方造成的损失。</w:t>
      </w:r>
    </w:p>
    <w:p w14:paraId="1242DB9F">
      <w:pPr>
        <w:snapToGrid w:val="0"/>
        <w:spacing w:line="400" w:lineRule="exact"/>
        <w:ind w:firstLine="420" w:firstLineChars="200"/>
        <w:jc w:val="left"/>
        <w:rPr>
          <w:color w:val="auto"/>
        </w:rPr>
      </w:pPr>
      <w:r>
        <w:rPr>
          <w:rFonts w:hint="eastAsia" w:ascii="宋体" w:hAnsi="宋体"/>
          <w:color w:val="auto"/>
        </w:rPr>
        <w:t>（4）甲方不得以行政区划调整、政府换届、机构或者职能调整以及相关责任人更替为由中止合同。</w:t>
      </w:r>
    </w:p>
    <w:p w14:paraId="6D1F7941">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16.3合同的终止</w:t>
      </w:r>
    </w:p>
    <w:p w14:paraId="2A1E50DC">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（1）合同因有效期限届满而终止；</w:t>
      </w:r>
    </w:p>
    <w:p w14:paraId="122E7539">
      <w:pPr>
        <w:snapToGrid w:val="0"/>
        <w:spacing w:line="400" w:lineRule="exact"/>
        <w:ind w:firstLine="420" w:firstLineChars="200"/>
        <w:rPr>
          <w:rFonts w:hint="eastAsia" w:ascii="宋体" w:hAnsi="宋体" w:cs="宋体"/>
          <w:color w:val="auto"/>
        </w:rPr>
      </w:pPr>
      <w:r>
        <w:rPr>
          <w:rFonts w:hint="eastAsia" w:ascii="宋体" w:hAnsi="宋体"/>
          <w:color w:val="auto"/>
        </w:rPr>
        <w:t>（2）乙方未按合同约定履行，构成根本性违约的，甲方有权终止合同，</w:t>
      </w:r>
      <w:r>
        <w:rPr>
          <w:rFonts w:hint="eastAsia" w:ascii="宋体" w:hAnsi="宋体" w:cs="宋体"/>
          <w:color w:val="auto"/>
        </w:rPr>
        <w:t>并追究乙方的违约责任</w:t>
      </w:r>
      <w:r>
        <w:rPr>
          <w:rFonts w:hint="eastAsia" w:ascii="宋体" w:hAnsi="宋体"/>
          <w:color w:val="auto"/>
        </w:rPr>
        <w:t>。</w:t>
      </w:r>
    </w:p>
    <w:p w14:paraId="72B5B930">
      <w:pPr>
        <w:pStyle w:val="143"/>
        <w:rPr>
          <w:rFonts w:hint="eastAsia" w:ascii="宋体" w:hAnsi="宋体"/>
          <w:color w:val="auto"/>
        </w:rPr>
      </w:pPr>
      <w:r>
        <w:rPr>
          <w:rFonts w:hint="eastAsia" w:ascii="宋体" w:hAnsi="宋体"/>
          <w:color w:val="auto"/>
        </w:rPr>
        <w:t xml:space="preserve">16.4 </w:t>
      </w:r>
      <w:r>
        <w:rPr>
          <w:rFonts w:hint="eastAsia" w:ascii="宋体" w:hAnsi="宋体" w:eastAsia="宋体" w:cs="Times New Roman"/>
          <w:color w:val="auto"/>
          <w:kern w:val="2"/>
          <w:sz w:val="21"/>
        </w:rPr>
        <w:t>涉及国家利益、社会公共利益的情形</w:t>
      </w:r>
    </w:p>
    <w:p w14:paraId="08363D90">
      <w:pPr>
        <w:pStyle w:val="143"/>
        <w:ind w:firstLine="420"/>
        <w:jc w:val="both"/>
        <w:rPr>
          <w:rFonts w:hint="eastAsia"/>
          <w:color w:val="auto"/>
          <w:sz w:val="21"/>
        </w:rPr>
      </w:pPr>
      <w:r>
        <w:rPr>
          <w:rFonts w:hint="eastAsia" w:ascii="宋体" w:hAnsi="宋体" w:eastAsia="宋体" w:cs="宋体"/>
          <w:color w:val="auto"/>
          <w:sz w:val="21"/>
        </w:rPr>
        <w:t>政府采购合同继续履行将损害国家利益和社会公共利益的，双方当事人应当变更、中止或者终止合同。有过错的一方应当承担赔偿责任，双方都有过错的，各自承担相应的责任。</w:t>
      </w:r>
    </w:p>
    <w:p w14:paraId="1852C0B6">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17. 合同分包</w:t>
      </w:r>
    </w:p>
    <w:p w14:paraId="635F041E">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17.1 乙方不得将合同转包给其他供应商。涉及合同分包的，乙方应根据采购文件和投标（响应）文件规定进行合同分包。</w:t>
      </w:r>
    </w:p>
    <w:p w14:paraId="2DB136C6">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17.2 乙方执行政府采购政策向中小企业依法分包的，乙方应当按采购文件和投标（响应）文件签订分包意向协议，分包意向协议属于本合同组成部分。</w:t>
      </w:r>
    </w:p>
    <w:p w14:paraId="0256CA00">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18. 不可抗力</w:t>
      </w:r>
    </w:p>
    <w:p w14:paraId="48D53CC7">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18.1 不可抗力是指合同双方不能预见、不能避免且不能克服的客观情况。</w:t>
      </w:r>
    </w:p>
    <w:p w14:paraId="13F7AF00">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18.2 任何一方对由于不可抗力造成的部分或全部不能履行合同不承担违约责任。但迟延履行后发生不可抗力的，不能免除责任。</w:t>
      </w:r>
    </w:p>
    <w:p w14:paraId="392C64D8">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BD90155">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19. 解决争议的方法</w:t>
      </w:r>
    </w:p>
    <w:p w14:paraId="517E981F">
      <w:pPr>
        <w:pStyle w:val="143"/>
        <w:ind w:firstLine="420"/>
        <w:jc w:val="both"/>
        <w:rPr>
          <w:rFonts w:hint="eastAsia" w:ascii="宋体" w:hAnsi="宋体" w:eastAsia="宋体" w:cs="宋体"/>
          <w:color w:val="auto"/>
          <w:sz w:val="21"/>
        </w:rPr>
      </w:pPr>
      <w:r>
        <w:rPr>
          <w:rFonts w:hint="eastAsia" w:ascii="宋体" w:hAnsi="宋体" w:eastAsia="宋体" w:cs="宋体"/>
          <w:color w:val="auto"/>
          <w:sz w:val="21"/>
        </w:rPr>
        <w:t>19.1 因本合同及合同有关事项发生的争议，由甲乙双方友好协商解决。协商不成时，可以向有关组织申请调解。合同一方或双方不愿调解或调解不成的，可以通过仲裁或诉讼的方式解决争议。</w:t>
      </w:r>
    </w:p>
    <w:p w14:paraId="694F58ED">
      <w:pPr>
        <w:pStyle w:val="143"/>
        <w:ind w:firstLine="420"/>
        <w:jc w:val="both"/>
        <w:rPr>
          <w:rFonts w:hint="eastAsia" w:ascii="宋体" w:hAnsi="宋体" w:eastAsia="宋体" w:cs="宋体"/>
          <w:color w:val="auto"/>
          <w:sz w:val="21"/>
        </w:rPr>
      </w:pPr>
      <w:r>
        <w:rPr>
          <w:rFonts w:hint="eastAsia" w:ascii="宋体" w:hAnsi="宋体" w:eastAsia="宋体" w:cs="宋体"/>
          <w:color w:val="auto"/>
          <w:sz w:val="21"/>
        </w:rPr>
        <w:t>19.2 选择仲裁的，应在</w:t>
      </w:r>
      <w:r>
        <w:rPr>
          <w:rFonts w:hint="eastAsia" w:ascii="宋体" w:hAnsi="宋体" w:eastAsia="宋体" w:cs="宋体"/>
          <w:b/>
          <w:bCs/>
          <w:color w:val="auto"/>
          <w:sz w:val="21"/>
        </w:rPr>
        <w:t>【政府采购合同专用条款】</w:t>
      </w:r>
      <w:r>
        <w:rPr>
          <w:rFonts w:hint="eastAsia" w:ascii="宋体" w:hAnsi="宋体" w:eastAsia="宋体" w:cs="宋体"/>
          <w:color w:val="auto"/>
          <w:sz w:val="21"/>
        </w:rPr>
        <w:t>中明确仲裁机构及仲裁地；通过诉讼方式解决的，可以在</w:t>
      </w:r>
      <w:r>
        <w:rPr>
          <w:rFonts w:hint="eastAsia" w:ascii="宋体" w:hAnsi="宋体" w:eastAsia="宋体" w:cs="宋体"/>
          <w:b/>
          <w:bCs/>
          <w:color w:val="auto"/>
          <w:sz w:val="21"/>
        </w:rPr>
        <w:t>【政府采购合同专用条款】</w:t>
      </w:r>
      <w:r>
        <w:rPr>
          <w:rFonts w:hint="eastAsia" w:ascii="宋体" w:hAnsi="宋体" w:eastAsia="宋体" w:cs="宋体"/>
          <w:color w:val="auto"/>
          <w:sz w:val="21"/>
        </w:rPr>
        <w:t>中进一步约定选择与争议有实际联系的地点的人民法院管辖，但管辖法院的约定不得违反级别管辖和专属管辖的规定。</w:t>
      </w:r>
    </w:p>
    <w:p w14:paraId="73897116">
      <w:pPr>
        <w:pStyle w:val="143"/>
        <w:ind w:firstLine="420"/>
        <w:jc w:val="both"/>
        <w:rPr>
          <w:rFonts w:hint="eastAsia" w:ascii="宋体" w:hAnsi="宋体" w:eastAsia="宋体" w:cs="宋体"/>
          <w:color w:val="auto"/>
          <w:sz w:val="21"/>
        </w:rPr>
      </w:pPr>
      <w:r>
        <w:rPr>
          <w:rFonts w:hint="eastAsia" w:ascii="宋体" w:hAnsi="宋体" w:eastAsia="宋体" w:cs="宋体"/>
          <w:color w:val="auto"/>
          <w:sz w:val="21"/>
        </w:rPr>
        <w:t>19.3 如甲乙双方有争议的事项不影响合同其他部分的履行，在争议解决期间，合同其他部分应当继续履行。</w:t>
      </w:r>
    </w:p>
    <w:p w14:paraId="794D11AA">
      <w:pPr>
        <w:autoSpaceDE w:val="0"/>
        <w:autoSpaceDN w:val="0"/>
        <w:adjustRightInd w:val="0"/>
        <w:snapToGrid w:val="0"/>
        <w:spacing w:line="400" w:lineRule="exact"/>
        <w:jc w:val="left"/>
        <w:rPr>
          <w:rFonts w:hint="eastAsia" w:ascii="宋体" w:hAnsi="宋体"/>
          <w:color w:val="auto"/>
          <w:sz w:val="24"/>
        </w:rPr>
      </w:pPr>
      <w:r>
        <w:rPr>
          <w:rFonts w:hint="eastAsia" w:ascii="宋体" w:hAnsi="宋体"/>
          <w:b/>
          <w:color w:val="auto"/>
          <w:sz w:val="24"/>
        </w:rPr>
        <w:t>20. 政府采购政策</w:t>
      </w:r>
    </w:p>
    <w:p w14:paraId="1832EDB5">
      <w:pPr>
        <w:autoSpaceDE w:val="0"/>
        <w:autoSpaceDN w:val="0"/>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 xml:space="preserve">20.1 </w:t>
      </w:r>
      <w:r>
        <w:rPr>
          <w:rFonts w:hint="eastAsia" w:ascii="宋体" w:hAnsi="宋体" w:cs="宋体"/>
          <w:color w:val="auto"/>
          <w:lang w:val="en-GB"/>
        </w:rPr>
        <w:t>本合同应当按照规定执行政府采购政策。</w:t>
      </w:r>
    </w:p>
    <w:p w14:paraId="20A305C2">
      <w:pPr>
        <w:autoSpaceDE w:val="0"/>
        <w:autoSpaceDN w:val="0"/>
        <w:adjustRightInd w:val="0"/>
        <w:snapToGrid w:val="0"/>
        <w:spacing w:line="400" w:lineRule="exact"/>
        <w:ind w:firstLine="420" w:firstLineChars="200"/>
        <w:jc w:val="left"/>
        <w:rPr>
          <w:rFonts w:hint="eastAsia" w:ascii="宋体" w:hAnsi="宋体"/>
          <w:color w:val="auto"/>
        </w:rPr>
      </w:pPr>
      <w:r>
        <w:rPr>
          <w:rFonts w:ascii="宋体" w:hAnsi="宋体"/>
          <w:color w:val="auto"/>
        </w:rPr>
        <w:t>2</w:t>
      </w:r>
      <w:r>
        <w:rPr>
          <w:rFonts w:hint="eastAsia" w:ascii="宋体" w:hAnsi="宋体"/>
          <w:color w:val="auto"/>
        </w:rPr>
        <w:t>0.2 本合同依法执行政府采购政策的方式和内容，属于合同履约验收的范围。</w:t>
      </w:r>
      <w:r>
        <w:rPr>
          <w:rFonts w:hint="eastAsia" w:ascii="宋体" w:hAnsi="宋体" w:cs="宋体"/>
          <w:color w:val="auto"/>
        </w:rPr>
        <w:t>甲乙双方</w:t>
      </w:r>
      <w:r>
        <w:rPr>
          <w:rFonts w:hint="eastAsia" w:ascii="宋体" w:hAnsi="宋体" w:cs="宋体"/>
          <w:color w:val="auto"/>
          <w:lang w:val="en-GB"/>
        </w:rPr>
        <w:t>未按规定要求执行政府采购政策造成损失的</w:t>
      </w:r>
      <w:r>
        <w:rPr>
          <w:rFonts w:hint="eastAsia" w:ascii="宋体" w:hAnsi="宋体"/>
          <w:color w:val="auto"/>
        </w:rPr>
        <w:t>，有过错的一方应当承担赔偿责任，双方都有过错的，各自承担相应的责任。</w:t>
      </w:r>
    </w:p>
    <w:p w14:paraId="4AB23EEB">
      <w:pPr>
        <w:pStyle w:val="2"/>
        <w:spacing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D927D4E">
      <w:pPr>
        <w:autoSpaceDE w:val="0"/>
        <w:autoSpaceDN w:val="0"/>
        <w:adjustRightInd w:val="0"/>
        <w:snapToGrid w:val="0"/>
        <w:spacing w:line="400" w:lineRule="exact"/>
        <w:jc w:val="left"/>
        <w:rPr>
          <w:rFonts w:hint="eastAsia" w:ascii="宋体" w:hAnsi="宋体"/>
          <w:b/>
          <w:color w:val="auto"/>
          <w:sz w:val="24"/>
        </w:rPr>
      </w:pPr>
      <w:r>
        <w:rPr>
          <w:rFonts w:hint="eastAsia" w:ascii="宋体" w:hAnsi="宋体"/>
          <w:b/>
          <w:color w:val="auto"/>
          <w:sz w:val="24"/>
        </w:rPr>
        <w:t>21. 法律适用</w:t>
      </w:r>
    </w:p>
    <w:p w14:paraId="766E84D4">
      <w:pPr>
        <w:pStyle w:val="143"/>
        <w:ind w:firstLine="420"/>
        <w:jc w:val="both"/>
        <w:rPr>
          <w:rFonts w:hint="eastAsia" w:ascii="宋体" w:hAnsi="宋体" w:eastAsia="宋体" w:cs="宋体"/>
          <w:color w:val="auto"/>
          <w:sz w:val="21"/>
        </w:rPr>
      </w:pPr>
      <w:r>
        <w:rPr>
          <w:rFonts w:hint="eastAsia" w:ascii="宋体" w:hAnsi="宋体" w:eastAsia="宋体" w:cs="宋体"/>
          <w:color w:val="auto"/>
          <w:sz w:val="21"/>
        </w:rPr>
        <w:t>21.1 本合同的订立、生效、解释、履行及与本合同有关的争议解决，均适用法律、行政法规。</w:t>
      </w:r>
    </w:p>
    <w:p w14:paraId="3F061C19">
      <w:pPr>
        <w:pStyle w:val="143"/>
        <w:ind w:firstLine="420"/>
        <w:jc w:val="both"/>
        <w:rPr>
          <w:rFonts w:hint="eastAsia" w:ascii="宋体" w:hAnsi="宋体" w:eastAsia="宋体" w:cs="宋体"/>
          <w:color w:val="auto"/>
          <w:sz w:val="21"/>
        </w:rPr>
      </w:pPr>
      <w:r>
        <w:rPr>
          <w:rFonts w:hint="eastAsia" w:ascii="宋体" w:hAnsi="宋体" w:eastAsia="宋体" w:cs="宋体"/>
          <w:color w:val="auto"/>
          <w:sz w:val="21"/>
        </w:rPr>
        <w:t>21.2 本合同条款与法律、行政法规的强制性规定不一致的，双方当事人应按照法律、行政法规的强制性规定修改本合同的相关条款。</w:t>
      </w:r>
    </w:p>
    <w:p w14:paraId="6256C60A">
      <w:pPr>
        <w:autoSpaceDE w:val="0"/>
        <w:autoSpaceDN w:val="0"/>
        <w:adjustRightInd w:val="0"/>
        <w:snapToGrid w:val="0"/>
        <w:spacing w:line="400" w:lineRule="exact"/>
        <w:jc w:val="left"/>
        <w:rPr>
          <w:rFonts w:hint="eastAsia" w:ascii="宋体" w:hAnsi="宋体"/>
          <w:b/>
          <w:color w:val="auto"/>
          <w:sz w:val="24"/>
        </w:rPr>
      </w:pPr>
      <w:r>
        <w:rPr>
          <w:rFonts w:hint="eastAsia" w:ascii="宋体" w:hAnsi="宋体"/>
          <w:b/>
          <w:color w:val="auto"/>
          <w:sz w:val="24"/>
        </w:rPr>
        <w:t>22. 通知</w:t>
      </w:r>
    </w:p>
    <w:p w14:paraId="00742272">
      <w:pPr>
        <w:pStyle w:val="143"/>
        <w:ind w:firstLine="420"/>
        <w:jc w:val="both"/>
        <w:rPr>
          <w:rFonts w:hint="eastAsia" w:ascii="宋体" w:hAnsi="宋体" w:eastAsia="宋体" w:cs="宋体"/>
          <w:color w:val="auto"/>
          <w:sz w:val="21"/>
        </w:rPr>
      </w:pPr>
      <w:r>
        <w:rPr>
          <w:rFonts w:hint="eastAsia" w:ascii="宋体" w:hAnsi="宋体" w:eastAsia="宋体" w:cs="宋体"/>
          <w:color w:val="auto"/>
          <w:sz w:val="21"/>
        </w:rPr>
        <w:t>22.1 本合同任何一方向对方发出的通知、信件、数据电文等，应当发送至本合同第一部分《政府采购合同协议书》所约定的通讯地址、联系人、联系电话或电子邮箱。</w:t>
      </w:r>
    </w:p>
    <w:p w14:paraId="0A426FAB">
      <w:pPr>
        <w:pStyle w:val="143"/>
        <w:ind w:firstLine="0" w:firstLineChars="0"/>
        <w:jc w:val="both"/>
        <w:rPr>
          <w:rFonts w:hint="eastAsia"/>
          <w:color w:val="auto"/>
          <w:sz w:val="21"/>
        </w:rPr>
      </w:pPr>
      <w:r>
        <w:rPr>
          <w:rFonts w:hint="eastAsia" w:ascii="宋体" w:hAnsi="宋体" w:eastAsia="宋体" w:cs="宋体"/>
          <w:color w:val="auto"/>
          <w:sz w:val="21"/>
        </w:rPr>
        <w:t xml:space="preserve">    22.2 一方当事人变更名称、住所、联系人、联系电话或电子邮箱等信息的，应当在变更后3日内及时书面通知对方，对方实际收到变更通知前的送达仍为有效送达。</w:t>
      </w:r>
    </w:p>
    <w:p w14:paraId="30E78A13">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22.3本合同一方给另一方的通知均应采用书面形式，传真或快递送到本合同中规定的对方的地址和办理签收手续。</w:t>
      </w:r>
    </w:p>
    <w:p w14:paraId="13370647">
      <w:pPr>
        <w:adjustRightInd w:val="0"/>
        <w:snapToGrid w:val="0"/>
        <w:spacing w:line="400" w:lineRule="exact"/>
        <w:ind w:firstLine="420" w:firstLineChars="200"/>
        <w:jc w:val="left"/>
        <w:rPr>
          <w:rFonts w:hint="eastAsia" w:ascii="宋体" w:hAnsi="宋体"/>
          <w:color w:val="auto"/>
        </w:rPr>
      </w:pPr>
      <w:r>
        <w:rPr>
          <w:rFonts w:hint="eastAsia" w:ascii="宋体" w:hAnsi="宋体"/>
          <w:color w:val="auto"/>
        </w:rPr>
        <w:t>22.4通知以送达之日或通知书中规定的生效之日起生效，两者中以较迟之日为准。</w:t>
      </w:r>
    </w:p>
    <w:p w14:paraId="05977967">
      <w:pPr>
        <w:numPr>
          <w:ilvl w:val="0"/>
          <w:numId w:val="18"/>
        </w:numPr>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合同未尽事项</w:t>
      </w:r>
    </w:p>
    <w:p w14:paraId="3295082A">
      <w:pPr>
        <w:adjustRightInd w:val="0"/>
        <w:snapToGrid w:val="0"/>
        <w:spacing w:line="400" w:lineRule="exact"/>
        <w:ind w:firstLine="420" w:firstLineChars="200"/>
        <w:jc w:val="left"/>
        <w:rPr>
          <w:rFonts w:hint="eastAsia" w:ascii="宋体" w:hAnsi="宋体"/>
          <w:bCs/>
          <w:color w:val="auto"/>
        </w:rPr>
      </w:pPr>
      <w:r>
        <w:rPr>
          <w:rFonts w:hint="eastAsia" w:ascii="宋体" w:hAnsi="宋体"/>
          <w:bCs/>
          <w:color w:val="auto"/>
        </w:rPr>
        <w:t>23.1合同未尽事项见</w:t>
      </w:r>
      <w:r>
        <w:rPr>
          <w:rFonts w:hint="eastAsia" w:ascii="宋体" w:hAnsi="宋体"/>
          <w:b/>
          <w:color w:val="auto"/>
        </w:rPr>
        <w:t>【政府采购合同专用条款】</w:t>
      </w:r>
      <w:r>
        <w:rPr>
          <w:rFonts w:hint="eastAsia" w:ascii="宋体" w:hAnsi="宋体"/>
          <w:bCs/>
          <w:color w:val="auto"/>
        </w:rPr>
        <w:t>。</w:t>
      </w:r>
    </w:p>
    <w:p w14:paraId="02C61444">
      <w:pPr>
        <w:adjustRightInd w:val="0"/>
        <w:snapToGrid w:val="0"/>
        <w:spacing w:line="400" w:lineRule="exact"/>
        <w:jc w:val="left"/>
        <w:rPr>
          <w:rFonts w:hint="eastAsia" w:ascii="黑体" w:hAnsi="华文中宋" w:eastAsia="黑体"/>
          <w:color w:val="auto"/>
          <w:sz w:val="28"/>
          <w:szCs w:val="28"/>
        </w:rPr>
      </w:pPr>
      <w:r>
        <w:rPr>
          <w:rFonts w:hint="eastAsia" w:ascii="宋体" w:hAnsi="宋体"/>
          <w:bCs/>
          <w:color w:val="auto"/>
        </w:rPr>
        <w:t xml:space="preserve">    23.2 合同附件与合同正文具有同等的法律效力。</w:t>
      </w:r>
      <w:bookmarkStart w:id="95" w:name="_Toc20313"/>
    </w:p>
    <w:p w14:paraId="6D4E822E">
      <w:pPr>
        <w:adjustRightInd w:val="0"/>
        <w:snapToGrid w:val="0"/>
        <w:jc w:val="center"/>
        <w:rPr>
          <w:rFonts w:hint="eastAsia" w:ascii="黑体" w:hAnsi="华文中宋" w:eastAsia="黑体"/>
          <w:color w:val="auto"/>
          <w:sz w:val="28"/>
          <w:szCs w:val="28"/>
        </w:rPr>
      </w:pPr>
      <w:r>
        <w:rPr>
          <w:rFonts w:hint="eastAsia" w:ascii="黑体" w:hAnsi="华文中宋" w:eastAsia="黑体"/>
          <w:color w:val="auto"/>
          <w:sz w:val="28"/>
          <w:szCs w:val="28"/>
        </w:rPr>
        <w:br w:type="page"/>
      </w:r>
    </w:p>
    <w:p w14:paraId="70297CBD">
      <w:pPr>
        <w:pStyle w:val="7"/>
        <w:adjustRightInd w:val="0"/>
        <w:snapToGrid w:val="0"/>
        <w:rPr>
          <w:rFonts w:hint="eastAsia" w:ascii="黑体" w:hAnsi="华文中宋"/>
          <w:b w:val="0"/>
          <w:bCs w:val="0"/>
          <w:color w:val="auto"/>
          <w:sz w:val="28"/>
          <w:szCs w:val="28"/>
        </w:rPr>
      </w:pPr>
      <w:r>
        <w:rPr>
          <w:rFonts w:hint="eastAsia" w:ascii="黑体" w:hAnsi="华文中宋"/>
          <w:b w:val="0"/>
          <w:bCs w:val="0"/>
          <w:color w:val="auto"/>
          <w:sz w:val="28"/>
          <w:szCs w:val="28"/>
        </w:rPr>
        <w:t>第三节 政府采购合同专用条款</w:t>
      </w:r>
      <w:bookmarkEnd w:id="95"/>
    </w:p>
    <w:tbl>
      <w:tblPr>
        <w:tblStyle w:val="4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43209D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A94EBAF">
            <w:pPr>
              <w:adjustRightInd w:val="0"/>
              <w:snapToGrid w:val="0"/>
              <w:jc w:val="center"/>
              <w:rPr>
                <w:rFonts w:hint="eastAsia" w:ascii="宋体" w:hAnsi="宋体"/>
                <w:color w:val="auto"/>
              </w:rPr>
            </w:pPr>
            <w:r>
              <w:rPr>
                <w:rFonts w:hint="eastAsia" w:ascii="宋体" w:hAnsi="宋体"/>
                <w:color w:val="auto"/>
              </w:rPr>
              <w:t>第二节</w:t>
            </w:r>
          </w:p>
          <w:p w14:paraId="729EFAD4">
            <w:pPr>
              <w:adjustRightInd w:val="0"/>
              <w:snapToGrid w:val="0"/>
              <w:jc w:val="center"/>
              <w:rPr>
                <w:rFonts w:hint="eastAsia" w:ascii="宋体" w:hAnsi="宋体"/>
                <w:color w:val="auto"/>
              </w:rPr>
            </w:pPr>
            <w:r>
              <w:rPr>
                <w:rFonts w:hint="eastAsia" w:ascii="宋体" w:hAnsi="宋体"/>
                <w:color w:val="auto"/>
              </w:rPr>
              <w:t>第1.2（6）项</w:t>
            </w:r>
          </w:p>
        </w:tc>
        <w:tc>
          <w:tcPr>
            <w:tcW w:w="1742" w:type="dxa"/>
            <w:vAlign w:val="center"/>
          </w:tcPr>
          <w:p w14:paraId="7A64F4C6">
            <w:pPr>
              <w:adjustRightInd w:val="0"/>
              <w:snapToGrid w:val="0"/>
              <w:jc w:val="left"/>
              <w:rPr>
                <w:rFonts w:hint="eastAsia" w:ascii="宋体" w:hAnsi="宋体"/>
                <w:color w:val="auto"/>
              </w:rPr>
            </w:pPr>
            <w:r>
              <w:rPr>
                <w:rFonts w:hint="eastAsia" w:ascii="宋体" w:hAnsi="宋体"/>
                <w:color w:val="auto"/>
              </w:rPr>
              <w:t>联合体具体要求</w:t>
            </w:r>
          </w:p>
        </w:tc>
        <w:tc>
          <w:tcPr>
            <w:tcW w:w="5170" w:type="dxa"/>
            <w:vAlign w:val="center"/>
          </w:tcPr>
          <w:p w14:paraId="64D12648">
            <w:pPr>
              <w:adjustRightInd w:val="0"/>
              <w:snapToGrid w:val="0"/>
              <w:jc w:val="left"/>
              <w:rPr>
                <w:rFonts w:hint="eastAsia" w:ascii="宋体" w:hAnsi="宋体"/>
                <w:color w:val="auto"/>
              </w:rPr>
            </w:pPr>
          </w:p>
        </w:tc>
      </w:tr>
      <w:tr w14:paraId="5B65CA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662196FE">
            <w:pPr>
              <w:adjustRightInd w:val="0"/>
              <w:snapToGrid w:val="0"/>
              <w:jc w:val="center"/>
              <w:rPr>
                <w:rFonts w:hint="eastAsia" w:ascii="宋体" w:hAnsi="宋体"/>
                <w:color w:val="auto"/>
              </w:rPr>
            </w:pPr>
            <w:r>
              <w:rPr>
                <w:rFonts w:hint="eastAsia" w:ascii="宋体" w:hAnsi="宋体"/>
                <w:color w:val="auto"/>
              </w:rPr>
              <w:t>第二节</w:t>
            </w:r>
          </w:p>
          <w:p w14:paraId="2D26954E">
            <w:pPr>
              <w:adjustRightInd w:val="0"/>
              <w:snapToGrid w:val="0"/>
              <w:jc w:val="center"/>
              <w:rPr>
                <w:rFonts w:hint="eastAsia" w:ascii="宋体" w:hAnsi="宋体"/>
                <w:color w:val="auto"/>
              </w:rPr>
            </w:pPr>
            <w:r>
              <w:rPr>
                <w:rFonts w:hint="eastAsia" w:ascii="宋体" w:hAnsi="宋体"/>
                <w:color w:val="auto"/>
              </w:rPr>
              <w:t>第1.2（7）项</w:t>
            </w:r>
          </w:p>
        </w:tc>
        <w:tc>
          <w:tcPr>
            <w:tcW w:w="1742" w:type="dxa"/>
            <w:vAlign w:val="center"/>
          </w:tcPr>
          <w:p w14:paraId="4408C330">
            <w:pPr>
              <w:adjustRightInd w:val="0"/>
              <w:snapToGrid w:val="0"/>
              <w:jc w:val="left"/>
              <w:rPr>
                <w:rFonts w:hint="eastAsia" w:ascii="宋体" w:hAnsi="宋体"/>
                <w:color w:val="auto"/>
              </w:rPr>
            </w:pPr>
            <w:r>
              <w:rPr>
                <w:rFonts w:hint="eastAsia" w:ascii="宋体" w:hAnsi="宋体"/>
                <w:color w:val="auto"/>
              </w:rPr>
              <w:t>其他术语解释</w:t>
            </w:r>
          </w:p>
        </w:tc>
        <w:tc>
          <w:tcPr>
            <w:tcW w:w="5170" w:type="dxa"/>
            <w:vAlign w:val="center"/>
          </w:tcPr>
          <w:p w14:paraId="3FD3E801">
            <w:pPr>
              <w:adjustRightInd w:val="0"/>
              <w:snapToGrid w:val="0"/>
              <w:jc w:val="left"/>
              <w:rPr>
                <w:rFonts w:hint="eastAsia" w:ascii="宋体" w:hAnsi="宋体"/>
                <w:color w:val="auto"/>
              </w:rPr>
            </w:pPr>
          </w:p>
        </w:tc>
      </w:tr>
      <w:tr w14:paraId="0C084A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84D9CF">
            <w:pPr>
              <w:adjustRightInd w:val="0"/>
              <w:snapToGrid w:val="0"/>
              <w:jc w:val="center"/>
              <w:rPr>
                <w:rFonts w:hint="eastAsia" w:ascii="宋体" w:hAnsi="宋体"/>
                <w:color w:val="auto"/>
              </w:rPr>
            </w:pPr>
            <w:r>
              <w:rPr>
                <w:rFonts w:hint="eastAsia" w:ascii="宋体" w:hAnsi="宋体"/>
                <w:color w:val="auto"/>
              </w:rPr>
              <w:t>第二节</w:t>
            </w:r>
          </w:p>
          <w:p w14:paraId="510D5ED0">
            <w:pPr>
              <w:adjustRightInd w:val="0"/>
              <w:snapToGrid w:val="0"/>
              <w:jc w:val="center"/>
              <w:rPr>
                <w:rFonts w:hint="eastAsia" w:ascii="宋体" w:hAnsi="宋体"/>
                <w:color w:val="auto"/>
              </w:rPr>
            </w:pPr>
            <w:r>
              <w:rPr>
                <w:rFonts w:hint="eastAsia" w:ascii="宋体" w:hAnsi="宋体"/>
                <w:color w:val="auto"/>
              </w:rPr>
              <w:t>第4.4款</w:t>
            </w:r>
          </w:p>
        </w:tc>
        <w:tc>
          <w:tcPr>
            <w:tcW w:w="1742" w:type="dxa"/>
            <w:vAlign w:val="center"/>
          </w:tcPr>
          <w:p w14:paraId="29DB8001">
            <w:pPr>
              <w:adjustRightInd w:val="0"/>
              <w:snapToGrid w:val="0"/>
              <w:jc w:val="left"/>
              <w:rPr>
                <w:rFonts w:hint="eastAsia" w:ascii="宋体" w:hAnsi="宋体"/>
                <w:color w:val="auto"/>
              </w:rPr>
            </w:pPr>
            <w:r>
              <w:rPr>
                <w:rFonts w:hint="eastAsia" w:ascii="宋体" w:hAnsi="宋体"/>
                <w:color w:val="auto"/>
              </w:rPr>
              <w:t>履约验收中甲方提出异议或作出说明的期限</w:t>
            </w:r>
          </w:p>
        </w:tc>
        <w:tc>
          <w:tcPr>
            <w:tcW w:w="5170" w:type="dxa"/>
            <w:vAlign w:val="center"/>
          </w:tcPr>
          <w:p w14:paraId="10EC7385">
            <w:pPr>
              <w:adjustRightInd w:val="0"/>
              <w:snapToGrid w:val="0"/>
              <w:jc w:val="left"/>
              <w:rPr>
                <w:rFonts w:hint="eastAsia" w:ascii="宋体" w:hAnsi="宋体"/>
                <w:color w:val="auto"/>
              </w:rPr>
            </w:pPr>
          </w:p>
        </w:tc>
      </w:tr>
      <w:tr w14:paraId="5C7199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774ECD">
            <w:pPr>
              <w:adjustRightInd w:val="0"/>
              <w:snapToGrid w:val="0"/>
              <w:jc w:val="center"/>
              <w:rPr>
                <w:rFonts w:hint="eastAsia" w:ascii="宋体" w:hAnsi="宋体"/>
                <w:color w:val="auto"/>
              </w:rPr>
            </w:pPr>
            <w:r>
              <w:rPr>
                <w:rFonts w:hint="eastAsia" w:ascii="宋体" w:hAnsi="宋体"/>
                <w:color w:val="auto"/>
              </w:rPr>
              <w:t>第二节</w:t>
            </w:r>
          </w:p>
          <w:p w14:paraId="19934692">
            <w:pPr>
              <w:adjustRightInd w:val="0"/>
              <w:snapToGrid w:val="0"/>
              <w:jc w:val="center"/>
              <w:rPr>
                <w:rFonts w:hint="eastAsia" w:ascii="宋体" w:hAnsi="宋体"/>
                <w:color w:val="auto"/>
              </w:rPr>
            </w:pPr>
            <w:r>
              <w:rPr>
                <w:rFonts w:hint="eastAsia" w:ascii="宋体" w:hAnsi="宋体"/>
                <w:color w:val="auto"/>
              </w:rPr>
              <w:t>第4.6款</w:t>
            </w:r>
          </w:p>
        </w:tc>
        <w:tc>
          <w:tcPr>
            <w:tcW w:w="1742" w:type="dxa"/>
            <w:vAlign w:val="center"/>
          </w:tcPr>
          <w:p w14:paraId="797F1880">
            <w:pPr>
              <w:adjustRightInd w:val="0"/>
              <w:snapToGrid w:val="0"/>
              <w:jc w:val="left"/>
              <w:rPr>
                <w:rFonts w:hint="eastAsia" w:ascii="宋体" w:hAnsi="宋体"/>
                <w:color w:val="auto"/>
              </w:rPr>
            </w:pPr>
            <w:r>
              <w:rPr>
                <w:rFonts w:hint="eastAsia" w:ascii="宋体" w:hAnsi="宋体"/>
                <w:color w:val="auto"/>
              </w:rPr>
              <w:t>约定甲方承担的其他义务和责任</w:t>
            </w:r>
          </w:p>
        </w:tc>
        <w:tc>
          <w:tcPr>
            <w:tcW w:w="5170" w:type="dxa"/>
            <w:vAlign w:val="center"/>
          </w:tcPr>
          <w:p w14:paraId="0F4691B9">
            <w:pPr>
              <w:adjustRightInd w:val="0"/>
              <w:snapToGrid w:val="0"/>
              <w:jc w:val="left"/>
              <w:rPr>
                <w:rFonts w:hint="eastAsia" w:ascii="宋体" w:hAnsi="宋体"/>
                <w:color w:val="auto"/>
              </w:rPr>
            </w:pPr>
          </w:p>
        </w:tc>
      </w:tr>
      <w:tr w14:paraId="79E4EE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56A9AF">
            <w:pPr>
              <w:adjustRightInd w:val="0"/>
              <w:snapToGrid w:val="0"/>
              <w:jc w:val="center"/>
              <w:rPr>
                <w:rFonts w:hint="eastAsia" w:ascii="宋体" w:hAnsi="宋体"/>
                <w:color w:val="auto"/>
              </w:rPr>
            </w:pPr>
            <w:r>
              <w:rPr>
                <w:rFonts w:hint="eastAsia" w:ascii="宋体" w:hAnsi="宋体"/>
                <w:color w:val="auto"/>
              </w:rPr>
              <w:t>第二节</w:t>
            </w:r>
          </w:p>
          <w:p w14:paraId="583CC919">
            <w:pPr>
              <w:snapToGrid w:val="0"/>
              <w:jc w:val="center"/>
              <w:rPr>
                <w:color w:val="auto"/>
              </w:rPr>
            </w:pPr>
            <w:r>
              <w:rPr>
                <w:rFonts w:hint="eastAsia" w:ascii="宋体" w:hAnsi="宋体"/>
                <w:color w:val="auto"/>
              </w:rPr>
              <w:t>第5.4款</w:t>
            </w:r>
          </w:p>
        </w:tc>
        <w:tc>
          <w:tcPr>
            <w:tcW w:w="1742" w:type="dxa"/>
            <w:vAlign w:val="center"/>
          </w:tcPr>
          <w:p w14:paraId="71DC7DAB">
            <w:pPr>
              <w:adjustRightInd w:val="0"/>
              <w:snapToGrid w:val="0"/>
              <w:jc w:val="left"/>
              <w:rPr>
                <w:rFonts w:hint="eastAsia" w:ascii="宋体" w:hAnsi="宋体"/>
                <w:color w:val="auto"/>
              </w:rPr>
            </w:pPr>
            <w:r>
              <w:rPr>
                <w:rFonts w:hint="eastAsia" w:ascii="宋体" w:hAnsi="宋体"/>
                <w:color w:val="auto"/>
              </w:rPr>
              <w:t>约定乙方承担的其他义务和责任</w:t>
            </w:r>
          </w:p>
        </w:tc>
        <w:tc>
          <w:tcPr>
            <w:tcW w:w="5170" w:type="dxa"/>
            <w:vAlign w:val="center"/>
          </w:tcPr>
          <w:p w14:paraId="1B22AE45">
            <w:pPr>
              <w:adjustRightInd w:val="0"/>
              <w:snapToGrid w:val="0"/>
              <w:jc w:val="left"/>
              <w:rPr>
                <w:rFonts w:hint="eastAsia" w:ascii="宋体" w:hAnsi="宋体"/>
                <w:color w:val="auto"/>
              </w:rPr>
            </w:pPr>
          </w:p>
        </w:tc>
      </w:tr>
      <w:tr w14:paraId="1ECE6F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ACFCD3">
            <w:pPr>
              <w:adjustRightInd w:val="0"/>
              <w:snapToGrid w:val="0"/>
              <w:jc w:val="center"/>
              <w:rPr>
                <w:rFonts w:hint="eastAsia" w:ascii="宋体" w:hAnsi="宋体"/>
                <w:color w:val="auto"/>
              </w:rPr>
            </w:pPr>
            <w:r>
              <w:rPr>
                <w:rFonts w:hint="eastAsia" w:ascii="宋体" w:hAnsi="宋体"/>
                <w:color w:val="auto"/>
              </w:rPr>
              <w:t>第二节</w:t>
            </w:r>
          </w:p>
          <w:p w14:paraId="68B2AA68">
            <w:pPr>
              <w:snapToGrid w:val="0"/>
              <w:jc w:val="center"/>
              <w:rPr>
                <w:rFonts w:hint="eastAsia" w:ascii="宋体" w:hAnsi="宋体"/>
                <w:color w:val="auto"/>
              </w:rPr>
            </w:pPr>
            <w:r>
              <w:rPr>
                <w:rFonts w:hint="eastAsia" w:ascii="宋体" w:hAnsi="宋体"/>
                <w:color w:val="auto"/>
              </w:rPr>
              <w:t>第6.1款</w:t>
            </w:r>
          </w:p>
        </w:tc>
        <w:tc>
          <w:tcPr>
            <w:tcW w:w="1742" w:type="dxa"/>
            <w:vAlign w:val="center"/>
          </w:tcPr>
          <w:p w14:paraId="752E438B">
            <w:pPr>
              <w:adjustRightInd w:val="0"/>
              <w:snapToGrid w:val="0"/>
              <w:jc w:val="left"/>
              <w:rPr>
                <w:rFonts w:hint="eastAsia" w:ascii="宋体" w:hAnsi="宋体"/>
                <w:color w:val="auto"/>
              </w:rPr>
            </w:pPr>
            <w:r>
              <w:rPr>
                <w:rFonts w:hint="eastAsia" w:ascii="宋体" w:hAnsi="宋体"/>
                <w:color w:val="auto"/>
              </w:rPr>
              <w:t>履行合同义务的顺序</w:t>
            </w:r>
          </w:p>
        </w:tc>
        <w:tc>
          <w:tcPr>
            <w:tcW w:w="5170" w:type="dxa"/>
            <w:vAlign w:val="center"/>
          </w:tcPr>
          <w:p w14:paraId="61C09773">
            <w:pPr>
              <w:adjustRightInd w:val="0"/>
              <w:snapToGrid w:val="0"/>
              <w:jc w:val="left"/>
              <w:rPr>
                <w:rFonts w:hint="eastAsia" w:ascii="宋体" w:hAnsi="宋体"/>
                <w:color w:val="auto"/>
              </w:rPr>
            </w:pPr>
          </w:p>
        </w:tc>
      </w:tr>
      <w:tr w14:paraId="0C73F4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3243C36">
            <w:pPr>
              <w:adjustRightInd w:val="0"/>
              <w:snapToGrid w:val="0"/>
              <w:jc w:val="center"/>
              <w:rPr>
                <w:rFonts w:hint="eastAsia" w:ascii="宋体" w:hAnsi="宋体"/>
                <w:color w:val="auto"/>
              </w:rPr>
            </w:pPr>
            <w:r>
              <w:rPr>
                <w:rFonts w:hint="eastAsia" w:ascii="宋体" w:hAnsi="宋体"/>
                <w:color w:val="auto"/>
              </w:rPr>
              <w:t>第二节</w:t>
            </w:r>
          </w:p>
          <w:p w14:paraId="75359D94">
            <w:pPr>
              <w:adjustRightInd w:val="0"/>
              <w:snapToGrid w:val="0"/>
              <w:jc w:val="center"/>
              <w:rPr>
                <w:rFonts w:hint="eastAsia" w:ascii="宋体" w:hAnsi="宋体"/>
                <w:color w:val="auto"/>
              </w:rPr>
            </w:pPr>
            <w:r>
              <w:rPr>
                <w:rFonts w:hint="eastAsia" w:ascii="宋体" w:hAnsi="宋体"/>
                <w:color w:val="auto"/>
              </w:rPr>
              <w:t>第7.1款</w:t>
            </w:r>
          </w:p>
        </w:tc>
        <w:tc>
          <w:tcPr>
            <w:tcW w:w="1742" w:type="dxa"/>
            <w:vAlign w:val="center"/>
          </w:tcPr>
          <w:p w14:paraId="77FD3FAB">
            <w:pPr>
              <w:adjustRightInd w:val="0"/>
              <w:snapToGrid w:val="0"/>
              <w:jc w:val="left"/>
              <w:rPr>
                <w:rFonts w:hint="eastAsia" w:ascii="宋体" w:hAnsi="宋体"/>
                <w:color w:val="auto"/>
              </w:rPr>
            </w:pPr>
            <w:r>
              <w:rPr>
                <w:rFonts w:hint="eastAsia" w:ascii="宋体" w:hAnsi="宋体"/>
                <w:color w:val="auto"/>
              </w:rPr>
              <w:t>包装特殊要求</w:t>
            </w:r>
          </w:p>
        </w:tc>
        <w:tc>
          <w:tcPr>
            <w:tcW w:w="5170" w:type="dxa"/>
            <w:vAlign w:val="center"/>
          </w:tcPr>
          <w:p w14:paraId="542F83D8">
            <w:pPr>
              <w:rPr>
                <w:color w:val="auto"/>
              </w:rPr>
            </w:pPr>
          </w:p>
        </w:tc>
      </w:tr>
      <w:tr w14:paraId="20BA78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0AAF29D">
            <w:pPr>
              <w:adjustRightInd w:val="0"/>
              <w:snapToGrid w:val="0"/>
              <w:jc w:val="center"/>
              <w:rPr>
                <w:rFonts w:hint="eastAsia" w:ascii="宋体" w:hAnsi="宋体"/>
                <w:color w:val="auto"/>
              </w:rPr>
            </w:pPr>
          </w:p>
        </w:tc>
        <w:tc>
          <w:tcPr>
            <w:tcW w:w="1742" w:type="dxa"/>
            <w:vAlign w:val="center"/>
          </w:tcPr>
          <w:p w14:paraId="130DDE36">
            <w:pPr>
              <w:adjustRightInd w:val="0"/>
              <w:snapToGrid w:val="0"/>
              <w:jc w:val="left"/>
              <w:rPr>
                <w:rFonts w:hint="eastAsia" w:ascii="宋体" w:hAnsi="宋体"/>
                <w:color w:val="auto"/>
              </w:rPr>
            </w:pPr>
            <w:r>
              <w:rPr>
                <w:rFonts w:hint="eastAsia" w:ascii="宋体" w:hAnsi="宋体"/>
                <w:color w:val="auto"/>
              </w:rPr>
              <w:t>指定现场</w:t>
            </w:r>
          </w:p>
        </w:tc>
        <w:tc>
          <w:tcPr>
            <w:tcW w:w="5170" w:type="dxa"/>
            <w:vAlign w:val="center"/>
          </w:tcPr>
          <w:p w14:paraId="66F79F0F">
            <w:pPr>
              <w:rPr>
                <w:color w:val="auto"/>
              </w:rPr>
            </w:pPr>
          </w:p>
        </w:tc>
      </w:tr>
      <w:tr w14:paraId="3678BE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CA34057">
            <w:pPr>
              <w:adjustRightInd w:val="0"/>
              <w:snapToGrid w:val="0"/>
              <w:jc w:val="center"/>
              <w:rPr>
                <w:rFonts w:hint="eastAsia" w:ascii="宋体" w:hAnsi="宋体"/>
                <w:color w:val="auto"/>
              </w:rPr>
            </w:pPr>
            <w:r>
              <w:rPr>
                <w:rFonts w:hint="eastAsia" w:ascii="宋体" w:hAnsi="宋体"/>
                <w:color w:val="auto"/>
              </w:rPr>
              <w:t>第二节</w:t>
            </w:r>
          </w:p>
          <w:p w14:paraId="24C54C7B">
            <w:pPr>
              <w:adjustRightInd w:val="0"/>
              <w:snapToGrid w:val="0"/>
              <w:jc w:val="center"/>
              <w:rPr>
                <w:rFonts w:hint="eastAsia" w:ascii="宋体" w:hAnsi="宋体"/>
                <w:color w:val="auto"/>
              </w:rPr>
            </w:pPr>
            <w:r>
              <w:rPr>
                <w:rFonts w:hint="eastAsia" w:ascii="宋体" w:hAnsi="宋体"/>
                <w:color w:val="auto"/>
              </w:rPr>
              <w:t>第7.2款</w:t>
            </w:r>
          </w:p>
        </w:tc>
        <w:tc>
          <w:tcPr>
            <w:tcW w:w="1742" w:type="dxa"/>
            <w:vAlign w:val="center"/>
          </w:tcPr>
          <w:p w14:paraId="69605C28">
            <w:pPr>
              <w:adjustRightInd w:val="0"/>
              <w:snapToGrid w:val="0"/>
              <w:jc w:val="left"/>
              <w:rPr>
                <w:rFonts w:hint="eastAsia" w:ascii="宋体" w:hAnsi="宋体"/>
                <w:color w:val="auto"/>
              </w:rPr>
            </w:pPr>
            <w:r>
              <w:rPr>
                <w:rFonts w:hint="eastAsia" w:ascii="宋体" w:hAnsi="宋体"/>
                <w:color w:val="auto"/>
              </w:rPr>
              <w:t>运输特殊要求</w:t>
            </w:r>
          </w:p>
        </w:tc>
        <w:tc>
          <w:tcPr>
            <w:tcW w:w="5170" w:type="dxa"/>
            <w:vAlign w:val="center"/>
          </w:tcPr>
          <w:p w14:paraId="5CD27114">
            <w:pPr>
              <w:rPr>
                <w:color w:val="auto"/>
              </w:rPr>
            </w:pPr>
          </w:p>
        </w:tc>
      </w:tr>
      <w:tr w14:paraId="4C9034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0868DC7">
            <w:pPr>
              <w:adjustRightInd w:val="0"/>
              <w:snapToGrid w:val="0"/>
              <w:jc w:val="center"/>
              <w:rPr>
                <w:rFonts w:hint="eastAsia" w:ascii="宋体" w:hAnsi="宋体"/>
                <w:color w:val="auto"/>
              </w:rPr>
            </w:pPr>
            <w:r>
              <w:rPr>
                <w:rFonts w:hint="eastAsia" w:ascii="宋体" w:hAnsi="宋体"/>
                <w:color w:val="auto"/>
              </w:rPr>
              <w:t>第二节</w:t>
            </w:r>
          </w:p>
          <w:p w14:paraId="77CAA407">
            <w:pPr>
              <w:adjustRightInd w:val="0"/>
              <w:snapToGrid w:val="0"/>
              <w:jc w:val="center"/>
              <w:rPr>
                <w:rFonts w:hint="eastAsia" w:ascii="宋体" w:hAnsi="宋体"/>
                <w:color w:val="auto"/>
              </w:rPr>
            </w:pPr>
            <w:r>
              <w:rPr>
                <w:rFonts w:hint="eastAsia" w:ascii="宋体" w:hAnsi="宋体"/>
                <w:color w:val="auto"/>
              </w:rPr>
              <w:t>第7.3款</w:t>
            </w:r>
          </w:p>
        </w:tc>
        <w:tc>
          <w:tcPr>
            <w:tcW w:w="1742" w:type="dxa"/>
            <w:vAlign w:val="center"/>
          </w:tcPr>
          <w:p w14:paraId="2609304F">
            <w:pPr>
              <w:adjustRightInd w:val="0"/>
              <w:snapToGrid w:val="0"/>
              <w:jc w:val="left"/>
              <w:rPr>
                <w:rFonts w:hint="eastAsia" w:ascii="宋体" w:hAnsi="宋体"/>
                <w:color w:val="auto"/>
              </w:rPr>
            </w:pPr>
            <w:r>
              <w:rPr>
                <w:rFonts w:hint="eastAsia" w:ascii="宋体" w:hAnsi="宋体"/>
                <w:color w:val="auto"/>
              </w:rPr>
              <w:t>保险要求</w:t>
            </w:r>
          </w:p>
        </w:tc>
        <w:tc>
          <w:tcPr>
            <w:tcW w:w="5170" w:type="dxa"/>
            <w:vAlign w:val="center"/>
          </w:tcPr>
          <w:p w14:paraId="371C65C7">
            <w:pPr>
              <w:rPr>
                <w:color w:val="auto"/>
              </w:rPr>
            </w:pPr>
          </w:p>
        </w:tc>
      </w:tr>
      <w:tr w14:paraId="6D4F5C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784F49">
            <w:pPr>
              <w:adjustRightInd w:val="0"/>
              <w:snapToGrid w:val="0"/>
              <w:jc w:val="center"/>
              <w:rPr>
                <w:rFonts w:hint="eastAsia" w:ascii="宋体" w:hAnsi="宋体"/>
                <w:color w:val="auto"/>
              </w:rPr>
            </w:pPr>
            <w:r>
              <w:rPr>
                <w:rFonts w:hint="eastAsia" w:ascii="宋体" w:hAnsi="宋体"/>
                <w:color w:val="auto"/>
              </w:rPr>
              <w:t>第二节</w:t>
            </w:r>
          </w:p>
          <w:p w14:paraId="598EB24A">
            <w:pPr>
              <w:adjustRightInd w:val="0"/>
              <w:snapToGrid w:val="0"/>
              <w:jc w:val="center"/>
              <w:rPr>
                <w:rFonts w:hint="eastAsia" w:ascii="宋体" w:hAnsi="宋体"/>
                <w:color w:val="auto"/>
              </w:rPr>
            </w:pPr>
            <w:r>
              <w:rPr>
                <w:rFonts w:hint="eastAsia" w:ascii="宋体" w:hAnsi="宋体"/>
                <w:color w:val="auto"/>
              </w:rPr>
              <w:t>第8.2（1）项</w:t>
            </w:r>
          </w:p>
        </w:tc>
        <w:tc>
          <w:tcPr>
            <w:tcW w:w="1742" w:type="dxa"/>
            <w:vAlign w:val="center"/>
          </w:tcPr>
          <w:p w14:paraId="3F0BAA3C">
            <w:pPr>
              <w:adjustRightInd w:val="0"/>
              <w:snapToGrid w:val="0"/>
              <w:jc w:val="left"/>
              <w:rPr>
                <w:rFonts w:hint="eastAsia" w:ascii="宋体" w:hAnsi="宋体"/>
                <w:color w:val="auto"/>
              </w:rPr>
            </w:pPr>
            <w:r>
              <w:rPr>
                <w:rFonts w:hint="eastAsia" w:ascii="宋体" w:hAnsi="宋体"/>
                <w:color w:val="auto"/>
              </w:rPr>
              <w:t>质量保证期</w:t>
            </w:r>
          </w:p>
        </w:tc>
        <w:tc>
          <w:tcPr>
            <w:tcW w:w="5170" w:type="dxa"/>
            <w:vAlign w:val="center"/>
          </w:tcPr>
          <w:p w14:paraId="72199795">
            <w:pPr>
              <w:autoSpaceDE w:val="0"/>
              <w:autoSpaceDN w:val="0"/>
              <w:adjustRightInd w:val="0"/>
              <w:snapToGrid w:val="0"/>
              <w:ind w:firstLine="420" w:firstLineChars="200"/>
              <w:jc w:val="left"/>
              <w:rPr>
                <w:rFonts w:hint="eastAsia" w:ascii="宋体" w:hAnsi="宋体"/>
                <w:color w:val="auto"/>
              </w:rPr>
            </w:pPr>
          </w:p>
        </w:tc>
      </w:tr>
      <w:tr w14:paraId="582DB7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396B2E">
            <w:pPr>
              <w:adjustRightInd w:val="0"/>
              <w:snapToGrid w:val="0"/>
              <w:jc w:val="center"/>
              <w:rPr>
                <w:rFonts w:hint="eastAsia" w:ascii="宋体" w:hAnsi="宋体"/>
                <w:color w:val="auto"/>
              </w:rPr>
            </w:pPr>
            <w:r>
              <w:rPr>
                <w:rFonts w:hint="eastAsia" w:ascii="宋体" w:hAnsi="宋体"/>
                <w:color w:val="auto"/>
              </w:rPr>
              <w:t>第二节</w:t>
            </w:r>
          </w:p>
          <w:p w14:paraId="6EB647D0">
            <w:pPr>
              <w:adjustRightInd w:val="0"/>
              <w:snapToGrid w:val="0"/>
              <w:jc w:val="center"/>
              <w:rPr>
                <w:rFonts w:hint="eastAsia" w:ascii="宋体" w:hAnsi="宋体"/>
                <w:color w:val="auto"/>
              </w:rPr>
            </w:pPr>
            <w:r>
              <w:rPr>
                <w:rFonts w:hint="eastAsia" w:ascii="宋体" w:hAnsi="宋体"/>
                <w:color w:val="auto"/>
              </w:rPr>
              <w:t>第8.2（3）项</w:t>
            </w:r>
          </w:p>
        </w:tc>
        <w:tc>
          <w:tcPr>
            <w:tcW w:w="1742" w:type="dxa"/>
            <w:vAlign w:val="center"/>
          </w:tcPr>
          <w:p w14:paraId="73151B4B">
            <w:pPr>
              <w:adjustRightInd w:val="0"/>
              <w:snapToGrid w:val="0"/>
              <w:jc w:val="left"/>
              <w:rPr>
                <w:rFonts w:hint="eastAsia" w:ascii="宋体" w:hAnsi="宋体"/>
                <w:color w:val="auto"/>
              </w:rPr>
            </w:pPr>
            <w:r>
              <w:rPr>
                <w:rFonts w:hint="eastAsia" w:ascii="宋体" w:hAnsi="宋体"/>
                <w:color w:val="auto"/>
              </w:rPr>
              <w:t>货物质量缺陷</w:t>
            </w:r>
          </w:p>
          <w:p w14:paraId="71F27000">
            <w:pPr>
              <w:adjustRightInd w:val="0"/>
              <w:snapToGrid w:val="0"/>
              <w:jc w:val="left"/>
              <w:rPr>
                <w:rFonts w:hint="eastAsia" w:ascii="宋体" w:hAnsi="宋体"/>
                <w:color w:val="auto"/>
              </w:rPr>
            </w:pPr>
            <w:r>
              <w:rPr>
                <w:rFonts w:hint="eastAsia" w:ascii="宋体" w:hAnsi="宋体"/>
                <w:color w:val="auto"/>
              </w:rPr>
              <w:t>响应时间</w:t>
            </w:r>
          </w:p>
        </w:tc>
        <w:tc>
          <w:tcPr>
            <w:tcW w:w="5170" w:type="dxa"/>
            <w:vAlign w:val="center"/>
          </w:tcPr>
          <w:p w14:paraId="477EF418">
            <w:pPr>
              <w:adjustRightInd w:val="0"/>
              <w:snapToGrid w:val="0"/>
              <w:jc w:val="left"/>
              <w:rPr>
                <w:rFonts w:hint="eastAsia" w:ascii="宋体" w:hAnsi="宋体"/>
                <w:color w:val="auto"/>
              </w:rPr>
            </w:pPr>
          </w:p>
        </w:tc>
      </w:tr>
      <w:tr w14:paraId="55BD65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C4DFB3">
            <w:pPr>
              <w:snapToGrid w:val="0"/>
              <w:jc w:val="center"/>
              <w:rPr>
                <w:rFonts w:hint="eastAsia" w:ascii="宋体" w:hAnsi="宋体" w:cs="宋体"/>
                <w:color w:val="auto"/>
              </w:rPr>
            </w:pPr>
            <w:r>
              <w:rPr>
                <w:rFonts w:hint="eastAsia" w:ascii="宋体" w:hAnsi="宋体" w:cs="宋体"/>
                <w:color w:val="auto"/>
              </w:rPr>
              <w:t>第二节</w:t>
            </w:r>
          </w:p>
          <w:p w14:paraId="0EA093DB">
            <w:pPr>
              <w:pStyle w:val="143"/>
              <w:ind w:firstLine="0" w:firstLineChars="0"/>
              <w:jc w:val="center"/>
              <w:rPr>
                <w:rFonts w:hint="eastAsia"/>
                <w:color w:val="auto"/>
              </w:rPr>
            </w:pPr>
            <w:r>
              <w:rPr>
                <w:rFonts w:hint="eastAsia" w:ascii="宋体" w:hAnsi="宋体" w:eastAsia="宋体" w:cs="宋体"/>
                <w:color w:val="auto"/>
              </w:rPr>
              <w:t>第11.1款</w:t>
            </w:r>
          </w:p>
        </w:tc>
        <w:tc>
          <w:tcPr>
            <w:tcW w:w="1742" w:type="dxa"/>
            <w:vAlign w:val="center"/>
          </w:tcPr>
          <w:p w14:paraId="1BEFA0CF">
            <w:pPr>
              <w:adjustRightInd w:val="0"/>
              <w:snapToGrid w:val="0"/>
              <w:rPr>
                <w:rFonts w:hint="eastAsia" w:ascii="宋体" w:hAnsi="宋体"/>
                <w:color w:val="auto"/>
              </w:rPr>
            </w:pPr>
            <w:r>
              <w:rPr>
                <w:rFonts w:hint="eastAsia" w:ascii="宋体" w:hAnsi="宋体"/>
                <w:color w:val="auto"/>
              </w:rPr>
              <w:t>其他应当保密的信息</w:t>
            </w:r>
          </w:p>
        </w:tc>
        <w:tc>
          <w:tcPr>
            <w:tcW w:w="5170" w:type="dxa"/>
            <w:vAlign w:val="center"/>
          </w:tcPr>
          <w:p w14:paraId="5DD5654A">
            <w:pPr>
              <w:adjustRightInd w:val="0"/>
              <w:snapToGrid w:val="0"/>
              <w:jc w:val="left"/>
              <w:rPr>
                <w:rFonts w:hint="eastAsia" w:ascii="宋体" w:hAnsi="宋体"/>
                <w:color w:val="auto"/>
              </w:rPr>
            </w:pPr>
          </w:p>
        </w:tc>
      </w:tr>
      <w:tr w14:paraId="5D2A42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DB18291">
            <w:pPr>
              <w:adjustRightInd w:val="0"/>
              <w:snapToGrid w:val="0"/>
              <w:jc w:val="center"/>
              <w:rPr>
                <w:rFonts w:hint="eastAsia" w:ascii="宋体" w:hAnsi="宋体"/>
                <w:color w:val="auto"/>
              </w:rPr>
            </w:pPr>
            <w:r>
              <w:rPr>
                <w:rFonts w:hint="eastAsia" w:ascii="宋体" w:hAnsi="宋体"/>
                <w:color w:val="auto"/>
              </w:rPr>
              <w:t>第二节</w:t>
            </w:r>
          </w:p>
          <w:p w14:paraId="5C9F08DC">
            <w:pPr>
              <w:adjustRightInd w:val="0"/>
              <w:snapToGrid w:val="0"/>
              <w:jc w:val="center"/>
              <w:rPr>
                <w:rFonts w:hint="eastAsia" w:ascii="宋体" w:hAnsi="宋体"/>
                <w:color w:val="auto"/>
              </w:rPr>
            </w:pPr>
            <w:r>
              <w:rPr>
                <w:rFonts w:hint="eastAsia" w:ascii="宋体" w:hAnsi="宋体"/>
                <w:color w:val="auto"/>
              </w:rPr>
              <w:t>第12.2款</w:t>
            </w:r>
          </w:p>
        </w:tc>
        <w:tc>
          <w:tcPr>
            <w:tcW w:w="1742" w:type="dxa"/>
            <w:vAlign w:val="center"/>
          </w:tcPr>
          <w:p w14:paraId="3FEA338F">
            <w:pPr>
              <w:adjustRightInd w:val="0"/>
              <w:snapToGrid w:val="0"/>
              <w:jc w:val="left"/>
              <w:rPr>
                <w:rFonts w:hint="eastAsia" w:ascii="宋体" w:hAnsi="宋体"/>
                <w:color w:val="auto"/>
              </w:rPr>
            </w:pPr>
            <w:r>
              <w:rPr>
                <w:rFonts w:hint="eastAsia" w:ascii="宋体" w:hAnsi="宋体"/>
                <w:color w:val="auto"/>
              </w:rPr>
              <w:t>合同价款支付时间</w:t>
            </w:r>
          </w:p>
        </w:tc>
        <w:tc>
          <w:tcPr>
            <w:tcW w:w="5170" w:type="dxa"/>
            <w:vAlign w:val="center"/>
          </w:tcPr>
          <w:p w14:paraId="288824FC">
            <w:pPr>
              <w:adjustRightInd w:val="0"/>
              <w:snapToGrid w:val="0"/>
              <w:jc w:val="left"/>
              <w:rPr>
                <w:rFonts w:hint="eastAsia" w:ascii="宋体" w:hAnsi="宋体"/>
                <w:color w:val="auto"/>
              </w:rPr>
            </w:pPr>
          </w:p>
        </w:tc>
      </w:tr>
      <w:tr w14:paraId="121E7A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0A7EF3F">
            <w:pPr>
              <w:adjustRightInd w:val="0"/>
              <w:snapToGrid w:val="0"/>
              <w:jc w:val="center"/>
              <w:rPr>
                <w:rFonts w:hint="eastAsia" w:ascii="宋体" w:hAnsi="宋体"/>
                <w:color w:val="auto"/>
              </w:rPr>
            </w:pPr>
            <w:r>
              <w:rPr>
                <w:rFonts w:hint="eastAsia" w:ascii="宋体" w:hAnsi="宋体"/>
                <w:color w:val="auto"/>
              </w:rPr>
              <w:t>第二节</w:t>
            </w:r>
          </w:p>
          <w:p w14:paraId="01F68039">
            <w:pPr>
              <w:adjustRightInd w:val="0"/>
              <w:snapToGrid w:val="0"/>
              <w:jc w:val="center"/>
              <w:rPr>
                <w:rFonts w:hint="eastAsia" w:ascii="宋体" w:hAnsi="宋体"/>
                <w:color w:val="auto"/>
              </w:rPr>
            </w:pPr>
            <w:r>
              <w:rPr>
                <w:rFonts w:hint="eastAsia" w:ascii="宋体" w:hAnsi="宋体"/>
                <w:color w:val="auto"/>
              </w:rPr>
              <w:t>第13.2款</w:t>
            </w:r>
          </w:p>
        </w:tc>
        <w:tc>
          <w:tcPr>
            <w:tcW w:w="1742" w:type="dxa"/>
            <w:vAlign w:val="center"/>
          </w:tcPr>
          <w:p w14:paraId="7FCA86F6">
            <w:pPr>
              <w:adjustRightInd w:val="0"/>
              <w:snapToGrid w:val="0"/>
              <w:jc w:val="left"/>
              <w:rPr>
                <w:rFonts w:hint="eastAsia" w:ascii="宋体" w:hAnsi="宋体"/>
                <w:color w:val="auto"/>
              </w:rPr>
            </w:pPr>
            <w:r>
              <w:rPr>
                <w:rFonts w:hint="eastAsia" w:ascii="宋体" w:hAnsi="宋体"/>
                <w:color w:val="auto"/>
              </w:rPr>
              <w:t>履约保证金不予退还的情形</w:t>
            </w:r>
          </w:p>
        </w:tc>
        <w:tc>
          <w:tcPr>
            <w:tcW w:w="5170" w:type="dxa"/>
            <w:vAlign w:val="center"/>
          </w:tcPr>
          <w:p w14:paraId="53BF84EF">
            <w:pPr>
              <w:adjustRightInd w:val="0"/>
              <w:snapToGrid w:val="0"/>
              <w:jc w:val="left"/>
              <w:rPr>
                <w:rFonts w:hint="eastAsia" w:ascii="宋体" w:hAnsi="宋体"/>
                <w:color w:val="auto"/>
              </w:rPr>
            </w:pPr>
          </w:p>
        </w:tc>
      </w:tr>
      <w:tr w14:paraId="361D34F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4D5A11">
            <w:pPr>
              <w:adjustRightInd w:val="0"/>
              <w:snapToGrid w:val="0"/>
              <w:jc w:val="center"/>
              <w:rPr>
                <w:rFonts w:hint="eastAsia" w:ascii="宋体" w:hAnsi="宋体"/>
                <w:color w:val="auto"/>
              </w:rPr>
            </w:pPr>
            <w:r>
              <w:rPr>
                <w:rFonts w:hint="eastAsia" w:ascii="宋体" w:hAnsi="宋体"/>
                <w:color w:val="auto"/>
              </w:rPr>
              <w:t>第二节</w:t>
            </w:r>
          </w:p>
          <w:p w14:paraId="52C72047">
            <w:pPr>
              <w:adjustRightInd w:val="0"/>
              <w:snapToGrid w:val="0"/>
              <w:jc w:val="center"/>
              <w:rPr>
                <w:rFonts w:hint="eastAsia" w:ascii="宋体" w:hAnsi="宋体"/>
                <w:color w:val="auto"/>
              </w:rPr>
            </w:pPr>
            <w:r>
              <w:rPr>
                <w:rFonts w:hint="eastAsia" w:ascii="宋体" w:hAnsi="宋体"/>
                <w:color w:val="auto"/>
              </w:rPr>
              <w:t>第13.3款</w:t>
            </w:r>
          </w:p>
        </w:tc>
        <w:tc>
          <w:tcPr>
            <w:tcW w:w="1742" w:type="dxa"/>
            <w:vAlign w:val="center"/>
          </w:tcPr>
          <w:p w14:paraId="70065A38">
            <w:pPr>
              <w:adjustRightInd w:val="0"/>
              <w:snapToGrid w:val="0"/>
              <w:jc w:val="left"/>
              <w:rPr>
                <w:rFonts w:hint="eastAsia" w:ascii="宋体" w:hAnsi="宋体"/>
                <w:color w:val="auto"/>
              </w:rPr>
            </w:pPr>
            <w:r>
              <w:rPr>
                <w:rFonts w:hint="eastAsia" w:ascii="宋体" w:hAnsi="宋体"/>
                <w:color w:val="auto"/>
              </w:rPr>
              <w:t>履约保证金退还时间及逾期退还的违约金</w:t>
            </w:r>
          </w:p>
        </w:tc>
        <w:tc>
          <w:tcPr>
            <w:tcW w:w="5170" w:type="dxa"/>
            <w:vAlign w:val="center"/>
          </w:tcPr>
          <w:p w14:paraId="68738856">
            <w:pPr>
              <w:adjustRightInd w:val="0"/>
              <w:snapToGrid w:val="0"/>
              <w:jc w:val="left"/>
              <w:rPr>
                <w:rFonts w:hint="eastAsia" w:ascii="宋体" w:hAnsi="宋体"/>
                <w:color w:val="auto"/>
              </w:rPr>
            </w:pPr>
          </w:p>
        </w:tc>
      </w:tr>
      <w:tr w14:paraId="4CFE19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2FDA92D">
            <w:pPr>
              <w:adjustRightInd w:val="0"/>
              <w:snapToGrid w:val="0"/>
              <w:jc w:val="center"/>
              <w:rPr>
                <w:rFonts w:hint="eastAsia" w:ascii="宋体" w:hAnsi="宋体"/>
                <w:color w:val="auto"/>
              </w:rPr>
            </w:pPr>
            <w:r>
              <w:rPr>
                <w:rFonts w:hint="eastAsia" w:ascii="宋体" w:hAnsi="宋体"/>
                <w:color w:val="auto"/>
              </w:rPr>
              <w:t>第二节</w:t>
            </w:r>
          </w:p>
          <w:p w14:paraId="5E933A56">
            <w:pPr>
              <w:adjustRightInd w:val="0"/>
              <w:snapToGrid w:val="0"/>
              <w:jc w:val="center"/>
              <w:rPr>
                <w:rFonts w:hint="eastAsia" w:ascii="宋体" w:hAnsi="宋体"/>
                <w:color w:val="auto"/>
              </w:rPr>
            </w:pPr>
            <w:r>
              <w:rPr>
                <w:rFonts w:hint="eastAsia" w:ascii="宋体" w:hAnsi="宋体"/>
                <w:color w:val="auto"/>
              </w:rPr>
              <w:t>第14.1（3）项</w:t>
            </w:r>
          </w:p>
        </w:tc>
        <w:tc>
          <w:tcPr>
            <w:tcW w:w="1742" w:type="dxa"/>
            <w:vAlign w:val="center"/>
          </w:tcPr>
          <w:p w14:paraId="47A3A3E3">
            <w:pPr>
              <w:adjustRightInd w:val="0"/>
              <w:snapToGrid w:val="0"/>
              <w:jc w:val="left"/>
              <w:rPr>
                <w:rFonts w:hint="eastAsia" w:ascii="宋体" w:hAnsi="宋体"/>
                <w:color w:val="auto"/>
              </w:rPr>
            </w:pPr>
            <w:r>
              <w:rPr>
                <w:rFonts w:hint="eastAsia" w:ascii="宋体" w:hAnsi="宋体"/>
                <w:color w:val="auto"/>
              </w:rPr>
              <w:t>运行监督、维修期限</w:t>
            </w:r>
          </w:p>
        </w:tc>
        <w:tc>
          <w:tcPr>
            <w:tcW w:w="5170" w:type="dxa"/>
            <w:vAlign w:val="center"/>
          </w:tcPr>
          <w:p w14:paraId="00543609">
            <w:pPr>
              <w:adjustRightInd w:val="0"/>
              <w:snapToGrid w:val="0"/>
              <w:jc w:val="left"/>
              <w:rPr>
                <w:rFonts w:hint="eastAsia" w:ascii="宋体" w:hAnsi="宋体"/>
                <w:color w:val="auto"/>
              </w:rPr>
            </w:pPr>
          </w:p>
        </w:tc>
      </w:tr>
      <w:tr w14:paraId="4F0C41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141728C">
            <w:pPr>
              <w:adjustRightInd w:val="0"/>
              <w:snapToGrid w:val="0"/>
              <w:jc w:val="center"/>
              <w:rPr>
                <w:rFonts w:hint="eastAsia" w:ascii="宋体" w:hAnsi="宋体"/>
                <w:color w:val="auto"/>
              </w:rPr>
            </w:pPr>
            <w:r>
              <w:rPr>
                <w:rFonts w:hint="eastAsia" w:ascii="宋体" w:hAnsi="宋体"/>
                <w:color w:val="auto"/>
              </w:rPr>
              <w:t>第二节</w:t>
            </w:r>
          </w:p>
          <w:p w14:paraId="1B6826F6">
            <w:pPr>
              <w:adjustRightInd w:val="0"/>
              <w:snapToGrid w:val="0"/>
              <w:jc w:val="center"/>
              <w:rPr>
                <w:rFonts w:hint="eastAsia" w:ascii="宋体" w:hAnsi="宋体"/>
                <w:color w:val="auto"/>
              </w:rPr>
            </w:pPr>
            <w:r>
              <w:rPr>
                <w:rFonts w:hint="eastAsia" w:ascii="宋体" w:hAnsi="宋体"/>
                <w:color w:val="auto"/>
              </w:rPr>
              <w:t>第14.1（5）项</w:t>
            </w:r>
          </w:p>
        </w:tc>
        <w:tc>
          <w:tcPr>
            <w:tcW w:w="1742" w:type="dxa"/>
            <w:vAlign w:val="center"/>
          </w:tcPr>
          <w:p w14:paraId="3D48B7F4">
            <w:pPr>
              <w:adjustRightInd w:val="0"/>
              <w:snapToGrid w:val="0"/>
              <w:jc w:val="left"/>
              <w:rPr>
                <w:rFonts w:hint="eastAsia" w:ascii="宋体" w:hAnsi="宋体"/>
                <w:color w:val="auto"/>
              </w:rPr>
            </w:pPr>
            <w:r>
              <w:rPr>
                <w:rFonts w:hint="eastAsia" w:ascii="宋体" w:hAnsi="宋体"/>
                <w:color w:val="auto"/>
              </w:rPr>
              <w:t>货物回收的约定</w:t>
            </w:r>
          </w:p>
        </w:tc>
        <w:tc>
          <w:tcPr>
            <w:tcW w:w="5170" w:type="dxa"/>
            <w:vAlign w:val="center"/>
          </w:tcPr>
          <w:p w14:paraId="63EC17A8">
            <w:pPr>
              <w:adjustRightInd w:val="0"/>
              <w:snapToGrid w:val="0"/>
              <w:jc w:val="left"/>
              <w:rPr>
                <w:rFonts w:hint="eastAsia" w:ascii="宋体" w:hAnsi="宋体"/>
                <w:color w:val="auto"/>
              </w:rPr>
            </w:pPr>
          </w:p>
        </w:tc>
      </w:tr>
      <w:tr w14:paraId="13DB2A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D5F524">
            <w:pPr>
              <w:adjustRightInd w:val="0"/>
              <w:snapToGrid w:val="0"/>
              <w:jc w:val="center"/>
              <w:rPr>
                <w:rFonts w:hint="eastAsia" w:ascii="宋体" w:hAnsi="宋体"/>
                <w:color w:val="auto"/>
              </w:rPr>
            </w:pPr>
            <w:r>
              <w:rPr>
                <w:rFonts w:hint="eastAsia" w:ascii="宋体" w:hAnsi="宋体"/>
                <w:color w:val="auto"/>
              </w:rPr>
              <w:t>第二节</w:t>
            </w:r>
          </w:p>
          <w:p w14:paraId="1CB1BF5F">
            <w:pPr>
              <w:adjustRightInd w:val="0"/>
              <w:snapToGrid w:val="0"/>
              <w:jc w:val="center"/>
              <w:rPr>
                <w:rFonts w:hint="eastAsia" w:ascii="宋体" w:hAnsi="宋体"/>
                <w:color w:val="auto"/>
              </w:rPr>
            </w:pPr>
            <w:r>
              <w:rPr>
                <w:rFonts w:hint="eastAsia" w:ascii="宋体" w:hAnsi="宋体"/>
                <w:color w:val="auto"/>
              </w:rPr>
              <w:t>第14.1（6）项</w:t>
            </w:r>
          </w:p>
        </w:tc>
        <w:tc>
          <w:tcPr>
            <w:tcW w:w="1742" w:type="dxa"/>
            <w:vAlign w:val="center"/>
          </w:tcPr>
          <w:p w14:paraId="11FABAA2">
            <w:pPr>
              <w:adjustRightInd w:val="0"/>
              <w:snapToGrid w:val="0"/>
              <w:jc w:val="left"/>
              <w:rPr>
                <w:rFonts w:hint="eastAsia" w:ascii="宋体" w:hAnsi="宋体"/>
                <w:color w:val="auto"/>
              </w:rPr>
            </w:pPr>
            <w:r>
              <w:rPr>
                <w:rFonts w:hint="eastAsia" w:ascii="宋体" w:hAnsi="宋体"/>
                <w:color w:val="auto"/>
              </w:rPr>
              <w:t>乙方提供的其他服务</w:t>
            </w:r>
          </w:p>
        </w:tc>
        <w:tc>
          <w:tcPr>
            <w:tcW w:w="5170" w:type="dxa"/>
            <w:vAlign w:val="center"/>
          </w:tcPr>
          <w:p w14:paraId="2C27DF64">
            <w:pPr>
              <w:adjustRightInd w:val="0"/>
              <w:snapToGrid w:val="0"/>
              <w:jc w:val="left"/>
              <w:rPr>
                <w:rFonts w:hint="eastAsia" w:ascii="宋体" w:hAnsi="宋体"/>
                <w:color w:val="auto"/>
              </w:rPr>
            </w:pPr>
          </w:p>
        </w:tc>
      </w:tr>
      <w:tr w14:paraId="20B98DB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5914B7">
            <w:pPr>
              <w:adjustRightInd w:val="0"/>
              <w:snapToGrid w:val="0"/>
              <w:jc w:val="center"/>
              <w:rPr>
                <w:rFonts w:hint="eastAsia" w:ascii="宋体" w:hAnsi="宋体"/>
                <w:color w:val="auto"/>
              </w:rPr>
            </w:pPr>
            <w:r>
              <w:rPr>
                <w:rFonts w:hint="eastAsia" w:ascii="宋体" w:hAnsi="宋体"/>
                <w:color w:val="auto"/>
              </w:rPr>
              <w:t>第二节</w:t>
            </w:r>
          </w:p>
          <w:p w14:paraId="1B9DB1D8">
            <w:pPr>
              <w:adjustRightInd w:val="0"/>
              <w:snapToGrid w:val="0"/>
              <w:jc w:val="center"/>
              <w:rPr>
                <w:rFonts w:hint="eastAsia" w:ascii="宋体" w:hAnsi="宋体"/>
                <w:color w:val="auto"/>
              </w:rPr>
            </w:pPr>
            <w:r>
              <w:rPr>
                <w:rFonts w:hint="eastAsia" w:ascii="宋体" w:hAnsi="宋体"/>
                <w:color w:val="auto"/>
              </w:rPr>
              <w:t>第15.1款</w:t>
            </w:r>
          </w:p>
        </w:tc>
        <w:tc>
          <w:tcPr>
            <w:tcW w:w="1742" w:type="dxa"/>
            <w:vAlign w:val="center"/>
          </w:tcPr>
          <w:p w14:paraId="03DA33D2">
            <w:pPr>
              <w:adjustRightInd w:val="0"/>
              <w:snapToGrid w:val="0"/>
              <w:jc w:val="left"/>
              <w:rPr>
                <w:rFonts w:hint="eastAsia" w:ascii="宋体" w:hAnsi="宋体"/>
                <w:color w:val="auto"/>
              </w:rPr>
            </w:pPr>
            <w:r>
              <w:rPr>
                <w:rFonts w:hint="eastAsia" w:ascii="宋体" w:hAnsi="宋体"/>
                <w:color w:val="auto"/>
              </w:rPr>
              <w:t>修理、重作、更换相关具体规定</w:t>
            </w:r>
          </w:p>
        </w:tc>
        <w:tc>
          <w:tcPr>
            <w:tcW w:w="5170" w:type="dxa"/>
            <w:vAlign w:val="center"/>
          </w:tcPr>
          <w:p w14:paraId="75AB6851">
            <w:pPr>
              <w:adjustRightInd w:val="0"/>
              <w:snapToGrid w:val="0"/>
              <w:jc w:val="left"/>
              <w:rPr>
                <w:rFonts w:hint="eastAsia" w:ascii="宋体" w:hAnsi="宋体"/>
                <w:color w:val="auto"/>
              </w:rPr>
            </w:pPr>
          </w:p>
        </w:tc>
      </w:tr>
      <w:tr w14:paraId="2977DF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680CD28">
            <w:pPr>
              <w:adjustRightInd w:val="0"/>
              <w:snapToGrid w:val="0"/>
              <w:jc w:val="center"/>
              <w:rPr>
                <w:rFonts w:hint="eastAsia" w:ascii="宋体" w:hAnsi="宋体"/>
                <w:color w:val="auto"/>
              </w:rPr>
            </w:pPr>
            <w:r>
              <w:rPr>
                <w:rFonts w:hint="eastAsia" w:ascii="宋体" w:hAnsi="宋体"/>
                <w:color w:val="auto"/>
              </w:rPr>
              <w:t>第二节</w:t>
            </w:r>
          </w:p>
          <w:p w14:paraId="1145FCA8">
            <w:pPr>
              <w:adjustRightInd w:val="0"/>
              <w:snapToGrid w:val="0"/>
              <w:jc w:val="center"/>
              <w:rPr>
                <w:rFonts w:hint="eastAsia" w:ascii="宋体" w:hAnsi="宋体"/>
                <w:color w:val="auto"/>
              </w:rPr>
            </w:pPr>
            <w:r>
              <w:rPr>
                <w:rFonts w:hint="eastAsia" w:ascii="宋体" w:hAnsi="宋体"/>
                <w:color w:val="auto"/>
              </w:rPr>
              <w:t>第15.2（2）项</w:t>
            </w:r>
          </w:p>
        </w:tc>
        <w:tc>
          <w:tcPr>
            <w:tcW w:w="1742" w:type="dxa"/>
            <w:vAlign w:val="center"/>
          </w:tcPr>
          <w:p w14:paraId="56C24549">
            <w:pPr>
              <w:adjustRightInd w:val="0"/>
              <w:snapToGrid w:val="0"/>
              <w:jc w:val="left"/>
              <w:rPr>
                <w:rFonts w:hint="eastAsia" w:ascii="宋体" w:hAnsi="宋体"/>
                <w:color w:val="auto"/>
              </w:rPr>
            </w:pPr>
            <w:r>
              <w:rPr>
                <w:rFonts w:hint="eastAsia" w:ascii="宋体" w:hAnsi="宋体"/>
                <w:color w:val="auto"/>
              </w:rPr>
              <w:t>迟延交货赔偿费</w:t>
            </w:r>
          </w:p>
        </w:tc>
        <w:tc>
          <w:tcPr>
            <w:tcW w:w="5170" w:type="dxa"/>
            <w:vAlign w:val="center"/>
          </w:tcPr>
          <w:p w14:paraId="01569F3F">
            <w:pPr>
              <w:adjustRightInd w:val="0"/>
              <w:snapToGrid w:val="0"/>
              <w:jc w:val="left"/>
              <w:rPr>
                <w:rFonts w:hint="eastAsia" w:ascii="宋体" w:hAnsi="宋体"/>
                <w:color w:val="auto"/>
                <w:u w:val="single"/>
              </w:rPr>
            </w:pPr>
          </w:p>
        </w:tc>
      </w:tr>
      <w:tr w14:paraId="522B9C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0FAE37">
            <w:pPr>
              <w:adjustRightInd w:val="0"/>
              <w:snapToGrid w:val="0"/>
              <w:jc w:val="center"/>
              <w:rPr>
                <w:rFonts w:hint="eastAsia" w:ascii="宋体" w:hAnsi="宋体"/>
                <w:color w:val="auto"/>
              </w:rPr>
            </w:pPr>
            <w:r>
              <w:rPr>
                <w:rFonts w:hint="eastAsia" w:ascii="宋体" w:hAnsi="宋体"/>
                <w:color w:val="auto"/>
              </w:rPr>
              <w:t>第二节</w:t>
            </w:r>
          </w:p>
          <w:p w14:paraId="376BA99C">
            <w:pPr>
              <w:adjustRightInd w:val="0"/>
              <w:snapToGrid w:val="0"/>
              <w:jc w:val="center"/>
              <w:rPr>
                <w:rFonts w:hint="eastAsia" w:ascii="宋体" w:hAnsi="宋体"/>
                <w:color w:val="auto"/>
              </w:rPr>
            </w:pPr>
            <w:r>
              <w:rPr>
                <w:rFonts w:hint="eastAsia" w:ascii="宋体" w:hAnsi="宋体"/>
                <w:color w:val="auto"/>
              </w:rPr>
              <w:t>第15.3款</w:t>
            </w:r>
          </w:p>
        </w:tc>
        <w:tc>
          <w:tcPr>
            <w:tcW w:w="1742" w:type="dxa"/>
            <w:vAlign w:val="center"/>
          </w:tcPr>
          <w:p w14:paraId="3DE1060D">
            <w:pPr>
              <w:adjustRightInd w:val="0"/>
              <w:snapToGrid w:val="0"/>
              <w:jc w:val="left"/>
              <w:rPr>
                <w:rFonts w:hint="eastAsia" w:ascii="宋体" w:hAnsi="宋体"/>
                <w:color w:val="auto"/>
              </w:rPr>
            </w:pPr>
            <w:r>
              <w:rPr>
                <w:rFonts w:hint="eastAsia" w:ascii="宋体" w:hAnsi="宋体"/>
                <w:color w:val="auto"/>
              </w:rPr>
              <w:t>逾期付款利息</w:t>
            </w:r>
          </w:p>
        </w:tc>
        <w:tc>
          <w:tcPr>
            <w:tcW w:w="5170" w:type="dxa"/>
            <w:vAlign w:val="center"/>
          </w:tcPr>
          <w:p w14:paraId="0CAB821A">
            <w:pPr>
              <w:adjustRightInd w:val="0"/>
              <w:snapToGrid w:val="0"/>
              <w:jc w:val="left"/>
              <w:rPr>
                <w:rFonts w:hint="eastAsia" w:ascii="宋体" w:hAnsi="宋体"/>
                <w:color w:val="auto"/>
                <w:u w:val="single"/>
              </w:rPr>
            </w:pPr>
          </w:p>
        </w:tc>
      </w:tr>
      <w:tr w14:paraId="1086B8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B9130B8">
            <w:pPr>
              <w:adjustRightInd w:val="0"/>
              <w:snapToGrid w:val="0"/>
              <w:jc w:val="center"/>
              <w:rPr>
                <w:rFonts w:hint="eastAsia" w:ascii="宋体" w:hAnsi="宋体"/>
                <w:color w:val="auto"/>
              </w:rPr>
            </w:pPr>
            <w:r>
              <w:rPr>
                <w:rFonts w:hint="eastAsia" w:ascii="宋体" w:hAnsi="宋体"/>
                <w:color w:val="auto"/>
              </w:rPr>
              <w:t>第二节</w:t>
            </w:r>
          </w:p>
          <w:p w14:paraId="3813BE38">
            <w:pPr>
              <w:adjustRightInd w:val="0"/>
              <w:snapToGrid w:val="0"/>
              <w:jc w:val="center"/>
              <w:rPr>
                <w:rFonts w:hint="eastAsia" w:ascii="宋体" w:hAnsi="宋体"/>
                <w:color w:val="auto"/>
              </w:rPr>
            </w:pPr>
            <w:r>
              <w:rPr>
                <w:rFonts w:hint="eastAsia" w:ascii="宋体" w:hAnsi="宋体"/>
                <w:color w:val="auto"/>
              </w:rPr>
              <w:t>第15.4款</w:t>
            </w:r>
          </w:p>
        </w:tc>
        <w:tc>
          <w:tcPr>
            <w:tcW w:w="1742" w:type="dxa"/>
            <w:tcBorders>
              <w:left w:val="single" w:color="auto" w:sz="2" w:space="0"/>
              <w:bottom w:val="single" w:color="auto" w:sz="2" w:space="0"/>
              <w:right w:val="single" w:color="auto" w:sz="2" w:space="0"/>
            </w:tcBorders>
            <w:vAlign w:val="center"/>
          </w:tcPr>
          <w:p w14:paraId="40FE9BC0">
            <w:pPr>
              <w:adjustRightInd w:val="0"/>
              <w:snapToGrid w:val="0"/>
              <w:jc w:val="left"/>
              <w:rPr>
                <w:rFonts w:hint="eastAsia" w:ascii="宋体" w:hAnsi="宋体"/>
                <w:color w:val="auto"/>
              </w:rPr>
            </w:pPr>
            <w:r>
              <w:rPr>
                <w:rFonts w:hint="eastAsia" w:ascii="宋体" w:hAnsi="宋体"/>
                <w:color w:val="auto"/>
              </w:rPr>
              <w:t>其他违约责任</w:t>
            </w:r>
          </w:p>
        </w:tc>
        <w:tc>
          <w:tcPr>
            <w:tcW w:w="5170" w:type="dxa"/>
            <w:tcBorders>
              <w:left w:val="single" w:color="auto" w:sz="2" w:space="0"/>
              <w:bottom w:val="single" w:color="auto" w:sz="2" w:space="0"/>
            </w:tcBorders>
            <w:vAlign w:val="center"/>
          </w:tcPr>
          <w:p w14:paraId="6A4912DD">
            <w:pPr>
              <w:adjustRightInd w:val="0"/>
              <w:snapToGrid w:val="0"/>
              <w:jc w:val="left"/>
              <w:rPr>
                <w:rFonts w:hint="eastAsia" w:ascii="宋体" w:hAnsi="宋体"/>
                <w:color w:val="auto"/>
                <w:u w:val="single"/>
              </w:rPr>
            </w:pPr>
          </w:p>
        </w:tc>
      </w:tr>
      <w:tr w14:paraId="5047EC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9B7B08B">
            <w:pPr>
              <w:adjustRightInd w:val="0"/>
              <w:snapToGrid w:val="0"/>
              <w:jc w:val="center"/>
              <w:rPr>
                <w:rFonts w:hint="eastAsia" w:ascii="宋体" w:hAnsi="宋体"/>
                <w:color w:val="auto"/>
              </w:rPr>
            </w:pPr>
            <w:r>
              <w:rPr>
                <w:rFonts w:hint="eastAsia" w:ascii="宋体" w:hAnsi="宋体"/>
                <w:color w:val="auto"/>
              </w:rPr>
              <w:t>第二节</w:t>
            </w:r>
          </w:p>
          <w:p w14:paraId="60B23117">
            <w:pPr>
              <w:adjustRightInd w:val="0"/>
              <w:snapToGrid w:val="0"/>
              <w:jc w:val="center"/>
              <w:rPr>
                <w:rFonts w:hint="eastAsia" w:ascii="宋体" w:hAnsi="宋体"/>
                <w:color w:val="auto"/>
              </w:rPr>
            </w:pPr>
            <w:r>
              <w:rPr>
                <w:rFonts w:hint="eastAsia" w:ascii="宋体" w:hAnsi="宋体"/>
                <w:color w:val="auto"/>
              </w:rPr>
              <w:t>第19.2款</w:t>
            </w:r>
          </w:p>
        </w:tc>
        <w:tc>
          <w:tcPr>
            <w:tcW w:w="1742" w:type="dxa"/>
            <w:tcBorders>
              <w:top w:val="single" w:color="auto" w:sz="2" w:space="0"/>
              <w:left w:val="single" w:color="auto" w:sz="2" w:space="0"/>
              <w:right w:val="single" w:color="auto" w:sz="2" w:space="0"/>
            </w:tcBorders>
            <w:vAlign w:val="center"/>
          </w:tcPr>
          <w:p w14:paraId="5AF3CA87">
            <w:pPr>
              <w:adjustRightInd w:val="0"/>
              <w:snapToGrid w:val="0"/>
              <w:jc w:val="left"/>
              <w:rPr>
                <w:rFonts w:hint="eastAsia" w:ascii="宋体" w:hAnsi="宋体"/>
                <w:color w:val="auto"/>
              </w:rPr>
            </w:pPr>
            <w:r>
              <w:rPr>
                <w:rFonts w:hint="eastAsia" w:ascii="宋体" w:hAnsi="宋体"/>
                <w:color w:val="auto"/>
              </w:rPr>
              <w:t>解决争议的方法</w:t>
            </w:r>
          </w:p>
        </w:tc>
        <w:tc>
          <w:tcPr>
            <w:tcW w:w="5170" w:type="dxa"/>
            <w:tcBorders>
              <w:top w:val="single" w:color="auto" w:sz="2" w:space="0"/>
              <w:left w:val="single" w:color="auto" w:sz="2" w:space="0"/>
            </w:tcBorders>
            <w:vAlign w:val="center"/>
          </w:tcPr>
          <w:p w14:paraId="31A82956">
            <w:pPr>
              <w:autoSpaceDE w:val="0"/>
              <w:autoSpaceDN w:val="0"/>
              <w:adjustRightInd w:val="0"/>
              <w:snapToGrid w:val="0"/>
              <w:spacing w:line="400" w:lineRule="exact"/>
              <w:jc w:val="left"/>
              <w:rPr>
                <w:rFonts w:hint="eastAsia" w:ascii="宋体" w:hAnsi="宋体" w:cs="宋体"/>
                <w:iCs/>
                <w:color w:val="auto"/>
              </w:rPr>
            </w:pPr>
            <w:r>
              <w:rPr>
                <w:rFonts w:hint="eastAsia" w:ascii="宋体" w:hAnsi="宋体" w:cs="宋体"/>
                <w:iCs/>
                <w:color w:val="auto"/>
              </w:rPr>
              <w:t>因本合同及合同有关事项发生的争议，按下列第</w:t>
            </w:r>
            <w:r>
              <w:rPr>
                <w:rFonts w:hint="eastAsia" w:ascii="宋体" w:hAnsi="宋体" w:cs="宋体"/>
                <w:iCs/>
                <w:color w:val="auto"/>
                <w:u w:val="single"/>
              </w:rPr>
              <w:t xml:space="preserve">   </w:t>
            </w:r>
            <w:r>
              <w:rPr>
                <w:rFonts w:hint="eastAsia" w:ascii="宋体" w:hAnsi="宋体" w:cs="宋体"/>
                <w:iCs/>
                <w:color w:val="auto"/>
              </w:rPr>
              <w:t>种方式解决：</w:t>
            </w:r>
          </w:p>
          <w:p w14:paraId="616CDAB7">
            <w:pPr>
              <w:autoSpaceDE w:val="0"/>
              <w:autoSpaceDN w:val="0"/>
              <w:adjustRightInd w:val="0"/>
              <w:snapToGrid w:val="0"/>
              <w:spacing w:line="400" w:lineRule="exact"/>
              <w:jc w:val="left"/>
              <w:rPr>
                <w:rFonts w:hint="eastAsia" w:ascii="宋体" w:hAnsi="宋体" w:cs="宋体"/>
                <w:iCs/>
                <w:color w:val="auto"/>
              </w:rPr>
            </w:pPr>
            <w:r>
              <w:rPr>
                <w:rFonts w:hint="eastAsia" w:ascii="宋体" w:hAnsi="宋体" w:cs="宋体"/>
                <w:iCs/>
                <w:color w:val="auto"/>
              </w:rPr>
              <w:t>（1）向</w:t>
            </w:r>
            <w:r>
              <w:rPr>
                <w:rFonts w:hint="eastAsia" w:ascii="宋体" w:hAnsi="宋体" w:cs="宋体"/>
                <w:iCs/>
                <w:color w:val="auto"/>
                <w:u w:val="single"/>
              </w:rPr>
              <w:t xml:space="preserve">                    </w:t>
            </w:r>
            <w:r>
              <w:rPr>
                <w:rFonts w:hint="eastAsia" w:ascii="宋体" w:hAnsi="宋体" w:cs="宋体"/>
                <w:iCs/>
                <w:color w:val="auto"/>
              </w:rPr>
              <w:t>仲裁委员会申请仲裁，仲裁地点为</w:t>
            </w:r>
            <w:r>
              <w:rPr>
                <w:rFonts w:hint="eastAsia" w:ascii="宋体" w:hAnsi="宋体" w:cs="宋体"/>
                <w:iCs/>
                <w:color w:val="auto"/>
                <w:u w:val="single"/>
              </w:rPr>
              <w:t xml:space="preserve">           </w:t>
            </w:r>
            <w:r>
              <w:rPr>
                <w:rFonts w:hint="eastAsia" w:ascii="宋体" w:hAnsi="宋体" w:cs="宋体"/>
                <w:iCs/>
                <w:color w:val="auto"/>
              </w:rPr>
              <w:t>；</w:t>
            </w:r>
          </w:p>
          <w:p w14:paraId="6282DD43">
            <w:pPr>
              <w:adjustRightInd w:val="0"/>
              <w:snapToGrid w:val="0"/>
              <w:jc w:val="left"/>
              <w:rPr>
                <w:rFonts w:hint="eastAsia" w:ascii="宋体" w:hAnsi="宋体"/>
                <w:color w:val="auto"/>
                <w:u w:val="single"/>
              </w:rPr>
            </w:pPr>
            <w:r>
              <w:rPr>
                <w:rFonts w:hint="eastAsia" w:ascii="宋体" w:hAnsi="宋体" w:cs="宋体"/>
                <w:iCs/>
                <w:color w:val="auto"/>
              </w:rPr>
              <w:t>（2）向</w:t>
            </w:r>
            <w:r>
              <w:rPr>
                <w:rFonts w:hint="eastAsia" w:ascii="宋体" w:hAnsi="宋体" w:cs="宋体"/>
                <w:iCs/>
                <w:color w:val="auto"/>
                <w:u w:val="single"/>
              </w:rPr>
              <w:t xml:space="preserve">                    </w:t>
            </w:r>
            <w:r>
              <w:rPr>
                <w:rFonts w:hint="eastAsia" w:ascii="宋体" w:hAnsi="宋体" w:cs="宋体"/>
                <w:iCs/>
                <w:color w:val="auto"/>
              </w:rPr>
              <w:t>人民法院起诉。</w:t>
            </w:r>
          </w:p>
        </w:tc>
      </w:tr>
      <w:tr w14:paraId="7D40BB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0A2C0AE">
            <w:pPr>
              <w:adjustRightInd w:val="0"/>
              <w:snapToGrid w:val="0"/>
              <w:jc w:val="center"/>
              <w:rPr>
                <w:rFonts w:hint="eastAsia" w:ascii="宋体" w:hAnsi="宋体"/>
                <w:color w:val="auto"/>
              </w:rPr>
            </w:pPr>
            <w:r>
              <w:rPr>
                <w:rFonts w:hint="eastAsia" w:ascii="宋体" w:hAnsi="宋体"/>
                <w:color w:val="auto"/>
              </w:rPr>
              <w:t>第二节</w:t>
            </w:r>
          </w:p>
          <w:p w14:paraId="50B33115">
            <w:pPr>
              <w:adjustRightInd w:val="0"/>
              <w:snapToGrid w:val="0"/>
              <w:jc w:val="center"/>
              <w:rPr>
                <w:rFonts w:hint="eastAsia" w:ascii="宋体" w:hAnsi="宋体"/>
                <w:color w:val="auto"/>
              </w:rPr>
            </w:pPr>
            <w:r>
              <w:rPr>
                <w:rFonts w:hint="eastAsia" w:ascii="宋体" w:hAnsi="宋体"/>
                <w:color w:val="auto"/>
              </w:rPr>
              <w:t>第23.1款</w:t>
            </w:r>
          </w:p>
        </w:tc>
        <w:tc>
          <w:tcPr>
            <w:tcW w:w="1742" w:type="dxa"/>
            <w:vAlign w:val="center"/>
          </w:tcPr>
          <w:p w14:paraId="18F9647E">
            <w:pPr>
              <w:adjustRightInd w:val="0"/>
              <w:snapToGrid w:val="0"/>
              <w:jc w:val="left"/>
              <w:rPr>
                <w:rFonts w:hint="eastAsia" w:ascii="宋体" w:hAnsi="宋体"/>
                <w:color w:val="auto"/>
              </w:rPr>
            </w:pPr>
            <w:r>
              <w:rPr>
                <w:rFonts w:hint="eastAsia" w:ascii="宋体" w:hAnsi="宋体"/>
                <w:bCs/>
                <w:color w:val="auto"/>
              </w:rPr>
              <w:t>其他专用条款</w:t>
            </w:r>
          </w:p>
        </w:tc>
        <w:tc>
          <w:tcPr>
            <w:tcW w:w="5170" w:type="dxa"/>
            <w:vAlign w:val="center"/>
          </w:tcPr>
          <w:p w14:paraId="228A7E17">
            <w:pPr>
              <w:adjustRightInd w:val="0"/>
              <w:snapToGrid w:val="0"/>
              <w:jc w:val="left"/>
              <w:rPr>
                <w:rFonts w:hint="eastAsia" w:ascii="宋体" w:hAnsi="宋体"/>
                <w:color w:val="auto"/>
              </w:rPr>
            </w:pPr>
          </w:p>
        </w:tc>
      </w:tr>
    </w:tbl>
    <w:p w14:paraId="6B7F534E">
      <w:pPr>
        <w:rPr>
          <w:color w:val="auto"/>
        </w:rPr>
      </w:pPr>
    </w:p>
    <w:p w14:paraId="024FFE6A">
      <w:pPr>
        <w:rPr>
          <w:color w:val="auto"/>
        </w:rPr>
      </w:pPr>
    </w:p>
    <w:p w14:paraId="43087130">
      <w:pPr>
        <w:pStyle w:val="5"/>
        <w:spacing w:before="0" w:after="0"/>
        <w:ind w:firstLine="0" w:firstLineChars="0"/>
        <w:rPr>
          <w:rFonts w:hint="eastAsia" w:ascii="方正黑体_GBK" w:hAnsi="方正黑体_GBK" w:eastAsia="方正黑体_GBK" w:cs="方正黑体_GBK"/>
          <w:b/>
          <w:bCs w:val="0"/>
          <w:color w:val="auto"/>
        </w:rPr>
      </w:pPr>
      <w:bookmarkStart w:id="96" w:name="_Toc73610162"/>
      <w:bookmarkStart w:id="97" w:name="_Toc73613644"/>
    </w:p>
    <w:p w14:paraId="3F588984">
      <w:pPr>
        <w:rPr>
          <w:rFonts w:hint="eastAsia" w:ascii="方正黑体_GBK" w:hAnsi="方正黑体_GBK" w:eastAsia="方正黑体_GBK" w:cs="方正黑体_GBK"/>
          <w:b/>
          <w:color w:val="auto"/>
        </w:rPr>
      </w:pPr>
    </w:p>
    <w:p w14:paraId="6A3BEFE8">
      <w:pPr>
        <w:pStyle w:val="143"/>
        <w:rPr>
          <w:rFonts w:hint="eastAsia" w:ascii="方正黑体_GBK" w:hAnsi="方正黑体_GBK" w:eastAsia="方正黑体_GBK" w:cs="方正黑体_GBK"/>
          <w:b/>
          <w:color w:val="auto"/>
        </w:rPr>
      </w:pPr>
    </w:p>
    <w:p w14:paraId="6F22DD89">
      <w:pPr>
        <w:pStyle w:val="143"/>
        <w:rPr>
          <w:rFonts w:hint="eastAsia" w:ascii="方正黑体_GBK" w:hAnsi="方正黑体_GBK" w:eastAsia="方正黑体_GBK" w:cs="方正黑体_GBK"/>
          <w:b/>
          <w:color w:val="auto"/>
        </w:rPr>
      </w:pPr>
    </w:p>
    <w:p w14:paraId="16362A78">
      <w:pPr>
        <w:pStyle w:val="143"/>
        <w:rPr>
          <w:rFonts w:hint="eastAsia" w:ascii="方正黑体_GBK" w:hAnsi="方正黑体_GBK" w:eastAsia="方正黑体_GBK" w:cs="方正黑体_GBK"/>
          <w:b/>
          <w:color w:val="auto"/>
        </w:rPr>
      </w:pPr>
    </w:p>
    <w:p w14:paraId="1CFA2FE3">
      <w:pPr>
        <w:pStyle w:val="143"/>
        <w:ind w:firstLine="0" w:firstLineChars="0"/>
        <w:rPr>
          <w:rFonts w:hint="eastAsia" w:ascii="方正黑体_GBK" w:hAnsi="方正黑体_GBK" w:eastAsia="方正黑体_GBK" w:cs="方正黑体_GBK"/>
          <w:b/>
          <w:color w:val="auto"/>
        </w:rPr>
      </w:pPr>
    </w:p>
    <w:p w14:paraId="517B1560">
      <w:pPr>
        <w:pStyle w:val="143"/>
        <w:ind w:firstLine="0" w:firstLineChars="0"/>
        <w:rPr>
          <w:rFonts w:hint="eastAsia" w:ascii="方正黑体_GBK" w:hAnsi="方正黑体_GBK" w:eastAsia="方正黑体_GBK" w:cs="方正黑体_GBK"/>
          <w:b/>
          <w:color w:val="auto"/>
        </w:rPr>
      </w:pPr>
    </w:p>
    <w:p w14:paraId="5FE22CC8">
      <w:pPr>
        <w:pStyle w:val="5"/>
        <w:spacing w:before="0" w:after="0"/>
        <w:ind w:firstLine="0" w:firstLineChars="0"/>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参考文件</w:t>
      </w:r>
    </w:p>
    <w:p w14:paraId="5BEF3F31">
      <w:pPr>
        <w:pStyle w:val="5"/>
        <w:spacing w:before="0" w:after="0" w:line="240" w:lineRule="auto"/>
        <w:ind w:firstLine="320" w:firstLineChars="100"/>
        <w:jc w:val="center"/>
        <w:rPr>
          <w:rFonts w:hint="eastAsia" w:ascii="方正小标宋_GBK" w:hAnsi="方正小标宋_GBK" w:eastAsia="方正小标宋_GBK" w:cs="方正小标宋_GBK"/>
          <w:color w:val="auto"/>
        </w:rPr>
      </w:pPr>
    </w:p>
    <w:p w14:paraId="6ADE9650">
      <w:pPr>
        <w:pStyle w:val="5"/>
        <w:spacing w:before="0" w:after="0" w:line="240" w:lineRule="auto"/>
        <w:ind w:firstLine="320" w:firstLineChars="100"/>
        <w:jc w:val="center"/>
        <w:rPr>
          <w:rFonts w:hint="eastAsia" w:ascii="方正小标宋_GBK" w:hAnsi="方正小标宋_GBK" w:eastAsia="方正小标宋_GBK" w:cs="方正小标宋_GBK"/>
          <w:color w:val="auto"/>
        </w:rPr>
      </w:pPr>
    </w:p>
    <w:p w14:paraId="1ECE0531">
      <w:pPr>
        <w:pStyle w:val="5"/>
        <w:spacing w:before="0" w:after="0" w:line="240" w:lineRule="auto"/>
        <w:ind w:firstLine="320" w:firstLineChars="100"/>
        <w:jc w:val="center"/>
        <w:rPr>
          <w:rFonts w:hint="eastAsia" w:ascii="方正小标宋_GBK" w:hAnsi="方正小标宋_GBK" w:eastAsia="方正小标宋_GBK" w:cs="方正小标宋_GBK"/>
          <w:color w:val="auto"/>
        </w:rPr>
      </w:pPr>
      <w:r>
        <w:rPr>
          <w:rFonts w:hint="eastAsia" w:ascii="方正小标宋_GBK" w:hAnsi="方正小标宋_GBK" w:eastAsia="方正小标宋_GBK" w:cs="方正小标宋_GBK"/>
          <w:color w:val="auto"/>
        </w:rPr>
        <w:t>一、财政部工业和信息化部关于印发《政府采购促进中小企业发展管理办法》的通知</w:t>
      </w:r>
      <w:bookmarkEnd w:id="96"/>
      <w:bookmarkEnd w:id="97"/>
    </w:p>
    <w:p w14:paraId="56838C6F">
      <w:pPr>
        <w:pStyle w:val="37"/>
        <w:spacing w:beforeAutospacing="0" w:afterAutospacing="0"/>
        <w:jc w:val="both"/>
        <w:rPr>
          <w:rFonts w:hint="eastAsia"/>
          <w:color w:val="auto"/>
          <w:sz w:val="21"/>
          <w:szCs w:val="21"/>
        </w:rPr>
      </w:pPr>
    </w:p>
    <w:p w14:paraId="47A26A4F">
      <w:pPr>
        <w:pStyle w:val="37"/>
        <w:spacing w:beforeAutospacing="0" w:afterAutospacing="0"/>
        <w:jc w:val="center"/>
        <w:rPr>
          <w:rFonts w:hint="eastAsia"/>
          <w:color w:val="auto"/>
          <w:sz w:val="21"/>
          <w:szCs w:val="21"/>
        </w:rPr>
      </w:pPr>
      <w:r>
        <w:rPr>
          <w:rFonts w:hint="eastAsia"/>
          <w:color w:val="auto"/>
          <w:sz w:val="21"/>
          <w:szCs w:val="21"/>
        </w:rPr>
        <w:t>财库〔2020〕46号</w:t>
      </w:r>
    </w:p>
    <w:p w14:paraId="5BF165F3">
      <w:pPr>
        <w:pStyle w:val="37"/>
        <w:spacing w:beforeAutospacing="0" w:afterAutospacing="0"/>
        <w:jc w:val="both"/>
        <w:rPr>
          <w:rFonts w:hint="eastAsia"/>
          <w:color w:val="auto"/>
          <w:sz w:val="21"/>
          <w:szCs w:val="21"/>
        </w:rPr>
      </w:pPr>
      <w:r>
        <w:rPr>
          <w:rFonts w:hint="eastAsia"/>
          <w:color w:val="auto"/>
          <w:sz w:val="21"/>
          <w:szCs w:val="21"/>
        </w:rPr>
        <w:t>各中央预算单位办公厅（室），各省、自治区、直辖市、计划单列市财政厅（局）、工业和信息化主管部门，新疆生产建设兵团财政局、工业和信息化主管部门：</w:t>
      </w:r>
    </w:p>
    <w:p w14:paraId="3E290463">
      <w:pPr>
        <w:pStyle w:val="37"/>
        <w:spacing w:beforeAutospacing="0" w:afterAutospacing="0"/>
        <w:ind w:firstLine="480"/>
        <w:jc w:val="both"/>
        <w:rPr>
          <w:rFonts w:hint="eastAsia"/>
          <w:color w:val="auto"/>
          <w:sz w:val="21"/>
          <w:szCs w:val="21"/>
        </w:rPr>
      </w:pPr>
      <w:r>
        <w:rPr>
          <w:rFonts w:hint="eastAsia"/>
          <w:color w:val="auto"/>
          <w:sz w:val="21"/>
          <w:szCs w:val="21"/>
        </w:rPr>
        <w:t>为贯彻落实《关于促进中小企业健康发展的指导意见》，发挥政府采购政策功能，促进中小企业发展，根据《中华人民共和国政府采购法》、《中华人民共和国中小企业促进法》等法律法规，财政部、工业和信息化部制定了《政府采购促进中小企业发展管理办法》。现印发给你们，请遵照执行。</w:t>
      </w:r>
    </w:p>
    <w:p w14:paraId="604FDA15">
      <w:pPr>
        <w:pStyle w:val="37"/>
        <w:spacing w:beforeAutospacing="0" w:afterAutospacing="0"/>
        <w:ind w:firstLine="480"/>
        <w:rPr>
          <w:rFonts w:hint="eastAsia"/>
          <w:color w:val="auto"/>
          <w:sz w:val="21"/>
          <w:szCs w:val="21"/>
        </w:rPr>
      </w:pPr>
      <w:r>
        <w:rPr>
          <w:rFonts w:hint="eastAsia"/>
          <w:color w:val="auto"/>
          <w:sz w:val="21"/>
          <w:szCs w:val="21"/>
        </w:rPr>
        <w:t>附件：政府采购促进中小企业发展管理办法</w:t>
      </w:r>
    </w:p>
    <w:p w14:paraId="0000FAAD">
      <w:pPr>
        <w:pStyle w:val="37"/>
        <w:spacing w:beforeAutospacing="0" w:afterAutospacing="0"/>
        <w:jc w:val="right"/>
        <w:rPr>
          <w:rFonts w:hint="eastAsia"/>
          <w:color w:val="auto"/>
          <w:sz w:val="21"/>
          <w:szCs w:val="21"/>
        </w:rPr>
      </w:pPr>
      <w:r>
        <w:rPr>
          <w:rFonts w:hint="eastAsia"/>
          <w:color w:val="auto"/>
          <w:sz w:val="21"/>
          <w:szCs w:val="21"/>
        </w:rPr>
        <w:t>财　　政　　部</w:t>
      </w:r>
    </w:p>
    <w:p w14:paraId="1B7312EC">
      <w:pPr>
        <w:pStyle w:val="37"/>
        <w:spacing w:beforeAutospacing="0" w:afterAutospacing="0"/>
        <w:jc w:val="right"/>
        <w:rPr>
          <w:rFonts w:hint="eastAsia"/>
          <w:color w:val="auto"/>
          <w:sz w:val="21"/>
          <w:szCs w:val="21"/>
        </w:rPr>
      </w:pPr>
      <w:r>
        <w:rPr>
          <w:rFonts w:hint="eastAsia"/>
          <w:color w:val="auto"/>
          <w:sz w:val="21"/>
          <w:szCs w:val="21"/>
        </w:rPr>
        <w:t>工业和信息化部</w:t>
      </w:r>
    </w:p>
    <w:p w14:paraId="3ACD681F">
      <w:pPr>
        <w:pStyle w:val="37"/>
        <w:spacing w:beforeAutospacing="0" w:afterAutospacing="0"/>
        <w:jc w:val="right"/>
        <w:rPr>
          <w:rFonts w:hint="eastAsia"/>
          <w:color w:val="auto"/>
          <w:sz w:val="21"/>
          <w:szCs w:val="21"/>
        </w:rPr>
      </w:pPr>
      <w:r>
        <w:rPr>
          <w:rFonts w:hint="eastAsia"/>
          <w:color w:val="auto"/>
          <w:sz w:val="21"/>
          <w:szCs w:val="21"/>
        </w:rPr>
        <w:t>2020年12月18日</w:t>
      </w:r>
    </w:p>
    <w:p w14:paraId="03C57816">
      <w:pPr>
        <w:pStyle w:val="37"/>
        <w:spacing w:beforeAutospacing="0" w:afterAutospacing="0"/>
        <w:ind w:firstLine="480"/>
        <w:jc w:val="both"/>
        <w:rPr>
          <w:rFonts w:hint="eastAsia"/>
          <w:color w:val="auto"/>
          <w:sz w:val="21"/>
          <w:szCs w:val="21"/>
        </w:rPr>
      </w:pPr>
    </w:p>
    <w:p w14:paraId="49803CAB">
      <w:pPr>
        <w:pStyle w:val="37"/>
        <w:spacing w:beforeAutospacing="0" w:afterAutospacing="0"/>
        <w:jc w:val="both"/>
        <w:rPr>
          <w:rFonts w:hint="eastAsia"/>
          <w:color w:val="auto"/>
          <w:sz w:val="21"/>
          <w:szCs w:val="21"/>
        </w:rPr>
      </w:pPr>
    </w:p>
    <w:p w14:paraId="0D38746F">
      <w:pPr>
        <w:pStyle w:val="37"/>
        <w:spacing w:beforeAutospacing="0" w:afterAutospacing="0"/>
        <w:ind w:firstLine="480"/>
        <w:jc w:val="both"/>
        <w:rPr>
          <w:rFonts w:hint="eastAsia"/>
          <w:color w:val="auto"/>
          <w:sz w:val="21"/>
          <w:szCs w:val="21"/>
        </w:rPr>
      </w:pPr>
    </w:p>
    <w:p w14:paraId="0DF913D3">
      <w:pPr>
        <w:pStyle w:val="37"/>
        <w:spacing w:beforeAutospacing="0" w:afterAutospacing="0"/>
        <w:jc w:val="center"/>
        <w:rPr>
          <w:rFonts w:hint="eastAsia" w:ascii="方正小标宋_GBK" w:hAnsi="方正小标宋_GBK" w:eastAsia="方正小标宋_GBK" w:cs="方正小标宋_GBK"/>
          <w:color w:val="auto"/>
          <w:sz w:val="32"/>
          <w:szCs w:val="32"/>
        </w:rPr>
      </w:pPr>
      <w:r>
        <w:rPr>
          <w:rFonts w:hint="eastAsia" w:ascii="方正小标宋_GBK" w:hAnsi="方正小标宋_GBK" w:eastAsia="方正小标宋_GBK" w:cs="方正小标宋_GBK"/>
          <w:b/>
          <w:bCs/>
          <w:color w:val="auto"/>
          <w:sz w:val="32"/>
          <w:szCs w:val="32"/>
        </w:rPr>
        <w:t>政府采购促进中小企业发展管理办法</w:t>
      </w:r>
    </w:p>
    <w:p w14:paraId="1CF5857A">
      <w:pPr>
        <w:pStyle w:val="37"/>
        <w:spacing w:beforeAutospacing="0" w:afterAutospacing="0"/>
        <w:ind w:firstLine="480"/>
        <w:jc w:val="both"/>
        <w:rPr>
          <w:rFonts w:hint="eastAsia"/>
          <w:color w:val="auto"/>
          <w:sz w:val="21"/>
          <w:szCs w:val="21"/>
        </w:rPr>
      </w:pPr>
    </w:p>
    <w:p w14:paraId="1717A862">
      <w:pPr>
        <w:pStyle w:val="37"/>
        <w:spacing w:beforeAutospacing="0" w:afterAutospacing="0"/>
        <w:ind w:firstLine="480"/>
        <w:jc w:val="both"/>
        <w:rPr>
          <w:rFonts w:hint="eastAsia"/>
          <w:color w:val="auto"/>
          <w:sz w:val="21"/>
          <w:szCs w:val="21"/>
        </w:rPr>
      </w:pPr>
      <w:r>
        <w:rPr>
          <w:rFonts w:hint="eastAsia"/>
          <w:b/>
          <w:bCs/>
          <w:color w:val="auto"/>
          <w:sz w:val="21"/>
          <w:szCs w:val="21"/>
        </w:rPr>
        <w:t>第一条</w:t>
      </w:r>
      <w:r>
        <w:rPr>
          <w:rFonts w:hint="eastAsia"/>
          <w:color w:val="auto"/>
          <w:sz w:val="21"/>
          <w:szCs w:val="21"/>
        </w:rPr>
        <w:t>　为了发挥政府采购的政策功能，促进中小企业健康发展，根据《中华人民共和国政府采购法》、《中华人民共和国中小企业促进法》等有关法律法规，制定本办法。</w:t>
      </w:r>
    </w:p>
    <w:p w14:paraId="7D955FF8">
      <w:pPr>
        <w:pStyle w:val="37"/>
        <w:spacing w:beforeAutospacing="0" w:afterAutospacing="0"/>
        <w:ind w:firstLine="480"/>
        <w:jc w:val="both"/>
        <w:rPr>
          <w:rFonts w:hint="eastAsia"/>
          <w:color w:val="auto"/>
          <w:sz w:val="21"/>
          <w:szCs w:val="21"/>
        </w:rPr>
      </w:pPr>
      <w:r>
        <w:rPr>
          <w:rFonts w:hint="eastAsia"/>
          <w:b/>
          <w:bCs/>
          <w:color w:val="auto"/>
          <w:sz w:val="21"/>
          <w:szCs w:val="21"/>
        </w:rPr>
        <w:t>第二条</w:t>
      </w:r>
      <w:r>
        <w:rPr>
          <w:rFonts w:hint="eastAsia"/>
          <w:color w:val="auto"/>
          <w:sz w:val="21"/>
          <w:szCs w:val="21"/>
        </w:rPr>
        <w:t>　本办法所称中小企业，是指在中华人民共和国境内依法设立，依据国务院批准的中小企业划分标准确定的中型企业、小型企业和微型企业，但与大企业的负责人为同一人，或者与大企业存在直接控股、管理关系的除外。</w:t>
      </w:r>
    </w:p>
    <w:p w14:paraId="4AC1AA5C">
      <w:pPr>
        <w:pStyle w:val="37"/>
        <w:spacing w:beforeAutospacing="0" w:afterAutospacing="0"/>
        <w:ind w:firstLine="480"/>
        <w:jc w:val="both"/>
        <w:rPr>
          <w:rFonts w:hint="eastAsia"/>
          <w:color w:val="auto"/>
          <w:sz w:val="21"/>
          <w:szCs w:val="21"/>
        </w:rPr>
      </w:pPr>
      <w:r>
        <w:rPr>
          <w:rFonts w:hint="eastAsia"/>
          <w:color w:val="auto"/>
          <w:sz w:val="21"/>
          <w:szCs w:val="21"/>
        </w:rPr>
        <w:t>符合中小企业划分标准的个体工商户，在政府采购活动中视同中小企业。</w:t>
      </w:r>
    </w:p>
    <w:p w14:paraId="046F8ED4">
      <w:pPr>
        <w:pStyle w:val="37"/>
        <w:spacing w:beforeAutospacing="0" w:afterAutospacing="0"/>
        <w:ind w:firstLine="480"/>
        <w:jc w:val="both"/>
        <w:rPr>
          <w:rFonts w:hint="eastAsia"/>
          <w:color w:val="auto"/>
          <w:sz w:val="21"/>
          <w:szCs w:val="21"/>
        </w:rPr>
      </w:pPr>
      <w:r>
        <w:rPr>
          <w:rFonts w:hint="eastAsia"/>
          <w:b/>
          <w:bCs/>
          <w:color w:val="auto"/>
          <w:sz w:val="21"/>
          <w:szCs w:val="21"/>
        </w:rPr>
        <w:t>第三条</w:t>
      </w:r>
      <w:r>
        <w:rPr>
          <w:rFonts w:hint="eastAsia"/>
          <w:color w:val="auto"/>
          <w:sz w:val="21"/>
          <w:szCs w:val="21"/>
        </w:rPr>
        <w:t>　采购人在政府采购活动中应当通过加强采购需求管理，落实预留采购份额、价格评审优惠、优先采购等措施，提高中小企业在政府采购中的份额，支持中小企业发展。</w:t>
      </w:r>
    </w:p>
    <w:p w14:paraId="3391C257">
      <w:pPr>
        <w:pStyle w:val="37"/>
        <w:spacing w:beforeAutospacing="0" w:afterAutospacing="0"/>
        <w:ind w:firstLine="480"/>
        <w:jc w:val="both"/>
        <w:rPr>
          <w:rFonts w:hint="eastAsia"/>
          <w:color w:val="auto"/>
          <w:sz w:val="21"/>
          <w:szCs w:val="21"/>
        </w:rPr>
      </w:pPr>
      <w:r>
        <w:rPr>
          <w:rFonts w:hint="eastAsia"/>
          <w:b/>
          <w:bCs/>
          <w:color w:val="auto"/>
          <w:sz w:val="21"/>
          <w:szCs w:val="21"/>
        </w:rPr>
        <w:t>第四条</w:t>
      </w:r>
      <w:r>
        <w:rPr>
          <w:rFonts w:hint="eastAsia"/>
          <w:color w:val="auto"/>
          <w:sz w:val="21"/>
          <w:szCs w:val="21"/>
        </w:rPr>
        <w:t>　在政府采购活动中，供应商提供的货物、工程或者服务符合下列情形的，享受本办法规定的中小企业扶持政策：</w:t>
      </w:r>
    </w:p>
    <w:p w14:paraId="4777CA6B">
      <w:pPr>
        <w:pStyle w:val="37"/>
        <w:spacing w:beforeAutospacing="0" w:afterAutospacing="0"/>
        <w:ind w:firstLine="480"/>
        <w:jc w:val="both"/>
        <w:rPr>
          <w:rFonts w:hint="eastAsia"/>
          <w:color w:val="auto"/>
          <w:sz w:val="21"/>
          <w:szCs w:val="21"/>
        </w:rPr>
      </w:pPr>
      <w:r>
        <w:rPr>
          <w:rFonts w:hint="eastAsia"/>
          <w:color w:val="auto"/>
          <w:sz w:val="21"/>
          <w:szCs w:val="21"/>
        </w:rPr>
        <w:t>（一）在货物采购项目中，货物由中小企业制造，即货物由中小企业生产且使用该中小企业商号或者注册商标；</w:t>
      </w:r>
    </w:p>
    <w:p w14:paraId="4692443B">
      <w:pPr>
        <w:pStyle w:val="37"/>
        <w:spacing w:beforeAutospacing="0" w:afterAutospacing="0"/>
        <w:ind w:firstLine="480"/>
        <w:jc w:val="both"/>
        <w:rPr>
          <w:rFonts w:hint="eastAsia"/>
          <w:color w:val="auto"/>
          <w:sz w:val="21"/>
          <w:szCs w:val="21"/>
        </w:rPr>
      </w:pPr>
      <w:r>
        <w:rPr>
          <w:rFonts w:hint="eastAsia"/>
          <w:color w:val="auto"/>
          <w:sz w:val="21"/>
          <w:szCs w:val="21"/>
        </w:rPr>
        <w:t>（二）在工程采购项目中，工程由中小企业承建，即工程施工单位为中小企业；</w:t>
      </w:r>
    </w:p>
    <w:p w14:paraId="48C429C5">
      <w:pPr>
        <w:pStyle w:val="37"/>
        <w:spacing w:beforeAutospacing="0" w:afterAutospacing="0"/>
        <w:ind w:firstLine="480"/>
        <w:jc w:val="both"/>
        <w:rPr>
          <w:rFonts w:hint="eastAsia"/>
          <w:color w:val="auto"/>
          <w:sz w:val="21"/>
          <w:szCs w:val="21"/>
        </w:rPr>
      </w:pPr>
      <w:r>
        <w:rPr>
          <w:rFonts w:hint="eastAsia"/>
          <w:color w:val="auto"/>
          <w:sz w:val="21"/>
          <w:szCs w:val="21"/>
        </w:rPr>
        <w:t>（三）在服务采购项目中，服务由中小企业承接，即提供服务的人员为中小企业依照《中华人民共和国劳动合同法》订立劳动合同的从业人员。</w:t>
      </w:r>
    </w:p>
    <w:p w14:paraId="5DD53EAB">
      <w:pPr>
        <w:pStyle w:val="37"/>
        <w:spacing w:beforeAutospacing="0" w:afterAutospacing="0"/>
        <w:ind w:firstLine="480"/>
        <w:jc w:val="both"/>
        <w:rPr>
          <w:rFonts w:hint="eastAsia"/>
          <w:color w:val="auto"/>
          <w:sz w:val="21"/>
          <w:szCs w:val="21"/>
        </w:rPr>
      </w:pPr>
      <w:r>
        <w:rPr>
          <w:rFonts w:hint="eastAsia"/>
          <w:color w:val="auto"/>
          <w:sz w:val="21"/>
          <w:szCs w:val="21"/>
        </w:rPr>
        <w:t>在货物采购项目中，供应商提供的货物既有中小企业制造货物，也有大型企业制造货物的，不享受本办法规定的中小企业扶持政策。</w:t>
      </w:r>
    </w:p>
    <w:p w14:paraId="47CBD919">
      <w:pPr>
        <w:pStyle w:val="37"/>
        <w:spacing w:beforeAutospacing="0" w:afterAutospacing="0"/>
        <w:ind w:firstLine="480"/>
        <w:jc w:val="both"/>
        <w:rPr>
          <w:rFonts w:hint="eastAsia"/>
          <w:color w:val="auto"/>
          <w:sz w:val="21"/>
          <w:szCs w:val="21"/>
        </w:rPr>
      </w:pPr>
      <w:r>
        <w:rPr>
          <w:rFonts w:hint="eastAsia"/>
          <w:color w:val="auto"/>
          <w:sz w:val="21"/>
          <w:szCs w:val="21"/>
        </w:rPr>
        <w:t>以联合体形式参加政府采购活动，联合体各方均为中小企业的，联合体视同中小企业。其中，联合体各方均为小微企业的，联合体视同小微企业。</w:t>
      </w:r>
    </w:p>
    <w:p w14:paraId="170946F2">
      <w:pPr>
        <w:pStyle w:val="37"/>
        <w:spacing w:beforeAutospacing="0" w:afterAutospacing="0"/>
        <w:ind w:firstLine="480"/>
        <w:jc w:val="both"/>
        <w:rPr>
          <w:rFonts w:hint="eastAsia"/>
          <w:color w:val="auto"/>
          <w:sz w:val="21"/>
          <w:szCs w:val="21"/>
        </w:rPr>
      </w:pPr>
      <w:r>
        <w:rPr>
          <w:rFonts w:hint="eastAsia"/>
          <w:b/>
          <w:bCs/>
          <w:color w:val="auto"/>
          <w:sz w:val="21"/>
          <w:szCs w:val="21"/>
        </w:rPr>
        <w:t>第五条</w:t>
      </w:r>
      <w:r>
        <w:rPr>
          <w:rFonts w:hint="eastAsia"/>
          <w:color w:val="auto"/>
          <w:sz w:val="21"/>
          <w:szCs w:val="21"/>
        </w:rPr>
        <w:t>　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14:paraId="43568E73">
      <w:pPr>
        <w:pStyle w:val="37"/>
        <w:spacing w:beforeAutospacing="0" w:afterAutospacing="0"/>
        <w:ind w:firstLine="480"/>
        <w:jc w:val="both"/>
        <w:rPr>
          <w:rFonts w:hint="eastAsia"/>
          <w:color w:val="auto"/>
          <w:sz w:val="21"/>
          <w:szCs w:val="21"/>
        </w:rPr>
      </w:pPr>
      <w:r>
        <w:rPr>
          <w:rFonts w:hint="eastAsia"/>
          <w:b/>
          <w:bCs/>
          <w:color w:val="auto"/>
          <w:sz w:val="21"/>
          <w:szCs w:val="21"/>
        </w:rPr>
        <w:t>第六条</w:t>
      </w:r>
      <w:r>
        <w:rPr>
          <w:rFonts w:hint="eastAsia"/>
          <w:color w:val="auto"/>
          <w:sz w:val="21"/>
          <w:szCs w:val="21"/>
        </w:rPr>
        <w:t>　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14:paraId="2F95AE7E">
      <w:pPr>
        <w:pStyle w:val="37"/>
        <w:spacing w:beforeAutospacing="0" w:afterAutospacing="0"/>
        <w:ind w:firstLine="480"/>
        <w:jc w:val="both"/>
        <w:rPr>
          <w:rFonts w:hint="eastAsia"/>
          <w:color w:val="auto"/>
          <w:sz w:val="21"/>
          <w:szCs w:val="21"/>
        </w:rPr>
      </w:pPr>
      <w:r>
        <w:rPr>
          <w:rFonts w:hint="eastAsia"/>
          <w:color w:val="auto"/>
          <w:sz w:val="21"/>
          <w:szCs w:val="21"/>
        </w:rPr>
        <w:t>符合下列情形之一的，可不专门面向中小企业预留采购份额：</w:t>
      </w:r>
    </w:p>
    <w:p w14:paraId="17FC96C5">
      <w:pPr>
        <w:pStyle w:val="37"/>
        <w:spacing w:beforeAutospacing="0" w:afterAutospacing="0"/>
        <w:ind w:firstLine="480"/>
        <w:jc w:val="both"/>
        <w:rPr>
          <w:rFonts w:hint="eastAsia"/>
          <w:color w:val="auto"/>
          <w:sz w:val="21"/>
          <w:szCs w:val="21"/>
        </w:rPr>
      </w:pPr>
      <w:r>
        <w:rPr>
          <w:rFonts w:hint="eastAsia"/>
          <w:color w:val="auto"/>
          <w:sz w:val="21"/>
          <w:szCs w:val="21"/>
        </w:rPr>
        <w:t>（一）法律法规和国家有关政策明确规定优先或者应当面向事业单位、社会组织等非企业主体采购的；</w:t>
      </w:r>
    </w:p>
    <w:p w14:paraId="37130637">
      <w:pPr>
        <w:pStyle w:val="37"/>
        <w:spacing w:beforeAutospacing="0" w:afterAutospacing="0"/>
        <w:ind w:firstLine="480"/>
        <w:jc w:val="both"/>
        <w:rPr>
          <w:rFonts w:hint="eastAsia"/>
          <w:color w:val="auto"/>
          <w:sz w:val="21"/>
          <w:szCs w:val="21"/>
        </w:rPr>
      </w:pPr>
      <w:r>
        <w:rPr>
          <w:rFonts w:hint="eastAsia"/>
          <w:color w:val="auto"/>
          <w:sz w:val="21"/>
          <w:szCs w:val="21"/>
        </w:rPr>
        <w:t>（二）因确需使用不可替代的专利、专有技术，基础设施限制，或者提供特定公共服务等原因，只能从中小企业之外的供应商处采购的；</w:t>
      </w:r>
    </w:p>
    <w:p w14:paraId="32B50034">
      <w:pPr>
        <w:pStyle w:val="37"/>
        <w:spacing w:beforeAutospacing="0" w:afterAutospacing="0"/>
        <w:ind w:firstLine="480"/>
        <w:jc w:val="both"/>
        <w:rPr>
          <w:rFonts w:hint="eastAsia"/>
          <w:color w:val="auto"/>
          <w:sz w:val="21"/>
          <w:szCs w:val="21"/>
        </w:rPr>
      </w:pPr>
      <w:r>
        <w:rPr>
          <w:rFonts w:hint="eastAsia"/>
          <w:color w:val="auto"/>
          <w:sz w:val="21"/>
          <w:szCs w:val="21"/>
        </w:rPr>
        <w:t>（三）按照本办法规定预留采购份额无法确保充分供应、充分竞争，或者存在可能影响政府采购目标实现的情形；</w:t>
      </w:r>
    </w:p>
    <w:p w14:paraId="7524C072">
      <w:pPr>
        <w:pStyle w:val="37"/>
        <w:spacing w:beforeAutospacing="0" w:afterAutospacing="0"/>
        <w:ind w:firstLine="480"/>
        <w:jc w:val="both"/>
        <w:rPr>
          <w:rFonts w:hint="eastAsia"/>
          <w:color w:val="auto"/>
          <w:sz w:val="21"/>
          <w:szCs w:val="21"/>
        </w:rPr>
      </w:pPr>
      <w:r>
        <w:rPr>
          <w:rFonts w:hint="eastAsia"/>
          <w:color w:val="auto"/>
          <w:sz w:val="21"/>
          <w:szCs w:val="21"/>
        </w:rPr>
        <w:t>（四）框架协议采购项目；</w:t>
      </w:r>
    </w:p>
    <w:p w14:paraId="381B1C06">
      <w:pPr>
        <w:pStyle w:val="37"/>
        <w:spacing w:beforeAutospacing="0" w:afterAutospacing="0"/>
        <w:ind w:firstLine="480"/>
        <w:jc w:val="both"/>
        <w:rPr>
          <w:rFonts w:hint="eastAsia"/>
          <w:color w:val="auto"/>
          <w:sz w:val="21"/>
          <w:szCs w:val="21"/>
        </w:rPr>
      </w:pPr>
      <w:r>
        <w:rPr>
          <w:rFonts w:hint="eastAsia"/>
          <w:color w:val="auto"/>
          <w:sz w:val="21"/>
          <w:szCs w:val="21"/>
        </w:rPr>
        <w:t>（五）省级以上人民政府财政部门规定的其他情形。</w:t>
      </w:r>
    </w:p>
    <w:p w14:paraId="0AD6189D">
      <w:pPr>
        <w:pStyle w:val="37"/>
        <w:spacing w:beforeAutospacing="0" w:afterAutospacing="0"/>
        <w:ind w:firstLine="480"/>
        <w:jc w:val="both"/>
        <w:rPr>
          <w:rFonts w:hint="eastAsia"/>
          <w:color w:val="auto"/>
          <w:sz w:val="21"/>
          <w:szCs w:val="21"/>
        </w:rPr>
      </w:pPr>
      <w:r>
        <w:rPr>
          <w:rFonts w:hint="eastAsia"/>
          <w:color w:val="auto"/>
          <w:sz w:val="21"/>
          <w:szCs w:val="21"/>
        </w:rPr>
        <w:t>除上述情形外，其他均为适宜由中小企业提供的情形。</w:t>
      </w:r>
    </w:p>
    <w:p w14:paraId="1D6D7E9E">
      <w:pPr>
        <w:pStyle w:val="37"/>
        <w:spacing w:beforeAutospacing="0" w:afterAutospacing="0"/>
        <w:ind w:firstLine="480"/>
        <w:jc w:val="both"/>
        <w:rPr>
          <w:rFonts w:hint="eastAsia"/>
          <w:color w:val="auto"/>
          <w:sz w:val="21"/>
          <w:szCs w:val="21"/>
        </w:rPr>
      </w:pPr>
      <w:r>
        <w:rPr>
          <w:rFonts w:hint="eastAsia"/>
          <w:b/>
          <w:bCs/>
          <w:color w:val="auto"/>
          <w:sz w:val="21"/>
          <w:szCs w:val="21"/>
        </w:rPr>
        <w:t>第七条</w:t>
      </w:r>
      <w:r>
        <w:rPr>
          <w:rFonts w:hint="eastAsia"/>
          <w:color w:val="auto"/>
          <w:sz w:val="21"/>
          <w:szCs w:val="21"/>
        </w:rPr>
        <w:t>　采购限额标准以上，200万元以下的货物和服务采购项目、400万元以下的工程采购项目，适宜由中小企业提供的，采购人应当专门面向中小企业采购。</w:t>
      </w:r>
    </w:p>
    <w:p w14:paraId="454CB2FB">
      <w:pPr>
        <w:pStyle w:val="37"/>
        <w:spacing w:beforeAutospacing="0" w:afterAutospacing="0"/>
        <w:ind w:firstLine="480"/>
        <w:jc w:val="both"/>
        <w:rPr>
          <w:rFonts w:hint="eastAsia"/>
          <w:color w:val="auto"/>
          <w:sz w:val="21"/>
          <w:szCs w:val="21"/>
        </w:rPr>
      </w:pPr>
      <w:r>
        <w:rPr>
          <w:rFonts w:hint="eastAsia"/>
          <w:b/>
          <w:bCs/>
          <w:color w:val="auto"/>
          <w:sz w:val="21"/>
          <w:szCs w:val="21"/>
        </w:rPr>
        <w:t>第八条</w:t>
      </w:r>
      <w:r>
        <w:rPr>
          <w:rFonts w:hint="eastAsia"/>
          <w:color w:val="auto"/>
          <w:sz w:val="21"/>
          <w:szCs w:val="21"/>
        </w:rPr>
        <w:t>　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14:paraId="0759E6DD">
      <w:pPr>
        <w:pStyle w:val="37"/>
        <w:spacing w:beforeAutospacing="0" w:afterAutospacing="0"/>
        <w:ind w:firstLine="480"/>
        <w:jc w:val="both"/>
        <w:rPr>
          <w:rFonts w:hint="eastAsia"/>
          <w:color w:val="auto"/>
          <w:sz w:val="21"/>
          <w:szCs w:val="21"/>
        </w:rPr>
      </w:pPr>
      <w:r>
        <w:rPr>
          <w:rFonts w:hint="eastAsia"/>
          <w:color w:val="auto"/>
          <w:sz w:val="21"/>
          <w:szCs w:val="21"/>
        </w:rPr>
        <w:t>（一）将采购项目整体或者设置采购包专门面向中小企业采购；</w:t>
      </w:r>
    </w:p>
    <w:p w14:paraId="49072777">
      <w:pPr>
        <w:pStyle w:val="37"/>
        <w:spacing w:beforeAutospacing="0" w:afterAutospacing="0"/>
        <w:ind w:firstLine="480"/>
        <w:jc w:val="both"/>
        <w:rPr>
          <w:rFonts w:hint="eastAsia"/>
          <w:color w:val="auto"/>
          <w:sz w:val="21"/>
          <w:szCs w:val="21"/>
        </w:rPr>
      </w:pPr>
      <w:r>
        <w:rPr>
          <w:rFonts w:hint="eastAsia"/>
          <w:color w:val="auto"/>
          <w:sz w:val="21"/>
          <w:szCs w:val="21"/>
        </w:rPr>
        <w:t>（二）要求供应商以联合体形式参加采购活动，且联合体中中小企业承担的部分达到一定比例；</w:t>
      </w:r>
    </w:p>
    <w:p w14:paraId="4E2933DD">
      <w:pPr>
        <w:pStyle w:val="37"/>
        <w:spacing w:beforeAutospacing="0" w:afterAutospacing="0"/>
        <w:ind w:firstLine="480"/>
        <w:jc w:val="both"/>
        <w:rPr>
          <w:rFonts w:hint="eastAsia"/>
          <w:color w:val="auto"/>
          <w:sz w:val="21"/>
          <w:szCs w:val="21"/>
        </w:rPr>
      </w:pPr>
      <w:r>
        <w:rPr>
          <w:rFonts w:hint="eastAsia"/>
          <w:color w:val="auto"/>
          <w:sz w:val="21"/>
          <w:szCs w:val="21"/>
        </w:rPr>
        <w:t>（三）要求获得采购合同的供应商将采购项目中的一定比例分包给一家或者多家中小企业。</w:t>
      </w:r>
    </w:p>
    <w:p w14:paraId="751A24E1">
      <w:pPr>
        <w:pStyle w:val="37"/>
        <w:spacing w:beforeAutospacing="0" w:afterAutospacing="0"/>
        <w:ind w:firstLine="480"/>
        <w:jc w:val="both"/>
        <w:rPr>
          <w:rFonts w:hint="eastAsia"/>
          <w:color w:val="auto"/>
          <w:sz w:val="21"/>
          <w:szCs w:val="21"/>
        </w:rPr>
      </w:pPr>
      <w:r>
        <w:rPr>
          <w:rFonts w:hint="eastAsia"/>
          <w:color w:val="auto"/>
          <w:sz w:val="21"/>
          <w:szCs w:val="21"/>
        </w:rPr>
        <w:t>组成联合体或者接受分包合同的中小企业与联合体内其他企业、分包企业之间不得存在直接控股、管理关系。</w:t>
      </w:r>
    </w:p>
    <w:p w14:paraId="7E13CD02">
      <w:pPr>
        <w:pStyle w:val="37"/>
        <w:spacing w:beforeAutospacing="0" w:afterAutospacing="0"/>
        <w:ind w:firstLine="480"/>
        <w:jc w:val="both"/>
        <w:rPr>
          <w:rFonts w:hint="eastAsia"/>
          <w:color w:val="auto"/>
          <w:sz w:val="21"/>
          <w:szCs w:val="21"/>
        </w:rPr>
      </w:pPr>
      <w:r>
        <w:rPr>
          <w:rFonts w:hint="eastAsia"/>
          <w:b/>
          <w:bCs/>
          <w:color w:val="auto"/>
          <w:sz w:val="21"/>
          <w:szCs w:val="21"/>
        </w:rPr>
        <w:t>第九条</w:t>
      </w:r>
      <w:r>
        <w:rPr>
          <w:rFonts w:hint="eastAsia"/>
          <w:color w:val="auto"/>
          <w:sz w:val="21"/>
          <w:szCs w:val="21"/>
        </w:rPr>
        <w:t>　对于经主管预算单位统筹后未预留份额专门面向中小企业采购的采购项目，以及预留份额项目中的非预留部分采购包，采购人、采购代理机构应当对符合本办法规定的小微企业报价给予6%—10%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41E7E0A">
      <w:pPr>
        <w:pStyle w:val="37"/>
        <w:spacing w:beforeAutospacing="0" w:afterAutospacing="0"/>
        <w:ind w:firstLine="480"/>
        <w:jc w:val="both"/>
        <w:rPr>
          <w:rFonts w:hint="eastAsia"/>
          <w:color w:val="auto"/>
          <w:sz w:val="21"/>
          <w:szCs w:val="21"/>
        </w:rPr>
      </w:pPr>
      <w:r>
        <w:rPr>
          <w:rFonts w:hint="eastAsia"/>
          <w:color w:val="auto"/>
          <w:sz w:val="21"/>
          <w:szCs w:val="21"/>
        </w:rPr>
        <w:t>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w:t>
      </w:r>
    </w:p>
    <w:p w14:paraId="0BD9B48F">
      <w:pPr>
        <w:pStyle w:val="37"/>
        <w:spacing w:beforeAutospacing="0" w:afterAutospacing="0"/>
        <w:ind w:firstLine="480"/>
        <w:jc w:val="both"/>
        <w:rPr>
          <w:rFonts w:hint="eastAsia"/>
          <w:color w:val="auto"/>
          <w:sz w:val="21"/>
          <w:szCs w:val="21"/>
        </w:rPr>
      </w:pPr>
      <w:r>
        <w:rPr>
          <w:rFonts w:hint="eastAsia"/>
          <w:color w:val="auto"/>
          <w:sz w:val="21"/>
          <w:szCs w:val="21"/>
        </w:rPr>
        <w:t>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14:paraId="77A6CC9A">
      <w:pPr>
        <w:pStyle w:val="37"/>
        <w:spacing w:beforeAutospacing="0" w:afterAutospacing="0"/>
        <w:ind w:firstLine="480"/>
        <w:jc w:val="both"/>
        <w:rPr>
          <w:rFonts w:hint="eastAsia"/>
          <w:color w:val="auto"/>
          <w:sz w:val="21"/>
          <w:szCs w:val="21"/>
        </w:rPr>
      </w:pPr>
      <w:r>
        <w:rPr>
          <w:rFonts w:hint="eastAsia"/>
          <w:b/>
          <w:bCs/>
          <w:color w:val="auto"/>
          <w:sz w:val="21"/>
          <w:szCs w:val="21"/>
        </w:rPr>
        <w:t>第十条</w:t>
      </w:r>
      <w:r>
        <w:rPr>
          <w:rFonts w:hint="eastAsia"/>
          <w:color w:val="auto"/>
          <w:sz w:val="21"/>
          <w:szCs w:val="21"/>
        </w:rPr>
        <w:t>　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14:paraId="2DD9C2CF">
      <w:pPr>
        <w:pStyle w:val="37"/>
        <w:spacing w:beforeAutospacing="0" w:afterAutospacing="0"/>
        <w:ind w:firstLine="480"/>
        <w:jc w:val="both"/>
        <w:rPr>
          <w:rFonts w:hint="eastAsia"/>
          <w:color w:val="auto"/>
          <w:sz w:val="21"/>
          <w:szCs w:val="21"/>
        </w:rPr>
      </w:pPr>
      <w:r>
        <w:rPr>
          <w:rFonts w:hint="eastAsia"/>
          <w:b/>
          <w:bCs/>
          <w:color w:val="auto"/>
          <w:sz w:val="21"/>
          <w:szCs w:val="21"/>
        </w:rPr>
        <w:t>第十一条</w:t>
      </w:r>
      <w:r>
        <w:rPr>
          <w:rFonts w:hint="eastAsia"/>
          <w:color w:val="auto"/>
          <w:sz w:val="21"/>
          <w:szCs w:val="21"/>
        </w:rPr>
        <w:t>　中小企业参加政府采购活动，应当出具本办法规定的《中小企业声明函》（附1），否则不得享受相关中小企业扶持政策。任何单位和个人不得要求供应商提供《中小企业声明函》之外的中小企业身份证明文件。</w:t>
      </w:r>
    </w:p>
    <w:p w14:paraId="0898D1B8">
      <w:pPr>
        <w:pStyle w:val="37"/>
        <w:spacing w:beforeAutospacing="0" w:afterAutospacing="0"/>
        <w:ind w:firstLine="480"/>
        <w:jc w:val="both"/>
        <w:rPr>
          <w:rFonts w:hint="eastAsia"/>
          <w:color w:val="auto"/>
          <w:sz w:val="21"/>
          <w:szCs w:val="21"/>
        </w:rPr>
      </w:pPr>
      <w:r>
        <w:rPr>
          <w:rFonts w:hint="eastAsia"/>
          <w:b/>
          <w:bCs/>
          <w:color w:val="auto"/>
          <w:sz w:val="21"/>
          <w:szCs w:val="21"/>
        </w:rPr>
        <w:t>第十二条</w:t>
      </w:r>
      <w:r>
        <w:rPr>
          <w:rFonts w:hint="eastAsia"/>
          <w:color w:val="auto"/>
          <w:sz w:val="21"/>
          <w:szCs w:val="21"/>
        </w:rPr>
        <w:t>　采购项目涉及中小企业采购的，采购文件应当明确以下内容：</w:t>
      </w:r>
    </w:p>
    <w:p w14:paraId="76621C15">
      <w:pPr>
        <w:pStyle w:val="37"/>
        <w:spacing w:beforeAutospacing="0" w:afterAutospacing="0"/>
        <w:ind w:firstLine="480"/>
        <w:jc w:val="both"/>
        <w:rPr>
          <w:rFonts w:hint="eastAsia"/>
          <w:color w:val="auto"/>
          <w:sz w:val="21"/>
          <w:szCs w:val="21"/>
        </w:rPr>
      </w:pPr>
      <w:r>
        <w:rPr>
          <w:rFonts w:hint="eastAsia"/>
          <w:color w:val="auto"/>
          <w:sz w:val="21"/>
          <w:szCs w:val="21"/>
        </w:rPr>
        <w:t>（一）预留份额的采购项目或者采购包，明确该项目或相关采购包专门面向中小企业采购，以及相关标的及预算金额；</w:t>
      </w:r>
    </w:p>
    <w:p w14:paraId="5A71CC7A">
      <w:pPr>
        <w:pStyle w:val="37"/>
        <w:spacing w:beforeAutospacing="0" w:afterAutospacing="0"/>
        <w:ind w:firstLine="480"/>
        <w:jc w:val="both"/>
        <w:rPr>
          <w:rFonts w:hint="eastAsia"/>
          <w:color w:val="auto"/>
          <w:sz w:val="21"/>
          <w:szCs w:val="21"/>
        </w:rPr>
      </w:pPr>
      <w:r>
        <w:rPr>
          <w:rFonts w:hint="eastAsia"/>
          <w:color w:val="auto"/>
          <w:sz w:val="21"/>
          <w:szCs w:val="21"/>
        </w:rPr>
        <w:t>（二）要求以联合体形式参加或者合同分包的，明确联合协议或者分包意向协议中中小企业合同金额应当达到的比例，并作为供应商资格条件；</w:t>
      </w:r>
    </w:p>
    <w:p w14:paraId="5E0D2352">
      <w:pPr>
        <w:pStyle w:val="37"/>
        <w:spacing w:beforeAutospacing="0" w:afterAutospacing="0"/>
        <w:ind w:firstLine="480"/>
        <w:jc w:val="both"/>
        <w:rPr>
          <w:rFonts w:hint="eastAsia"/>
          <w:color w:val="auto"/>
          <w:sz w:val="21"/>
          <w:szCs w:val="21"/>
        </w:rPr>
      </w:pPr>
      <w:r>
        <w:rPr>
          <w:rFonts w:hint="eastAsia"/>
          <w:color w:val="auto"/>
          <w:sz w:val="21"/>
          <w:szCs w:val="21"/>
        </w:rPr>
        <w:t>（三）非预留份额的采购项目或者采购包，明确有关价格扣除比例或者价格分加分比例；</w:t>
      </w:r>
    </w:p>
    <w:p w14:paraId="74A0EC00">
      <w:pPr>
        <w:pStyle w:val="37"/>
        <w:spacing w:beforeAutospacing="0" w:afterAutospacing="0"/>
        <w:ind w:firstLine="480"/>
        <w:jc w:val="both"/>
        <w:rPr>
          <w:rFonts w:hint="eastAsia"/>
          <w:color w:val="auto"/>
          <w:sz w:val="21"/>
          <w:szCs w:val="21"/>
        </w:rPr>
      </w:pPr>
      <w:r>
        <w:rPr>
          <w:rFonts w:hint="eastAsia"/>
          <w:color w:val="auto"/>
          <w:sz w:val="21"/>
          <w:szCs w:val="21"/>
        </w:rPr>
        <w:t>（四）规定依据本办法规定享受扶持政策获得政府采购合同的，小微企业不得将合同分包给大中型企业，中型企业不得将合同分包给大型企业；</w:t>
      </w:r>
    </w:p>
    <w:p w14:paraId="373271A5">
      <w:pPr>
        <w:pStyle w:val="37"/>
        <w:spacing w:beforeAutospacing="0" w:afterAutospacing="0"/>
        <w:ind w:firstLine="480"/>
        <w:jc w:val="both"/>
        <w:rPr>
          <w:rFonts w:hint="eastAsia"/>
          <w:color w:val="auto"/>
          <w:sz w:val="21"/>
          <w:szCs w:val="21"/>
        </w:rPr>
      </w:pPr>
      <w:r>
        <w:rPr>
          <w:rFonts w:hint="eastAsia"/>
          <w:color w:val="auto"/>
          <w:sz w:val="21"/>
          <w:szCs w:val="21"/>
        </w:rPr>
        <w:t>（五）采购人认为具备相关条件的，明确对中小企业在资金支付期限、预付款比例等方面的优惠措施；</w:t>
      </w:r>
    </w:p>
    <w:p w14:paraId="76138417">
      <w:pPr>
        <w:pStyle w:val="37"/>
        <w:spacing w:beforeAutospacing="0" w:afterAutospacing="0"/>
        <w:ind w:firstLine="480"/>
        <w:jc w:val="both"/>
        <w:rPr>
          <w:rFonts w:hint="eastAsia"/>
          <w:color w:val="auto"/>
          <w:sz w:val="21"/>
          <w:szCs w:val="21"/>
        </w:rPr>
      </w:pPr>
      <w:r>
        <w:rPr>
          <w:rFonts w:hint="eastAsia"/>
          <w:color w:val="auto"/>
          <w:sz w:val="21"/>
          <w:szCs w:val="21"/>
        </w:rPr>
        <w:t>（六）明确采购标的对应的中小企业划分标准所属行业；</w:t>
      </w:r>
    </w:p>
    <w:p w14:paraId="7A408AAB">
      <w:pPr>
        <w:pStyle w:val="37"/>
        <w:spacing w:beforeAutospacing="0" w:afterAutospacing="0"/>
        <w:ind w:firstLine="480"/>
        <w:jc w:val="both"/>
        <w:rPr>
          <w:rFonts w:hint="eastAsia"/>
          <w:color w:val="auto"/>
          <w:sz w:val="21"/>
          <w:szCs w:val="21"/>
        </w:rPr>
      </w:pPr>
      <w:r>
        <w:rPr>
          <w:rFonts w:hint="eastAsia"/>
          <w:color w:val="auto"/>
          <w:sz w:val="21"/>
          <w:szCs w:val="21"/>
        </w:rPr>
        <w:t>（七）法律法规和省级以上人民政府财政部门规定的其他事项。</w:t>
      </w:r>
    </w:p>
    <w:p w14:paraId="1C79B74F">
      <w:pPr>
        <w:pStyle w:val="37"/>
        <w:spacing w:beforeAutospacing="0" w:afterAutospacing="0"/>
        <w:ind w:firstLine="480"/>
        <w:jc w:val="both"/>
        <w:rPr>
          <w:rFonts w:hint="eastAsia"/>
          <w:color w:val="auto"/>
          <w:sz w:val="21"/>
          <w:szCs w:val="21"/>
        </w:rPr>
      </w:pPr>
      <w:r>
        <w:rPr>
          <w:rFonts w:hint="eastAsia"/>
          <w:b/>
          <w:bCs/>
          <w:color w:val="auto"/>
          <w:sz w:val="21"/>
          <w:szCs w:val="21"/>
        </w:rPr>
        <w:t>第十三条</w:t>
      </w:r>
      <w:r>
        <w:rPr>
          <w:rFonts w:hint="eastAsia"/>
          <w:color w:val="auto"/>
          <w:sz w:val="21"/>
          <w:szCs w:val="21"/>
        </w:rPr>
        <w:t>　中标、成交供应商享受本办法规定的中小企业扶持政策的，采购人、采购代理机构应当随中标、成交结果公开中标、成交供应商的《中小企业声明函》。</w:t>
      </w:r>
    </w:p>
    <w:p w14:paraId="5FC38B26">
      <w:pPr>
        <w:pStyle w:val="37"/>
        <w:spacing w:beforeAutospacing="0" w:afterAutospacing="0"/>
        <w:ind w:firstLine="480"/>
        <w:jc w:val="both"/>
        <w:rPr>
          <w:rFonts w:hint="eastAsia"/>
          <w:color w:val="auto"/>
          <w:sz w:val="21"/>
          <w:szCs w:val="21"/>
        </w:rPr>
      </w:pPr>
      <w:r>
        <w:rPr>
          <w:rFonts w:hint="eastAsia"/>
          <w:color w:val="auto"/>
          <w:sz w:val="21"/>
          <w:szCs w:val="21"/>
        </w:rPr>
        <w:t>适用招标投标法的政府采购工程建设项目，应当在公示中标候选人时公开中标候选人的《中小企业声明函》。</w:t>
      </w:r>
    </w:p>
    <w:p w14:paraId="510B432D">
      <w:pPr>
        <w:pStyle w:val="37"/>
        <w:spacing w:beforeAutospacing="0" w:afterAutospacing="0"/>
        <w:ind w:firstLine="480"/>
        <w:jc w:val="both"/>
        <w:rPr>
          <w:rFonts w:hint="eastAsia"/>
          <w:color w:val="auto"/>
          <w:sz w:val="21"/>
          <w:szCs w:val="21"/>
        </w:rPr>
      </w:pPr>
      <w:r>
        <w:rPr>
          <w:rFonts w:hint="eastAsia"/>
          <w:b/>
          <w:bCs/>
          <w:color w:val="auto"/>
          <w:sz w:val="21"/>
          <w:szCs w:val="21"/>
        </w:rPr>
        <w:t>第十四条</w:t>
      </w:r>
      <w:r>
        <w:rPr>
          <w:rFonts w:hint="eastAsia"/>
          <w:color w:val="auto"/>
          <w:sz w:val="21"/>
          <w:szCs w:val="21"/>
        </w:rPr>
        <w:t>　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511E1433">
      <w:pPr>
        <w:pStyle w:val="37"/>
        <w:spacing w:beforeAutospacing="0" w:afterAutospacing="0"/>
        <w:ind w:firstLine="480"/>
        <w:jc w:val="both"/>
        <w:rPr>
          <w:rFonts w:hint="eastAsia"/>
          <w:color w:val="auto"/>
          <w:sz w:val="21"/>
          <w:szCs w:val="21"/>
        </w:rPr>
      </w:pPr>
      <w:r>
        <w:rPr>
          <w:rFonts w:hint="eastAsia"/>
          <w:b/>
          <w:bCs/>
          <w:color w:val="auto"/>
          <w:sz w:val="21"/>
          <w:szCs w:val="21"/>
        </w:rPr>
        <w:t>第十五条</w:t>
      </w:r>
      <w:r>
        <w:rPr>
          <w:rFonts w:hint="eastAsia"/>
          <w:color w:val="auto"/>
          <w:sz w:val="21"/>
          <w:szCs w:val="21"/>
        </w:rPr>
        <w:t>　鼓励各地区、各部门在采购活动中允许中小企业引入信用担保手段，为中小企业在投标（响应）保证、履约保证等方面提供专业化服务。鼓励中小企业依法合规通过政府采购合同融资。</w:t>
      </w:r>
    </w:p>
    <w:p w14:paraId="3B3D33EF">
      <w:pPr>
        <w:pStyle w:val="37"/>
        <w:spacing w:beforeAutospacing="0" w:afterAutospacing="0"/>
        <w:ind w:firstLine="480"/>
        <w:jc w:val="both"/>
        <w:rPr>
          <w:rFonts w:hint="eastAsia"/>
          <w:color w:val="auto"/>
          <w:sz w:val="21"/>
          <w:szCs w:val="21"/>
        </w:rPr>
      </w:pPr>
      <w:r>
        <w:rPr>
          <w:rFonts w:hint="eastAsia"/>
          <w:b/>
          <w:bCs/>
          <w:color w:val="auto"/>
          <w:sz w:val="21"/>
          <w:szCs w:val="21"/>
        </w:rPr>
        <w:t>第十六条</w:t>
      </w:r>
      <w:r>
        <w:rPr>
          <w:rFonts w:hint="eastAsia"/>
          <w:color w:val="auto"/>
          <w:sz w:val="21"/>
          <w:szCs w:val="21"/>
        </w:rPr>
        <w:t>　政府采购监督检查、投诉处理及政府采购行政处罚中对中小企业的认定，由货物制造商或者工程、服务供应商注册登记所在地的县级以上人民政府中小企业主管部门负责。</w:t>
      </w:r>
    </w:p>
    <w:p w14:paraId="580AF7C0">
      <w:pPr>
        <w:pStyle w:val="37"/>
        <w:spacing w:beforeAutospacing="0" w:afterAutospacing="0"/>
        <w:ind w:firstLine="480"/>
        <w:jc w:val="both"/>
        <w:rPr>
          <w:rFonts w:hint="eastAsia"/>
          <w:color w:val="auto"/>
          <w:sz w:val="21"/>
          <w:szCs w:val="21"/>
        </w:rPr>
      </w:pPr>
      <w:r>
        <w:rPr>
          <w:rFonts w:hint="eastAsia"/>
          <w:color w:val="auto"/>
          <w:sz w:val="21"/>
          <w:szCs w:val="21"/>
        </w:rPr>
        <w:t>中小企业主管部门应当在收到财政部门或者有关招标投标行政监督部门关于协助开展中小企业认定函后10个工作日内做出书面答复。</w:t>
      </w:r>
    </w:p>
    <w:p w14:paraId="70CF66ED">
      <w:pPr>
        <w:pStyle w:val="37"/>
        <w:spacing w:beforeAutospacing="0" w:afterAutospacing="0"/>
        <w:ind w:firstLine="480"/>
        <w:jc w:val="both"/>
        <w:rPr>
          <w:rFonts w:hint="eastAsia"/>
          <w:color w:val="auto"/>
          <w:sz w:val="21"/>
          <w:szCs w:val="21"/>
        </w:rPr>
      </w:pPr>
      <w:r>
        <w:rPr>
          <w:rFonts w:hint="eastAsia"/>
          <w:b/>
          <w:bCs/>
          <w:color w:val="auto"/>
          <w:sz w:val="21"/>
          <w:szCs w:val="21"/>
        </w:rPr>
        <w:t>第十七条</w:t>
      </w:r>
      <w:r>
        <w:rPr>
          <w:rFonts w:hint="eastAsia"/>
          <w:color w:val="auto"/>
          <w:sz w:val="21"/>
          <w:szCs w:val="21"/>
        </w:rPr>
        <w:t>　各地区、各部门应当对涉及中小企业采购的预算项目实施全过程绩效管理，合理设置绩效目标和指标，落实扶持中小企业有关政策要求，定期开展绩效监控和评价，强化绩效评价结果应用。</w:t>
      </w:r>
    </w:p>
    <w:p w14:paraId="47FB4951">
      <w:pPr>
        <w:pStyle w:val="37"/>
        <w:spacing w:beforeAutospacing="0" w:afterAutospacing="0"/>
        <w:ind w:firstLine="480"/>
        <w:jc w:val="both"/>
        <w:rPr>
          <w:rFonts w:hint="eastAsia"/>
          <w:color w:val="auto"/>
          <w:sz w:val="21"/>
          <w:szCs w:val="21"/>
        </w:rPr>
      </w:pPr>
      <w:r>
        <w:rPr>
          <w:rFonts w:hint="eastAsia"/>
          <w:b/>
          <w:bCs/>
          <w:color w:val="auto"/>
          <w:sz w:val="21"/>
          <w:szCs w:val="21"/>
        </w:rPr>
        <w:t>第十八条</w:t>
      </w:r>
      <w:r>
        <w:rPr>
          <w:rFonts w:hint="eastAsia"/>
          <w:color w:val="auto"/>
          <w:sz w:val="21"/>
          <w:szCs w:val="21"/>
        </w:rPr>
        <w:t>　主管预算单位应当自2022年起向同级财政部门报告本部门上一年度面向中小企业预留份额和采购的具体情况，并在中国政府采购网公开预留项目执行情况（附2）。未达到本办法规定的预留份额比例的，应当作出说明。</w:t>
      </w:r>
    </w:p>
    <w:p w14:paraId="2E001E9F">
      <w:pPr>
        <w:pStyle w:val="37"/>
        <w:spacing w:beforeAutospacing="0" w:afterAutospacing="0"/>
        <w:ind w:firstLine="480"/>
        <w:jc w:val="both"/>
        <w:rPr>
          <w:rFonts w:hint="eastAsia"/>
          <w:color w:val="auto"/>
          <w:sz w:val="21"/>
          <w:szCs w:val="21"/>
        </w:rPr>
      </w:pPr>
      <w:r>
        <w:rPr>
          <w:rFonts w:hint="eastAsia"/>
          <w:b/>
          <w:bCs/>
          <w:color w:val="auto"/>
          <w:sz w:val="21"/>
          <w:szCs w:val="21"/>
        </w:rPr>
        <w:t>第十九条</w:t>
      </w:r>
      <w:r>
        <w:rPr>
          <w:rFonts w:hint="eastAsia"/>
          <w:color w:val="auto"/>
          <w:sz w:val="21"/>
          <w:szCs w:val="21"/>
        </w:rPr>
        <w:t>　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14:paraId="0C096ED1">
      <w:pPr>
        <w:pStyle w:val="37"/>
        <w:spacing w:beforeAutospacing="0" w:afterAutospacing="0"/>
        <w:ind w:firstLine="480"/>
        <w:jc w:val="both"/>
        <w:rPr>
          <w:rFonts w:hint="eastAsia"/>
          <w:color w:val="auto"/>
          <w:sz w:val="21"/>
          <w:szCs w:val="21"/>
        </w:rPr>
      </w:pPr>
      <w:r>
        <w:rPr>
          <w:rFonts w:hint="eastAsia"/>
          <w:b/>
          <w:bCs/>
          <w:color w:val="auto"/>
          <w:sz w:val="21"/>
          <w:szCs w:val="21"/>
        </w:rPr>
        <w:t>第二十条</w:t>
      </w:r>
      <w:r>
        <w:rPr>
          <w:rFonts w:hint="eastAsia"/>
          <w:color w:val="auto"/>
          <w:sz w:val="21"/>
          <w:szCs w:val="21"/>
        </w:rPr>
        <w:t>　供应商按照本办法规定提供声明函内容不实的，属于提供虚假材料谋取中标、成交，依照《中华人民共和国政府采购法》等国家有关规定追究相应责任。</w:t>
      </w:r>
    </w:p>
    <w:p w14:paraId="0092A5E9">
      <w:pPr>
        <w:pStyle w:val="37"/>
        <w:spacing w:beforeAutospacing="0" w:afterAutospacing="0"/>
        <w:ind w:firstLine="480"/>
        <w:jc w:val="both"/>
        <w:rPr>
          <w:rFonts w:hint="eastAsia"/>
          <w:color w:val="auto"/>
          <w:sz w:val="21"/>
          <w:szCs w:val="21"/>
        </w:rPr>
      </w:pPr>
      <w:r>
        <w:rPr>
          <w:rFonts w:hint="eastAsia"/>
          <w:color w:val="auto"/>
          <w:sz w:val="21"/>
          <w:szCs w:val="21"/>
        </w:rPr>
        <w:t>适用招标投标法的政府采购工程建设项目，投标人按照本办法规定提供声明函内容不实的，属于弄虚作假骗取中标，依照《中华人民共和国招标投标法》等国家有关规定追究相应责任。</w:t>
      </w:r>
    </w:p>
    <w:p w14:paraId="6C66E5A6">
      <w:pPr>
        <w:pStyle w:val="37"/>
        <w:spacing w:beforeAutospacing="0" w:afterAutospacing="0"/>
        <w:ind w:firstLine="480"/>
        <w:jc w:val="both"/>
        <w:rPr>
          <w:rFonts w:hint="eastAsia"/>
          <w:color w:val="auto"/>
          <w:sz w:val="21"/>
          <w:szCs w:val="21"/>
        </w:rPr>
      </w:pPr>
      <w:r>
        <w:rPr>
          <w:rFonts w:hint="eastAsia"/>
          <w:b/>
          <w:bCs/>
          <w:color w:val="auto"/>
          <w:sz w:val="21"/>
          <w:szCs w:val="21"/>
        </w:rPr>
        <w:t>第二十一条</w:t>
      </w:r>
      <w:r>
        <w:rPr>
          <w:rFonts w:hint="eastAsia"/>
          <w:color w:val="auto"/>
          <w:sz w:val="21"/>
          <w:szCs w:val="21"/>
        </w:rPr>
        <w:t>　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14:paraId="5182963F">
      <w:pPr>
        <w:pStyle w:val="37"/>
        <w:spacing w:beforeAutospacing="0" w:afterAutospacing="0"/>
        <w:ind w:firstLine="480"/>
        <w:jc w:val="both"/>
        <w:rPr>
          <w:rFonts w:hint="eastAsia"/>
          <w:color w:val="auto"/>
          <w:sz w:val="21"/>
          <w:szCs w:val="21"/>
        </w:rPr>
      </w:pPr>
      <w:r>
        <w:rPr>
          <w:rFonts w:hint="eastAsia"/>
          <w:b/>
          <w:bCs/>
          <w:color w:val="auto"/>
          <w:sz w:val="21"/>
          <w:szCs w:val="21"/>
        </w:rPr>
        <w:t>第二十二条</w:t>
      </w:r>
      <w:r>
        <w:rPr>
          <w:rFonts w:hint="eastAsia"/>
          <w:color w:val="auto"/>
          <w:sz w:val="21"/>
          <w:szCs w:val="21"/>
        </w:rPr>
        <w:t>　对外援助项目、国家相关资格或者资质管理制度另有规定的项目，不适用本办法。</w:t>
      </w:r>
    </w:p>
    <w:p w14:paraId="472B0222">
      <w:pPr>
        <w:pStyle w:val="37"/>
        <w:spacing w:beforeAutospacing="0" w:afterAutospacing="0"/>
        <w:ind w:firstLine="480"/>
        <w:jc w:val="both"/>
        <w:rPr>
          <w:rFonts w:hint="eastAsia"/>
          <w:color w:val="auto"/>
          <w:sz w:val="21"/>
          <w:szCs w:val="21"/>
        </w:rPr>
      </w:pPr>
      <w:r>
        <w:rPr>
          <w:rFonts w:hint="eastAsia"/>
          <w:b/>
          <w:bCs/>
          <w:color w:val="auto"/>
          <w:sz w:val="21"/>
          <w:szCs w:val="21"/>
        </w:rPr>
        <w:t>第二十三条</w:t>
      </w:r>
      <w:r>
        <w:rPr>
          <w:rFonts w:hint="eastAsia"/>
          <w:color w:val="auto"/>
          <w:sz w:val="21"/>
          <w:szCs w:val="21"/>
        </w:rPr>
        <w:t>　关于视同中小企业的其他主体的政府采购扶持政策，由财政部会同有关部门另行规定。</w:t>
      </w:r>
    </w:p>
    <w:p w14:paraId="58309854">
      <w:pPr>
        <w:pStyle w:val="37"/>
        <w:spacing w:beforeAutospacing="0" w:afterAutospacing="0"/>
        <w:ind w:firstLine="480"/>
        <w:jc w:val="both"/>
        <w:rPr>
          <w:rFonts w:hint="eastAsia"/>
          <w:color w:val="auto"/>
          <w:sz w:val="21"/>
          <w:szCs w:val="21"/>
        </w:rPr>
      </w:pPr>
      <w:r>
        <w:rPr>
          <w:rFonts w:hint="eastAsia"/>
          <w:b/>
          <w:bCs/>
          <w:color w:val="auto"/>
          <w:sz w:val="21"/>
          <w:szCs w:val="21"/>
        </w:rPr>
        <w:t>第二十四条</w:t>
      </w:r>
      <w:r>
        <w:rPr>
          <w:rFonts w:hint="eastAsia"/>
          <w:color w:val="auto"/>
          <w:sz w:val="21"/>
          <w:szCs w:val="21"/>
        </w:rPr>
        <w:t>　省级财政部门可以会同中小企业主管部门根据本办法的规定制定具体实施办法。</w:t>
      </w:r>
    </w:p>
    <w:p w14:paraId="1D767947">
      <w:pPr>
        <w:pStyle w:val="37"/>
        <w:spacing w:beforeAutospacing="0" w:afterAutospacing="0"/>
        <w:ind w:firstLine="480"/>
        <w:jc w:val="both"/>
        <w:rPr>
          <w:rFonts w:hint="eastAsia"/>
          <w:color w:val="auto"/>
          <w:sz w:val="21"/>
          <w:szCs w:val="21"/>
        </w:rPr>
      </w:pPr>
      <w:r>
        <w:rPr>
          <w:rFonts w:hint="eastAsia"/>
          <w:b/>
          <w:bCs/>
          <w:color w:val="auto"/>
          <w:sz w:val="21"/>
          <w:szCs w:val="21"/>
        </w:rPr>
        <w:t>第二十五条</w:t>
      </w:r>
      <w:r>
        <w:rPr>
          <w:rFonts w:hint="eastAsia"/>
          <w:color w:val="auto"/>
          <w:sz w:val="21"/>
          <w:szCs w:val="21"/>
        </w:rPr>
        <w:t>　本办法自2021年1月1日起施行。《财政部 工业和信息化部关于印发〈政府采购促进中小企业发展暂行办法〉的通知》（财库〔2011〕181号）同时废止。</w:t>
      </w:r>
    </w:p>
    <w:p w14:paraId="10A1157B">
      <w:pPr>
        <w:pStyle w:val="37"/>
        <w:spacing w:beforeAutospacing="0" w:afterAutospacing="0"/>
        <w:ind w:firstLine="480"/>
        <w:jc w:val="both"/>
        <w:rPr>
          <w:rFonts w:hint="eastAsia"/>
          <w:color w:val="auto"/>
          <w:sz w:val="21"/>
          <w:szCs w:val="21"/>
        </w:rPr>
      </w:pPr>
    </w:p>
    <w:p w14:paraId="1AA7120D">
      <w:pPr>
        <w:rPr>
          <w:rFonts w:hint="eastAsia" w:ascii="宋体" w:hAnsi="宋体"/>
          <w:color w:val="auto"/>
        </w:rPr>
      </w:pPr>
    </w:p>
    <w:p w14:paraId="118D22AC">
      <w:pPr>
        <w:pStyle w:val="5"/>
        <w:spacing w:before="0" w:after="0" w:line="240" w:lineRule="auto"/>
        <w:ind w:firstLine="1124" w:firstLineChars="350"/>
        <w:rPr>
          <w:rFonts w:hint="eastAsia" w:ascii="方正小标宋_GBK" w:hAnsi="方正小标宋_GBK" w:eastAsia="方正小标宋_GBK" w:cs="方正小标宋_GBK"/>
          <w:b/>
          <w:bCs w:val="0"/>
          <w:color w:val="auto"/>
        </w:rPr>
      </w:pPr>
      <w:bookmarkStart w:id="98" w:name="_Toc73610163"/>
      <w:bookmarkStart w:id="99" w:name="_Toc73613645"/>
      <w:r>
        <w:rPr>
          <w:rFonts w:hint="eastAsia" w:ascii="方正小标宋_GBK" w:hAnsi="方正小标宋_GBK" w:eastAsia="方正小标宋_GBK" w:cs="方正小标宋_GBK"/>
          <w:b/>
          <w:bCs w:val="0"/>
          <w:color w:val="auto"/>
        </w:rPr>
        <w:t>二、关于印发中小企业划型标准规定的通知</w:t>
      </w:r>
      <w:bookmarkEnd w:id="98"/>
      <w:bookmarkEnd w:id="99"/>
    </w:p>
    <w:p w14:paraId="3656368B">
      <w:pPr>
        <w:pStyle w:val="37"/>
        <w:spacing w:beforeAutospacing="0" w:afterAutospacing="0"/>
        <w:jc w:val="both"/>
        <w:rPr>
          <w:rFonts w:hint="eastAsia"/>
          <w:color w:val="auto"/>
          <w:sz w:val="21"/>
          <w:szCs w:val="21"/>
        </w:rPr>
      </w:pPr>
      <w:r>
        <w:rPr>
          <w:rFonts w:hint="eastAsia"/>
          <w:color w:val="auto"/>
          <w:sz w:val="21"/>
          <w:szCs w:val="21"/>
        </w:rPr>
        <w:t>工信部联企业〔2011〕300号</w:t>
      </w:r>
    </w:p>
    <w:p w14:paraId="7ADDAFCB">
      <w:pPr>
        <w:pStyle w:val="37"/>
        <w:spacing w:beforeAutospacing="0" w:afterAutospacing="0"/>
        <w:jc w:val="both"/>
        <w:rPr>
          <w:rFonts w:hint="eastAsia"/>
          <w:color w:val="auto"/>
          <w:sz w:val="21"/>
          <w:szCs w:val="21"/>
        </w:rPr>
      </w:pPr>
      <w:r>
        <w:rPr>
          <w:rFonts w:hint="eastAsia"/>
          <w:color w:val="auto"/>
          <w:sz w:val="21"/>
          <w:szCs w:val="21"/>
        </w:rPr>
        <w:t>各省、自治区、直辖市人民政府，国务院各部委、各直属机构及有关单位：</w:t>
      </w:r>
    </w:p>
    <w:p w14:paraId="0ABCA375">
      <w:pPr>
        <w:pStyle w:val="37"/>
        <w:spacing w:beforeAutospacing="0" w:afterAutospacing="0"/>
        <w:jc w:val="both"/>
        <w:rPr>
          <w:rFonts w:hint="eastAsia"/>
          <w:color w:val="auto"/>
          <w:sz w:val="21"/>
          <w:szCs w:val="21"/>
        </w:rPr>
      </w:pPr>
      <w:r>
        <w:rPr>
          <w:rFonts w:hint="eastAsia"/>
          <w:color w:val="auto"/>
          <w:sz w:val="21"/>
          <w:szCs w:val="21"/>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57EC3583">
      <w:pPr>
        <w:pStyle w:val="37"/>
        <w:spacing w:beforeAutospacing="0" w:afterAutospacing="0"/>
        <w:jc w:val="both"/>
        <w:rPr>
          <w:rFonts w:hint="eastAsia"/>
          <w:color w:val="auto"/>
          <w:sz w:val="21"/>
          <w:szCs w:val="21"/>
        </w:rPr>
      </w:pPr>
      <w:r>
        <w:rPr>
          <w:rFonts w:hint="eastAsia"/>
          <w:color w:val="auto"/>
          <w:sz w:val="21"/>
          <w:szCs w:val="21"/>
        </w:rPr>
        <w:t>　　　　　　　　　　　　　　　　　　　　　工业和信息化部　国家统计局</w:t>
      </w:r>
    </w:p>
    <w:p w14:paraId="502FF6C1">
      <w:pPr>
        <w:pStyle w:val="37"/>
        <w:spacing w:beforeAutospacing="0" w:afterAutospacing="0"/>
        <w:jc w:val="both"/>
        <w:rPr>
          <w:rFonts w:hint="eastAsia"/>
          <w:color w:val="auto"/>
          <w:sz w:val="21"/>
          <w:szCs w:val="21"/>
        </w:rPr>
      </w:pPr>
      <w:r>
        <w:rPr>
          <w:rFonts w:hint="eastAsia"/>
          <w:color w:val="auto"/>
          <w:sz w:val="21"/>
          <w:szCs w:val="21"/>
        </w:rPr>
        <w:t>　　　　　　　　　　　　　　　　　　　　国家发展和改革委员会　财政部</w:t>
      </w:r>
    </w:p>
    <w:p w14:paraId="5C240E30">
      <w:pPr>
        <w:pStyle w:val="37"/>
        <w:spacing w:beforeAutospacing="0" w:afterAutospacing="0"/>
        <w:jc w:val="both"/>
        <w:rPr>
          <w:rFonts w:hint="eastAsia"/>
          <w:color w:val="auto"/>
          <w:sz w:val="21"/>
          <w:szCs w:val="21"/>
        </w:rPr>
      </w:pPr>
      <w:r>
        <w:rPr>
          <w:rFonts w:hint="eastAsia"/>
          <w:color w:val="auto"/>
          <w:sz w:val="21"/>
          <w:szCs w:val="21"/>
        </w:rPr>
        <w:t>　　　　　　　　　　　　　　　　　　　　　　　　二○一一年六月十八日</w:t>
      </w:r>
    </w:p>
    <w:p w14:paraId="46D84C28">
      <w:pPr>
        <w:pStyle w:val="37"/>
        <w:spacing w:beforeAutospacing="0" w:afterAutospacing="0"/>
        <w:jc w:val="center"/>
        <w:rPr>
          <w:rFonts w:hint="eastAsia" w:ascii="方正小标宋_GBK" w:hAnsi="方正小标宋_GBK" w:eastAsia="方正小标宋_GBK" w:cs="方正小标宋_GBK"/>
          <w:color w:val="auto"/>
        </w:rPr>
      </w:pPr>
      <w:r>
        <w:rPr>
          <w:rStyle w:val="45"/>
          <w:rFonts w:hint="eastAsia" w:ascii="方正小标宋_GBK" w:hAnsi="方正小标宋_GBK" w:eastAsia="方正小标宋_GBK" w:cs="方正小标宋_GBK"/>
          <w:color w:val="auto"/>
        </w:rPr>
        <w:t>中小企业划型标准规定</w:t>
      </w:r>
    </w:p>
    <w:p w14:paraId="65DC0A4D">
      <w:pPr>
        <w:pStyle w:val="37"/>
        <w:spacing w:beforeAutospacing="0" w:afterAutospacing="0"/>
        <w:jc w:val="both"/>
        <w:rPr>
          <w:rFonts w:hint="eastAsia"/>
          <w:color w:val="auto"/>
          <w:sz w:val="21"/>
          <w:szCs w:val="21"/>
        </w:rPr>
      </w:pPr>
      <w:r>
        <w:rPr>
          <w:rFonts w:hint="eastAsia"/>
          <w:color w:val="auto"/>
          <w:sz w:val="21"/>
          <w:szCs w:val="21"/>
        </w:rPr>
        <w:t>　　一、根据《中华人民共和国中小企业促进法》和《国务院关于进一步促进中小企业发展的若干意见》(国发〔2009〕36号)，制定本规定。</w:t>
      </w:r>
    </w:p>
    <w:p w14:paraId="131B2F80">
      <w:pPr>
        <w:pStyle w:val="37"/>
        <w:spacing w:beforeAutospacing="0" w:afterAutospacing="0"/>
        <w:jc w:val="both"/>
        <w:rPr>
          <w:rFonts w:hint="eastAsia"/>
          <w:color w:val="auto"/>
          <w:sz w:val="21"/>
          <w:szCs w:val="21"/>
        </w:rPr>
      </w:pPr>
      <w:r>
        <w:rPr>
          <w:rFonts w:hint="eastAsia"/>
          <w:color w:val="auto"/>
          <w:sz w:val="21"/>
          <w:szCs w:val="21"/>
        </w:rPr>
        <w:t>　　二、中小企业划分为中型、小型、微型三种类型，具体标准根据企业从业人员、营业收入、资产总额等指标，结合行业特点制定。</w:t>
      </w:r>
    </w:p>
    <w:p w14:paraId="30B6FD29">
      <w:pPr>
        <w:pStyle w:val="37"/>
        <w:spacing w:beforeAutospacing="0" w:afterAutospacing="0"/>
        <w:jc w:val="both"/>
        <w:rPr>
          <w:rFonts w:hint="eastAsia"/>
          <w:color w:val="auto"/>
          <w:sz w:val="21"/>
          <w:szCs w:val="21"/>
        </w:rPr>
      </w:pPr>
      <w:r>
        <w:rPr>
          <w:rFonts w:hint="eastAsia"/>
          <w:color w:val="auto"/>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57B6BA6">
      <w:pPr>
        <w:pStyle w:val="37"/>
        <w:spacing w:beforeAutospacing="0" w:afterAutospacing="0"/>
        <w:jc w:val="both"/>
        <w:rPr>
          <w:rFonts w:hint="eastAsia"/>
          <w:color w:val="auto"/>
          <w:sz w:val="21"/>
          <w:szCs w:val="21"/>
        </w:rPr>
      </w:pPr>
      <w:r>
        <w:rPr>
          <w:rFonts w:hint="eastAsia"/>
          <w:color w:val="auto"/>
          <w:sz w:val="21"/>
          <w:szCs w:val="21"/>
        </w:rPr>
        <w:t>　　四、各行业划型标准为：</w:t>
      </w:r>
    </w:p>
    <w:p w14:paraId="7BA6673B">
      <w:pPr>
        <w:pStyle w:val="37"/>
        <w:spacing w:beforeAutospacing="0" w:afterAutospacing="0"/>
        <w:jc w:val="both"/>
        <w:rPr>
          <w:rFonts w:hint="eastAsia"/>
          <w:color w:val="auto"/>
          <w:sz w:val="21"/>
          <w:szCs w:val="21"/>
        </w:rPr>
      </w:pPr>
      <w:r>
        <w:rPr>
          <w:rFonts w:hint="eastAsia"/>
          <w:color w:val="auto"/>
          <w:sz w:val="21"/>
          <w:szCs w:val="21"/>
        </w:rPr>
        <w:t>　　（一）农、林、牧、渔业。营业收入20000万元以下的为中小微型企业。其中，营业收入500万元及以上的为中型企业，营业收入50万元及以上的为小型企业，营业收入50万元以下的为微型企业。</w:t>
      </w:r>
    </w:p>
    <w:p w14:paraId="775904D5">
      <w:pPr>
        <w:pStyle w:val="37"/>
        <w:spacing w:beforeAutospacing="0" w:afterAutospacing="0"/>
        <w:jc w:val="both"/>
        <w:rPr>
          <w:rFonts w:hint="eastAsia"/>
          <w:color w:val="auto"/>
          <w:sz w:val="21"/>
          <w:szCs w:val="21"/>
        </w:rPr>
      </w:pPr>
      <w:r>
        <w:rPr>
          <w:rFonts w:hint="eastAsia"/>
          <w:color w:val="auto"/>
          <w:sz w:val="21"/>
          <w:szCs w:val="21"/>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DC287F5">
      <w:pPr>
        <w:pStyle w:val="37"/>
        <w:spacing w:beforeAutospacing="0" w:afterAutospacing="0"/>
        <w:jc w:val="both"/>
        <w:rPr>
          <w:rFonts w:hint="eastAsia"/>
          <w:color w:val="auto"/>
          <w:sz w:val="21"/>
          <w:szCs w:val="21"/>
        </w:rPr>
      </w:pPr>
      <w:r>
        <w:rPr>
          <w:rFonts w:hint="eastAsia"/>
          <w:color w:val="auto"/>
          <w:sz w:val="21"/>
          <w:szCs w:val="21"/>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3A7AA2F1">
      <w:pPr>
        <w:pStyle w:val="37"/>
        <w:spacing w:beforeAutospacing="0" w:afterAutospacing="0"/>
        <w:jc w:val="both"/>
        <w:rPr>
          <w:rFonts w:hint="eastAsia"/>
          <w:color w:val="auto"/>
          <w:sz w:val="21"/>
          <w:szCs w:val="21"/>
        </w:rPr>
      </w:pPr>
      <w:r>
        <w:rPr>
          <w:rFonts w:hint="eastAsia"/>
          <w:color w:val="auto"/>
          <w:sz w:val="21"/>
          <w:szCs w:val="21"/>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FB3CDB0">
      <w:pPr>
        <w:pStyle w:val="37"/>
        <w:spacing w:beforeAutospacing="0" w:afterAutospacing="0"/>
        <w:jc w:val="both"/>
        <w:rPr>
          <w:rFonts w:hint="eastAsia"/>
          <w:color w:val="auto"/>
          <w:sz w:val="21"/>
          <w:szCs w:val="21"/>
        </w:rPr>
      </w:pPr>
      <w:r>
        <w:rPr>
          <w:rFonts w:hint="eastAsia"/>
          <w:color w:val="auto"/>
          <w:sz w:val="21"/>
          <w:szCs w:val="21"/>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3D115C0">
      <w:pPr>
        <w:pStyle w:val="37"/>
        <w:spacing w:beforeAutospacing="0" w:afterAutospacing="0"/>
        <w:jc w:val="both"/>
        <w:rPr>
          <w:rFonts w:hint="eastAsia"/>
          <w:color w:val="auto"/>
          <w:sz w:val="21"/>
          <w:szCs w:val="21"/>
        </w:rPr>
      </w:pPr>
      <w:r>
        <w:rPr>
          <w:rFonts w:hint="eastAsia"/>
          <w:color w:val="auto"/>
          <w:sz w:val="21"/>
          <w:szCs w:val="21"/>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606CC56F">
      <w:pPr>
        <w:pStyle w:val="37"/>
        <w:spacing w:beforeAutospacing="0" w:afterAutospacing="0"/>
        <w:jc w:val="both"/>
        <w:rPr>
          <w:rFonts w:hint="eastAsia"/>
          <w:color w:val="auto"/>
          <w:sz w:val="21"/>
          <w:szCs w:val="21"/>
        </w:rPr>
      </w:pPr>
      <w:r>
        <w:rPr>
          <w:rFonts w:hint="eastAsia"/>
          <w:color w:val="auto"/>
          <w:sz w:val="21"/>
          <w:szCs w:val="21"/>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F1B161B">
      <w:pPr>
        <w:pStyle w:val="37"/>
        <w:spacing w:beforeAutospacing="0" w:afterAutospacing="0"/>
        <w:jc w:val="both"/>
        <w:rPr>
          <w:rFonts w:hint="eastAsia"/>
          <w:color w:val="auto"/>
          <w:sz w:val="21"/>
          <w:szCs w:val="21"/>
        </w:rPr>
      </w:pPr>
      <w:r>
        <w:rPr>
          <w:rFonts w:hint="eastAsia"/>
          <w:color w:val="auto"/>
          <w:sz w:val="21"/>
          <w:szCs w:val="21"/>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2265FDA">
      <w:pPr>
        <w:pStyle w:val="37"/>
        <w:spacing w:beforeAutospacing="0" w:afterAutospacing="0"/>
        <w:jc w:val="both"/>
        <w:rPr>
          <w:rFonts w:hint="eastAsia"/>
          <w:color w:val="auto"/>
          <w:sz w:val="21"/>
          <w:szCs w:val="21"/>
        </w:rPr>
      </w:pPr>
      <w:r>
        <w:rPr>
          <w:rFonts w:hint="eastAsia"/>
          <w:color w:val="auto"/>
          <w:sz w:val="21"/>
          <w:szCs w:val="21"/>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37053C9C">
      <w:pPr>
        <w:pStyle w:val="37"/>
        <w:spacing w:beforeAutospacing="0" w:afterAutospacing="0"/>
        <w:jc w:val="both"/>
        <w:rPr>
          <w:rFonts w:hint="eastAsia"/>
          <w:color w:val="auto"/>
          <w:sz w:val="21"/>
          <w:szCs w:val="21"/>
        </w:rPr>
      </w:pPr>
      <w:r>
        <w:rPr>
          <w:rFonts w:hint="eastAsia"/>
          <w:color w:val="auto"/>
          <w:sz w:val="21"/>
          <w:szCs w:val="21"/>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5F7D35D">
      <w:pPr>
        <w:pStyle w:val="37"/>
        <w:spacing w:beforeAutospacing="0" w:afterAutospacing="0"/>
        <w:jc w:val="both"/>
        <w:rPr>
          <w:rFonts w:hint="eastAsia"/>
          <w:color w:val="auto"/>
          <w:sz w:val="21"/>
          <w:szCs w:val="21"/>
        </w:rPr>
      </w:pPr>
      <w:r>
        <w:rPr>
          <w:rFonts w:hint="eastAsia"/>
          <w:color w:val="auto"/>
          <w:sz w:val="21"/>
          <w:szCs w:val="21"/>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031F495">
      <w:pPr>
        <w:pStyle w:val="37"/>
        <w:spacing w:beforeAutospacing="0" w:afterAutospacing="0"/>
        <w:jc w:val="both"/>
        <w:rPr>
          <w:rFonts w:hint="eastAsia"/>
          <w:color w:val="auto"/>
          <w:sz w:val="21"/>
          <w:szCs w:val="21"/>
        </w:rPr>
      </w:pPr>
      <w:r>
        <w:rPr>
          <w:rFonts w:hint="eastAsia"/>
          <w:color w:val="auto"/>
          <w:sz w:val="21"/>
          <w:szCs w:val="21"/>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41D53E6">
      <w:pPr>
        <w:pStyle w:val="37"/>
        <w:spacing w:beforeAutospacing="0" w:afterAutospacing="0"/>
        <w:jc w:val="both"/>
        <w:rPr>
          <w:rFonts w:hint="eastAsia"/>
          <w:color w:val="auto"/>
          <w:sz w:val="21"/>
          <w:szCs w:val="21"/>
        </w:rPr>
      </w:pPr>
      <w:r>
        <w:rPr>
          <w:rFonts w:hint="eastAsia"/>
          <w:color w:val="auto"/>
          <w:sz w:val="21"/>
          <w:szCs w:val="21"/>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7CCD14F">
      <w:pPr>
        <w:pStyle w:val="37"/>
        <w:spacing w:beforeAutospacing="0" w:afterAutospacing="0"/>
        <w:jc w:val="both"/>
        <w:rPr>
          <w:rFonts w:hint="eastAsia"/>
          <w:color w:val="auto"/>
          <w:sz w:val="21"/>
          <w:szCs w:val="21"/>
        </w:rPr>
      </w:pPr>
      <w:r>
        <w:rPr>
          <w:rFonts w:hint="eastAsia"/>
          <w:color w:val="auto"/>
          <w:sz w:val="21"/>
          <w:szCs w:val="21"/>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09BE32C">
      <w:pPr>
        <w:pStyle w:val="37"/>
        <w:spacing w:beforeAutospacing="0" w:afterAutospacing="0"/>
        <w:jc w:val="both"/>
        <w:rPr>
          <w:rFonts w:hint="eastAsia"/>
          <w:color w:val="auto"/>
          <w:sz w:val="21"/>
          <w:szCs w:val="21"/>
        </w:rPr>
      </w:pPr>
      <w:r>
        <w:rPr>
          <w:rFonts w:hint="eastAsia"/>
          <w:color w:val="auto"/>
          <w:sz w:val="21"/>
          <w:szCs w:val="21"/>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4FE65D6">
      <w:pPr>
        <w:pStyle w:val="37"/>
        <w:spacing w:beforeAutospacing="0" w:afterAutospacing="0"/>
        <w:jc w:val="both"/>
        <w:rPr>
          <w:rFonts w:hint="eastAsia"/>
          <w:color w:val="auto"/>
          <w:sz w:val="21"/>
          <w:szCs w:val="21"/>
        </w:rPr>
      </w:pPr>
      <w:r>
        <w:rPr>
          <w:rFonts w:hint="eastAsia"/>
          <w:color w:val="auto"/>
          <w:sz w:val="21"/>
          <w:szCs w:val="21"/>
        </w:rPr>
        <w:t>　　（十六）其他未列明行业。从业人员300人以下的为中小微型企业。其中，从业人员100人及以上的为中型企业；从业人员10人及以上的为小型企业；从业人员10人以下的为微型企业。</w:t>
      </w:r>
    </w:p>
    <w:p w14:paraId="5982A438">
      <w:pPr>
        <w:pStyle w:val="37"/>
        <w:spacing w:beforeAutospacing="0" w:afterAutospacing="0"/>
        <w:jc w:val="both"/>
        <w:rPr>
          <w:rFonts w:hint="eastAsia"/>
          <w:color w:val="auto"/>
          <w:sz w:val="21"/>
          <w:szCs w:val="21"/>
        </w:rPr>
      </w:pPr>
      <w:r>
        <w:rPr>
          <w:rFonts w:hint="eastAsia"/>
          <w:color w:val="auto"/>
          <w:sz w:val="21"/>
          <w:szCs w:val="21"/>
        </w:rPr>
        <w:t>　　五、企业类型的划分以统计部门的统计数据为依据。</w:t>
      </w:r>
    </w:p>
    <w:p w14:paraId="4E5AC8D0">
      <w:pPr>
        <w:pStyle w:val="37"/>
        <w:spacing w:beforeAutospacing="0" w:afterAutospacing="0"/>
        <w:jc w:val="both"/>
        <w:rPr>
          <w:rFonts w:hint="eastAsia"/>
          <w:color w:val="auto"/>
          <w:sz w:val="21"/>
          <w:szCs w:val="21"/>
        </w:rPr>
      </w:pPr>
      <w:r>
        <w:rPr>
          <w:rFonts w:hint="eastAsia"/>
          <w:color w:val="auto"/>
          <w:sz w:val="21"/>
          <w:szCs w:val="21"/>
        </w:rPr>
        <w:t>　　六、本规定适用于在中华人民共和国境内依法设立的各类所有制和各种组织形式的企业。个体工商户和本规定以外的行业，参照本规定进行划型。</w:t>
      </w:r>
    </w:p>
    <w:p w14:paraId="1A0F9A2C">
      <w:pPr>
        <w:pStyle w:val="37"/>
        <w:spacing w:beforeAutospacing="0" w:afterAutospacing="0"/>
        <w:jc w:val="both"/>
        <w:rPr>
          <w:rFonts w:hint="eastAsia"/>
          <w:color w:val="auto"/>
          <w:sz w:val="21"/>
          <w:szCs w:val="21"/>
        </w:rPr>
      </w:pPr>
      <w:r>
        <w:rPr>
          <w:rFonts w:hint="eastAsia"/>
          <w:color w:val="auto"/>
          <w:sz w:val="21"/>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5E22AD49">
      <w:pPr>
        <w:pStyle w:val="37"/>
        <w:spacing w:beforeAutospacing="0" w:afterAutospacing="0"/>
        <w:jc w:val="both"/>
        <w:rPr>
          <w:rFonts w:hint="eastAsia"/>
          <w:color w:val="auto"/>
          <w:sz w:val="21"/>
          <w:szCs w:val="21"/>
        </w:rPr>
      </w:pPr>
      <w:r>
        <w:rPr>
          <w:rFonts w:hint="eastAsia"/>
          <w:color w:val="auto"/>
          <w:sz w:val="21"/>
          <w:szCs w:val="21"/>
        </w:rPr>
        <w:t>　　八、本规定由工业和信息化部、国家统计局会同有关部门根据《国民经济行业分类》修订情况和企业发展变化情况适时修订。</w:t>
      </w:r>
    </w:p>
    <w:p w14:paraId="30581F2E">
      <w:pPr>
        <w:pStyle w:val="37"/>
        <w:spacing w:beforeAutospacing="0" w:afterAutospacing="0"/>
        <w:jc w:val="both"/>
        <w:rPr>
          <w:rFonts w:hint="eastAsia"/>
          <w:color w:val="auto"/>
          <w:sz w:val="21"/>
          <w:szCs w:val="21"/>
        </w:rPr>
      </w:pPr>
      <w:r>
        <w:rPr>
          <w:rFonts w:hint="eastAsia"/>
          <w:color w:val="auto"/>
          <w:sz w:val="21"/>
          <w:szCs w:val="21"/>
        </w:rPr>
        <w:t>　　九、本规定由工业和信息化部、国家统计局会同有关部门负责解释。</w:t>
      </w:r>
    </w:p>
    <w:p w14:paraId="52357B01">
      <w:pPr>
        <w:pStyle w:val="37"/>
        <w:spacing w:beforeAutospacing="0" w:afterAutospacing="0"/>
        <w:jc w:val="both"/>
        <w:rPr>
          <w:rFonts w:hint="eastAsia"/>
          <w:color w:val="auto"/>
          <w:sz w:val="21"/>
          <w:szCs w:val="21"/>
        </w:rPr>
      </w:pPr>
      <w:r>
        <w:rPr>
          <w:rFonts w:hint="eastAsia"/>
          <w:color w:val="auto"/>
          <w:sz w:val="21"/>
          <w:szCs w:val="21"/>
        </w:rPr>
        <w:t>　　十、本规定自发布之日起执行，原国家经贸委、原国家计委、财政部和国家统计局2003年颁布的《中小企业标准暂行规定》同时废止。</w:t>
      </w:r>
    </w:p>
    <w:p w14:paraId="5CFE392F">
      <w:pPr>
        <w:pStyle w:val="37"/>
        <w:spacing w:beforeAutospacing="0" w:afterAutospacing="0"/>
        <w:jc w:val="both"/>
        <w:rPr>
          <w:rFonts w:hint="eastAsia"/>
          <w:color w:val="auto"/>
          <w:sz w:val="21"/>
          <w:szCs w:val="21"/>
        </w:rPr>
      </w:pPr>
    </w:p>
    <w:p w14:paraId="7F7A86F5">
      <w:pPr>
        <w:pStyle w:val="5"/>
        <w:spacing w:before="0" w:after="0" w:line="240" w:lineRule="auto"/>
        <w:ind w:firstLine="480"/>
        <w:jc w:val="center"/>
        <w:rPr>
          <w:rFonts w:hint="eastAsia" w:ascii="方正小标宋_GBK" w:hAnsi="方正小标宋_GBK" w:eastAsia="方正小标宋_GBK" w:cs="方正小标宋_GBK"/>
          <w:b/>
          <w:color w:val="auto"/>
        </w:rPr>
      </w:pPr>
      <w:bookmarkStart w:id="100" w:name="_Toc73613646"/>
      <w:bookmarkStart w:id="101" w:name="_Toc73610164"/>
      <w:r>
        <w:rPr>
          <w:rFonts w:hint="eastAsia" w:ascii="方正小标宋_GBK" w:hAnsi="方正小标宋_GBK" w:eastAsia="方正小标宋_GBK" w:cs="方正小标宋_GBK"/>
          <w:b/>
          <w:color w:val="auto"/>
        </w:rPr>
        <w:t>三、国家统计局关于印发《统计上大中小微型企业划分办法 （2017）》的通知</w:t>
      </w:r>
      <w:bookmarkEnd w:id="100"/>
      <w:bookmarkEnd w:id="101"/>
    </w:p>
    <w:p w14:paraId="2B016A26">
      <w:pPr>
        <w:rPr>
          <w:rFonts w:hint="eastAsia" w:ascii="宋体" w:hAnsi="宋体" w:cs="Arial"/>
          <w:color w:val="auto"/>
        </w:rPr>
      </w:pPr>
    </w:p>
    <w:p w14:paraId="3AC85DF2">
      <w:pPr>
        <w:rPr>
          <w:rFonts w:hint="eastAsia" w:ascii="宋体" w:hAnsi="宋体" w:cs="宋体"/>
          <w:color w:val="auto"/>
        </w:rPr>
      </w:pPr>
      <w:r>
        <w:rPr>
          <w:rFonts w:ascii="宋体" w:hAnsi="宋体" w:cs="宋体"/>
          <w:color w:val="auto"/>
        </w:rPr>
        <w:t>各省、自治区、直辖市统计局，新疆生产建设兵团统计局，国务院各有关部门，国家统计局各调查总队：</w:t>
      </w:r>
    </w:p>
    <w:p w14:paraId="48232E4D">
      <w:pPr>
        <w:ind w:firstLine="371" w:firstLineChars="177"/>
        <w:rPr>
          <w:rFonts w:hint="eastAsia" w:ascii="宋体" w:hAnsi="宋体" w:cs="宋体"/>
          <w:color w:val="auto"/>
        </w:rPr>
      </w:pPr>
      <w:r>
        <w:rPr>
          <w:rFonts w:ascii="宋体" w:hAnsi="宋体" w:cs="宋体"/>
          <w:color w:va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39D8A01">
      <w:pPr>
        <w:rPr>
          <w:rFonts w:hint="eastAsia" w:ascii="宋体" w:hAnsi="宋体" w:cs="宋体"/>
          <w:color w:val="auto"/>
        </w:rPr>
      </w:pPr>
      <w:r>
        <w:rPr>
          <w:rFonts w:ascii="宋体" w:hAnsi="宋体" w:cs="宋体"/>
          <w:color w:val="auto"/>
        </w:rPr>
        <w:t>附件：《统计上大中小微型企业划分办法（2017）》修订说明</w:t>
      </w:r>
    </w:p>
    <w:p w14:paraId="49B15137">
      <w:pPr>
        <w:jc w:val="right"/>
        <w:rPr>
          <w:rFonts w:hint="eastAsia" w:ascii="宋体" w:hAnsi="宋体" w:cs="宋体"/>
          <w:color w:val="auto"/>
        </w:rPr>
      </w:pPr>
      <w:r>
        <w:rPr>
          <w:rFonts w:ascii="宋体" w:hAnsi="宋体" w:cs="宋体"/>
          <w:color w:val="auto"/>
        </w:rPr>
        <w:t>国家统计局</w:t>
      </w:r>
    </w:p>
    <w:p w14:paraId="51AB1C32">
      <w:pPr>
        <w:jc w:val="right"/>
        <w:rPr>
          <w:rFonts w:hint="eastAsia" w:ascii="宋体" w:hAnsi="宋体" w:cs="宋体"/>
          <w:color w:val="auto"/>
        </w:rPr>
      </w:pPr>
      <w:r>
        <w:rPr>
          <w:rFonts w:ascii="宋体" w:hAnsi="宋体" w:cs="宋体"/>
          <w:color w:val="auto"/>
        </w:rPr>
        <w:t>2017年12月28日</w:t>
      </w:r>
    </w:p>
    <w:p w14:paraId="353A26A7">
      <w:pPr>
        <w:rPr>
          <w:rFonts w:hint="eastAsia" w:ascii="宋体" w:hAnsi="宋体" w:cs="宋体"/>
          <w:b/>
          <w:bCs/>
          <w:color w:val="auto"/>
        </w:rPr>
      </w:pPr>
    </w:p>
    <w:p w14:paraId="2591341F">
      <w:pPr>
        <w:jc w:val="center"/>
        <w:rPr>
          <w:rFonts w:hint="eastAsia" w:ascii="方正小标宋_GBK" w:hAnsi="方正小标宋_GBK" w:eastAsia="方正小标宋_GBK" w:cs="方正小标宋_GBK"/>
          <w:b/>
          <w:bCs/>
          <w:color w:val="auto"/>
          <w:sz w:val="24"/>
          <w:szCs w:val="24"/>
        </w:rPr>
      </w:pPr>
      <w:r>
        <w:rPr>
          <w:rFonts w:hint="eastAsia" w:ascii="方正小标宋_GBK" w:hAnsi="方正小标宋_GBK" w:eastAsia="方正小标宋_GBK" w:cs="方正小标宋_GBK"/>
          <w:b/>
          <w:bCs/>
          <w:color w:val="auto"/>
          <w:sz w:val="24"/>
          <w:szCs w:val="24"/>
        </w:rPr>
        <w:t>统计上大中小微型企业划分办法（2017）</w:t>
      </w:r>
    </w:p>
    <w:p w14:paraId="3562272B">
      <w:pPr>
        <w:rPr>
          <w:rFonts w:hint="eastAsia" w:ascii="宋体" w:hAnsi="宋体" w:cs="宋体"/>
          <w:color w:val="auto"/>
        </w:rPr>
      </w:pPr>
    </w:p>
    <w:p w14:paraId="7BA03BF2">
      <w:pPr>
        <w:ind w:firstLine="371" w:firstLineChars="177"/>
        <w:rPr>
          <w:rFonts w:hint="eastAsia" w:ascii="宋体" w:hAnsi="宋体" w:cs="宋体"/>
          <w:color w:val="auto"/>
        </w:rPr>
      </w:pPr>
      <w:r>
        <w:rPr>
          <w:rFonts w:ascii="宋体" w:hAnsi="宋体" w:cs="宋体"/>
          <w:color w:va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60532042">
      <w:pPr>
        <w:ind w:firstLine="371" w:firstLineChars="177"/>
        <w:rPr>
          <w:rFonts w:hint="eastAsia" w:ascii="宋体" w:hAnsi="宋体" w:cs="宋体"/>
          <w:color w:val="auto"/>
        </w:rPr>
      </w:pPr>
      <w:r>
        <w:rPr>
          <w:rFonts w:ascii="宋体" w:hAnsi="宋体" w:cs="宋体"/>
          <w:color w:val="auto"/>
        </w:rPr>
        <w:t>二、本办法适用对象为在中华人民共和国境内依法设立的各种组织形式的法人企业或单位。个体工商户参照本办法进行划分。</w:t>
      </w:r>
    </w:p>
    <w:p w14:paraId="3F1EDFF5">
      <w:pPr>
        <w:ind w:firstLine="371" w:firstLineChars="177"/>
        <w:rPr>
          <w:rFonts w:hint="eastAsia" w:ascii="宋体" w:hAnsi="宋体" w:cs="宋体"/>
          <w:color w:val="auto"/>
        </w:rPr>
      </w:pPr>
      <w:r>
        <w:rPr>
          <w:rFonts w:ascii="宋体" w:hAnsi="宋体" w:cs="宋体"/>
          <w:color w:va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011C53C">
      <w:pPr>
        <w:ind w:firstLine="371" w:firstLineChars="177"/>
        <w:rPr>
          <w:rFonts w:hint="eastAsia" w:ascii="宋体" w:hAnsi="宋体" w:cs="宋体"/>
          <w:color w:val="auto"/>
        </w:rPr>
      </w:pPr>
      <w:r>
        <w:rPr>
          <w:rFonts w:ascii="宋体" w:hAnsi="宋体" w:cs="宋体"/>
          <w:color w:val="auto"/>
        </w:rPr>
        <w:t>四、本办法按照行业门类、大类、中类和组合类别，依据从业人员、营业收入、资产总额等指标或替代指标，将我国的企业划分为大型、中型、小型、微型等四种类型。具体划分标准见附表。</w:t>
      </w:r>
    </w:p>
    <w:p w14:paraId="1584D0F5">
      <w:pPr>
        <w:ind w:firstLine="371" w:firstLineChars="177"/>
        <w:rPr>
          <w:rFonts w:hint="eastAsia" w:ascii="宋体" w:hAnsi="宋体" w:cs="宋体"/>
          <w:color w:val="auto"/>
        </w:rPr>
      </w:pPr>
      <w:r>
        <w:rPr>
          <w:rFonts w:ascii="宋体" w:hAnsi="宋体" w:cs="宋体"/>
          <w:color w:val="auto"/>
        </w:rPr>
        <w:t>五、企业划分由政府综合统计部门根据统计年报每年确定一次，定报统计原则上不进行调整。</w:t>
      </w:r>
    </w:p>
    <w:p w14:paraId="278D5FF6">
      <w:pPr>
        <w:ind w:firstLine="371" w:firstLineChars="177"/>
        <w:rPr>
          <w:rFonts w:hint="eastAsia" w:ascii="宋体" w:hAnsi="宋体" w:cs="宋体"/>
          <w:color w:val="auto"/>
        </w:rPr>
      </w:pPr>
      <w:r>
        <w:rPr>
          <w:rFonts w:ascii="宋体" w:hAnsi="宋体" w:cs="宋体"/>
          <w:color w:val="auto"/>
        </w:rPr>
        <w:t>六、本办法自印发之日起执行，国家统计局2011年印发的《统计上大中小微型企业划分办法》（国统字〔2011〕75号）同时废止。</w:t>
      </w:r>
    </w:p>
    <w:p w14:paraId="39910E64">
      <w:pPr>
        <w:rPr>
          <w:rFonts w:hint="eastAsia" w:ascii="宋体" w:hAnsi="宋体" w:cs="宋体"/>
          <w:color w:val="auto"/>
        </w:rPr>
      </w:pPr>
    </w:p>
    <w:p w14:paraId="4935648F">
      <w:pPr>
        <w:rPr>
          <w:rFonts w:hint="eastAsia" w:ascii="宋体" w:hAnsi="宋体" w:cs="宋体"/>
          <w:color w:val="auto"/>
        </w:rPr>
      </w:pPr>
      <w:r>
        <w:rPr>
          <w:rFonts w:ascii="宋体" w:hAnsi="宋体" w:cs="宋体"/>
          <w:color w:val="auto"/>
        </w:rPr>
        <w:t>附件</w:t>
      </w:r>
    </w:p>
    <w:p w14:paraId="0CF2F6D8">
      <w:pPr>
        <w:jc w:val="center"/>
        <w:rPr>
          <w:rFonts w:hint="eastAsia" w:ascii="方正小标宋_GBK" w:hAnsi="方正小标宋_GBK" w:eastAsia="方正小标宋_GBK" w:cs="方正小标宋_GBK"/>
          <w:color w:val="auto"/>
          <w:sz w:val="24"/>
          <w:szCs w:val="24"/>
        </w:rPr>
      </w:pPr>
      <w:r>
        <w:rPr>
          <w:rFonts w:hint="eastAsia" w:ascii="方正小标宋_GBK" w:hAnsi="方正小标宋_GBK" w:eastAsia="方正小标宋_GBK" w:cs="方正小标宋_GBK"/>
          <w:b/>
          <w:bCs/>
          <w:color w:val="auto"/>
          <w:sz w:val="24"/>
          <w:szCs w:val="24"/>
        </w:rPr>
        <w:t>《统计上大中小微型企业划分办法（2017）》修订说明</w:t>
      </w:r>
    </w:p>
    <w:p w14:paraId="6B6FC2F1">
      <w:pPr>
        <w:rPr>
          <w:rFonts w:hint="eastAsia" w:ascii="宋体" w:hAnsi="宋体" w:cs="宋体"/>
          <w:color w:val="auto"/>
        </w:rPr>
      </w:pPr>
    </w:p>
    <w:p w14:paraId="3BF03D0F">
      <w:pPr>
        <w:ind w:firstLine="371" w:firstLineChars="177"/>
        <w:rPr>
          <w:rFonts w:hint="eastAsia" w:ascii="宋体" w:hAnsi="宋体" w:cs="宋体"/>
          <w:color w:val="auto"/>
        </w:rPr>
      </w:pPr>
      <w:r>
        <w:rPr>
          <w:rFonts w:ascii="宋体" w:hAnsi="宋体" w:cs="宋体"/>
          <w:color w:val="auto"/>
        </w:rPr>
        <w:t>一、修订背景</w:t>
      </w:r>
    </w:p>
    <w:p w14:paraId="50BD6CF0">
      <w:pPr>
        <w:ind w:firstLine="371" w:firstLineChars="177"/>
        <w:rPr>
          <w:rFonts w:hint="eastAsia" w:ascii="宋体" w:hAnsi="宋体" w:cs="宋体"/>
          <w:color w:val="auto"/>
        </w:rPr>
      </w:pPr>
      <w:r>
        <w:rPr>
          <w:rFonts w:ascii="宋体" w:hAnsi="宋体" w:cs="宋体"/>
          <w:color w:val="auto"/>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 4754—2011），制定并颁布的。</w:t>
      </w:r>
    </w:p>
    <w:p w14:paraId="430A2500">
      <w:pPr>
        <w:ind w:firstLine="371" w:firstLineChars="177"/>
        <w:rPr>
          <w:rFonts w:hint="eastAsia" w:ascii="宋体" w:hAnsi="宋体" w:cs="宋体"/>
          <w:color w:val="auto"/>
        </w:rPr>
      </w:pPr>
      <w:r>
        <w:rPr>
          <w:rFonts w:ascii="宋体" w:hAnsi="宋体" w:cs="宋体"/>
          <w:color w:val="auto"/>
        </w:rPr>
        <w:t>2017年6月30日，《国民经济行业分类》（GB/T 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0EC339">
      <w:pPr>
        <w:ind w:firstLine="371" w:firstLineChars="177"/>
        <w:rPr>
          <w:rFonts w:hint="eastAsia" w:ascii="宋体" w:hAnsi="宋体" w:cs="宋体"/>
          <w:color w:val="auto"/>
        </w:rPr>
      </w:pPr>
      <w:r>
        <w:rPr>
          <w:rFonts w:ascii="宋体" w:hAnsi="宋体" w:cs="宋体"/>
          <w:color w:val="auto"/>
        </w:rPr>
        <w:t>二、修订主要内容</w:t>
      </w:r>
    </w:p>
    <w:p w14:paraId="1584C402">
      <w:pPr>
        <w:ind w:firstLine="371" w:firstLineChars="177"/>
        <w:rPr>
          <w:rFonts w:hint="eastAsia" w:ascii="宋体" w:hAnsi="宋体" w:cs="宋体"/>
          <w:color w:val="auto"/>
        </w:rPr>
      </w:pPr>
      <w:r>
        <w:rPr>
          <w:rFonts w:ascii="宋体" w:hAnsi="宋体" w:cs="宋体"/>
          <w:color w:val="auto"/>
        </w:rPr>
        <w:t>本次修订是在2011年《统计上大中小微型企业划分办法》基础上进行的，修订延续原有的分类原则、方法和结构框架，在保持适用范围不变的情况下,依据标准由《国民经济行业分类》（GB/T 4754—2011）修改为《国民经济行业分类》（GB/T 4754—2017），并根据新旧国民经济行业的对应关系，进行了行业所包含类别的对应调整。</w:t>
      </w:r>
    </w:p>
    <w:p w14:paraId="16B7675F">
      <w:pPr>
        <w:ind w:firstLine="371" w:firstLineChars="177"/>
        <w:rPr>
          <w:rFonts w:hint="eastAsia" w:ascii="宋体" w:hAnsi="宋体" w:cs="宋体"/>
          <w:color w:val="auto"/>
        </w:rPr>
      </w:pPr>
      <w:r>
        <w:rPr>
          <w:rFonts w:ascii="宋体" w:hAnsi="宋体" w:cs="宋体"/>
          <w:color w:val="auto"/>
        </w:rPr>
        <w:t>将交通运输业中包括的“装卸搬运和运输代理业”修改为“多式联运和运输代理业、装卸搬运”。</w:t>
      </w:r>
    </w:p>
    <w:p w14:paraId="349EF262">
      <w:pPr>
        <w:rPr>
          <w:rFonts w:hint="eastAsia" w:ascii="宋体" w:hAnsi="宋体" w:cs="宋体"/>
          <w:color w:val="auto"/>
        </w:rPr>
      </w:pPr>
      <w:r>
        <w:rPr>
          <w:rFonts w:ascii="宋体" w:hAnsi="宋体" w:cs="宋体"/>
          <w:color w:val="auto"/>
        </w:rPr>
        <w:t>仓储业所包括的行业中类，根据《国民经济行业分类》（GB/T 4754—2017）调整为“通用仓储，低温仓储，危险品仓储，谷物、棉花等农产品仓储，中药材仓储和其他仓储业”。</w:t>
      </w:r>
    </w:p>
    <w:p w14:paraId="5F0A65E1">
      <w:pPr>
        <w:rPr>
          <w:rFonts w:hint="eastAsia" w:ascii="宋体" w:hAnsi="宋体" w:cs="宋体"/>
          <w:color w:val="auto"/>
        </w:rPr>
      </w:pPr>
    </w:p>
    <w:p w14:paraId="70F5EA1F">
      <w:pPr>
        <w:spacing w:line="360" w:lineRule="auto"/>
        <w:rPr>
          <w:rFonts w:hint="eastAsia" w:ascii="宋体" w:hAnsi="宋体" w:cs="宋体"/>
          <w:color w:val="auto"/>
        </w:rPr>
      </w:pPr>
      <w:r>
        <w:rPr>
          <w:rFonts w:ascii="宋体" w:hAnsi="宋体" w:cs="宋体"/>
          <w:color w:val="auto"/>
        </w:rPr>
        <w:t>附表</w:t>
      </w:r>
    </w:p>
    <w:p w14:paraId="21240E26">
      <w:pPr>
        <w:spacing w:line="360" w:lineRule="auto"/>
        <w:jc w:val="center"/>
        <w:rPr>
          <w:rFonts w:hint="eastAsia" w:ascii="宋体" w:hAnsi="宋体" w:cs="宋体"/>
          <w:color w:val="auto"/>
        </w:rPr>
      </w:pPr>
      <w:r>
        <w:rPr>
          <w:rFonts w:ascii="宋体" w:hAnsi="宋体" w:cs="宋体"/>
          <w:b/>
          <w:bCs/>
          <w:color w:val="auto"/>
        </w:rPr>
        <w:t>统计上大中小微型企业划分标准</w:t>
      </w:r>
    </w:p>
    <w:tbl>
      <w:tblPr>
        <w:tblStyle w:val="42"/>
        <w:tblW w:w="0" w:type="auto"/>
        <w:jc w:val="center"/>
        <w:tblLayout w:type="fixed"/>
        <w:tblCellMar>
          <w:top w:w="0" w:type="dxa"/>
          <w:left w:w="108" w:type="dxa"/>
          <w:bottom w:w="0" w:type="dxa"/>
          <w:right w:w="108" w:type="dxa"/>
        </w:tblCellMar>
      </w:tblPr>
      <w:tblGrid>
        <w:gridCol w:w="2113"/>
        <w:gridCol w:w="1369"/>
        <w:gridCol w:w="709"/>
        <w:gridCol w:w="1125"/>
        <w:gridCol w:w="1701"/>
        <w:gridCol w:w="1426"/>
        <w:gridCol w:w="992"/>
      </w:tblGrid>
      <w:tr w14:paraId="1AA7DCA1">
        <w:tblPrEx>
          <w:tblCellMar>
            <w:top w:w="0" w:type="dxa"/>
            <w:left w:w="108" w:type="dxa"/>
            <w:bottom w:w="0" w:type="dxa"/>
            <w:right w:w="108" w:type="dxa"/>
          </w:tblCellMar>
        </w:tblPrEx>
        <w:trPr>
          <w:trHeight w:val="622" w:hRule="exact"/>
          <w:jc w:val="center"/>
        </w:trPr>
        <w:tc>
          <w:tcPr>
            <w:tcW w:w="2113" w:type="dxa"/>
            <w:tcBorders>
              <w:top w:val="single" w:color="auto" w:sz="4" w:space="0"/>
              <w:left w:val="nil"/>
              <w:bottom w:val="single" w:color="auto" w:sz="4" w:space="0"/>
              <w:right w:val="single" w:color="auto" w:sz="4" w:space="0"/>
            </w:tcBorders>
            <w:vAlign w:val="center"/>
          </w:tcPr>
          <w:p w14:paraId="5DC344DA">
            <w:pPr>
              <w:widowControl/>
              <w:spacing w:line="240" w:lineRule="exact"/>
              <w:jc w:val="center"/>
              <w:rPr>
                <w:rFonts w:hint="eastAsia" w:ascii="宋体" w:hAnsi="宋体" w:cs="宋体"/>
                <w:b/>
                <w:bCs/>
                <w:color w:val="auto"/>
                <w:sz w:val="18"/>
              </w:rPr>
            </w:pPr>
            <w:r>
              <w:rPr>
                <w:rFonts w:hint="eastAsia" w:ascii="宋体" w:hAnsi="宋体" w:cs="宋体"/>
                <w:b/>
                <w:bCs/>
                <w:color w:val="auto"/>
                <w:sz w:val="18"/>
              </w:rPr>
              <w:t>行业名称</w:t>
            </w:r>
          </w:p>
        </w:tc>
        <w:tc>
          <w:tcPr>
            <w:tcW w:w="1369" w:type="dxa"/>
            <w:tcBorders>
              <w:top w:val="single" w:color="auto" w:sz="4" w:space="0"/>
              <w:left w:val="nil"/>
              <w:bottom w:val="single" w:color="auto" w:sz="4" w:space="0"/>
              <w:right w:val="single" w:color="auto" w:sz="4" w:space="0"/>
            </w:tcBorders>
            <w:vAlign w:val="center"/>
          </w:tcPr>
          <w:p w14:paraId="61581EA0">
            <w:pPr>
              <w:widowControl/>
              <w:jc w:val="center"/>
              <w:rPr>
                <w:rFonts w:hint="eastAsia" w:ascii="宋体" w:hAnsi="宋体" w:cs="宋体"/>
                <w:b/>
                <w:bCs/>
                <w:color w:val="auto"/>
                <w:sz w:val="18"/>
                <w:szCs w:val="18"/>
              </w:rPr>
            </w:pPr>
            <w:r>
              <w:rPr>
                <w:rFonts w:hint="eastAsia" w:ascii="宋体" w:hAnsi="宋体" w:cs="宋体"/>
                <w:b/>
                <w:bCs/>
                <w:color w:val="auto"/>
                <w:sz w:val="18"/>
                <w:szCs w:val="18"/>
              </w:rPr>
              <w:t>指标名称</w:t>
            </w:r>
          </w:p>
        </w:tc>
        <w:tc>
          <w:tcPr>
            <w:tcW w:w="709" w:type="dxa"/>
            <w:tcBorders>
              <w:top w:val="single" w:color="auto" w:sz="4" w:space="0"/>
              <w:left w:val="nil"/>
              <w:bottom w:val="single" w:color="auto" w:sz="4" w:space="0"/>
              <w:right w:val="single" w:color="auto" w:sz="4" w:space="0"/>
            </w:tcBorders>
            <w:vAlign w:val="center"/>
          </w:tcPr>
          <w:p w14:paraId="234C27C3">
            <w:pPr>
              <w:widowControl/>
              <w:jc w:val="center"/>
              <w:rPr>
                <w:rFonts w:hint="eastAsia" w:ascii="宋体" w:hAnsi="宋体" w:cs="宋体"/>
                <w:b/>
                <w:bCs/>
                <w:color w:val="auto"/>
                <w:sz w:val="18"/>
                <w:szCs w:val="18"/>
              </w:rPr>
            </w:pPr>
            <w:r>
              <w:rPr>
                <w:rFonts w:hint="eastAsia" w:ascii="宋体" w:hAnsi="宋体" w:cs="宋体"/>
                <w:b/>
                <w:bCs/>
                <w:color w:val="auto"/>
                <w:sz w:val="18"/>
                <w:szCs w:val="18"/>
              </w:rPr>
              <w:t>计量</w:t>
            </w:r>
          </w:p>
          <w:p w14:paraId="7D6019FD">
            <w:pPr>
              <w:widowControl/>
              <w:jc w:val="center"/>
              <w:rPr>
                <w:rFonts w:hint="eastAsia" w:ascii="宋体" w:hAnsi="宋体" w:cs="宋体"/>
                <w:b/>
                <w:bCs/>
                <w:color w:val="auto"/>
                <w:sz w:val="18"/>
                <w:szCs w:val="18"/>
              </w:rPr>
            </w:pPr>
            <w:r>
              <w:rPr>
                <w:rFonts w:hint="eastAsia" w:ascii="宋体" w:hAnsi="宋体" w:cs="宋体"/>
                <w:b/>
                <w:bCs/>
                <w:color w:val="auto"/>
                <w:sz w:val="18"/>
                <w:szCs w:val="18"/>
              </w:rPr>
              <w:t>单位</w:t>
            </w:r>
          </w:p>
        </w:tc>
        <w:tc>
          <w:tcPr>
            <w:tcW w:w="1125" w:type="dxa"/>
            <w:tcBorders>
              <w:top w:val="single" w:color="auto" w:sz="4" w:space="0"/>
              <w:left w:val="nil"/>
              <w:bottom w:val="single" w:color="auto" w:sz="4" w:space="0"/>
              <w:right w:val="single" w:color="auto" w:sz="4" w:space="0"/>
            </w:tcBorders>
            <w:vAlign w:val="center"/>
          </w:tcPr>
          <w:p w14:paraId="6B11A267">
            <w:pPr>
              <w:widowControl/>
              <w:jc w:val="center"/>
              <w:rPr>
                <w:rFonts w:hint="eastAsia" w:ascii="宋体" w:hAnsi="宋体" w:cs="宋体"/>
                <w:b/>
                <w:bCs/>
                <w:color w:val="auto"/>
                <w:sz w:val="18"/>
                <w:szCs w:val="18"/>
              </w:rPr>
            </w:pPr>
            <w:r>
              <w:rPr>
                <w:rFonts w:hint="eastAsia" w:ascii="宋体" w:hAnsi="宋体" w:cs="宋体"/>
                <w:b/>
                <w:bCs/>
                <w:color w:val="auto"/>
                <w:sz w:val="18"/>
                <w:szCs w:val="18"/>
              </w:rPr>
              <w:t>大型</w:t>
            </w:r>
          </w:p>
        </w:tc>
        <w:tc>
          <w:tcPr>
            <w:tcW w:w="1701" w:type="dxa"/>
            <w:tcBorders>
              <w:top w:val="single" w:color="auto" w:sz="4" w:space="0"/>
              <w:left w:val="nil"/>
              <w:bottom w:val="single" w:color="auto" w:sz="4" w:space="0"/>
              <w:right w:val="single" w:color="auto" w:sz="4" w:space="0"/>
            </w:tcBorders>
            <w:vAlign w:val="center"/>
          </w:tcPr>
          <w:p w14:paraId="5FE727FD">
            <w:pPr>
              <w:widowControl/>
              <w:jc w:val="center"/>
              <w:rPr>
                <w:rFonts w:hint="eastAsia" w:ascii="宋体" w:hAnsi="宋体" w:cs="宋体"/>
                <w:b/>
                <w:bCs/>
                <w:color w:val="auto"/>
                <w:sz w:val="18"/>
                <w:szCs w:val="18"/>
              </w:rPr>
            </w:pPr>
            <w:r>
              <w:rPr>
                <w:rFonts w:hint="eastAsia" w:ascii="宋体" w:hAnsi="宋体" w:cs="宋体"/>
                <w:b/>
                <w:bCs/>
                <w:color w:val="auto"/>
                <w:sz w:val="18"/>
                <w:szCs w:val="18"/>
              </w:rPr>
              <w:t>中型</w:t>
            </w:r>
          </w:p>
        </w:tc>
        <w:tc>
          <w:tcPr>
            <w:tcW w:w="1426" w:type="dxa"/>
            <w:tcBorders>
              <w:top w:val="single" w:color="auto" w:sz="4" w:space="0"/>
              <w:left w:val="nil"/>
              <w:bottom w:val="single" w:color="auto" w:sz="4" w:space="0"/>
              <w:right w:val="single" w:color="auto" w:sz="4" w:space="0"/>
            </w:tcBorders>
            <w:vAlign w:val="center"/>
          </w:tcPr>
          <w:p w14:paraId="06675F2D">
            <w:pPr>
              <w:widowControl/>
              <w:jc w:val="center"/>
              <w:rPr>
                <w:rFonts w:hint="eastAsia" w:ascii="宋体" w:hAnsi="宋体" w:cs="宋体"/>
                <w:b/>
                <w:bCs/>
                <w:color w:val="auto"/>
                <w:sz w:val="18"/>
                <w:szCs w:val="18"/>
              </w:rPr>
            </w:pPr>
            <w:r>
              <w:rPr>
                <w:rFonts w:hint="eastAsia" w:ascii="宋体" w:hAnsi="宋体" w:cs="宋体"/>
                <w:b/>
                <w:bCs/>
                <w:color w:val="auto"/>
                <w:sz w:val="18"/>
                <w:szCs w:val="18"/>
              </w:rPr>
              <w:t>小型</w:t>
            </w:r>
          </w:p>
        </w:tc>
        <w:tc>
          <w:tcPr>
            <w:tcW w:w="992" w:type="dxa"/>
            <w:tcBorders>
              <w:top w:val="single" w:color="auto" w:sz="4" w:space="0"/>
              <w:left w:val="nil"/>
              <w:bottom w:val="single" w:color="auto" w:sz="4" w:space="0"/>
              <w:right w:val="nil"/>
            </w:tcBorders>
            <w:vAlign w:val="center"/>
          </w:tcPr>
          <w:p w14:paraId="4913C27A">
            <w:pPr>
              <w:widowControl/>
              <w:jc w:val="center"/>
              <w:rPr>
                <w:rFonts w:hint="eastAsia" w:ascii="宋体" w:hAnsi="宋体" w:cs="宋体"/>
                <w:b/>
                <w:bCs/>
                <w:color w:val="auto"/>
                <w:sz w:val="18"/>
                <w:szCs w:val="18"/>
              </w:rPr>
            </w:pPr>
            <w:r>
              <w:rPr>
                <w:rFonts w:hint="eastAsia" w:ascii="宋体" w:hAnsi="宋体" w:cs="宋体"/>
                <w:b/>
                <w:bCs/>
                <w:color w:val="auto"/>
                <w:sz w:val="18"/>
                <w:szCs w:val="18"/>
              </w:rPr>
              <w:t>微型</w:t>
            </w:r>
          </w:p>
        </w:tc>
      </w:tr>
      <w:tr w14:paraId="0725536E">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vAlign w:val="center"/>
          </w:tcPr>
          <w:p w14:paraId="4694DDBD">
            <w:pPr>
              <w:widowControl/>
              <w:spacing w:line="240" w:lineRule="exact"/>
              <w:rPr>
                <w:rFonts w:hint="eastAsia" w:ascii="宋体" w:hAnsi="宋体" w:cs="宋体"/>
                <w:color w:val="auto"/>
                <w:sz w:val="18"/>
                <w:szCs w:val="18"/>
              </w:rPr>
            </w:pPr>
            <w:r>
              <w:rPr>
                <w:rFonts w:hint="eastAsia" w:ascii="宋体" w:hAnsi="宋体" w:cs="宋体"/>
                <w:color w:val="auto"/>
                <w:sz w:val="18"/>
                <w:szCs w:val="18"/>
              </w:rPr>
              <w:t>农、林、牧、渔业</w:t>
            </w:r>
          </w:p>
        </w:tc>
        <w:tc>
          <w:tcPr>
            <w:tcW w:w="1369" w:type="dxa"/>
            <w:tcBorders>
              <w:top w:val="nil"/>
              <w:left w:val="nil"/>
              <w:bottom w:val="single" w:color="auto" w:sz="4" w:space="0"/>
              <w:right w:val="single" w:color="auto" w:sz="4" w:space="0"/>
            </w:tcBorders>
            <w:vAlign w:val="center"/>
          </w:tcPr>
          <w:p w14:paraId="4A6036EA">
            <w:pPr>
              <w:widowControl/>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7959A971">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3862AFDF">
            <w:pPr>
              <w:widowControl/>
              <w:jc w:val="center"/>
              <w:rPr>
                <w:rFonts w:hint="eastAsia" w:ascii="宋体" w:hAnsi="宋体" w:cs="宋体"/>
                <w:color w:val="auto"/>
                <w:sz w:val="18"/>
                <w:szCs w:val="18"/>
              </w:rPr>
            </w:pPr>
            <w:r>
              <w:rPr>
                <w:rFonts w:hint="eastAsia" w:ascii="宋体" w:hAnsi="宋体" w:cs="宋体"/>
                <w:color w:val="auto"/>
                <w:sz w:val="18"/>
                <w:szCs w:val="18"/>
              </w:rPr>
              <w:t>Y≥20000</w:t>
            </w:r>
          </w:p>
        </w:tc>
        <w:tc>
          <w:tcPr>
            <w:tcW w:w="1701" w:type="dxa"/>
            <w:tcBorders>
              <w:top w:val="nil"/>
              <w:left w:val="nil"/>
              <w:bottom w:val="single" w:color="auto" w:sz="4" w:space="0"/>
              <w:right w:val="single" w:color="auto" w:sz="4" w:space="0"/>
            </w:tcBorders>
            <w:vAlign w:val="center"/>
          </w:tcPr>
          <w:p w14:paraId="0F3AB68F">
            <w:pPr>
              <w:widowControl/>
              <w:jc w:val="center"/>
              <w:rPr>
                <w:rFonts w:hint="eastAsia" w:ascii="宋体" w:hAnsi="宋体" w:cs="宋体"/>
                <w:color w:val="auto"/>
                <w:sz w:val="18"/>
                <w:szCs w:val="18"/>
              </w:rPr>
            </w:pPr>
            <w:r>
              <w:rPr>
                <w:rFonts w:hint="eastAsia" w:ascii="宋体" w:hAnsi="宋体" w:cs="宋体"/>
                <w:color w:val="auto"/>
                <w:sz w:val="18"/>
                <w:szCs w:val="18"/>
              </w:rPr>
              <w:t xml:space="preserve"> 500≤Y＜20000</w:t>
            </w:r>
          </w:p>
        </w:tc>
        <w:tc>
          <w:tcPr>
            <w:tcW w:w="1426" w:type="dxa"/>
            <w:tcBorders>
              <w:top w:val="nil"/>
              <w:left w:val="nil"/>
              <w:bottom w:val="single" w:color="auto" w:sz="4" w:space="0"/>
              <w:right w:val="single" w:color="auto" w:sz="4" w:space="0"/>
            </w:tcBorders>
            <w:vAlign w:val="center"/>
          </w:tcPr>
          <w:p w14:paraId="6FC56774">
            <w:pPr>
              <w:widowControl/>
              <w:jc w:val="center"/>
              <w:rPr>
                <w:rFonts w:hint="eastAsia" w:ascii="宋体" w:hAnsi="宋体" w:cs="宋体"/>
                <w:color w:val="auto"/>
                <w:sz w:val="18"/>
                <w:szCs w:val="18"/>
              </w:rPr>
            </w:pPr>
            <w:r>
              <w:rPr>
                <w:rFonts w:hint="eastAsia" w:ascii="宋体" w:hAnsi="宋体" w:cs="宋体"/>
                <w:color w:val="auto"/>
                <w:sz w:val="18"/>
                <w:szCs w:val="18"/>
              </w:rPr>
              <w:t xml:space="preserve"> 50≤Y＜500</w:t>
            </w:r>
          </w:p>
        </w:tc>
        <w:tc>
          <w:tcPr>
            <w:tcW w:w="992" w:type="dxa"/>
            <w:tcBorders>
              <w:top w:val="nil"/>
              <w:left w:val="nil"/>
              <w:bottom w:val="single" w:color="auto" w:sz="4" w:space="0"/>
              <w:right w:val="nil"/>
            </w:tcBorders>
            <w:vAlign w:val="center"/>
          </w:tcPr>
          <w:p w14:paraId="4A37178C">
            <w:pPr>
              <w:widowControl/>
              <w:jc w:val="center"/>
              <w:rPr>
                <w:rFonts w:hint="eastAsia" w:ascii="宋体" w:hAnsi="宋体" w:cs="宋体"/>
                <w:color w:val="auto"/>
                <w:sz w:val="18"/>
                <w:szCs w:val="18"/>
              </w:rPr>
            </w:pPr>
            <w:r>
              <w:rPr>
                <w:rFonts w:hint="eastAsia" w:ascii="宋体" w:hAnsi="宋体" w:cs="宋体"/>
                <w:color w:val="auto"/>
                <w:sz w:val="18"/>
                <w:szCs w:val="18"/>
              </w:rPr>
              <w:t>Y＜50</w:t>
            </w:r>
          </w:p>
        </w:tc>
      </w:tr>
      <w:tr w14:paraId="78C14216">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03973788">
            <w:pPr>
              <w:widowControl/>
              <w:spacing w:line="240" w:lineRule="exact"/>
              <w:rPr>
                <w:rFonts w:hint="eastAsia" w:ascii="宋体" w:hAnsi="宋体" w:cs="宋体"/>
                <w:color w:val="auto"/>
                <w:sz w:val="18"/>
                <w:szCs w:val="18"/>
              </w:rPr>
            </w:pPr>
            <w:r>
              <w:rPr>
                <w:rFonts w:hint="eastAsia" w:ascii="宋体" w:hAnsi="宋体" w:cs="宋体"/>
                <w:color w:val="auto"/>
                <w:sz w:val="18"/>
                <w:szCs w:val="18"/>
              </w:rPr>
              <w:t>工业 *</w:t>
            </w:r>
          </w:p>
        </w:tc>
        <w:tc>
          <w:tcPr>
            <w:tcW w:w="1369" w:type="dxa"/>
            <w:tcBorders>
              <w:top w:val="nil"/>
              <w:left w:val="nil"/>
              <w:bottom w:val="nil"/>
              <w:right w:val="single" w:color="auto" w:sz="4" w:space="0"/>
            </w:tcBorders>
            <w:vAlign w:val="center"/>
          </w:tcPr>
          <w:p w14:paraId="4B700795">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5A86C931">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784659B0">
            <w:pPr>
              <w:widowControl/>
              <w:jc w:val="center"/>
              <w:rPr>
                <w:rFonts w:hint="eastAsia" w:ascii="宋体" w:hAnsi="宋体" w:cs="宋体"/>
                <w:color w:val="auto"/>
                <w:sz w:val="18"/>
                <w:szCs w:val="18"/>
              </w:rPr>
            </w:pPr>
            <w:r>
              <w:rPr>
                <w:rFonts w:hint="eastAsia" w:ascii="宋体" w:hAnsi="宋体" w:cs="宋体"/>
                <w:color w:val="auto"/>
                <w:sz w:val="18"/>
                <w:szCs w:val="18"/>
              </w:rPr>
              <w:t>X≥1000</w:t>
            </w:r>
          </w:p>
        </w:tc>
        <w:tc>
          <w:tcPr>
            <w:tcW w:w="1701" w:type="dxa"/>
            <w:tcBorders>
              <w:top w:val="nil"/>
              <w:left w:val="nil"/>
              <w:bottom w:val="nil"/>
              <w:right w:val="single" w:color="auto" w:sz="4" w:space="0"/>
            </w:tcBorders>
            <w:vAlign w:val="center"/>
          </w:tcPr>
          <w:p w14:paraId="04E7583C">
            <w:pPr>
              <w:widowControl/>
              <w:jc w:val="center"/>
              <w:rPr>
                <w:rFonts w:hint="eastAsia" w:ascii="宋体" w:hAnsi="宋体" w:cs="宋体"/>
                <w:color w:val="auto"/>
                <w:sz w:val="18"/>
                <w:szCs w:val="18"/>
              </w:rPr>
            </w:pPr>
            <w:r>
              <w:rPr>
                <w:rFonts w:hint="eastAsia" w:ascii="宋体" w:hAnsi="宋体" w:cs="宋体"/>
                <w:color w:val="auto"/>
                <w:sz w:val="18"/>
                <w:szCs w:val="18"/>
              </w:rPr>
              <w:t>300≤X＜1000</w:t>
            </w:r>
          </w:p>
        </w:tc>
        <w:tc>
          <w:tcPr>
            <w:tcW w:w="1426" w:type="dxa"/>
            <w:tcBorders>
              <w:top w:val="nil"/>
              <w:left w:val="nil"/>
              <w:bottom w:val="nil"/>
              <w:right w:val="single" w:color="auto" w:sz="4" w:space="0"/>
            </w:tcBorders>
            <w:vAlign w:val="center"/>
          </w:tcPr>
          <w:p w14:paraId="05C955C1">
            <w:pPr>
              <w:widowControl/>
              <w:jc w:val="center"/>
              <w:rPr>
                <w:rFonts w:hint="eastAsia" w:ascii="宋体" w:hAnsi="宋体" w:cs="宋体"/>
                <w:color w:val="auto"/>
                <w:sz w:val="18"/>
                <w:szCs w:val="18"/>
              </w:rPr>
            </w:pPr>
            <w:r>
              <w:rPr>
                <w:rFonts w:hint="eastAsia" w:ascii="宋体" w:hAnsi="宋体" w:cs="宋体"/>
                <w:color w:val="auto"/>
                <w:sz w:val="18"/>
                <w:szCs w:val="18"/>
              </w:rPr>
              <w:t xml:space="preserve"> 20≤X＜300</w:t>
            </w:r>
          </w:p>
        </w:tc>
        <w:tc>
          <w:tcPr>
            <w:tcW w:w="992" w:type="dxa"/>
            <w:tcBorders>
              <w:top w:val="nil"/>
              <w:left w:val="nil"/>
              <w:bottom w:val="nil"/>
              <w:right w:val="nil"/>
            </w:tcBorders>
            <w:vAlign w:val="center"/>
          </w:tcPr>
          <w:p w14:paraId="0367361A">
            <w:pPr>
              <w:widowControl/>
              <w:jc w:val="center"/>
              <w:rPr>
                <w:rFonts w:hint="eastAsia" w:ascii="宋体" w:hAnsi="宋体" w:cs="宋体"/>
                <w:color w:val="auto"/>
                <w:sz w:val="18"/>
                <w:szCs w:val="18"/>
              </w:rPr>
            </w:pPr>
            <w:r>
              <w:rPr>
                <w:rFonts w:hint="eastAsia" w:ascii="宋体" w:hAnsi="宋体" w:cs="宋体"/>
                <w:color w:val="auto"/>
                <w:sz w:val="18"/>
                <w:szCs w:val="18"/>
              </w:rPr>
              <w:t>X＜20</w:t>
            </w:r>
          </w:p>
        </w:tc>
      </w:tr>
      <w:tr w14:paraId="25D0C635">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50AC3B67">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685E4536">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3835918F">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3D389323">
            <w:pPr>
              <w:widowControl/>
              <w:jc w:val="center"/>
              <w:rPr>
                <w:rFonts w:hint="eastAsia" w:ascii="宋体" w:hAnsi="宋体" w:cs="宋体"/>
                <w:color w:val="auto"/>
                <w:sz w:val="18"/>
                <w:szCs w:val="18"/>
              </w:rPr>
            </w:pPr>
            <w:r>
              <w:rPr>
                <w:rFonts w:hint="eastAsia" w:ascii="宋体" w:hAnsi="宋体" w:cs="宋体"/>
                <w:color w:val="auto"/>
                <w:sz w:val="18"/>
                <w:szCs w:val="18"/>
              </w:rPr>
              <w:t>Y≥40000</w:t>
            </w:r>
          </w:p>
        </w:tc>
        <w:tc>
          <w:tcPr>
            <w:tcW w:w="1701" w:type="dxa"/>
            <w:tcBorders>
              <w:top w:val="nil"/>
              <w:left w:val="nil"/>
              <w:bottom w:val="single" w:color="auto" w:sz="4" w:space="0"/>
              <w:right w:val="single" w:color="auto" w:sz="4" w:space="0"/>
            </w:tcBorders>
            <w:vAlign w:val="center"/>
          </w:tcPr>
          <w:p w14:paraId="5B5DC79F">
            <w:pPr>
              <w:widowControl/>
              <w:jc w:val="center"/>
              <w:rPr>
                <w:rFonts w:hint="eastAsia" w:ascii="宋体" w:hAnsi="宋体" w:cs="宋体"/>
                <w:color w:val="auto"/>
                <w:sz w:val="18"/>
                <w:szCs w:val="18"/>
              </w:rPr>
            </w:pPr>
            <w:r>
              <w:rPr>
                <w:rFonts w:hint="eastAsia" w:ascii="宋体" w:hAnsi="宋体" w:cs="宋体"/>
                <w:color w:val="auto"/>
                <w:sz w:val="18"/>
                <w:szCs w:val="18"/>
              </w:rPr>
              <w:t>2000≤Y＜40000</w:t>
            </w:r>
          </w:p>
        </w:tc>
        <w:tc>
          <w:tcPr>
            <w:tcW w:w="1426" w:type="dxa"/>
            <w:tcBorders>
              <w:top w:val="nil"/>
              <w:left w:val="nil"/>
              <w:bottom w:val="single" w:color="auto" w:sz="4" w:space="0"/>
              <w:right w:val="single" w:color="auto" w:sz="4" w:space="0"/>
            </w:tcBorders>
            <w:vAlign w:val="center"/>
          </w:tcPr>
          <w:p w14:paraId="70237DF4">
            <w:pPr>
              <w:widowControl/>
              <w:jc w:val="center"/>
              <w:rPr>
                <w:rFonts w:hint="eastAsia" w:ascii="宋体" w:hAnsi="宋体" w:cs="宋体"/>
                <w:color w:val="auto"/>
                <w:sz w:val="18"/>
                <w:szCs w:val="18"/>
              </w:rPr>
            </w:pPr>
            <w:r>
              <w:rPr>
                <w:rFonts w:hint="eastAsia" w:ascii="宋体" w:hAnsi="宋体" w:cs="宋体"/>
                <w:color w:val="auto"/>
                <w:sz w:val="18"/>
                <w:szCs w:val="18"/>
              </w:rPr>
              <w:t xml:space="preserve"> 300≤Y＜2000</w:t>
            </w:r>
          </w:p>
        </w:tc>
        <w:tc>
          <w:tcPr>
            <w:tcW w:w="992" w:type="dxa"/>
            <w:tcBorders>
              <w:top w:val="nil"/>
              <w:left w:val="nil"/>
              <w:bottom w:val="single" w:color="auto" w:sz="4" w:space="0"/>
              <w:right w:val="nil"/>
            </w:tcBorders>
            <w:vAlign w:val="center"/>
          </w:tcPr>
          <w:p w14:paraId="420DFCE6">
            <w:pPr>
              <w:widowControl/>
              <w:jc w:val="center"/>
              <w:rPr>
                <w:rFonts w:hint="eastAsia" w:ascii="宋体" w:hAnsi="宋体" w:cs="宋体"/>
                <w:color w:val="auto"/>
                <w:sz w:val="18"/>
                <w:szCs w:val="18"/>
              </w:rPr>
            </w:pPr>
            <w:r>
              <w:rPr>
                <w:rFonts w:hint="eastAsia" w:ascii="宋体" w:hAnsi="宋体" w:cs="宋体"/>
                <w:color w:val="auto"/>
                <w:sz w:val="18"/>
                <w:szCs w:val="18"/>
              </w:rPr>
              <w:t>Y＜300</w:t>
            </w:r>
          </w:p>
        </w:tc>
      </w:tr>
      <w:tr w14:paraId="12E56793">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5DF9EE88">
            <w:pPr>
              <w:widowControl/>
              <w:spacing w:line="240" w:lineRule="exact"/>
              <w:rPr>
                <w:rFonts w:hint="eastAsia" w:ascii="宋体" w:hAnsi="宋体" w:cs="宋体"/>
                <w:color w:val="auto"/>
                <w:sz w:val="18"/>
                <w:szCs w:val="18"/>
              </w:rPr>
            </w:pPr>
            <w:r>
              <w:rPr>
                <w:rFonts w:hint="eastAsia" w:ascii="宋体" w:hAnsi="宋体" w:cs="宋体"/>
                <w:color w:val="auto"/>
                <w:sz w:val="18"/>
                <w:szCs w:val="18"/>
              </w:rPr>
              <w:t>建筑业</w:t>
            </w:r>
          </w:p>
        </w:tc>
        <w:tc>
          <w:tcPr>
            <w:tcW w:w="1369" w:type="dxa"/>
            <w:tcBorders>
              <w:top w:val="nil"/>
              <w:left w:val="nil"/>
              <w:bottom w:val="nil"/>
              <w:right w:val="single" w:color="auto" w:sz="4" w:space="0"/>
            </w:tcBorders>
            <w:vAlign w:val="center"/>
          </w:tcPr>
          <w:p w14:paraId="119D77BC">
            <w:pPr>
              <w:widowControl/>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nil"/>
              <w:right w:val="single" w:color="auto" w:sz="4" w:space="0"/>
            </w:tcBorders>
            <w:vAlign w:val="center"/>
          </w:tcPr>
          <w:p w14:paraId="040BBE58">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nil"/>
              <w:right w:val="single" w:color="auto" w:sz="4" w:space="0"/>
            </w:tcBorders>
            <w:vAlign w:val="center"/>
          </w:tcPr>
          <w:p w14:paraId="634289BD">
            <w:pPr>
              <w:widowControl/>
              <w:jc w:val="center"/>
              <w:rPr>
                <w:rFonts w:hint="eastAsia" w:ascii="宋体" w:hAnsi="宋体" w:cs="宋体"/>
                <w:color w:val="auto"/>
                <w:sz w:val="18"/>
                <w:szCs w:val="18"/>
              </w:rPr>
            </w:pPr>
            <w:r>
              <w:rPr>
                <w:rFonts w:hint="eastAsia" w:ascii="宋体" w:hAnsi="宋体" w:cs="宋体"/>
                <w:color w:val="auto"/>
                <w:sz w:val="18"/>
                <w:szCs w:val="18"/>
              </w:rPr>
              <w:t>Y≥80000</w:t>
            </w:r>
          </w:p>
        </w:tc>
        <w:tc>
          <w:tcPr>
            <w:tcW w:w="1701" w:type="dxa"/>
            <w:tcBorders>
              <w:top w:val="nil"/>
              <w:left w:val="nil"/>
              <w:bottom w:val="nil"/>
              <w:right w:val="single" w:color="auto" w:sz="4" w:space="0"/>
            </w:tcBorders>
            <w:vAlign w:val="center"/>
          </w:tcPr>
          <w:p w14:paraId="6A6C6DFE">
            <w:pPr>
              <w:widowControl/>
              <w:jc w:val="center"/>
              <w:rPr>
                <w:rFonts w:hint="eastAsia" w:ascii="宋体" w:hAnsi="宋体" w:cs="宋体"/>
                <w:color w:val="auto"/>
                <w:sz w:val="18"/>
                <w:szCs w:val="18"/>
              </w:rPr>
            </w:pPr>
            <w:r>
              <w:rPr>
                <w:rFonts w:hint="eastAsia" w:ascii="宋体" w:hAnsi="宋体" w:cs="宋体"/>
                <w:color w:val="auto"/>
                <w:sz w:val="18"/>
                <w:szCs w:val="18"/>
              </w:rPr>
              <w:t>6000≤Y＜80000</w:t>
            </w:r>
          </w:p>
        </w:tc>
        <w:tc>
          <w:tcPr>
            <w:tcW w:w="1426" w:type="dxa"/>
            <w:tcBorders>
              <w:top w:val="nil"/>
              <w:left w:val="nil"/>
              <w:bottom w:val="nil"/>
              <w:right w:val="single" w:color="auto" w:sz="4" w:space="0"/>
            </w:tcBorders>
            <w:vAlign w:val="center"/>
          </w:tcPr>
          <w:p w14:paraId="1FD0E816">
            <w:pPr>
              <w:widowControl/>
              <w:jc w:val="center"/>
              <w:rPr>
                <w:rFonts w:hint="eastAsia" w:ascii="宋体" w:hAnsi="宋体" w:cs="宋体"/>
                <w:color w:val="auto"/>
                <w:sz w:val="18"/>
                <w:szCs w:val="18"/>
              </w:rPr>
            </w:pPr>
            <w:r>
              <w:rPr>
                <w:rFonts w:hint="eastAsia" w:ascii="宋体" w:hAnsi="宋体" w:cs="宋体"/>
                <w:color w:val="auto"/>
                <w:sz w:val="18"/>
                <w:szCs w:val="18"/>
              </w:rPr>
              <w:t xml:space="preserve"> 300≤Y＜6000</w:t>
            </w:r>
          </w:p>
        </w:tc>
        <w:tc>
          <w:tcPr>
            <w:tcW w:w="992" w:type="dxa"/>
            <w:tcBorders>
              <w:top w:val="nil"/>
              <w:left w:val="nil"/>
              <w:bottom w:val="nil"/>
              <w:right w:val="nil"/>
            </w:tcBorders>
            <w:vAlign w:val="center"/>
          </w:tcPr>
          <w:p w14:paraId="2513BC6A">
            <w:pPr>
              <w:widowControl/>
              <w:jc w:val="center"/>
              <w:rPr>
                <w:rFonts w:hint="eastAsia" w:ascii="宋体" w:hAnsi="宋体" w:cs="宋体"/>
                <w:color w:val="auto"/>
                <w:sz w:val="18"/>
                <w:szCs w:val="18"/>
              </w:rPr>
            </w:pPr>
            <w:r>
              <w:rPr>
                <w:rFonts w:hint="eastAsia" w:ascii="宋体" w:hAnsi="宋体" w:cs="宋体"/>
                <w:color w:val="auto"/>
                <w:sz w:val="18"/>
                <w:szCs w:val="18"/>
              </w:rPr>
              <w:t>Y＜300</w:t>
            </w:r>
          </w:p>
        </w:tc>
      </w:tr>
      <w:tr w14:paraId="6B973C85">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5F78DDE">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0292768F">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资产总额(Z)</w:t>
            </w:r>
          </w:p>
        </w:tc>
        <w:tc>
          <w:tcPr>
            <w:tcW w:w="709" w:type="dxa"/>
            <w:tcBorders>
              <w:top w:val="nil"/>
              <w:left w:val="nil"/>
              <w:bottom w:val="single" w:color="auto" w:sz="4" w:space="0"/>
              <w:right w:val="single" w:color="auto" w:sz="4" w:space="0"/>
            </w:tcBorders>
            <w:vAlign w:val="center"/>
          </w:tcPr>
          <w:p w14:paraId="0CC46A45">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5DF37D49">
            <w:pPr>
              <w:widowControl/>
              <w:jc w:val="center"/>
              <w:rPr>
                <w:rFonts w:hint="eastAsia" w:ascii="宋体" w:hAnsi="宋体" w:cs="宋体"/>
                <w:color w:val="auto"/>
                <w:sz w:val="18"/>
                <w:szCs w:val="18"/>
              </w:rPr>
            </w:pPr>
            <w:r>
              <w:rPr>
                <w:rFonts w:hint="eastAsia" w:ascii="宋体" w:hAnsi="宋体" w:cs="宋体"/>
                <w:color w:val="auto"/>
                <w:sz w:val="18"/>
                <w:szCs w:val="18"/>
              </w:rPr>
              <w:t>Z≥80000</w:t>
            </w:r>
          </w:p>
        </w:tc>
        <w:tc>
          <w:tcPr>
            <w:tcW w:w="1701" w:type="dxa"/>
            <w:tcBorders>
              <w:top w:val="nil"/>
              <w:left w:val="nil"/>
              <w:bottom w:val="single" w:color="auto" w:sz="4" w:space="0"/>
              <w:right w:val="single" w:color="auto" w:sz="4" w:space="0"/>
            </w:tcBorders>
            <w:vAlign w:val="center"/>
          </w:tcPr>
          <w:p w14:paraId="68386B25">
            <w:pPr>
              <w:widowControl/>
              <w:jc w:val="center"/>
              <w:rPr>
                <w:rFonts w:hint="eastAsia" w:ascii="宋体" w:hAnsi="宋体" w:cs="宋体"/>
                <w:color w:val="auto"/>
                <w:sz w:val="18"/>
                <w:szCs w:val="18"/>
              </w:rPr>
            </w:pPr>
            <w:r>
              <w:rPr>
                <w:rFonts w:hint="eastAsia" w:ascii="宋体" w:hAnsi="宋体" w:cs="宋体"/>
                <w:color w:val="auto"/>
                <w:sz w:val="18"/>
                <w:szCs w:val="18"/>
              </w:rPr>
              <w:t>5000≤Z＜80000</w:t>
            </w:r>
          </w:p>
        </w:tc>
        <w:tc>
          <w:tcPr>
            <w:tcW w:w="1426" w:type="dxa"/>
            <w:tcBorders>
              <w:top w:val="nil"/>
              <w:left w:val="nil"/>
              <w:bottom w:val="single" w:color="auto" w:sz="4" w:space="0"/>
              <w:right w:val="single" w:color="auto" w:sz="4" w:space="0"/>
            </w:tcBorders>
            <w:vAlign w:val="center"/>
          </w:tcPr>
          <w:p w14:paraId="213B30CD">
            <w:pPr>
              <w:widowControl/>
              <w:jc w:val="center"/>
              <w:rPr>
                <w:rFonts w:hint="eastAsia" w:ascii="宋体" w:hAnsi="宋体" w:cs="宋体"/>
                <w:color w:val="auto"/>
                <w:sz w:val="18"/>
                <w:szCs w:val="18"/>
              </w:rPr>
            </w:pPr>
            <w:r>
              <w:rPr>
                <w:rFonts w:hint="eastAsia" w:ascii="宋体" w:hAnsi="宋体" w:cs="宋体"/>
                <w:color w:val="auto"/>
                <w:sz w:val="18"/>
                <w:szCs w:val="18"/>
              </w:rPr>
              <w:t xml:space="preserve"> 300≤Z＜5000</w:t>
            </w:r>
          </w:p>
        </w:tc>
        <w:tc>
          <w:tcPr>
            <w:tcW w:w="992" w:type="dxa"/>
            <w:tcBorders>
              <w:top w:val="nil"/>
              <w:left w:val="nil"/>
              <w:bottom w:val="single" w:color="auto" w:sz="4" w:space="0"/>
              <w:right w:val="nil"/>
            </w:tcBorders>
            <w:vAlign w:val="center"/>
          </w:tcPr>
          <w:p w14:paraId="3EAE623A">
            <w:pPr>
              <w:widowControl/>
              <w:jc w:val="center"/>
              <w:rPr>
                <w:rFonts w:hint="eastAsia" w:ascii="宋体" w:hAnsi="宋体" w:cs="宋体"/>
                <w:color w:val="auto"/>
                <w:sz w:val="18"/>
                <w:szCs w:val="18"/>
              </w:rPr>
            </w:pPr>
            <w:r>
              <w:rPr>
                <w:rFonts w:hint="eastAsia" w:ascii="宋体" w:hAnsi="宋体" w:cs="宋体"/>
                <w:color w:val="auto"/>
                <w:sz w:val="18"/>
                <w:szCs w:val="18"/>
              </w:rPr>
              <w:t>Z＜300</w:t>
            </w:r>
          </w:p>
        </w:tc>
      </w:tr>
      <w:tr w14:paraId="08924E77">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10188D8D">
            <w:pPr>
              <w:widowControl/>
              <w:spacing w:line="240" w:lineRule="exact"/>
              <w:rPr>
                <w:rFonts w:hint="eastAsia" w:ascii="宋体" w:hAnsi="宋体" w:cs="宋体"/>
                <w:color w:val="auto"/>
                <w:sz w:val="18"/>
                <w:szCs w:val="18"/>
              </w:rPr>
            </w:pPr>
            <w:r>
              <w:rPr>
                <w:rFonts w:hint="eastAsia" w:ascii="宋体" w:hAnsi="宋体" w:cs="宋体"/>
                <w:color w:val="auto"/>
                <w:sz w:val="18"/>
                <w:szCs w:val="18"/>
              </w:rPr>
              <w:t>批发业</w:t>
            </w:r>
          </w:p>
        </w:tc>
        <w:tc>
          <w:tcPr>
            <w:tcW w:w="1369" w:type="dxa"/>
            <w:tcBorders>
              <w:top w:val="nil"/>
              <w:left w:val="nil"/>
              <w:bottom w:val="nil"/>
              <w:right w:val="single" w:color="auto" w:sz="4" w:space="0"/>
            </w:tcBorders>
            <w:vAlign w:val="center"/>
          </w:tcPr>
          <w:p w14:paraId="333B47B9">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273EDD2D">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1755E8C0">
            <w:pPr>
              <w:widowControl/>
              <w:jc w:val="center"/>
              <w:rPr>
                <w:rFonts w:hint="eastAsia" w:ascii="宋体" w:hAnsi="宋体" w:cs="宋体"/>
                <w:color w:val="auto"/>
                <w:sz w:val="18"/>
                <w:szCs w:val="18"/>
              </w:rPr>
            </w:pPr>
            <w:r>
              <w:rPr>
                <w:rFonts w:hint="eastAsia" w:ascii="宋体" w:hAnsi="宋体" w:cs="宋体"/>
                <w:color w:val="auto"/>
                <w:sz w:val="18"/>
                <w:szCs w:val="18"/>
              </w:rPr>
              <w:t>X≥200</w:t>
            </w:r>
          </w:p>
        </w:tc>
        <w:tc>
          <w:tcPr>
            <w:tcW w:w="1701" w:type="dxa"/>
            <w:tcBorders>
              <w:top w:val="nil"/>
              <w:left w:val="nil"/>
              <w:bottom w:val="nil"/>
              <w:right w:val="single" w:color="auto" w:sz="4" w:space="0"/>
            </w:tcBorders>
            <w:vAlign w:val="center"/>
          </w:tcPr>
          <w:p w14:paraId="06E4C2C1">
            <w:pPr>
              <w:widowControl/>
              <w:jc w:val="center"/>
              <w:rPr>
                <w:rFonts w:hint="eastAsia" w:ascii="宋体" w:hAnsi="宋体" w:cs="宋体"/>
                <w:color w:val="auto"/>
                <w:sz w:val="18"/>
                <w:szCs w:val="18"/>
              </w:rPr>
            </w:pPr>
            <w:r>
              <w:rPr>
                <w:rFonts w:hint="eastAsia" w:ascii="宋体" w:hAnsi="宋体" w:cs="宋体"/>
                <w:color w:val="auto"/>
                <w:sz w:val="18"/>
                <w:szCs w:val="18"/>
              </w:rPr>
              <w:t>20≤X＜200</w:t>
            </w:r>
          </w:p>
        </w:tc>
        <w:tc>
          <w:tcPr>
            <w:tcW w:w="1426" w:type="dxa"/>
            <w:tcBorders>
              <w:top w:val="nil"/>
              <w:left w:val="nil"/>
              <w:bottom w:val="nil"/>
              <w:right w:val="single" w:color="auto" w:sz="4" w:space="0"/>
            </w:tcBorders>
            <w:vAlign w:val="center"/>
          </w:tcPr>
          <w:p w14:paraId="7CB5386E">
            <w:pPr>
              <w:widowControl/>
              <w:jc w:val="center"/>
              <w:rPr>
                <w:rFonts w:hint="eastAsia" w:ascii="宋体" w:hAnsi="宋体" w:cs="宋体"/>
                <w:color w:val="auto"/>
                <w:sz w:val="18"/>
                <w:szCs w:val="18"/>
              </w:rPr>
            </w:pPr>
            <w:r>
              <w:rPr>
                <w:rFonts w:hint="eastAsia" w:ascii="宋体" w:hAnsi="宋体" w:cs="宋体"/>
                <w:color w:val="auto"/>
                <w:sz w:val="18"/>
                <w:szCs w:val="18"/>
              </w:rPr>
              <w:t xml:space="preserve"> 5≤X＜20</w:t>
            </w:r>
          </w:p>
        </w:tc>
        <w:tc>
          <w:tcPr>
            <w:tcW w:w="992" w:type="dxa"/>
            <w:tcBorders>
              <w:top w:val="nil"/>
              <w:left w:val="nil"/>
              <w:bottom w:val="nil"/>
              <w:right w:val="nil"/>
            </w:tcBorders>
            <w:vAlign w:val="center"/>
          </w:tcPr>
          <w:p w14:paraId="339F477C">
            <w:pPr>
              <w:widowControl/>
              <w:jc w:val="center"/>
              <w:rPr>
                <w:rFonts w:hint="eastAsia" w:ascii="宋体" w:hAnsi="宋体" w:cs="宋体"/>
                <w:color w:val="auto"/>
                <w:sz w:val="18"/>
                <w:szCs w:val="18"/>
              </w:rPr>
            </w:pPr>
            <w:r>
              <w:rPr>
                <w:rFonts w:hint="eastAsia" w:ascii="宋体" w:hAnsi="宋体" w:cs="宋体"/>
                <w:color w:val="auto"/>
                <w:sz w:val="18"/>
                <w:szCs w:val="18"/>
              </w:rPr>
              <w:t>X＜5</w:t>
            </w:r>
          </w:p>
        </w:tc>
      </w:tr>
      <w:tr w14:paraId="14229B33">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35929320">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13B6FFF7">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53608C4A">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2BD27763">
            <w:pPr>
              <w:widowControl/>
              <w:jc w:val="center"/>
              <w:rPr>
                <w:rFonts w:hint="eastAsia" w:ascii="宋体" w:hAnsi="宋体" w:cs="宋体"/>
                <w:color w:val="auto"/>
                <w:sz w:val="18"/>
                <w:szCs w:val="18"/>
              </w:rPr>
            </w:pPr>
            <w:r>
              <w:rPr>
                <w:rFonts w:hint="eastAsia" w:ascii="宋体" w:hAnsi="宋体" w:cs="宋体"/>
                <w:color w:val="auto"/>
                <w:sz w:val="18"/>
                <w:szCs w:val="18"/>
              </w:rPr>
              <w:t>Y≥40000</w:t>
            </w:r>
          </w:p>
        </w:tc>
        <w:tc>
          <w:tcPr>
            <w:tcW w:w="1701" w:type="dxa"/>
            <w:tcBorders>
              <w:top w:val="nil"/>
              <w:left w:val="nil"/>
              <w:bottom w:val="single" w:color="auto" w:sz="4" w:space="0"/>
              <w:right w:val="single" w:color="auto" w:sz="4" w:space="0"/>
            </w:tcBorders>
            <w:vAlign w:val="center"/>
          </w:tcPr>
          <w:p w14:paraId="2BC446B1">
            <w:pPr>
              <w:widowControl/>
              <w:jc w:val="center"/>
              <w:rPr>
                <w:rFonts w:hint="eastAsia" w:ascii="宋体" w:hAnsi="宋体" w:cs="宋体"/>
                <w:color w:val="auto"/>
                <w:sz w:val="18"/>
                <w:szCs w:val="18"/>
              </w:rPr>
            </w:pPr>
            <w:r>
              <w:rPr>
                <w:rFonts w:hint="eastAsia" w:ascii="宋体" w:hAnsi="宋体" w:cs="宋体"/>
                <w:color w:val="auto"/>
                <w:sz w:val="18"/>
                <w:szCs w:val="18"/>
              </w:rPr>
              <w:t>5000≤Y＜40000</w:t>
            </w:r>
          </w:p>
        </w:tc>
        <w:tc>
          <w:tcPr>
            <w:tcW w:w="1426" w:type="dxa"/>
            <w:tcBorders>
              <w:top w:val="nil"/>
              <w:left w:val="nil"/>
              <w:bottom w:val="single" w:color="auto" w:sz="4" w:space="0"/>
              <w:right w:val="single" w:color="auto" w:sz="4" w:space="0"/>
            </w:tcBorders>
            <w:vAlign w:val="center"/>
          </w:tcPr>
          <w:p w14:paraId="769CF888">
            <w:pPr>
              <w:widowControl/>
              <w:ind w:left="-1" w:leftChars="-1" w:hanging="1"/>
              <w:jc w:val="center"/>
              <w:rPr>
                <w:rFonts w:hint="eastAsia" w:ascii="宋体" w:hAnsi="宋体" w:cs="宋体"/>
                <w:color w:val="auto"/>
                <w:sz w:val="18"/>
                <w:szCs w:val="18"/>
              </w:rPr>
            </w:pPr>
            <w:r>
              <w:rPr>
                <w:rFonts w:hint="eastAsia" w:ascii="宋体" w:hAnsi="宋体" w:cs="宋体"/>
                <w:color w:val="auto"/>
                <w:sz w:val="18"/>
                <w:szCs w:val="18"/>
              </w:rPr>
              <w:t>1000≤Y＜5000</w:t>
            </w:r>
          </w:p>
        </w:tc>
        <w:tc>
          <w:tcPr>
            <w:tcW w:w="992" w:type="dxa"/>
            <w:tcBorders>
              <w:top w:val="nil"/>
              <w:left w:val="nil"/>
              <w:bottom w:val="single" w:color="auto" w:sz="4" w:space="0"/>
              <w:right w:val="nil"/>
            </w:tcBorders>
            <w:vAlign w:val="center"/>
          </w:tcPr>
          <w:p w14:paraId="24AD4FB3">
            <w:pPr>
              <w:widowControl/>
              <w:jc w:val="center"/>
              <w:rPr>
                <w:rFonts w:hint="eastAsia" w:ascii="宋体" w:hAnsi="宋体" w:cs="宋体"/>
                <w:color w:val="auto"/>
                <w:sz w:val="18"/>
                <w:szCs w:val="18"/>
              </w:rPr>
            </w:pPr>
            <w:r>
              <w:rPr>
                <w:rFonts w:hint="eastAsia" w:ascii="宋体" w:hAnsi="宋体" w:cs="宋体"/>
                <w:color w:val="auto"/>
                <w:sz w:val="18"/>
                <w:szCs w:val="18"/>
              </w:rPr>
              <w:t>Y＜1000</w:t>
            </w:r>
          </w:p>
        </w:tc>
      </w:tr>
      <w:tr w14:paraId="591C2625">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0434811C">
            <w:pPr>
              <w:widowControl/>
              <w:spacing w:line="240" w:lineRule="exact"/>
              <w:rPr>
                <w:rFonts w:hint="eastAsia" w:ascii="宋体" w:hAnsi="宋体" w:cs="宋体"/>
                <w:color w:val="auto"/>
                <w:sz w:val="18"/>
                <w:szCs w:val="18"/>
              </w:rPr>
            </w:pPr>
            <w:r>
              <w:rPr>
                <w:rFonts w:hint="eastAsia" w:ascii="宋体" w:hAnsi="宋体" w:cs="宋体"/>
                <w:color w:val="auto"/>
                <w:sz w:val="18"/>
                <w:szCs w:val="18"/>
              </w:rPr>
              <w:t>零售业</w:t>
            </w:r>
          </w:p>
        </w:tc>
        <w:tc>
          <w:tcPr>
            <w:tcW w:w="1369" w:type="dxa"/>
            <w:tcBorders>
              <w:top w:val="nil"/>
              <w:left w:val="nil"/>
              <w:bottom w:val="nil"/>
              <w:right w:val="single" w:color="auto" w:sz="4" w:space="0"/>
            </w:tcBorders>
            <w:vAlign w:val="center"/>
          </w:tcPr>
          <w:p w14:paraId="4B2A9F5A">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0847EE93">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78C1D116">
            <w:pPr>
              <w:widowControl/>
              <w:jc w:val="center"/>
              <w:rPr>
                <w:rFonts w:hint="eastAsia" w:ascii="宋体" w:hAnsi="宋体" w:cs="宋体"/>
                <w:color w:val="auto"/>
                <w:sz w:val="18"/>
                <w:szCs w:val="18"/>
              </w:rPr>
            </w:pPr>
            <w:r>
              <w:rPr>
                <w:rFonts w:hint="eastAsia" w:ascii="宋体" w:hAnsi="宋体" w:cs="宋体"/>
                <w:color w:val="auto"/>
                <w:sz w:val="18"/>
                <w:szCs w:val="18"/>
              </w:rPr>
              <w:t>X≥300</w:t>
            </w:r>
          </w:p>
        </w:tc>
        <w:tc>
          <w:tcPr>
            <w:tcW w:w="1701" w:type="dxa"/>
            <w:tcBorders>
              <w:top w:val="nil"/>
              <w:left w:val="nil"/>
              <w:bottom w:val="nil"/>
              <w:right w:val="single" w:color="auto" w:sz="4" w:space="0"/>
            </w:tcBorders>
            <w:vAlign w:val="center"/>
          </w:tcPr>
          <w:p w14:paraId="42A15DC5">
            <w:pPr>
              <w:widowControl/>
              <w:jc w:val="center"/>
              <w:rPr>
                <w:rFonts w:hint="eastAsia" w:ascii="宋体" w:hAnsi="宋体" w:cs="宋体"/>
                <w:color w:val="auto"/>
                <w:sz w:val="18"/>
                <w:szCs w:val="18"/>
              </w:rPr>
            </w:pPr>
            <w:r>
              <w:rPr>
                <w:rFonts w:hint="eastAsia" w:ascii="宋体" w:hAnsi="宋体" w:cs="宋体"/>
                <w:color w:val="auto"/>
                <w:sz w:val="18"/>
                <w:szCs w:val="18"/>
              </w:rPr>
              <w:t>50≤X＜300</w:t>
            </w:r>
          </w:p>
        </w:tc>
        <w:tc>
          <w:tcPr>
            <w:tcW w:w="1426" w:type="dxa"/>
            <w:tcBorders>
              <w:top w:val="nil"/>
              <w:left w:val="nil"/>
              <w:bottom w:val="nil"/>
              <w:right w:val="single" w:color="auto" w:sz="4" w:space="0"/>
            </w:tcBorders>
            <w:vAlign w:val="center"/>
          </w:tcPr>
          <w:p w14:paraId="1CC15439">
            <w:pPr>
              <w:widowControl/>
              <w:ind w:left="-1" w:leftChars="-1" w:hanging="1"/>
              <w:jc w:val="center"/>
              <w:rPr>
                <w:rFonts w:hint="eastAsia" w:ascii="宋体" w:hAnsi="宋体" w:cs="宋体"/>
                <w:color w:val="auto"/>
                <w:sz w:val="18"/>
                <w:szCs w:val="18"/>
              </w:rPr>
            </w:pPr>
            <w:r>
              <w:rPr>
                <w:rFonts w:hint="eastAsia" w:ascii="宋体" w:hAnsi="宋体" w:cs="宋体"/>
                <w:color w:val="auto"/>
                <w:sz w:val="18"/>
                <w:szCs w:val="18"/>
              </w:rPr>
              <w:t xml:space="preserve">10≤X＜50 </w:t>
            </w:r>
          </w:p>
        </w:tc>
        <w:tc>
          <w:tcPr>
            <w:tcW w:w="992" w:type="dxa"/>
            <w:tcBorders>
              <w:top w:val="nil"/>
              <w:left w:val="nil"/>
              <w:bottom w:val="nil"/>
              <w:right w:val="nil"/>
            </w:tcBorders>
            <w:vAlign w:val="center"/>
          </w:tcPr>
          <w:p w14:paraId="78CF9A7C">
            <w:pPr>
              <w:widowControl/>
              <w:jc w:val="center"/>
              <w:rPr>
                <w:rFonts w:hint="eastAsia" w:ascii="宋体" w:hAnsi="宋体" w:cs="宋体"/>
                <w:color w:val="auto"/>
                <w:sz w:val="18"/>
                <w:szCs w:val="18"/>
              </w:rPr>
            </w:pPr>
            <w:r>
              <w:rPr>
                <w:rFonts w:hint="eastAsia" w:ascii="宋体" w:hAnsi="宋体" w:cs="宋体"/>
                <w:color w:val="auto"/>
                <w:sz w:val="18"/>
                <w:szCs w:val="18"/>
              </w:rPr>
              <w:t>X＜10</w:t>
            </w:r>
          </w:p>
        </w:tc>
      </w:tr>
      <w:tr w14:paraId="7DDEE3ED">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A9A962F">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08886679">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359B4019">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539D8EBC">
            <w:pPr>
              <w:widowControl/>
              <w:jc w:val="center"/>
              <w:rPr>
                <w:rFonts w:hint="eastAsia" w:ascii="宋体" w:hAnsi="宋体" w:cs="宋体"/>
                <w:color w:val="auto"/>
                <w:sz w:val="18"/>
                <w:szCs w:val="18"/>
              </w:rPr>
            </w:pPr>
            <w:r>
              <w:rPr>
                <w:rFonts w:hint="eastAsia" w:ascii="宋体" w:hAnsi="宋体" w:cs="宋体"/>
                <w:color w:val="auto"/>
                <w:sz w:val="18"/>
                <w:szCs w:val="18"/>
              </w:rPr>
              <w:t>Y≥20000</w:t>
            </w:r>
          </w:p>
        </w:tc>
        <w:tc>
          <w:tcPr>
            <w:tcW w:w="1701" w:type="dxa"/>
            <w:tcBorders>
              <w:top w:val="nil"/>
              <w:left w:val="nil"/>
              <w:bottom w:val="single" w:color="auto" w:sz="4" w:space="0"/>
              <w:right w:val="single" w:color="auto" w:sz="4" w:space="0"/>
            </w:tcBorders>
            <w:vAlign w:val="center"/>
          </w:tcPr>
          <w:p w14:paraId="72DC2B3A">
            <w:pPr>
              <w:widowControl/>
              <w:jc w:val="center"/>
              <w:rPr>
                <w:rFonts w:hint="eastAsia" w:ascii="宋体" w:hAnsi="宋体" w:cs="宋体"/>
                <w:color w:val="auto"/>
                <w:sz w:val="18"/>
                <w:szCs w:val="18"/>
              </w:rPr>
            </w:pPr>
            <w:r>
              <w:rPr>
                <w:rFonts w:hint="eastAsia" w:ascii="宋体" w:hAnsi="宋体" w:cs="宋体"/>
                <w:color w:val="auto"/>
                <w:sz w:val="18"/>
                <w:szCs w:val="18"/>
              </w:rPr>
              <w:t xml:space="preserve"> 500≤Y＜20000</w:t>
            </w:r>
          </w:p>
        </w:tc>
        <w:tc>
          <w:tcPr>
            <w:tcW w:w="1426" w:type="dxa"/>
            <w:tcBorders>
              <w:top w:val="nil"/>
              <w:left w:val="nil"/>
              <w:bottom w:val="single" w:color="auto" w:sz="4" w:space="0"/>
              <w:right w:val="single" w:color="auto" w:sz="4" w:space="0"/>
            </w:tcBorders>
            <w:vAlign w:val="center"/>
          </w:tcPr>
          <w:p w14:paraId="5C644843">
            <w:pPr>
              <w:widowControl/>
              <w:ind w:left="-1" w:leftChars="-1" w:hanging="1"/>
              <w:jc w:val="center"/>
              <w:rPr>
                <w:rFonts w:hint="eastAsia" w:ascii="宋体" w:hAnsi="宋体" w:cs="宋体"/>
                <w:color w:val="auto"/>
                <w:sz w:val="18"/>
                <w:szCs w:val="18"/>
              </w:rPr>
            </w:pPr>
            <w:r>
              <w:rPr>
                <w:rFonts w:hint="eastAsia" w:ascii="宋体" w:hAnsi="宋体" w:cs="宋体"/>
                <w:color w:val="auto"/>
                <w:sz w:val="18"/>
                <w:szCs w:val="18"/>
              </w:rPr>
              <w:t xml:space="preserve">100≤Y＜500 </w:t>
            </w:r>
          </w:p>
        </w:tc>
        <w:tc>
          <w:tcPr>
            <w:tcW w:w="992" w:type="dxa"/>
            <w:tcBorders>
              <w:top w:val="nil"/>
              <w:left w:val="nil"/>
              <w:bottom w:val="single" w:color="auto" w:sz="4" w:space="0"/>
              <w:right w:val="nil"/>
            </w:tcBorders>
            <w:vAlign w:val="center"/>
          </w:tcPr>
          <w:p w14:paraId="4F84F738">
            <w:pPr>
              <w:widowControl/>
              <w:jc w:val="center"/>
              <w:rPr>
                <w:rFonts w:hint="eastAsia" w:ascii="宋体" w:hAnsi="宋体" w:cs="宋体"/>
                <w:color w:val="auto"/>
                <w:sz w:val="18"/>
                <w:szCs w:val="18"/>
              </w:rPr>
            </w:pPr>
            <w:r>
              <w:rPr>
                <w:rFonts w:hint="eastAsia" w:ascii="宋体" w:hAnsi="宋体" w:cs="宋体"/>
                <w:color w:val="auto"/>
                <w:sz w:val="18"/>
                <w:szCs w:val="18"/>
              </w:rPr>
              <w:t>Y＜100</w:t>
            </w:r>
          </w:p>
        </w:tc>
      </w:tr>
      <w:tr w14:paraId="1ECA953E">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289EF544">
            <w:pPr>
              <w:widowControl/>
              <w:spacing w:line="240" w:lineRule="exact"/>
              <w:rPr>
                <w:rFonts w:hint="eastAsia" w:ascii="宋体" w:hAnsi="宋体" w:cs="宋体"/>
                <w:color w:val="auto"/>
                <w:sz w:val="18"/>
                <w:szCs w:val="18"/>
              </w:rPr>
            </w:pPr>
            <w:r>
              <w:rPr>
                <w:rFonts w:hint="eastAsia" w:ascii="宋体" w:hAnsi="宋体" w:cs="宋体"/>
                <w:color w:val="auto"/>
                <w:sz w:val="18"/>
                <w:szCs w:val="18"/>
              </w:rPr>
              <w:t>交通运输业 *</w:t>
            </w:r>
          </w:p>
        </w:tc>
        <w:tc>
          <w:tcPr>
            <w:tcW w:w="1369" w:type="dxa"/>
            <w:tcBorders>
              <w:top w:val="nil"/>
              <w:left w:val="nil"/>
              <w:bottom w:val="nil"/>
              <w:right w:val="single" w:color="auto" w:sz="4" w:space="0"/>
            </w:tcBorders>
            <w:vAlign w:val="center"/>
          </w:tcPr>
          <w:p w14:paraId="6F6FF3AA">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2B1608C3">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1D78C445">
            <w:pPr>
              <w:widowControl/>
              <w:jc w:val="center"/>
              <w:rPr>
                <w:rFonts w:hint="eastAsia" w:ascii="宋体" w:hAnsi="宋体" w:cs="宋体"/>
                <w:color w:val="auto"/>
                <w:sz w:val="18"/>
                <w:szCs w:val="18"/>
              </w:rPr>
            </w:pPr>
            <w:r>
              <w:rPr>
                <w:rFonts w:hint="eastAsia" w:ascii="宋体" w:hAnsi="宋体" w:cs="宋体"/>
                <w:color w:val="auto"/>
                <w:sz w:val="18"/>
                <w:szCs w:val="18"/>
              </w:rPr>
              <w:t>X≥1000</w:t>
            </w:r>
          </w:p>
        </w:tc>
        <w:tc>
          <w:tcPr>
            <w:tcW w:w="1701" w:type="dxa"/>
            <w:tcBorders>
              <w:top w:val="nil"/>
              <w:left w:val="nil"/>
              <w:bottom w:val="nil"/>
              <w:right w:val="single" w:color="auto" w:sz="4" w:space="0"/>
            </w:tcBorders>
            <w:vAlign w:val="center"/>
          </w:tcPr>
          <w:p w14:paraId="4EBADD07">
            <w:pPr>
              <w:widowControl/>
              <w:jc w:val="center"/>
              <w:rPr>
                <w:rFonts w:hint="eastAsia" w:ascii="宋体" w:hAnsi="宋体" w:cs="宋体"/>
                <w:color w:val="auto"/>
                <w:sz w:val="18"/>
                <w:szCs w:val="18"/>
              </w:rPr>
            </w:pPr>
            <w:r>
              <w:rPr>
                <w:rFonts w:hint="eastAsia" w:ascii="宋体" w:hAnsi="宋体" w:cs="宋体"/>
                <w:color w:val="auto"/>
                <w:sz w:val="18"/>
                <w:szCs w:val="18"/>
              </w:rPr>
              <w:t>300≤X＜1000</w:t>
            </w:r>
          </w:p>
        </w:tc>
        <w:tc>
          <w:tcPr>
            <w:tcW w:w="1426" w:type="dxa"/>
            <w:tcBorders>
              <w:top w:val="nil"/>
              <w:left w:val="nil"/>
              <w:bottom w:val="nil"/>
              <w:right w:val="single" w:color="auto" w:sz="4" w:space="0"/>
            </w:tcBorders>
            <w:vAlign w:val="center"/>
          </w:tcPr>
          <w:p w14:paraId="12B5E71D">
            <w:pPr>
              <w:widowControl/>
              <w:jc w:val="center"/>
              <w:rPr>
                <w:rFonts w:hint="eastAsia" w:ascii="宋体" w:hAnsi="宋体" w:cs="宋体"/>
                <w:color w:val="auto"/>
                <w:sz w:val="18"/>
                <w:szCs w:val="18"/>
              </w:rPr>
            </w:pPr>
            <w:r>
              <w:rPr>
                <w:rFonts w:hint="eastAsia" w:ascii="宋体" w:hAnsi="宋体" w:cs="宋体"/>
                <w:color w:val="auto"/>
                <w:sz w:val="18"/>
                <w:szCs w:val="18"/>
              </w:rPr>
              <w:t xml:space="preserve"> 20≤X＜300</w:t>
            </w:r>
          </w:p>
        </w:tc>
        <w:tc>
          <w:tcPr>
            <w:tcW w:w="992" w:type="dxa"/>
            <w:tcBorders>
              <w:top w:val="nil"/>
              <w:left w:val="nil"/>
              <w:bottom w:val="nil"/>
              <w:right w:val="nil"/>
            </w:tcBorders>
            <w:vAlign w:val="center"/>
          </w:tcPr>
          <w:p w14:paraId="5AB604A3">
            <w:pPr>
              <w:widowControl/>
              <w:jc w:val="center"/>
              <w:rPr>
                <w:rFonts w:hint="eastAsia" w:ascii="宋体" w:hAnsi="宋体" w:cs="宋体"/>
                <w:color w:val="auto"/>
                <w:sz w:val="18"/>
                <w:szCs w:val="18"/>
              </w:rPr>
            </w:pPr>
            <w:r>
              <w:rPr>
                <w:rFonts w:hint="eastAsia" w:ascii="宋体" w:hAnsi="宋体" w:cs="宋体"/>
                <w:color w:val="auto"/>
                <w:sz w:val="18"/>
                <w:szCs w:val="18"/>
              </w:rPr>
              <w:t>X＜20</w:t>
            </w:r>
          </w:p>
        </w:tc>
      </w:tr>
      <w:tr w14:paraId="717E7B19">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258E8D19">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0C89DB96">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5E5FFC11">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21B18D11">
            <w:pPr>
              <w:widowControl/>
              <w:jc w:val="center"/>
              <w:rPr>
                <w:rFonts w:hint="eastAsia" w:ascii="宋体" w:hAnsi="宋体" w:cs="宋体"/>
                <w:color w:val="auto"/>
                <w:sz w:val="18"/>
                <w:szCs w:val="18"/>
              </w:rPr>
            </w:pPr>
            <w:r>
              <w:rPr>
                <w:rFonts w:hint="eastAsia" w:ascii="宋体" w:hAnsi="宋体" w:cs="宋体"/>
                <w:color w:val="auto"/>
                <w:sz w:val="18"/>
                <w:szCs w:val="18"/>
              </w:rPr>
              <w:t>Y≥30000</w:t>
            </w:r>
          </w:p>
        </w:tc>
        <w:tc>
          <w:tcPr>
            <w:tcW w:w="1701" w:type="dxa"/>
            <w:tcBorders>
              <w:top w:val="nil"/>
              <w:left w:val="nil"/>
              <w:bottom w:val="single" w:color="auto" w:sz="4" w:space="0"/>
              <w:right w:val="single" w:color="auto" w:sz="4" w:space="0"/>
            </w:tcBorders>
            <w:vAlign w:val="center"/>
          </w:tcPr>
          <w:p w14:paraId="34BB4819">
            <w:pPr>
              <w:widowControl/>
              <w:jc w:val="center"/>
              <w:rPr>
                <w:rFonts w:hint="eastAsia" w:ascii="宋体" w:hAnsi="宋体" w:cs="宋体"/>
                <w:color w:val="auto"/>
                <w:sz w:val="18"/>
                <w:szCs w:val="18"/>
              </w:rPr>
            </w:pPr>
            <w:r>
              <w:rPr>
                <w:rFonts w:hint="eastAsia" w:ascii="宋体" w:hAnsi="宋体" w:cs="宋体"/>
                <w:color w:val="auto"/>
                <w:sz w:val="18"/>
                <w:szCs w:val="18"/>
              </w:rPr>
              <w:t>3000≤Y＜30000</w:t>
            </w:r>
          </w:p>
        </w:tc>
        <w:tc>
          <w:tcPr>
            <w:tcW w:w="1426" w:type="dxa"/>
            <w:tcBorders>
              <w:top w:val="nil"/>
              <w:left w:val="nil"/>
              <w:bottom w:val="single" w:color="auto" w:sz="4" w:space="0"/>
              <w:right w:val="single" w:color="auto" w:sz="4" w:space="0"/>
            </w:tcBorders>
            <w:vAlign w:val="center"/>
          </w:tcPr>
          <w:p w14:paraId="02988261">
            <w:pPr>
              <w:widowControl/>
              <w:jc w:val="center"/>
              <w:rPr>
                <w:rFonts w:hint="eastAsia" w:ascii="宋体" w:hAnsi="宋体" w:cs="宋体"/>
                <w:color w:val="auto"/>
                <w:sz w:val="18"/>
                <w:szCs w:val="18"/>
              </w:rPr>
            </w:pPr>
            <w:r>
              <w:rPr>
                <w:rFonts w:hint="eastAsia" w:ascii="宋体" w:hAnsi="宋体" w:cs="宋体"/>
                <w:color w:val="auto"/>
                <w:sz w:val="18"/>
                <w:szCs w:val="18"/>
              </w:rPr>
              <w:t xml:space="preserve"> 200≤Y＜3000</w:t>
            </w:r>
          </w:p>
        </w:tc>
        <w:tc>
          <w:tcPr>
            <w:tcW w:w="992" w:type="dxa"/>
            <w:tcBorders>
              <w:top w:val="nil"/>
              <w:left w:val="nil"/>
              <w:bottom w:val="single" w:color="auto" w:sz="4" w:space="0"/>
              <w:right w:val="nil"/>
            </w:tcBorders>
            <w:vAlign w:val="center"/>
          </w:tcPr>
          <w:p w14:paraId="5EA210C9">
            <w:pPr>
              <w:widowControl/>
              <w:jc w:val="center"/>
              <w:rPr>
                <w:rFonts w:hint="eastAsia" w:ascii="宋体" w:hAnsi="宋体" w:cs="宋体"/>
                <w:color w:val="auto"/>
                <w:sz w:val="18"/>
                <w:szCs w:val="18"/>
              </w:rPr>
            </w:pPr>
            <w:r>
              <w:rPr>
                <w:rFonts w:hint="eastAsia" w:ascii="宋体" w:hAnsi="宋体" w:cs="宋体"/>
                <w:color w:val="auto"/>
                <w:sz w:val="18"/>
                <w:szCs w:val="18"/>
              </w:rPr>
              <w:t>Y＜200</w:t>
            </w:r>
          </w:p>
        </w:tc>
      </w:tr>
      <w:tr w14:paraId="4EC6424F">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18CFA94A">
            <w:pPr>
              <w:widowControl/>
              <w:spacing w:line="240" w:lineRule="exact"/>
              <w:rPr>
                <w:rFonts w:hint="eastAsia" w:ascii="宋体" w:hAnsi="宋体" w:cs="宋体"/>
                <w:color w:val="auto"/>
                <w:sz w:val="18"/>
                <w:szCs w:val="18"/>
              </w:rPr>
            </w:pPr>
            <w:r>
              <w:rPr>
                <w:rFonts w:hint="eastAsia" w:ascii="宋体" w:hAnsi="宋体" w:cs="宋体"/>
                <w:color w:val="auto"/>
                <w:sz w:val="18"/>
                <w:szCs w:val="18"/>
              </w:rPr>
              <w:t>仓储业*</w:t>
            </w:r>
          </w:p>
        </w:tc>
        <w:tc>
          <w:tcPr>
            <w:tcW w:w="1369" w:type="dxa"/>
            <w:tcBorders>
              <w:top w:val="nil"/>
              <w:left w:val="nil"/>
              <w:bottom w:val="nil"/>
              <w:right w:val="single" w:color="auto" w:sz="4" w:space="0"/>
            </w:tcBorders>
            <w:vAlign w:val="center"/>
          </w:tcPr>
          <w:p w14:paraId="072DE0EC">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67E5FF6B">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4960A311">
            <w:pPr>
              <w:widowControl/>
              <w:jc w:val="center"/>
              <w:rPr>
                <w:rFonts w:hint="eastAsia" w:ascii="宋体" w:hAnsi="宋体" w:cs="宋体"/>
                <w:color w:val="auto"/>
                <w:sz w:val="18"/>
                <w:szCs w:val="18"/>
              </w:rPr>
            </w:pPr>
            <w:r>
              <w:rPr>
                <w:rFonts w:hint="eastAsia" w:ascii="宋体" w:hAnsi="宋体" w:cs="宋体"/>
                <w:color w:val="auto"/>
                <w:sz w:val="18"/>
                <w:szCs w:val="18"/>
              </w:rPr>
              <w:t>X≥200</w:t>
            </w:r>
          </w:p>
        </w:tc>
        <w:tc>
          <w:tcPr>
            <w:tcW w:w="1701" w:type="dxa"/>
            <w:tcBorders>
              <w:top w:val="nil"/>
              <w:left w:val="nil"/>
              <w:bottom w:val="nil"/>
              <w:right w:val="single" w:color="auto" w:sz="4" w:space="0"/>
            </w:tcBorders>
            <w:vAlign w:val="center"/>
          </w:tcPr>
          <w:p w14:paraId="32241E2B">
            <w:pPr>
              <w:widowControl/>
              <w:ind w:left="1" w:leftChars="-51" w:hanging="108" w:hangingChars="60"/>
              <w:jc w:val="center"/>
              <w:rPr>
                <w:rFonts w:hint="eastAsia" w:ascii="宋体" w:hAnsi="宋体" w:cs="宋体"/>
                <w:color w:val="auto"/>
                <w:sz w:val="18"/>
                <w:szCs w:val="18"/>
              </w:rPr>
            </w:pPr>
            <w:r>
              <w:rPr>
                <w:rFonts w:hint="eastAsia" w:ascii="宋体" w:hAnsi="宋体" w:cs="宋体"/>
                <w:color w:val="auto"/>
                <w:sz w:val="18"/>
                <w:szCs w:val="18"/>
              </w:rPr>
              <w:t>100≤X＜200</w:t>
            </w:r>
          </w:p>
        </w:tc>
        <w:tc>
          <w:tcPr>
            <w:tcW w:w="1426" w:type="dxa"/>
            <w:tcBorders>
              <w:top w:val="nil"/>
              <w:left w:val="nil"/>
              <w:bottom w:val="nil"/>
              <w:right w:val="single" w:color="auto" w:sz="4" w:space="0"/>
            </w:tcBorders>
            <w:vAlign w:val="center"/>
          </w:tcPr>
          <w:p w14:paraId="051E6C3B">
            <w:pPr>
              <w:widowControl/>
              <w:jc w:val="center"/>
              <w:rPr>
                <w:rFonts w:hint="eastAsia" w:ascii="宋体" w:hAnsi="宋体" w:cs="宋体"/>
                <w:color w:val="auto"/>
                <w:sz w:val="18"/>
                <w:szCs w:val="18"/>
              </w:rPr>
            </w:pPr>
            <w:r>
              <w:rPr>
                <w:rFonts w:hint="eastAsia" w:ascii="宋体" w:hAnsi="宋体" w:cs="宋体"/>
                <w:color w:val="auto"/>
                <w:sz w:val="18"/>
                <w:szCs w:val="18"/>
              </w:rPr>
              <w:t xml:space="preserve"> 20≤X＜100</w:t>
            </w:r>
          </w:p>
        </w:tc>
        <w:tc>
          <w:tcPr>
            <w:tcW w:w="992" w:type="dxa"/>
            <w:tcBorders>
              <w:top w:val="nil"/>
              <w:left w:val="nil"/>
              <w:bottom w:val="nil"/>
              <w:right w:val="nil"/>
            </w:tcBorders>
            <w:vAlign w:val="center"/>
          </w:tcPr>
          <w:p w14:paraId="17CF18D2">
            <w:pPr>
              <w:widowControl/>
              <w:jc w:val="center"/>
              <w:rPr>
                <w:rFonts w:hint="eastAsia" w:ascii="宋体" w:hAnsi="宋体" w:cs="宋体"/>
                <w:color w:val="auto"/>
                <w:sz w:val="18"/>
                <w:szCs w:val="18"/>
              </w:rPr>
            </w:pPr>
            <w:r>
              <w:rPr>
                <w:rFonts w:hint="eastAsia" w:ascii="宋体" w:hAnsi="宋体" w:cs="宋体"/>
                <w:color w:val="auto"/>
                <w:sz w:val="18"/>
                <w:szCs w:val="18"/>
              </w:rPr>
              <w:t>X＜20</w:t>
            </w:r>
          </w:p>
        </w:tc>
      </w:tr>
      <w:tr w14:paraId="207FC13A">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7387535D">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12533809">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26786257">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011F365F">
            <w:pPr>
              <w:widowControl/>
              <w:jc w:val="center"/>
              <w:rPr>
                <w:rFonts w:hint="eastAsia" w:ascii="宋体" w:hAnsi="宋体" w:cs="宋体"/>
                <w:color w:val="auto"/>
                <w:sz w:val="18"/>
                <w:szCs w:val="18"/>
              </w:rPr>
            </w:pPr>
            <w:r>
              <w:rPr>
                <w:rFonts w:hint="eastAsia" w:ascii="宋体" w:hAnsi="宋体" w:cs="宋体"/>
                <w:color w:val="auto"/>
                <w:sz w:val="18"/>
                <w:szCs w:val="18"/>
              </w:rPr>
              <w:t>Y≥30000</w:t>
            </w:r>
          </w:p>
        </w:tc>
        <w:tc>
          <w:tcPr>
            <w:tcW w:w="1701" w:type="dxa"/>
            <w:tcBorders>
              <w:top w:val="nil"/>
              <w:left w:val="nil"/>
              <w:bottom w:val="single" w:color="auto" w:sz="4" w:space="0"/>
              <w:right w:val="single" w:color="auto" w:sz="4" w:space="0"/>
            </w:tcBorders>
            <w:vAlign w:val="center"/>
          </w:tcPr>
          <w:p w14:paraId="541F39B5">
            <w:pPr>
              <w:widowControl/>
              <w:jc w:val="center"/>
              <w:rPr>
                <w:rFonts w:hint="eastAsia" w:ascii="宋体" w:hAnsi="宋体" w:cs="宋体"/>
                <w:color w:val="auto"/>
                <w:sz w:val="18"/>
                <w:szCs w:val="18"/>
              </w:rPr>
            </w:pPr>
            <w:r>
              <w:rPr>
                <w:rFonts w:hint="eastAsia" w:ascii="宋体" w:hAnsi="宋体" w:cs="宋体"/>
                <w:color w:val="auto"/>
                <w:sz w:val="18"/>
                <w:szCs w:val="18"/>
              </w:rPr>
              <w:t>1000≤Y＜30000</w:t>
            </w:r>
          </w:p>
        </w:tc>
        <w:tc>
          <w:tcPr>
            <w:tcW w:w="1426" w:type="dxa"/>
            <w:tcBorders>
              <w:top w:val="nil"/>
              <w:left w:val="nil"/>
              <w:bottom w:val="single" w:color="auto" w:sz="4" w:space="0"/>
              <w:right w:val="single" w:color="auto" w:sz="4" w:space="0"/>
            </w:tcBorders>
            <w:vAlign w:val="center"/>
          </w:tcPr>
          <w:p w14:paraId="4AB2CBA2">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100≤Y＜1000</w:t>
            </w:r>
          </w:p>
        </w:tc>
        <w:tc>
          <w:tcPr>
            <w:tcW w:w="992" w:type="dxa"/>
            <w:tcBorders>
              <w:top w:val="nil"/>
              <w:left w:val="nil"/>
              <w:bottom w:val="single" w:color="auto" w:sz="4" w:space="0"/>
              <w:right w:val="nil"/>
            </w:tcBorders>
            <w:vAlign w:val="center"/>
          </w:tcPr>
          <w:p w14:paraId="6567FD36">
            <w:pPr>
              <w:widowControl/>
              <w:jc w:val="center"/>
              <w:rPr>
                <w:rFonts w:hint="eastAsia" w:ascii="宋体" w:hAnsi="宋体" w:cs="宋体"/>
                <w:color w:val="auto"/>
                <w:sz w:val="18"/>
                <w:szCs w:val="18"/>
              </w:rPr>
            </w:pPr>
            <w:r>
              <w:rPr>
                <w:rFonts w:hint="eastAsia" w:ascii="宋体" w:hAnsi="宋体" w:cs="宋体"/>
                <w:color w:val="auto"/>
                <w:sz w:val="18"/>
                <w:szCs w:val="18"/>
              </w:rPr>
              <w:t>Y＜100</w:t>
            </w:r>
          </w:p>
        </w:tc>
      </w:tr>
      <w:tr w14:paraId="3BC5D921">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34ED2704">
            <w:pPr>
              <w:widowControl/>
              <w:spacing w:line="240" w:lineRule="exact"/>
              <w:rPr>
                <w:rFonts w:hint="eastAsia" w:ascii="宋体" w:hAnsi="宋体" w:cs="宋体"/>
                <w:color w:val="auto"/>
                <w:sz w:val="18"/>
                <w:szCs w:val="18"/>
              </w:rPr>
            </w:pPr>
            <w:r>
              <w:rPr>
                <w:rFonts w:hint="eastAsia" w:ascii="宋体" w:hAnsi="宋体" w:cs="宋体"/>
                <w:color w:val="auto"/>
                <w:sz w:val="18"/>
                <w:szCs w:val="18"/>
              </w:rPr>
              <w:t>邮政业</w:t>
            </w:r>
          </w:p>
        </w:tc>
        <w:tc>
          <w:tcPr>
            <w:tcW w:w="1369" w:type="dxa"/>
            <w:tcBorders>
              <w:top w:val="nil"/>
              <w:left w:val="nil"/>
              <w:bottom w:val="nil"/>
              <w:right w:val="single" w:color="auto" w:sz="4" w:space="0"/>
            </w:tcBorders>
            <w:vAlign w:val="center"/>
          </w:tcPr>
          <w:p w14:paraId="2AB4BB22">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5E0A4A4A">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54E27F2A">
            <w:pPr>
              <w:widowControl/>
              <w:jc w:val="center"/>
              <w:rPr>
                <w:rFonts w:hint="eastAsia" w:ascii="宋体" w:hAnsi="宋体" w:cs="宋体"/>
                <w:color w:val="auto"/>
                <w:sz w:val="18"/>
                <w:szCs w:val="18"/>
              </w:rPr>
            </w:pPr>
            <w:r>
              <w:rPr>
                <w:rFonts w:hint="eastAsia" w:ascii="宋体" w:hAnsi="宋体" w:cs="宋体"/>
                <w:color w:val="auto"/>
                <w:sz w:val="18"/>
                <w:szCs w:val="18"/>
              </w:rPr>
              <w:t>X≥1000</w:t>
            </w:r>
          </w:p>
        </w:tc>
        <w:tc>
          <w:tcPr>
            <w:tcW w:w="1701" w:type="dxa"/>
            <w:tcBorders>
              <w:top w:val="nil"/>
              <w:left w:val="nil"/>
              <w:bottom w:val="nil"/>
              <w:right w:val="single" w:color="auto" w:sz="4" w:space="0"/>
            </w:tcBorders>
            <w:vAlign w:val="center"/>
          </w:tcPr>
          <w:p w14:paraId="7D2A7899">
            <w:pPr>
              <w:widowControl/>
              <w:jc w:val="center"/>
              <w:rPr>
                <w:rFonts w:hint="eastAsia" w:ascii="宋体" w:hAnsi="宋体" w:cs="宋体"/>
                <w:color w:val="auto"/>
                <w:sz w:val="18"/>
                <w:szCs w:val="18"/>
              </w:rPr>
            </w:pPr>
            <w:r>
              <w:rPr>
                <w:rFonts w:hint="eastAsia" w:ascii="宋体" w:hAnsi="宋体" w:cs="宋体"/>
                <w:color w:val="auto"/>
                <w:sz w:val="18"/>
                <w:szCs w:val="18"/>
              </w:rPr>
              <w:t>300≤X＜1000</w:t>
            </w:r>
          </w:p>
        </w:tc>
        <w:tc>
          <w:tcPr>
            <w:tcW w:w="1426" w:type="dxa"/>
            <w:tcBorders>
              <w:top w:val="nil"/>
              <w:left w:val="nil"/>
              <w:bottom w:val="nil"/>
              <w:right w:val="single" w:color="auto" w:sz="4" w:space="0"/>
            </w:tcBorders>
            <w:vAlign w:val="center"/>
          </w:tcPr>
          <w:p w14:paraId="5A4D2CA6">
            <w:pPr>
              <w:widowControl/>
              <w:jc w:val="center"/>
              <w:rPr>
                <w:rFonts w:hint="eastAsia" w:ascii="宋体" w:hAnsi="宋体" w:cs="宋体"/>
                <w:color w:val="auto"/>
                <w:sz w:val="18"/>
                <w:szCs w:val="18"/>
              </w:rPr>
            </w:pPr>
            <w:r>
              <w:rPr>
                <w:rFonts w:hint="eastAsia" w:ascii="宋体" w:hAnsi="宋体" w:cs="宋体"/>
                <w:color w:val="auto"/>
                <w:sz w:val="18"/>
                <w:szCs w:val="18"/>
              </w:rPr>
              <w:t xml:space="preserve"> 20≤X＜300</w:t>
            </w:r>
          </w:p>
        </w:tc>
        <w:tc>
          <w:tcPr>
            <w:tcW w:w="992" w:type="dxa"/>
            <w:tcBorders>
              <w:top w:val="nil"/>
              <w:left w:val="nil"/>
              <w:bottom w:val="nil"/>
              <w:right w:val="nil"/>
            </w:tcBorders>
            <w:vAlign w:val="center"/>
          </w:tcPr>
          <w:p w14:paraId="121413EE">
            <w:pPr>
              <w:widowControl/>
              <w:jc w:val="center"/>
              <w:rPr>
                <w:rFonts w:hint="eastAsia" w:ascii="宋体" w:hAnsi="宋体" w:cs="宋体"/>
                <w:color w:val="auto"/>
                <w:sz w:val="18"/>
                <w:szCs w:val="18"/>
              </w:rPr>
            </w:pPr>
            <w:r>
              <w:rPr>
                <w:rFonts w:hint="eastAsia" w:ascii="宋体" w:hAnsi="宋体" w:cs="宋体"/>
                <w:color w:val="auto"/>
                <w:sz w:val="18"/>
                <w:szCs w:val="18"/>
              </w:rPr>
              <w:t>X＜20</w:t>
            </w:r>
          </w:p>
        </w:tc>
      </w:tr>
      <w:tr w14:paraId="2633BAE8">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0240BFB0">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33D5CA95">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3F44E291">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029AAECB">
            <w:pPr>
              <w:widowControl/>
              <w:jc w:val="center"/>
              <w:rPr>
                <w:rFonts w:hint="eastAsia" w:ascii="宋体" w:hAnsi="宋体" w:cs="宋体"/>
                <w:color w:val="auto"/>
                <w:sz w:val="18"/>
                <w:szCs w:val="18"/>
              </w:rPr>
            </w:pPr>
            <w:r>
              <w:rPr>
                <w:rFonts w:hint="eastAsia" w:ascii="宋体" w:hAnsi="宋体" w:cs="宋体"/>
                <w:color w:val="auto"/>
                <w:sz w:val="18"/>
                <w:szCs w:val="18"/>
              </w:rPr>
              <w:t>Y≥30000</w:t>
            </w:r>
          </w:p>
        </w:tc>
        <w:tc>
          <w:tcPr>
            <w:tcW w:w="1701" w:type="dxa"/>
            <w:tcBorders>
              <w:top w:val="nil"/>
              <w:left w:val="nil"/>
              <w:bottom w:val="single" w:color="auto" w:sz="4" w:space="0"/>
              <w:right w:val="single" w:color="auto" w:sz="4" w:space="0"/>
            </w:tcBorders>
            <w:vAlign w:val="center"/>
          </w:tcPr>
          <w:p w14:paraId="78298DED">
            <w:pPr>
              <w:widowControl/>
              <w:jc w:val="center"/>
              <w:rPr>
                <w:rFonts w:hint="eastAsia" w:ascii="宋体" w:hAnsi="宋体" w:cs="宋体"/>
                <w:color w:val="auto"/>
                <w:sz w:val="18"/>
                <w:szCs w:val="18"/>
              </w:rPr>
            </w:pPr>
            <w:r>
              <w:rPr>
                <w:rFonts w:hint="eastAsia" w:ascii="宋体" w:hAnsi="宋体" w:cs="宋体"/>
                <w:color w:val="auto"/>
                <w:sz w:val="18"/>
                <w:szCs w:val="18"/>
              </w:rPr>
              <w:t>2000≤Y＜30000</w:t>
            </w:r>
          </w:p>
        </w:tc>
        <w:tc>
          <w:tcPr>
            <w:tcW w:w="1426" w:type="dxa"/>
            <w:tcBorders>
              <w:top w:val="nil"/>
              <w:left w:val="nil"/>
              <w:bottom w:val="single" w:color="auto" w:sz="4" w:space="0"/>
              <w:right w:val="single" w:color="auto" w:sz="4" w:space="0"/>
            </w:tcBorders>
            <w:vAlign w:val="center"/>
          </w:tcPr>
          <w:p w14:paraId="53B7D623">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100≤Y＜2000</w:t>
            </w:r>
          </w:p>
        </w:tc>
        <w:tc>
          <w:tcPr>
            <w:tcW w:w="992" w:type="dxa"/>
            <w:tcBorders>
              <w:top w:val="nil"/>
              <w:left w:val="nil"/>
              <w:bottom w:val="single" w:color="auto" w:sz="4" w:space="0"/>
              <w:right w:val="nil"/>
            </w:tcBorders>
            <w:vAlign w:val="center"/>
          </w:tcPr>
          <w:p w14:paraId="287656F9">
            <w:pPr>
              <w:widowControl/>
              <w:jc w:val="center"/>
              <w:rPr>
                <w:rFonts w:hint="eastAsia" w:ascii="宋体" w:hAnsi="宋体" w:cs="宋体"/>
                <w:color w:val="auto"/>
                <w:sz w:val="18"/>
                <w:szCs w:val="18"/>
              </w:rPr>
            </w:pPr>
            <w:r>
              <w:rPr>
                <w:rFonts w:hint="eastAsia" w:ascii="宋体" w:hAnsi="宋体" w:cs="宋体"/>
                <w:color w:val="auto"/>
                <w:sz w:val="18"/>
                <w:szCs w:val="18"/>
              </w:rPr>
              <w:t>Y＜100</w:t>
            </w:r>
          </w:p>
        </w:tc>
      </w:tr>
      <w:tr w14:paraId="1F9FBA36">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41DA77AF">
            <w:pPr>
              <w:widowControl/>
              <w:spacing w:line="240" w:lineRule="exact"/>
              <w:rPr>
                <w:rFonts w:hint="eastAsia" w:ascii="宋体" w:hAnsi="宋体" w:cs="宋体"/>
                <w:color w:val="auto"/>
                <w:sz w:val="18"/>
                <w:szCs w:val="18"/>
              </w:rPr>
            </w:pPr>
            <w:r>
              <w:rPr>
                <w:rFonts w:hint="eastAsia" w:ascii="宋体" w:hAnsi="宋体" w:cs="宋体"/>
                <w:color w:val="auto"/>
                <w:sz w:val="18"/>
                <w:szCs w:val="18"/>
              </w:rPr>
              <w:t>住宿业</w:t>
            </w:r>
          </w:p>
        </w:tc>
        <w:tc>
          <w:tcPr>
            <w:tcW w:w="1369" w:type="dxa"/>
            <w:tcBorders>
              <w:top w:val="nil"/>
              <w:left w:val="nil"/>
              <w:bottom w:val="nil"/>
              <w:right w:val="single" w:color="auto" w:sz="4" w:space="0"/>
            </w:tcBorders>
            <w:vAlign w:val="center"/>
          </w:tcPr>
          <w:p w14:paraId="10D67FDB">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7D0A34D1">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7B7A2A1B">
            <w:pPr>
              <w:widowControl/>
              <w:jc w:val="center"/>
              <w:rPr>
                <w:rFonts w:hint="eastAsia" w:ascii="宋体" w:hAnsi="宋体" w:cs="宋体"/>
                <w:color w:val="auto"/>
                <w:sz w:val="18"/>
                <w:szCs w:val="18"/>
              </w:rPr>
            </w:pPr>
            <w:r>
              <w:rPr>
                <w:rFonts w:hint="eastAsia" w:ascii="宋体" w:hAnsi="宋体" w:cs="宋体"/>
                <w:color w:val="auto"/>
                <w:sz w:val="18"/>
                <w:szCs w:val="18"/>
              </w:rPr>
              <w:t>X≥300</w:t>
            </w:r>
          </w:p>
        </w:tc>
        <w:tc>
          <w:tcPr>
            <w:tcW w:w="1701" w:type="dxa"/>
            <w:tcBorders>
              <w:top w:val="nil"/>
              <w:left w:val="nil"/>
              <w:bottom w:val="nil"/>
              <w:right w:val="single" w:color="auto" w:sz="4" w:space="0"/>
            </w:tcBorders>
            <w:vAlign w:val="center"/>
          </w:tcPr>
          <w:p w14:paraId="0317272F">
            <w:pPr>
              <w:widowControl/>
              <w:ind w:left="1" w:leftChars="-51" w:hanging="108" w:hangingChars="60"/>
              <w:jc w:val="center"/>
              <w:rPr>
                <w:rFonts w:hint="eastAsia" w:ascii="宋体" w:hAnsi="宋体" w:cs="宋体"/>
                <w:color w:val="auto"/>
                <w:sz w:val="18"/>
                <w:szCs w:val="18"/>
              </w:rPr>
            </w:pPr>
            <w:r>
              <w:rPr>
                <w:rFonts w:hint="eastAsia" w:ascii="宋体" w:hAnsi="宋体" w:cs="宋体"/>
                <w:color w:val="auto"/>
                <w:sz w:val="18"/>
                <w:szCs w:val="18"/>
              </w:rPr>
              <w:t xml:space="preserve">100≤X＜300 </w:t>
            </w:r>
          </w:p>
        </w:tc>
        <w:tc>
          <w:tcPr>
            <w:tcW w:w="1426" w:type="dxa"/>
            <w:tcBorders>
              <w:top w:val="nil"/>
              <w:left w:val="nil"/>
              <w:bottom w:val="nil"/>
              <w:right w:val="single" w:color="auto" w:sz="4" w:space="0"/>
            </w:tcBorders>
            <w:vAlign w:val="center"/>
          </w:tcPr>
          <w:p w14:paraId="6750A1B2">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10≤X＜100</w:t>
            </w:r>
          </w:p>
        </w:tc>
        <w:tc>
          <w:tcPr>
            <w:tcW w:w="992" w:type="dxa"/>
            <w:tcBorders>
              <w:top w:val="nil"/>
              <w:left w:val="nil"/>
              <w:bottom w:val="nil"/>
              <w:right w:val="nil"/>
            </w:tcBorders>
            <w:vAlign w:val="center"/>
          </w:tcPr>
          <w:p w14:paraId="390F9F92">
            <w:pPr>
              <w:widowControl/>
              <w:jc w:val="center"/>
              <w:rPr>
                <w:rFonts w:hint="eastAsia" w:ascii="宋体" w:hAnsi="宋体" w:cs="宋体"/>
                <w:color w:val="auto"/>
                <w:sz w:val="18"/>
                <w:szCs w:val="18"/>
              </w:rPr>
            </w:pPr>
            <w:r>
              <w:rPr>
                <w:rFonts w:hint="eastAsia" w:ascii="宋体" w:hAnsi="宋体" w:cs="宋体"/>
                <w:color w:val="auto"/>
                <w:sz w:val="18"/>
                <w:szCs w:val="18"/>
              </w:rPr>
              <w:t>X＜10</w:t>
            </w:r>
          </w:p>
        </w:tc>
      </w:tr>
      <w:tr w14:paraId="4FF365F4">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43A761B2">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63C3BCBB">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5E150BDC">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32223269">
            <w:pPr>
              <w:widowControl/>
              <w:jc w:val="center"/>
              <w:rPr>
                <w:rFonts w:hint="eastAsia" w:ascii="宋体" w:hAnsi="宋体" w:cs="宋体"/>
                <w:color w:val="auto"/>
                <w:sz w:val="18"/>
                <w:szCs w:val="18"/>
              </w:rPr>
            </w:pPr>
            <w:r>
              <w:rPr>
                <w:rFonts w:hint="eastAsia" w:ascii="宋体" w:hAnsi="宋体" w:cs="宋体"/>
                <w:color w:val="auto"/>
                <w:sz w:val="18"/>
                <w:szCs w:val="18"/>
              </w:rPr>
              <w:t>Y≥10000</w:t>
            </w:r>
          </w:p>
        </w:tc>
        <w:tc>
          <w:tcPr>
            <w:tcW w:w="1701" w:type="dxa"/>
            <w:tcBorders>
              <w:top w:val="nil"/>
              <w:left w:val="nil"/>
              <w:bottom w:val="single" w:color="auto" w:sz="4" w:space="0"/>
              <w:right w:val="single" w:color="auto" w:sz="4" w:space="0"/>
            </w:tcBorders>
            <w:vAlign w:val="center"/>
          </w:tcPr>
          <w:p w14:paraId="4878F3A2">
            <w:pPr>
              <w:widowControl/>
              <w:jc w:val="center"/>
              <w:rPr>
                <w:rFonts w:hint="eastAsia" w:ascii="宋体" w:hAnsi="宋体" w:cs="宋体"/>
                <w:color w:val="auto"/>
                <w:sz w:val="18"/>
                <w:szCs w:val="18"/>
              </w:rPr>
            </w:pPr>
            <w:r>
              <w:rPr>
                <w:rFonts w:hint="eastAsia" w:ascii="宋体" w:hAnsi="宋体" w:cs="宋体"/>
                <w:color w:val="auto"/>
                <w:sz w:val="18"/>
                <w:szCs w:val="18"/>
              </w:rPr>
              <w:t>2000≤Y＜10000</w:t>
            </w:r>
          </w:p>
        </w:tc>
        <w:tc>
          <w:tcPr>
            <w:tcW w:w="1426" w:type="dxa"/>
            <w:tcBorders>
              <w:top w:val="nil"/>
              <w:left w:val="nil"/>
              <w:bottom w:val="single" w:color="auto" w:sz="4" w:space="0"/>
              <w:right w:val="single" w:color="auto" w:sz="4" w:space="0"/>
            </w:tcBorders>
            <w:vAlign w:val="center"/>
          </w:tcPr>
          <w:p w14:paraId="5BBFDEB5">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100≤Y＜2000</w:t>
            </w:r>
          </w:p>
        </w:tc>
        <w:tc>
          <w:tcPr>
            <w:tcW w:w="992" w:type="dxa"/>
            <w:tcBorders>
              <w:top w:val="nil"/>
              <w:left w:val="nil"/>
              <w:bottom w:val="single" w:color="auto" w:sz="4" w:space="0"/>
              <w:right w:val="nil"/>
            </w:tcBorders>
            <w:vAlign w:val="center"/>
          </w:tcPr>
          <w:p w14:paraId="22E3D7BE">
            <w:pPr>
              <w:widowControl/>
              <w:jc w:val="center"/>
              <w:rPr>
                <w:rFonts w:hint="eastAsia" w:ascii="宋体" w:hAnsi="宋体" w:cs="宋体"/>
                <w:color w:val="auto"/>
                <w:sz w:val="18"/>
                <w:szCs w:val="18"/>
              </w:rPr>
            </w:pPr>
            <w:r>
              <w:rPr>
                <w:rFonts w:hint="eastAsia" w:ascii="宋体" w:hAnsi="宋体" w:cs="宋体"/>
                <w:color w:val="auto"/>
                <w:sz w:val="18"/>
                <w:szCs w:val="18"/>
              </w:rPr>
              <w:t>Y＜100</w:t>
            </w:r>
          </w:p>
        </w:tc>
      </w:tr>
      <w:tr w14:paraId="0E62B477">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714E7B87">
            <w:pPr>
              <w:widowControl/>
              <w:spacing w:line="240" w:lineRule="exact"/>
              <w:rPr>
                <w:rFonts w:hint="eastAsia" w:ascii="宋体" w:hAnsi="宋体" w:cs="宋体"/>
                <w:color w:val="auto"/>
                <w:sz w:val="18"/>
                <w:szCs w:val="18"/>
              </w:rPr>
            </w:pPr>
            <w:r>
              <w:rPr>
                <w:rFonts w:hint="eastAsia" w:ascii="宋体" w:hAnsi="宋体" w:cs="宋体"/>
                <w:color w:val="auto"/>
                <w:sz w:val="18"/>
                <w:szCs w:val="18"/>
              </w:rPr>
              <w:t>餐饮业</w:t>
            </w:r>
          </w:p>
        </w:tc>
        <w:tc>
          <w:tcPr>
            <w:tcW w:w="1369" w:type="dxa"/>
            <w:tcBorders>
              <w:top w:val="nil"/>
              <w:left w:val="nil"/>
              <w:bottom w:val="nil"/>
              <w:right w:val="single" w:color="auto" w:sz="4" w:space="0"/>
            </w:tcBorders>
            <w:vAlign w:val="center"/>
          </w:tcPr>
          <w:p w14:paraId="7C3AF71F">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0254DA6D">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16F24171">
            <w:pPr>
              <w:widowControl/>
              <w:jc w:val="center"/>
              <w:rPr>
                <w:rFonts w:hint="eastAsia" w:ascii="宋体" w:hAnsi="宋体" w:cs="宋体"/>
                <w:color w:val="auto"/>
                <w:sz w:val="18"/>
                <w:szCs w:val="18"/>
              </w:rPr>
            </w:pPr>
            <w:r>
              <w:rPr>
                <w:rFonts w:hint="eastAsia" w:ascii="宋体" w:hAnsi="宋体" w:cs="宋体"/>
                <w:color w:val="auto"/>
                <w:sz w:val="18"/>
                <w:szCs w:val="18"/>
              </w:rPr>
              <w:t>X≥300</w:t>
            </w:r>
          </w:p>
        </w:tc>
        <w:tc>
          <w:tcPr>
            <w:tcW w:w="1701" w:type="dxa"/>
            <w:tcBorders>
              <w:top w:val="nil"/>
              <w:left w:val="nil"/>
              <w:bottom w:val="nil"/>
              <w:right w:val="single" w:color="auto" w:sz="4" w:space="0"/>
            </w:tcBorders>
            <w:vAlign w:val="center"/>
          </w:tcPr>
          <w:p w14:paraId="4C24A1DA">
            <w:pPr>
              <w:widowControl/>
              <w:ind w:left="1" w:leftChars="-51" w:hanging="108" w:hangingChars="60"/>
              <w:jc w:val="center"/>
              <w:rPr>
                <w:rFonts w:hint="eastAsia" w:ascii="宋体" w:hAnsi="宋体" w:cs="宋体"/>
                <w:color w:val="auto"/>
                <w:sz w:val="18"/>
                <w:szCs w:val="18"/>
              </w:rPr>
            </w:pPr>
            <w:r>
              <w:rPr>
                <w:rFonts w:hint="eastAsia" w:ascii="宋体" w:hAnsi="宋体" w:cs="宋体"/>
                <w:color w:val="auto"/>
                <w:sz w:val="18"/>
                <w:szCs w:val="18"/>
              </w:rPr>
              <w:t xml:space="preserve">100≤X＜300 </w:t>
            </w:r>
          </w:p>
        </w:tc>
        <w:tc>
          <w:tcPr>
            <w:tcW w:w="1426" w:type="dxa"/>
            <w:tcBorders>
              <w:top w:val="nil"/>
              <w:left w:val="nil"/>
              <w:bottom w:val="nil"/>
              <w:right w:val="single" w:color="auto" w:sz="4" w:space="0"/>
            </w:tcBorders>
            <w:vAlign w:val="center"/>
          </w:tcPr>
          <w:p w14:paraId="012499F7">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10≤X＜100</w:t>
            </w:r>
          </w:p>
        </w:tc>
        <w:tc>
          <w:tcPr>
            <w:tcW w:w="992" w:type="dxa"/>
            <w:tcBorders>
              <w:top w:val="nil"/>
              <w:left w:val="nil"/>
              <w:bottom w:val="nil"/>
              <w:right w:val="nil"/>
            </w:tcBorders>
            <w:vAlign w:val="center"/>
          </w:tcPr>
          <w:p w14:paraId="77E00C62">
            <w:pPr>
              <w:widowControl/>
              <w:jc w:val="center"/>
              <w:rPr>
                <w:rFonts w:hint="eastAsia" w:ascii="宋体" w:hAnsi="宋体" w:cs="宋体"/>
                <w:color w:val="auto"/>
                <w:sz w:val="18"/>
                <w:szCs w:val="18"/>
              </w:rPr>
            </w:pPr>
            <w:r>
              <w:rPr>
                <w:rFonts w:hint="eastAsia" w:ascii="宋体" w:hAnsi="宋体" w:cs="宋体"/>
                <w:color w:val="auto"/>
                <w:sz w:val="18"/>
                <w:szCs w:val="18"/>
              </w:rPr>
              <w:t>X＜10</w:t>
            </w:r>
          </w:p>
        </w:tc>
      </w:tr>
      <w:tr w14:paraId="07334567">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71410CB9">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55F131E6">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6DE3A9C8">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67EB4152">
            <w:pPr>
              <w:widowControl/>
              <w:jc w:val="center"/>
              <w:rPr>
                <w:rFonts w:hint="eastAsia" w:ascii="宋体" w:hAnsi="宋体" w:cs="宋体"/>
                <w:color w:val="auto"/>
                <w:sz w:val="18"/>
                <w:szCs w:val="18"/>
              </w:rPr>
            </w:pPr>
            <w:r>
              <w:rPr>
                <w:rFonts w:hint="eastAsia" w:ascii="宋体" w:hAnsi="宋体" w:cs="宋体"/>
                <w:color w:val="auto"/>
                <w:sz w:val="18"/>
                <w:szCs w:val="18"/>
              </w:rPr>
              <w:t>Y≥10000</w:t>
            </w:r>
          </w:p>
        </w:tc>
        <w:tc>
          <w:tcPr>
            <w:tcW w:w="1701" w:type="dxa"/>
            <w:tcBorders>
              <w:top w:val="nil"/>
              <w:left w:val="nil"/>
              <w:bottom w:val="single" w:color="auto" w:sz="4" w:space="0"/>
              <w:right w:val="single" w:color="auto" w:sz="4" w:space="0"/>
            </w:tcBorders>
            <w:vAlign w:val="center"/>
          </w:tcPr>
          <w:p w14:paraId="4E717C0D">
            <w:pPr>
              <w:widowControl/>
              <w:jc w:val="center"/>
              <w:rPr>
                <w:rFonts w:hint="eastAsia" w:ascii="宋体" w:hAnsi="宋体" w:cs="宋体"/>
                <w:color w:val="auto"/>
                <w:sz w:val="18"/>
                <w:szCs w:val="18"/>
              </w:rPr>
            </w:pPr>
            <w:r>
              <w:rPr>
                <w:rFonts w:hint="eastAsia" w:ascii="宋体" w:hAnsi="宋体" w:cs="宋体"/>
                <w:color w:val="auto"/>
                <w:sz w:val="18"/>
                <w:szCs w:val="18"/>
              </w:rPr>
              <w:t>2000≤Y＜10000</w:t>
            </w:r>
          </w:p>
        </w:tc>
        <w:tc>
          <w:tcPr>
            <w:tcW w:w="1426" w:type="dxa"/>
            <w:tcBorders>
              <w:top w:val="nil"/>
              <w:left w:val="nil"/>
              <w:bottom w:val="single" w:color="auto" w:sz="4" w:space="0"/>
              <w:right w:val="single" w:color="auto" w:sz="4" w:space="0"/>
            </w:tcBorders>
            <w:vAlign w:val="center"/>
          </w:tcPr>
          <w:p w14:paraId="6BAF683A">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100≤Y＜2000</w:t>
            </w:r>
          </w:p>
        </w:tc>
        <w:tc>
          <w:tcPr>
            <w:tcW w:w="992" w:type="dxa"/>
            <w:tcBorders>
              <w:top w:val="nil"/>
              <w:left w:val="nil"/>
              <w:bottom w:val="single" w:color="auto" w:sz="4" w:space="0"/>
              <w:right w:val="nil"/>
            </w:tcBorders>
            <w:vAlign w:val="center"/>
          </w:tcPr>
          <w:p w14:paraId="43C10A19">
            <w:pPr>
              <w:widowControl/>
              <w:jc w:val="center"/>
              <w:rPr>
                <w:rFonts w:hint="eastAsia" w:ascii="宋体" w:hAnsi="宋体" w:cs="宋体"/>
                <w:color w:val="auto"/>
                <w:sz w:val="18"/>
                <w:szCs w:val="18"/>
              </w:rPr>
            </w:pPr>
            <w:r>
              <w:rPr>
                <w:rFonts w:hint="eastAsia" w:ascii="宋体" w:hAnsi="宋体" w:cs="宋体"/>
                <w:color w:val="auto"/>
                <w:sz w:val="18"/>
                <w:szCs w:val="18"/>
              </w:rPr>
              <w:t>Y＜100</w:t>
            </w:r>
          </w:p>
        </w:tc>
      </w:tr>
      <w:tr w14:paraId="7357B3D8">
        <w:tblPrEx>
          <w:tblCellMar>
            <w:top w:w="0" w:type="dxa"/>
            <w:left w:w="108" w:type="dxa"/>
            <w:bottom w:w="0" w:type="dxa"/>
            <w:right w:w="108" w:type="dxa"/>
          </w:tblCellMar>
        </w:tblPrEx>
        <w:trPr>
          <w:trHeight w:val="397" w:hRule="exact"/>
          <w:jc w:val="center"/>
        </w:trPr>
        <w:tc>
          <w:tcPr>
            <w:tcW w:w="2113" w:type="dxa"/>
            <w:vMerge w:val="restart"/>
            <w:tcBorders>
              <w:top w:val="nil"/>
              <w:left w:val="nil"/>
              <w:bottom w:val="single" w:color="auto" w:sz="4" w:space="0"/>
              <w:right w:val="single" w:color="auto" w:sz="4" w:space="0"/>
            </w:tcBorders>
            <w:vAlign w:val="center"/>
          </w:tcPr>
          <w:p w14:paraId="0C43CA67">
            <w:pPr>
              <w:widowControl/>
              <w:spacing w:line="240" w:lineRule="exact"/>
              <w:rPr>
                <w:rFonts w:hint="eastAsia" w:ascii="宋体" w:hAnsi="宋体" w:cs="宋体"/>
                <w:color w:val="auto"/>
                <w:sz w:val="18"/>
                <w:szCs w:val="18"/>
              </w:rPr>
            </w:pPr>
            <w:r>
              <w:rPr>
                <w:rFonts w:hint="eastAsia" w:ascii="宋体" w:hAnsi="宋体" w:cs="宋体"/>
                <w:color w:val="auto"/>
                <w:sz w:val="18"/>
                <w:szCs w:val="18"/>
              </w:rPr>
              <w:t>信息传输业 *</w:t>
            </w:r>
          </w:p>
        </w:tc>
        <w:tc>
          <w:tcPr>
            <w:tcW w:w="1369" w:type="dxa"/>
            <w:tcBorders>
              <w:top w:val="nil"/>
              <w:left w:val="nil"/>
              <w:bottom w:val="nil"/>
              <w:right w:val="single" w:color="auto" w:sz="4" w:space="0"/>
            </w:tcBorders>
            <w:vAlign w:val="center"/>
          </w:tcPr>
          <w:p w14:paraId="33D392D3">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7F42833A">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53D4D8BF">
            <w:pPr>
              <w:widowControl/>
              <w:jc w:val="center"/>
              <w:rPr>
                <w:rFonts w:hint="eastAsia" w:ascii="宋体" w:hAnsi="宋体" w:cs="宋体"/>
                <w:color w:val="auto"/>
                <w:sz w:val="18"/>
                <w:szCs w:val="18"/>
              </w:rPr>
            </w:pPr>
            <w:r>
              <w:rPr>
                <w:rFonts w:hint="eastAsia" w:ascii="宋体" w:hAnsi="宋体" w:cs="宋体"/>
                <w:color w:val="auto"/>
                <w:sz w:val="18"/>
                <w:szCs w:val="18"/>
              </w:rPr>
              <w:t>X≥2000</w:t>
            </w:r>
          </w:p>
        </w:tc>
        <w:tc>
          <w:tcPr>
            <w:tcW w:w="1701" w:type="dxa"/>
            <w:tcBorders>
              <w:top w:val="nil"/>
              <w:left w:val="nil"/>
              <w:bottom w:val="nil"/>
              <w:right w:val="single" w:color="auto" w:sz="4" w:space="0"/>
            </w:tcBorders>
            <w:vAlign w:val="center"/>
          </w:tcPr>
          <w:p w14:paraId="5EF41AB5">
            <w:pPr>
              <w:widowControl/>
              <w:jc w:val="center"/>
              <w:rPr>
                <w:rFonts w:hint="eastAsia" w:ascii="宋体" w:hAnsi="宋体" w:cs="宋体"/>
                <w:color w:val="auto"/>
                <w:sz w:val="18"/>
                <w:szCs w:val="18"/>
              </w:rPr>
            </w:pPr>
            <w:r>
              <w:rPr>
                <w:rFonts w:hint="eastAsia" w:ascii="宋体" w:hAnsi="宋体" w:cs="宋体"/>
                <w:color w:val="auto"/>
                <w:sz w:val="18"/>
                <w:szCs w:val="18"/>
              </w:rPr>
              <w:t>100≤X＜2000</w:t>
            </w:r>
          </w:p>
        </w:tc>
        <w:tc>
          <w:tcPr>
            <w:tcW w:w="1426" w:type="dxa"/>
            <w:tcBorders>
              <w:top w:val="nil"/>
              <w:left w:val="nil"/>
              <w:bottom w:val="nil"/>
              <w:right w:val="single" w:color="auto" w:sz="4" w:space="0"/>
            </w:tcBorders>
            <w:vAlign w:val="center"/>
          </w:tcPr>
          <w:p w14:paraId="5506AE25">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10≤X＜100</w:t>
            </w:r>
          </w:p>
        </w:tc>
        <w:tc>
          <w:tcPr>
            <w:tcW w:w="992" w:type="dxa"/>
            <w:tcBorders>
              <w:top w:val="nil"/>
              <w:left w:val="nil"/>
              <w:bottom w:val="nil"/>
              <w:right w:val="nil"/>
            </w:tcBorders>
            <w:vAlign w:val="center"/>
          </w:tcPr>
          <w:p w14:paraId="12D6A499">
            <w:pPr>
              <w:widowControl/>
              <w:jc w:val="center"/>
              <w:rPr>
                <w:rFonts w:hint="eastAsia" w:ascii="宋体" w:hAnsi="宋体" w:cs="宋体"/>
                <w:color w:val="auto"/>
                <w:sz w:val="18"/>
                <w:szCs w:val="18"/>
              </w:rPr>
            </w:pPr>
            <w:r>
              <w:rPr>
                <w:rFonts w:hint="eastAsia" w:ascii="宋体" w:hAnsi="宋体" w:cs="宋体"/>
                <w:color w:val="auto"/>
                <w:sz w:val="18"/>
                <w:szCs w:val="18"/>
              </w:rPr>
              <w:t>X＜10</w:t>
            </w:r>
          </w:p>
        </w:tc>
      </w:tr>
      <w:tr w14:paraId="2C0D33EC">
        <w:tblPrEx>
          <w:tblCellMar>
            <w:top w:w="0" w:type="dxa"/>
            <w:left w:w="108" w:type="dxa"/>
            <w:bottom w:w="0" w:type="dxa"/>
            <w:right w:w="108" w:type="dxa"/>
          </w:tblCellMar>
        </w:tblPrEx>
        <w:trPr>
          <w:trHeight w:val="397" w:hRule="exact"/>
          <w:jc w:val="center"/>
        </w:trPr>
        <w:tc>
          <w:tcPr>
            <w:tcW w:w="2113" w:type="dxa"/>
            <w:vMerge w:val="continue"/>
            <w:tcBorders>
              <w:top w:val="nil"/>
              <w:left w:val="nil"/>
              <w:bottom w:val="single" w:color="auto" w:sz="4" w:space="0"/>
              <w:right w:val="single" w:color="auto" w:sz="4" w:space="0"/>
            </w:tcBorders>
            <w:vAlign w:val="center"/>
          </w:tcPr>
          <w:p w14:paraId="64DF53E2">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0EC66A12">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0B3F2F04">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400BD73E">
            <w:pPr>
              <w:widowControl/>
              <w:jc w:val="center"/>
              <w:rPr>
                <w:rFonts w:hint="eastAsia" w:ascii="宋体" w:hAnsi="宋体" w:cs="宋体"/>
                <w:color w:val="auto"/>
                <w:sz w:val="18"/>
                <w:szCs w:val="18"/>
              </w:rPr>
            </w:pPr>
            <w:r>
              <w:rPr>
                <w:rFonts w:hint="eastAsia" w:ascii="宋体" w:hAnsi="宋体" w:cs="宋体"/>
                <w:color w:val="auto"/>
                <w:sz w:val="18"/>
                <w:szCs w:val="18"/>
              </w:rPr>
              <w:t>Y≥100000</w:t>
            </w:r>
          </w:p>
        </w:tc>
        <w:tc>
          <w:tcPr>
            <w:tcW w:w="1701" w:type="dxa"/>
            <w:tcBorders>
              <w:top w:val="nil"/>
              <w:left w:val="nil"/>
              <w:bottom w:val="single" w:color="auto" w:sz="4" w:space="0"/>
              <w:right w:val="single" w:color="auto" w:sz="4" w:space="0"/>
            </w:tcBorders>
            <w:vAlign w:val="center"/>
          </w:tcPr>
          <w:p w14:paraId="5AD43FA3">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1000≤Y＜100000</w:t>
            </w:r>
          </w:p>
        </w:tc>
        <w:tc>
          <w:tcPr>
            <w:tcW w:w="1426" w:type="dxa"/>
            <w:tcBorders>
              <w:top w:val="nil"/>
              <w:left w:val="nil"/>
              <w:bottom w:val="single" w:color="auto" w:sz="4" w:space="0"/>
              <w:right w:val="single" w:color="auto" w:sz="4" w:space="0"/>
            </w:tcBorders>
            <w:vAlign w:val="center"/>
          </w:tcPr>
          <w:p w14:paraId="0D48D1A5">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100≤Y＜1000</w:t>
            </w:r>
          </w:p>
        </w:tc>
        <w:tc>
          <w:tcPr>
            <w:tcW w:w="992" w:type="dxa"/>
            <w:tcBorders>
              <w:top w:val="nil"/>
              <w:left w:val="nil"/>
              <w:bottom w:val="single" w:color="auto" w:sz="4" w:space="0"/>
              <w:right w:val="nil"/>
            </w:tcBorders>
            <w:vAlign w:val="center"/>
          </w:tcPr>
          <w:p w14:paraId="7AC562DD">
            <w:pPr>
              <w:widowControl/>
              <w:jc w:val="center"/>
              <w:rPr>
                <w:rFonts w:hint="eastAsia" w:ascii="宋体" w:hAnsi="宋体" w:cs="宋体"/>
                <w:color w:val="auto"/>
                <w:sz w:val="18"/>
                <w:szCs w:val="18"/>
              </w:rPr>
            </w:pPr>
            <w:r>
              <w:rPr>
                <w:rFonts w:hint="eastAsia" w:ascii="宋体" w:hAnsi="宋体" w:cs="宋体"/>
                <w:color w:val="auto"/>
                <w:sz w:val="18"/>
                <w:szCs w:val="18"/>
              </w:rPr>
              <w:t>Y＜100</w:t>
            </w:r>
          </w:p>
        </w:tc>
      </w:tr>
      <w:tr w14:paraId="04D3E180">
        <w:tblPrEx>
          <w:tblCellMar>
            <w:top w:w="0" w:type="dxa"/>
            <w:left w:w="108" w:type="dxa"/>
            <w:bottom w:w="0" w:type="dxa"/>
            <w:right w:w="108" w:type="dxa"/>
          </w:tblCellMar>
        </w:tblPrEx>
        <w:trPr>
          <w:trHeight w:val="340" w:hRule="exact"/>
          <w:jc w:val="center"/>
        </w:trPr>
        <w:tc>
          <w:tcPr>
            <w:tcW w:w="2113" w:type="dxa"/>
            <w:vMerge w:val="restart"/>
            <w:tcBorders>
              <w:top w:val="single" w:color="auto" w:sz="4" w:space="0"/>
              <w:left w:val="nil"/>
              <w:bottom w:val="single" w:color="auto" w:sz="4" w:space="0"/>
              <w:right w:val="single" w:color="auto" w:sz="4" w:space="0"/>
            </w:tcBorders>
            <w:vAlign w:val="center"/>
          </w:tcPr>
          <w:p w14:paraId="27B94562">
            <w:pPr>
              <w:widowControl/>
              <w:spacing w:line="240" w:lineRule="exact"/>
              <w:rPr>
                <w:rFonts w:hint="eastAsia" w:ascii="宋体" w:hAnsi="宋体" w:cs="宋体"/>
                <w:color w:val="auto"/>
                <w:spacing w:val="-12"/>
                <w:sz w:val="18"/>
                <w:szCs w:val="18"/>
              </w:rPr>
            </w:pPr>
            <w:r>
              <w:rPr>
                <w:rFonts w:hint="eastAsia" w:ascii="宋体" w:hAnsi="宋体" w:cs="宋体"/>
                <w:color w:val="auto"/>
                <w:spacing w:val="-12"/>
                <w:sz w:val="18"/>
                <w:szCs w:val="18"/>
              </w:rPr>
              <w:t>软件和信息技术服</w:t>
            </w:r>
            <w:r>
              <w:rPr>
                <w:rFonts w:hint="eastAsia" w:ascii="宋体" w:hAnsi="宋体" w:cs="宋体"/>
                <w:color w:val="auto"/>
                <w:sz w:val="18"/>
                <w:szCs w:val="18"/>
              </w:rPr>
              <w:t>务业</w:t>
            </w:r>
          </w:p>
        </w:tc>
        <w:tc>
          <w:tcPr>
            <w:tcW w:w="1369" w:type="dxa"/>
            <w:tcBorders>
              <w:top w:val="nil"/>
              <w:left w:val="nil"/>
              <w:bottom w:val="nil"/>
              <w:right w:val="single" w:color="auto" w:sz="4" w:space="0"/>
            </w:tcBorders>
            <w:vAlign w:val="center"/>
          </w:tcPr>
          <w:p w14:paraId="05F59AC3">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1D6BD1DE">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2BFA20D5">
            <w:pPr>
              <w:widowControl/>
              <w:jc w:val="center"/>
              <w:rPr>
                <w:rFonts w:hint="eastAsia" w:ascii="宋体" w:hAnsi="宋体" w:cs="宋体"/>
                <w:color w:val="auto"/>
                <w:sz w:val="18"/>
                <w:szCs w:val="18"/>
              </w:rPr>
            </w:pPr>
            <w:r>
              <w:rPr>
                <w:rFonts w:hint="eastAsia" w:ascii="宋体" w:hAnsi="宋体" w:cs="宋体"/>
                <w:color w:val="auto"/>
                <w:sz w:val="18"/>
                <w:szCs w:val="18"/>
              </w:rPr>
              <w:t>X≥300</w:t>
            </w:r>
          </w:p>
        </w:tc>
        <w:tc>
          <w:tcPr>
            <w:tcW w:w="1701" w:type="dxa"/>
            <w:tcBorders>
              <w:top w:val="nil"/>
              <w:left w:val="nil"/>
              <w:bottom w:val="nil"/>
              <w:right w:val="single" w:color="auto" w:sz="4" w:space="0"/>
            </w:tcBorders>
            <w:vAlign w:val="center"/>
          </w:tcPr>
          <w:p w14:paraId="56619F18">
            <w:pPr>
              <w:widowControl/>
              <w:ind w:left="1" w:leftChars="-51" w:hanging="108" w:hangingChars="60"/>
              <w:jc w:val="center"/>
              <w:rPr>
                <w:rFonts w:hint="eastAsia" w:ascii="宋体" w:hAnsi="宋体" w:cs="宋体"/>
                <w:color w:val="auto"/>
                <w:sz w:val="18"/>
                <w:szCs w:val="18"/>
              </w:rPr>
            </w:pPr>
            <w:r>
              <w:rPr>
                <w:rFonts w:hint="eastAsia" w:ascii="宋体" w:hAnsi="宋体" w:cs="宋体"/>
                <w:color w:val="auto"/>
                <w:sz w:val="18"/>
                <w:szCs w:val="18"/>
              </w:rPr>
              <w:t xml:space="preserve">100≤X＜300 </w:t>
            </w:r>
          </w:p>
        </w:tc>
        <w:tc>
          <w:tcPr>
            <w:tcW w:w="1426" w:type="dxa"/>
            <w:tcBorders>
              <w:top w:val="nil"/>
              <w:left w:val="nil"/>
              <w:bottom w:val="nil"/>
              <w:right w:val="single" w:color="auto" w:sz="4" w:space="0"/>
            </w:tcBorders>
            <w:vAlign w:val="center"/>
          </w:tcPr>
          <w:p w14:paraId="51F1646E">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10≤X＜100</w:t>
            </w:r>
          </w:p>
        </w:tc>
        <w:tc>
          <w:tcPr>
            <w:tcW w:w="992" w:type="dxa"/>
            <w:tcBorders>
              <w:top w:val="nil"/>
              <w:left w:val="nil"/>
              <w:bottom w:val="nil"/>
              <w:right w:val="nil"/>
            </w:tcBorders>
            <w:vAlign w:val="center"/>
          </w:tcPr>
          <w:p w14:paraId="523774E7">
            <w:pPr>
              <w:widowControl/>
              <w:jc w:val="center"/>
              <w:rPr>
                <w:rFonts w:hint="eastAsia" w:ascii="宋体" w:hAnsi="宋体" w:cs="宋体"/>
                <w:color w:val="auto"/>
                <w:sz w:val="18"/>
                <w:szCs w:val="18"/>
              </w:rPr>
            </w:pPr>
            <w:r>
              <w:rPr>
                <w:rFonts w:hint="eastAsia" w:ascii="宋体" w:hAnsi="宋体" w:cs="宋体"/>
                <w:color w:val="auto"/>
                <w:sz w:val="18"/>
                <w:szCs w:val="18"/>
              </w:rPr>
              <w:t>X＜10</w:t>
            </w:r>
          </w:p>
        </w:tc>
      </w:tr>
      <w:tr w14:paraId="78157DD6">
        <w:tblPrEx>
          <w:tblCellMar>
            <w:top w:w="0" w:type="dxa"/>
            <w:left w:w="108" w:type="dxa"/>
            <w:bottom w:w="0" w:type="dxa"/>
            <w:right w:w="108" w:type="dxa"/>
          </w:tblCellMar>
        </w:tblPrEx>
        <w:trPr>
          <w:trHeight w:val="340" w:hRule="exact"/>
          <w:jc w:val="center"/>
        </w:trPr>
        <w:tc>
          <w:tcPr>
            <w:tcW w:w="2113" w:type="dxa"/>
            <w:vMerge w:val="continue"/>
            <w:tcBorders>
              <w:top w:val="single" w:color="auto" w:sz="4" w:space="0"/>
              <w:left w:val="nil"/>
              <w:bottom w:val="single" w:color="auto" w:sz="4" w:space="0"/>
              <w:right w:val="single" w:color="auto" w:sz="4" w:space="0"/>
            </w:tcBorders>
            <w:vAlign w:val="center"/>
          </w:tcPr>
          <w:p w14:paraId="5C7D4995">
            <w:pPr>
              <w:widowControl/>
              <w:rPr>
                <w:rFonts w:hint="eastAsia" w:ascii="宋体" w:hAnsi="宋体" w:cs="宋体"/>
                <w:color w:val="auto"/>
                <w:spacing w:val="-12"/>
                <w:sz w:val="18"/>
                <w:szCs w:val="18"/>
              </w:rPr>
            </w:pPr>
          </w:p>
        </w:tc>
        <w:tc>
          <w:tcPr>
            <w:tcW w:w="1369" w:type="dxa"/>
            <w:tcBorders>
              <w:top w:val="nil"/>
              <w:left w:val="nil"/>
              <w:bottom w:val="single" w:color="auto" w:sz="4" w:space="0"/>
              <w:right w:val="single" w:color="auto" w:sz="4" w:space="0"/>
            </w:tcBorders>
            <w:vAlign w:val="center"/>
          </w:tcPr>
          <w:p w14:paraId="7F54DAA7">
            <w:pPr>
              <w:widowControl/>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5099A9D4">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63D23189">
            <w:pPr>
              <w:widowControl/>
              <w:jc w:val="center"/>
              <w:rPr>
                <w:rFonts w:hint="eastAsia" w:ascii="宋体" w:hAnsi="宋体" w:cs="宋体"/>
                <w:color w:val="auto"/>
                <w:sz w:val="18"/>
                <w:szCs w:val="18"/>
              </w:rPr>
            </w:pPr>
            <w:r>
              <w:rPr>
                <w:rFonts w:hint="eastAsia" w:ascii="宋体" w:hAnsi="宋体" w:cs="宋体"/>
                <w:color w:val="auto"/>
                <w:sz w:val="18"/>
                <w:szCs w:val="18"/>
              </w:rPr>
              <w:t>Y≥10000</w:t>
            </w:r>
          </w:p>
        </w:tc>
        <w:tc>
          <w:tcPr>
            <w:tcW w:w="1701" w:type="dxa"/>
            <w:tcBorders>
              <w:top w:val="nil"/>
              <w:left w:val="nil"/>
              <w:bottom w:val="single" w:color="auto" w:sz="4" w:space="0"/>
              <w:right w:val="single" w:color="auto" w:sz="4" w:space="0"/>
            </w:tcBorders>
            <w:vAlign w:val="center"/>
          </w:tcPr>
          <w:p w14:paraId="2165B44A">
            <w:pPr>
              <w:widowControl/>
              <w:jc w:val="center"/>
              <w:rPr>
                <w:rFonts w:hint="eastAsia" w:ascii="宋体" w:hAnsi="宋体" w:cs="宋体"/>
                <w:color w:val="auto"/>
                <w:sz w:val="18"/>
                <w:szCs w:val="18"/>
              </w:rPr>
            </w:pPr>
            <w:r>
              <w:rPr>
                <w:rFonts w:hint="eastAsia" w:ascii="宋体" w:hAnsi="宋体" w:cs="宋体"/>
                <w:color w:val="auto"/>
                <w:sz w:val="18"/>
                <w:szCs w:val="18"/>
              </w:rPr>
              <w:t>1000≤Y＜10000</w:t>
            </w:r>
          </w:p>
        </w:tc>
        <w:tc>
          <w:tcPr>
            <w:tcW w:w="1426" w:type="dxa"/>
            <w:tcBorders>
              <w:top w:val="nil"/>
              <w:left w:val="nil"/>
              <w:bottom w:val="single" w:color="auto" w:sz="4" w:space="0"/>
              <w:right w:val="single" w:color="auto" w:sz="4" w:space="0"/>
            </w:tcBorders>
            <w:vAlign w:val="center"/>
          </w:tcPr>
          <w:p w14:paraId="5D02B382">
            <w:pPr>
              <w:widowControl/>
              <w:jc w:val="center"/>
              <w:rPr>
                <w:rFonts w:hint="eastAsia" w:ascii="宋体" w:hAnsi="宋体" w:cs="宋体"/>
                <w:color w:val="auto"/>
                <w:sz w:val="18"/>
                <w:szCs w:val="18"/>
              </w:rPr>
            </w:pPr>
            <w:r>
              <w:rPr>
                <w:rFonts w:hint="eastAsia" w:ascii="宋体" w:hAnsi="宋体" w:cs="宋体"/>
                <w:color w:val="auto"/>
                <w:sz w:val="18"/>
                <w:szCs w:val="18"/>
              </w:rPr>
              <w:t xml:space="preserve">  50≤Y＜1000</w:t>
            </w:r>
          </w:p>
        </w:tc>
        <w:tc>
          <w:tcPr>
            <w:tcW w:w="992" w:type="dxa"/>
            <w:tcBorders>
              <w:top w:val="nil"/>
              <w:left w:val="nil"/>
              <w:bottom w:val="single" w:color="auto" w:sz="4" w:space="0"/>
              <w:right w:val="nil"/>
            </w:tcBorders>
            <w:vAlign w:val="center"/>
          </w:tcPr>
          <w:p w14:paraId="12CFA522">
            <w:pPr>
              <w:widowControl/>
              <w:jc w:val="center"/>
              <w:rPr>
                <w:rFonts w:hint="eastAsia" w:ascii="宋体" w:hAnsi="宋体" w:cs="宋体"/>
                <w:color w:val="auto"/>
                <w:sz w:val="18"/>
                <w:szCs w:val="18"/>
              </w:rPr>
            </w:pPr>
            <w:r>
              <w:rPr>
                <w:rFonts w:hint="eastAsia" w:ascii="宋体" w:hAnsi="宋体" w:cs="宋体"/>
                <w:color w:val="auto"/>
                <w:sz w:val="18"/>
                <w:szCs w:val="18"/>
              </w:rPr>
              <w:t>Y＜50</w:t>
            </w:r>
          </w:p>
        </w:tc>
      </w:tr>
      <w:tr w14:paraId="0508570D">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vAlign w:val="center"/>
          </w:tcPr>
          <w:p w14:paraId="3AF437F7">
            <w:pPr>
              <w:widowControl/>
              <w:spacing w:line="240" w:lineRule="exact"/>
              <w:rPr>
                <w:rFonts w:hint="eastAsia" w:ascii="宋体" w:hAnsi="宋体" w:cs="宋体"/>
                <w:color w:val="auto"/>
                <w:sz w:val="18"/>
                <w:szCs w:val="18"/>
              </w:rPr>
            </w:pPr>
            <w:r>
              <w:rPr>
                <w:rFonts w:hint="eastAsia" w:ascii="宋体" w:hAnsi="宋体" w:cs="宋体"/>
                <w:color w:val="auto"/>
                <w:sz w:val="18"/>
                <w:szCs w:val="18"/>
              </w:rPr>
              <w:t>房地产开发经营</w:t>
            </w:r>
          </w:p>
        </w:tc>
        <w:tc>
          <w:tcPr>
            <w:tcW w:w="1369" w:type="dxa"/>
            <w:tcBorders>
              <w:top w:val="nil"/>
              <w:left w:val="nil"/>
              <w:bottom w:val="nil"/>
              <w:right w:val="single" w:color="auto" w:sz="4" w:space="0"/>
            </w:tcBorders>
            <w:vAlign w:val="center"/>
          </w:tcPr>
          <w:p w14:paraId="4633849A">
            <w:pPr>
              <w:widowControl/>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nil"/>
              <w:right w:val="single" w:color="auto" w:sz="4" w:space="0"/>
            </w:tcBorders>
            <w:vAlign w:val="center"/>
          </w:tcPr>
          <w:p w14:paraId="369A6146">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nil"/>
              <w:right w:val="single" w:color="auto" w:sz="4" w:space="0"/>
            </w:tcBorders>
            <w:vAlign w:val="center"/>
          </w:tcPr>
          <w:p w14:paraId="380EC905">
            <w:pPr>
              <w:widowControl/>
              <w:jc w:val="center"/>
              <w:rPr>
                <w:rFonts w:hint="eastAsia" w:ascii="宋体" w:hAnsi="宋体" w:cs="宋体"/>
                <w:color w:val="auto"/>
                <w:sz w:val="18"/>
                <w:szCs w:val="18"/>
              </w:rPr>
            </w:pPr>
            <w:r>
              <w:rPr>
                <w:rFonts w:hint="eastAsia" w:ascii="宋体" w:hAnsi="宋体" w:cs="宋体"/>
                <w:color w:val="auto"/>
                <w:sz w:val="18"/>
                <w:szCs w:val="18"/>
              </w:rPr>
              <w:t>Y≥200000</w:t>
            </w:r>
          </w:p>
        </w:tc>
        <w:tc>
          <w:tcPr>
            <w:tcW w:w="1701" w:type="dxa"/>
            <w:tcBorders>
              <w:top w:val="nil"/>
              <w:left w:val="nil"/>
              <w:bottom w:val="nil"/>
              <w:right w:val="single" w:color="auto" w:sz="4" w:space="0"/>
            </w:tcBorders>
            <w:vAlign w:val="center"/>
          </w:tcPr>
          <w:p w14:paraId="4B7E0968">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1000≤Y＜200000</w:t>
            </w:r>
          </w:p>
        </w:tc>
        <w:tc>
          <w:tcPr>
            <w:tcW w:w="1426" w:type="dxa"/>
            <w:tcBorders>
              <w:top w:val="nil"/>
              <w:left w:val="nil"/>
              <w:bottom w:val="nil"/>
              <w:right w:val="single" w:color="auto" w:sz="4" w:space="0"/>
            </w:tcBorders>
            <w:vAlign w:val="center"/>
          </w:tcPr>
          <w:p w14:paraId="41B2BC29">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100≤Y＜1000</w:t>
            </w:r>
          </w:p>
        </w:tc>
        <w:tc>
          <w:tcPr>
            <w:tcW w:w="992" w:type="dxa"/>
            <w:tcBorders>
              <w:top w:val="nil"/>
              <w:left w:val="nil"/>
              <w:bottom w:val="nil"/>
              <w:right w:val="nil"/>
            </w:tcBorders>
            <w:vAlign w:val="center"/>
          </w:tcPr>
          <w:p w14:paraId="11B2C6A1">
            <w:pPr>
              <w:widowControl/>
              <w:jc w:val="center"/>
              <w:rPr>
                <w:rFonts w:hint="eastAsia" w:ascii="宋体" w:hAnsi="宋体" w:cs="宋体"/>
                <w:color w:val="auto"/>
                <w:sz w:val="18"/>
                <w:szCs w:val="18"/>
              </w:rPr>
            </w:pPr>
            <w:r>
              <w:rPr>
                <w:rFonts w:hint="eastAsia" w:ascii="宋体" w:hAnsi="宋体" w:cs="宋体"/>
                <w:color w:val="auto"/>
                <w:sz w:val="18"/>
                <w:szCs w:val="18"/>
              </w:rPr>
              <w:t>Y＜100</w:t>
            </w:r>
          </w:p>
        </w:tc>
      </w:tr>
      <w:tr w14:paraId="0BC119FC">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49F00C8C">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211ADD86">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资产总额(Z)</w:t>
            </w:r>
          </w:p>
        </w:tc>
        <w:tc>
          <w:tcPr>
            <w:tcW w:w="709" w:type="dxa"/>
            <w:tcBorders>
              <w:top w:val="nil"/>
              <w:left w:val="nil"/>
              <w:bottom w:val="single" w:color="auto" w:sz="4" w:space="0"/>
              <w:right w:val="single" w:color="auto" w:sz="4" w:space="0"/>
            </w:tcBorders>
            <w:vAlign w:val="center"/>
          </w:tcPr>
          <w:p w14:paraId="75D82692">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06C24679">
            <w:pPr>
              <w:widowControl/>
              <w:jc w:val="center"/>
              <w:rPr>
                <w:rFonts w:hint="eastAsia" w:ascii="宋体" w:hAnsi="宋体" w:cs="宋体"/>
                <w:color w:val="auto"/>
                <w:sz w:val="18"/>
                <w:szCs w:val="18"/>
              </w:rPr>
            </w:pPr>
            <w:r>
              <w:rPr>
                <w:rFonts w:hint="eastAsia" w:ascii="宋体" w:hAnsi="宋体" w:cs="宋体"/>
                <w:color w:val="auto"/>
                <w:sz w:val="18"/>
                <w:szCs w:val="18"/>
              </w:rPr>
              <w:t>Z≥10000</w:t>
            </w:r>
          </w:p>
        </w:tc>
        <w:tc>
          <w:tcPr>
            <w:tcW w:w="1701" w:type="dxa"/>
            <w:tcBorders>
              <w:top w:val="nil"/>
              <w:left w:val="nil"/>
              <w:bottom w:val="single" w:color="auto" w:sz="4" w:space="0"/>
              <w:right w:val="single" w:color="auto" w:sz="4" w:space="0"/>
            </w:tcBorders>
            <w:vAlign w:val="center"/>
          </w:tcPr>
          <w:p w14:paraId="6FD688C1">
            <w:pPr>
              <w:widowControl/>
              <w:jc w:val="center"/>
              <w:rPr>
                <w:rFonts w:hint="eastAsia" w:ascii="宋体" w:hAnsi="宋体" w:cs="宋体"/>
                <w:color w:val="auto"/>
                <w:sz w:val="18"/>
                <w:szCs w:val="18"/>
              </w:rPr>
            </w:pPr>
            <w:r>
              <w:rPr>
                <w:rFonts w:hint="eastAsia" w:ascii="宋体" w:hAnsi="宋体" w:cs="宋体"/>
                <w:color w:val="auto"/>
                <w:sz w:val="18"/>
                <w:szCs w:val="18"/>
              </w:rPr>
              <w:t>5000≤Z＜10000</w:t>
            </w:r>
          </w:p>
        </w:tc>
        <w:tc>
          <w:tcPr>
            <w:tcW w:w="1426" w:type="dxa"/>
            <w:tcBorders>
              <w:top w:val="nil"/>
              <w:left w:val="nil"/>
              <w:bottom w:val="single" w:color="auto" w:sz="4" w:space="0"/>
              <w:right w:val="single" w:color="auto" w:sz="4" w:space="0"/>
            </w:tcBorders>
            <w:vAlign w:val="center"/>
          </w:tcPr>
          <w:p w14:paraId="5193C3EC">
            <w:pPr>
              <w:widowControl/>
              <w:jc w:val="center"/>
              <w:rPr>
                <w:rFonts w:hint="eastAsia" w:ascii="宋体" w:hAnsi="宋体" w:cs="宋体"/>
                <w:color w:val="auto"/>
                <w:sz w:val="18"/>
                <w:szCs w:val="18"/>
              </w:rPr>
            </w:pPr>
            <w:r>
              <w:rPr>
                <w:rFonts w:hint="eastAsia" w:ascii="宋体" w:hAnsi="宋体" w:cs="宋体"/>
                <w:color w:val="auto"/>
                <w:sz w:val="18"/>
                <w:szCs w:val="18"/>
              </w:rPr>
              <w:t xml:space="preserve">2000≤Z＜5000   </w:t>
            </w:r>
          </w:p>
        </w:tc>
        <w:tc>
          <w:tcPr>
            <w:tcW w:w="992" w:type="dxa"/>
            <w:tcBorders>
              <w:top w:val="nil"/>
              <w:left w:val="nil"/>
              <w:bottom w:val="single" w:color="auto" w:sz="4" w:space="0"/>
              <w:right w:val="nil"/>
            </w:tcBorders>
            <w:vAlign w:val="center"/>
          </w:tcPr>
          <w:p w14:paraId="6D5CB481">
            <w:pPr>
              <w:widowControl/>
              <w:jc w:val="center"/>
              <w:rPr>
                <w:rFonts w:hint="eastAsia" w:ascii="宋体" w:hAnsi="宋体" w:cs="宋体"/>
                <w:color w:val="auto"/>
                <w:sz w:val="18"/>
                <w:szCs w:val="18"/>
              </w:rPr>
            </w:pPr>
            <w:r>
              <w:rPr>
                <w:rFonts w:hint="eastAsia" w:ascii="宋体" w:hAnsi="宋体" w:cs="宋体"/>
                <w:color w:val="auto"/>
                <w:sz w:val="18"/>
                <w:szCs w:val="18"/>
              </w:rPr>
              <w:t>Z＜2000</w:t>
            </w:r>
          </w:p>
        </w:tc>
      </w:tr>
      <w:tr w14:paraId="5E9370C2">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vAlign w:val="center"/>
          </w:tcPr>
          <w:p w14:paraId="15A31D6F">
            <w:pPr>
              <w:widowControl/>
              <w:spacing w:line="240" w:lineRule="exact"/>
              <w:rPr>
                <w:rFonts w:hint="eastAsia" w:ascii="宋体" w:hAnsi="宋体" w:cs="宋体"/>
                <w:color w:val="auto"/>
                <w:sz w:val="18"/>
                <w:szCs w:val="18"/>
              </w:rPr>
            </w:pPr>
            <w:r>
              <w:rPr>
                <w:rFonts w:hint="eastAsia" w:ascii="宋体" w:hAnsi="宋体" w:cs="宋体"/>
                <w:color w:val="auto"/>
                <w:sz w:val="18"/>
                <w:szCs w:val="18"/>
              </w:rPr>
              <w:t>物业管理</w:t>
            </w:r>
          </w:p>
        </w:tc>
        <w:tc>
          <w:tcPr>
            <w:tcW w:w="1369" w:type="dxa"/>
            <w:tcBorders>
              <w:top w:val="nil"/>
              <w:left w:val="nil"/>
              <w:bottom w:val="nil"/>
              <w:right w:val="single" w:color="auto" w:sz="4" w:space="0"/>
            </w:tcBorders>
            <w:vAlign w:val="center"/>
          </w:tcPr>
          <w:p w14:paraId="6A76F87C">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10D0E10D">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6128D452">
            <w:pPr>
              <w:widowControl/>
              <w:jc w:val="center"/>
              <w:rPr>
                <w:rFonts w:hint="eastAsia" w:ascii="宋体" w:hAnsi="宋体" w:cs="宋体"/>
                <w:color w:val="auto"/>
                <w:sz w:val="18"/>
                <w:szCs w:val="18"/>
              </w:rPr>
            </w:pPr>
            <w:r>
              <w:rPr>
                <w:rFonts w:hint="eastAsia" w:ascii="宋体" w:hAnsi="宋体" w:cs="宋体"/>
                <w:color w:val="auto"/>
                <w:sz w:val="18"/>
                <w:szCs w:val="18"/>
              </w:rPr>
              <w:t>X≥1000</w:t>
            </w:r>
          </w:p>
        </w:tc>
        <w:tc>
          <w:tcPr>
            <w:tcW w:w="1701" w:type="dxa"/>
            <w:tcBorders>
              <w:top w:val="nil"/>
              <w:left w:val="nil"/>
              <w:bottom w:val="nil"/>
              <w:right w:val="single" w:color="auto" w:sz="4" w:space="0"/>
            </w:tcBorders>
            <w:vAlign w:val="center"/>
          </w:tcPr>
          <w:p w14:paraId="4A67CE74">
            <w:pPr>
              <w:widowControl/>
              <w:jc w:val="center"/>
              <w:rPr>
                <w:rFonts w:hint="eastAsia" w:ascii="宋体" w:hAnsi="宋体" w:cs="宋体"/>
                <w:color w:val="auto"/>
                <w:sz w:val="18"/>
                <w:szCs w:val="18"/>
              </w:rPr>
            </w:pPr>
            <w:r>
              <w:rPr>
                <w:rFonts w:hint="eastAsia" w:ascii="宋体" w:hAnsi="宋体" w:cs="宋体"/>
                <w:color w:val="auto"/>
                <w:sz w:val="18"/>
                <w:szCs w:val="18"/>
              </w:rPr>
              <w:t>300≤X＜1000</w:t>
            </w:r>
          </w:p>
        </w:tc>
        <w:tc>
          <w:tcPr>
            <w:tcW w:w="1426" w:type="dxa"/>
            <w:tcBorders>
              <w:top w:val="nil"/>
              <w:left w:val="nil"/>
              <w:bottom w:val="nil"/>
              <w:right w:val="single" w:color="auto" w:sz="4" w:space="0"/>
            </w:tcBorders>
            <w:vAlign w:val="center"/>
          </w:tcPr>
          <w:p w14:paraId="6451AC24">
            <w:pPr>
              <w:widowControl/>
              <w:jc w:val="center"/>
              <w:rPr>
                <w:rFonts w:hint="eastAsia" w:ascii="宋体" w:hAnsi="宋体" w:cs="宋体"/>
                <w:color w:val="auto"/>
                <w:sz w:val="18"/>
                <w:szCs w:val="18"/>
              </w:rPr>
            </w:pPr>
            <w:r>
              <w:rPr>
                <w:rFonts w:hint="eastAsia" w:ascii="宋体" w:hAnsi="宋体" w:cs="宋体"/>
                <w:color w:val="auto"/>
                <w:sz w:val="18"/>
                <w:szCs w:val="18"/>
              </w:rPr>
              <w:t xml:space="preserve">100≤X＜300 </w:t>
            </w:r>
          </w:p>
        </w:tc>
        <w:tc>
          <w:tcPr>
            <w:tcW w:w="992" w:type="dxa"/>
            <w:tcBorders>
              <w:top w:val="nil"/>
              <w:left w:val="nil"/>
              <w:bottom w:val="nil"/>
              <w:right w:val="nil"/>
            </w:tcBorders>
            <w:vAlign w:val="center"/>
          </w:tcPr>
          <w:p w14:paraId="2ED1594E">
            <w:pPr>
              <w:widowControl/>
              <w:jc w:val="center"/>
              <w:rPr>
                <w:rFonts w:hint="eastAsia" w:ascii="宋体" w:hAnsi="宋体" w:cs="宋体"/>
                <w:color w:val="auto"/>
                <w:sz w:val="18"/>
                <w:szCs w:val="18"/>
              </w:rPr>
            </w:pPr>
            <w:r>
              <w:rPr>
                <w:rFonts w:hint="eastAsia" w:ascii="宋体" w:hAnsi="宋体" w:cs="宋体"/>
                <w:color w:val="auto"/>
                <w:sz w:val="18"/>
                <w:szCs w:val="18"/>
              </w:rPr>
              <w:t>X＜100</w:t>
            </w:r>
          </w:p>
        </w:tc>
      </w:tr>
      <w:tr w14:paraId="0021150F">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6FA692B0">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5B78508F">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营业收入(Y)</w:t>
            </w:r>
          </w:p>
        </w:tc>
        <w:tc>
          <w:tcPr>
            <w:tcW w:w="709" w:type="dxa"/>
            <w:tcBorders>
              <w:top w:val="nil"/>
              <w:left w:val="nil"/>
              <w:bottom w:val="single" w:color="auto" w:sz="4" w:space="0"/>
              <w:right w:val="single" w:color="auto" w:sz="4" w:space="0"/>
            </w:tcBorders>
            <w:vAlign w:val="center"/>
          </w:tcPr>
          <w:p w14:paraId="46F2E2EC">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736700BA">
            <w:pPr>
              <w:widowControl/>
              <w:jc w:val="center"/>
              <w:rPr>
                <w:rFonts w:hint="eastAsia" w:ascii="宋体" w:hAnsi="宋体" w:cs="宋体"/>
                <w:color w:val="auto"/>
                <w:sz w:val="18"/>
                <w:szCs w:val="18"/>
              </w:rPr>
            </w:pPr>
            <w:r>
              <w:rPr>
                <w:rFonts w:hint="eastAsia" w:ascii="宋体" w:hAnsi="宋体" w:cs="宋体"/>
                <w:color w:val="auto"/>
                <w:sz w:val="18"/>
                <w:szCs w:val="18"/>
              </w:rPr>
              <w:t>Y≥5000</w:t>
            </w:r>
          </w:p>
        </w:tc>
        <w:tc>
          <w:tcPr>
            <w:tcW w:w="1701" w:type="dxa"/>
            <w:tcBorders>
              <w:top w:val="nil"/>
              <w:left w:val="nil"/>
              <w:bottom w:val="single" w:color="auto" w:sz="4" w:space="0"/>
              <w:right w:val="single" w:color="auto" w:sz="4" w:space="0"/>
            </w:tcBorders>
            <w:vAlign w:val="center"/>
          </w:tcPr>
          <w:p w14:paraId="003DB2ED">
            <w:pPr>
              <w:widowControl/>
              <w:ind w:left="1" w:leftChars="-51" w:hanging="108" w:hangingChars="60"/>
              <w:jc w:val="center"/>
              <w:rPr>
                <w:rFonts w:hint="eastAsia" w:ascii="宋体" w:hAnsi="宋体" w:cs="宋体"/>
                <w:color w:val="auto"/>
                <w:sz w:val="18"/>
                <w:szCs w:val="18"/>
              </w:rPr>
            </w:pPr>
            <w:r>
              <w:rPr>
                <w:rFonts w:hint="eastAsia" w:ascii="宋体" w:hAnsi="宋体" w:cs="宋体"/>
                <w:color w:val="auto"/>
                <w:sz w:val="18"/>
                <w:szCs w:val="18"/>
              </w:rPr>
              <w:t xml:space="preserve">1000≤Y＜5000 </w:t>
            </w:r>
          </w:p>
        </w:tc>
        <w:tc>
          <w:tcPr>
            <w:tcW w:w="1426" w:type="dxa"/>
            <w:tcBorders>
              <w:top w:val="nil"/>
              <w:left w:val="nil"/>
              <w:bottom w:val="single" w:color="auto" w:sz="4" w:space="0"/>
              <w:right w:val="single" w:color="auto" w:sz="4" w:space="0"/>
            </w:tcBorders>
            <w:vAlign w:val="center"/>
          </w:tcPr>
          <w:p w14:paraId="340DF8AA">
            <w:pPr>
              <w:widowControl/>
              <w:jc w:val="center"/>
              <w:rPr>
                <w:rFonts w:hint="eastAsia" w:ascii="宋体" w:hAnsi="宋体" w:cs="宋体"/>
                <w:color w:val="auto"/>
                <w:sz w:val="18"/>
                <w:szCs w:val="18"/>
              </w:rPr>
            </w:pPr>
            <w:r>
              <w:rPr>
                <w:rFonts w:hint="eastAsia" w:ascii="宋体" w:hAnsi="宋体" w:cs="宋体"/>
                <w:color w:val="auto"/>
                <w:sz w:val="18"/>
                <w:szCs w:val="18"/>
              </w:rPr>
              <w:t xml:space="preserve"> 500≤Y＜1000</w:t>
            </w:r>
          </w:p>
        </w:tc>
        <w:tc>
          <w:tcPr>
            <w:tcW w:w="992" w:type="dxa"/>
            <w:tcBorders>
              <w:top w:val="nil"/>
              <w:left w:val="nil"/>
              <w:bottom w:val="single" w:color="auto" w:sz="4" w:space="0"/>
              <w:right w:val="nil"/>
            </w:tcBorders>
            <w:vAlign w:val="center"/>
          </w:tcPr>
          <w:p w14:paraId="05E9F461">
            <w:pPr>
              <w:widowControl/>
              <w:jc w:val="center"/>
              <w:rPr>
                <w:rFonts w:hint="eastAsia" w:ascii="宋体" w:hAnsi="宋体" w:cs="宋体"/>
                <w:color w:val="auto"/>
                <w:sz w:val="18"/>
                <w:szCs w:val="18"/>
              </w:rPr>
            </w:pPr>
            <w:r>
              <w:rPr>
                <w:rFonts w:hint="eastAsia" w:ascii="宋体" w:hAnsi="宋体" w:cs="宋体"/>
                <w:color w:val="auto"/>
                <w:sz w:val="18"/>
                <w:szCs w:val="18"/>
              </w:rPr>
              <w:t>Y＜500</w:t>
            </w:r>
          </w:p>
        </w:tc>
      </w:tr>
      <w:tr w14:paraId="2EBF15CF">
        <w:tblPrEx>
          <w:tblCellMar>
            <w:top w:w="0" w:type="dxa"/>
            <w:left w:w="108" w:type="dxa"/>
            <w:bottom w:w="0" w:type="dxa"/>
            <w:right w:w="108" w:type="dxa"/>
          </w:tblCellMar>
        </w:tblPrEx>
        <w:trPr>
          <w:trHeight w:val="340" w:hRule="exact"/>
          <w:jc w:val="center"/>
        </w:trPr>
        <w:tc>
          <w:tcPr>
            <w:tcW w:w="2113" w:type="dxa"/>
            <w:vMerge w:val="restart"/>
            <w:tcBorders>
              <w:top w:val="nil"/>
              <w:left w:val="nil"/>
              <w:bottom w:val="single" w:color="auto" w:sz="4" w:space="0"/>
              <w:right w:val="single" w:color="auto" w:sz="4" w:space="0"/>
            </w:tcBorders>
            <w:vAlign w:val="center"/>
          </w:tcPr>
          <w:p w14:paraId="5D789CA0">
            <w:pPr>
              <w:widowControl/>
              <w:spacing w:line="240" w:lineRule="exact"/>
              <w:rPr>
                <w:rFonts w:hint="eastAsia" w:ascii="宋体" w:hAnsi="宋体" w:cs="宋体"/>
                <w:color w:val="auto"/>
                <w:sz w:val="18"/>
                <w:szCs w:val="18"/>
              </w:rPr>
            </w:pPr>
            <w:r>
              <w:rPr>
                <w:rFonts w:hint="eastAsia" w:ascii="宋体" w:hAnsi="宋体" w:cs="宋体"/>
                <w:color w:val="auto"/>
                <w:sz w:val="18"/>
                <w:szCs w:val="18"/>
              </w:rPr>
              <w:t>租赁和商务服务业</w:t>
            </w:r>
          </w:p>
        </w:tc>
        <w:tc>
          <w:tcPr>
            <w:tcW w:w="1369" w:type="dxa"/>
            <w:tcBorders>
              <w:top w:val="nil"/>
              <w:left w:val="nil"/>
              <w:bottom w:val="nil"/>
              <w:right w:val="single" w:color="auto" w:sz="4" w:space="0"/>
            </w:tcBorders>
            <w:vAlign w:val="center"/>
          </w:tcPr>
          <w:p w14:paraId="0C785F3C">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nil"/>
              <w:right w:val="single" w:color="auto" w:sz="4" w:space="0"/>
            </w:tcBorders>
            <w:vAlign w:val="center"/>
          </w:tcPr>
          <w:p w14:paraId="162E360A">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nil"/>
              <w:right w:val="single" w:color="auto" w:sz="4" w:space="0"/>
            </w:tcBorders>
            <w:vAlign w:val="center"/>
          </w:tcPr>
          <w:p w14:paraId="207D0FD1">
            <w:pPr>
              <w:widowControl/>
              <w:jc w:val="center"/>
              <w:rPr>
                <w:rFonts w:hint="eastAsia" w:ascii="宋体" w:hAnsi="宋体" w:cs="宋体"/>
                <w:color w:val="auto"/>
                <w:sz w:val="18"/>
                <w:szCs w:val="18"/>
              </w:rPr>
            </w:pPr>
            <w:r>
              <w:rPr>
                <w:rFonts w:hint="eastAsia" w:ascii="宋体" w:hAnsi="宋体" w:cs="宋体"/>
                <w:color w:val="auto"/>
                <w:sz w:val="18"/>
                <w:szCs w:val="18"/>
              </w:rPr>
              <w:t>X≥300</w:t>
            </w:r>
          </w:p>
        </w:tc>
        <w:tc>
          <w:tcPr>
            <w:tcW w:w="1701" w:type="dxa"/>
            <w:tcBorders>
              <w:top w:val="nil"/>
              <w:left w:val="nil"/>
              <w:bottom w:val="nil"/>
              <w:right w:val="single" w:color="auto" w:sz="4" w:space="0"/>
            </w:tcBorders>
            <w:vAlign w:val="center"/>
          </w:tcPr>
          <w:p w14:paraId="1A0BC1F7">
            <w:pPr>
              <w:widowControl/>
              <w:ind w:left="1" w:leftChars="-51" w:hanging="108" w:hangingChars="60"/>
              <w:jc w:val="center"/>
              <w:rPr>
                <w:rFonts w:hint="eastAsia" w:ascii="宋体" w:hAnsi="宋体" w:cs="宋体"/>
                <w:color w:val="auto"/>
                <w:sz w:val="18"/>
                <w:szCs w:val="18"/>
              </w:rPr>
            </w:pPr>
            <w:r>
              <w:rPr>
                <w:rFonts w:hint="eastAsia" w:ascii="宋体" w:hAnsi="宋体" w:cs="宋体"/>
                <w:color w:val="auto"/>
                <w:sz w:val="18"/>
                <w:szCs w:val="18"/>
              </w:rPr>
              <w:t xml:space="preserve">100≤X＜300 </w:t>
            </w:r>
          </w:p>
        </w:tc>
        <w:tc>
          <w:tcPr>
            <w:tcW w:w="1426" w:type="dxa"/>
            <w:tcBorders>
              <w:top w:val="nil"/>
              <w:left w:val="nil"/>
              <w:bottom w:val="nil"/>
              <w:right w:val="single" w:color="auto" w:sz="4" w:space="0"/>
            </w:tcBorders>
            <w:vAlign w:val="center"/>
          </w:tcPr>
          <w:p w14:paraId="0118AD00">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10≤X＜100</w:t>
            </w:r>
          </w:p>
        </w:tc>
        <w:tc>
          <w:tcPr>
            <w:tcW w:w="992" w:type="dxa"/>
            <w:tcBorders>
              <w:top w:val="nil"/>
              <w:left w:val="nil"/>
              <w:bottom w:val="nil"/>
              <w:right w:val="nil"/>
            </w:tcBorders>
            <w:vAlign w:val="center"/>
          </w:tcPr>
          <w:p w14:paraId="31E28B85">
            <w:pPr>
              <w:widowControl/>
              <w:jc w:val="center"/>
              <w:rPr>
                <w:rFonts w:hint="eastAsia" w:ascii="宋体" w:hAnsi="宋体" w:cs="宋体"/>
                <w:color w:val="auto"/>
                <w:sz w:val="18"/>
                <w:szCs w:val="18"/>
              </w:rPr>
            </w:pPr>
            <w:r>
              <w:rPr>
                <w:rFonts w:hint="eastAsia" w:ascii="宋体" w:hAnsi="宋体" w:cs="宋体"/>
                <w:color w:val="auto"/>
                <w:sz w:val="18"/>
                <w:szCs w:val="18"/>
              </w:rPr>
              <w:t>X＜10</w:t>
            </w:r>
          </w:p>
        </w:tc>
      </w:tr>
      <w:tr w14:paraId="563D68D5">
        <w:tblPrEx>
          <w:tblCellMar>
            <w:top w:w="0" w:type="dxa"/>
            <w:left w:w="108" w:type="dxa"/>
            <w:bottom w:w="0" w:type="dxa"/>
            <w:right w:w="108" w:type="dxa"/>
          </w:tblCellMar>
        </w:tblPrEx>
        <w:trPr>
          <w:trHeight w:val="340" w:hRule="exact"/>
          <w:jc w:val="center"/>
        </w:trPr>
        <w:tc>
          <w:tcPr>
            <w:tcW w:w="2113" w:type="dxa"/>
            <w:vMerge w:val="continue"/>
            <w:tcBorders>
              <w:top w:val="nil"/>
              <w:left w:val="nil"/>
              <w:bottom w:val="single" w:color="auto" w:sz="4" w:space="0"/>
              <w:right w:val="single" w:color="auto" w:sz="4" w:space="0"/>
            </w:tcBorders>
            <w:vAlign w:val="center"/>
          </w:tcPr>
          <w:p w14:paraId="26D56D1E">
            <w:pPr>
              <w:widowControl/>
              <w:rPr>
                <w:rFonts w:hint="eastAsia" w:ascii="宋体" w:hAnsi="宋体" w:cs="宋体"/>
                <w:color w:val="auto"/>
                <w:sz w:val="18"/>
                <w:szCs w:val="18"/>
              </w:rPr>
            </w:pPr>
          </w:p>
        </w:tc>
        <w:tc>
          <w:tcPr>
            <w:tcW w:w="1369" w:type="dxa"/>
            <w:tcBorders>
              <w:top w:val="nil"/>
              <w:left w:val="nil"/>
              <w:bottom w:val="single" w:color="auto" w:sz="4" w:space="0"/>
              <w:right w:val="single" w:color="auto" w:sz="4" w:space="0"/>
            </w:tcBorders>
            <w:vAlign w:val="center"/>
          </w:tcPr>
          <w:p w14:paraId="691EF764">
            <w:pPr>
              <w:widowControl/>
              <w:spacing w:line="240" w:lineRule="exact"/>
              <w:jc w:val="center"/>
              <w:rPr>
                <w:rFonts w:hint="eastAsia" w:ascii="宋体" w:hAnsi="宋体" w:cs="宋体"/>
                <w:color w:val="auto"/>
                <w:sz w:val="18"/>
                <w:szCs w:val="18"/>
              </w:rPr>
            </w:pPr>
            <w:r>
              <w:rPr>
                <w:rFonts w:hint="eastAsia" w:ascii="宋体" w:hAnsi="宋体" w:cs="宋体"/>
                <w:color w:val="auto"/>
                <w:sz w:val="18"/>
                <w:szCs w:val="18"/>
              </w:rPr>
              <w:t>资产总额(Z)</w:t>
            </w:r>
          </w:p>
        </w:tc>
        <w:tc>
          <w:tcPr>
            <w:tcW w:w="709" w:type="dxa"/>
            <w:tcBorders>
              <w:top w:val="nil"/>
              <w:left w:val="nil"/>
              <w:bottom w:val="single" w:color="auto" w:sz="4" w:space="0"/>
              <w:right w:val="single" w:color="auto" w:sz="4" w:space="0"/>
            </w:tcBorders>
            <w:vAlign w:val="center"/>
          </w:tcPr>
          <w:p w14:paraId="476F1497">
            <w:pPr>
              <w:widowControl/>
              <w:jc w:val="center"/>
              <w:rPr>
                <w:rFonts w:hint="eastAsia" w:ascii="宋体" w:hAnsi="宋体" w:cs="宋体"/>
                <w:color w:val="auto"/>
                <w:sz w:val="18"/>
                <w:szCs w:val="18"/>
              </w:rPr>
            </w:pPr>
            <w:r>
              <w:rPr>
                <w:rFonts w:hint="eastAsia" w:ascii="宋体" w:hAnsi="宋体" w:cs="宋体"/>
                <w:color w:val="auto"/>
                <w:sz w:val="18"/>
                <w:szCs w:val="18"/>
              </w:rPr>
              <w:t>万元</w:t>
            </w:r>
          </w:p>
        </w:tc>
        <w:tc>
          <w:tcPr>
            <w:tcW w:w="1125" w:type="dxa"/>
            <w:tcBorders>
              <w:top w:val="nil"/>
              <w:left w:val="nil"/>
              <w:bottom w:val="single" w:color="auto" w:sz="4" w:space="0"/>
              <w:right w:val="single" w:color="auto" w:sz="4" w:space="0"/>
            </w:tcBorders>
            <w:vAlign w:val="center"/>
          </w:tcPr>
          <w:p w14:paraId="61FFA657">
            <w:pPr>
              <w:widowControl/>
              <w:jc w:val="center"/>
              <w:rPr>
                <w:rFonts w:hint="eastAsia" w:ascii="宋体" w:hAnsi="宋体" w:cs="宋体"/>
                <w:color w:val="auto"/>
                <w:sz w:val="18"/>
                <w:szCs w:val="18"/>
              </w:rPr>
            </w:pPr>
            <w:r>
              <w:rPr>
                <w:rFonts w:hint="eastAsia" w:ascii="宋体" w:hAnsi="宋体" w:cs="宋体"/>
                <w:color w:val="auto"/>
                <w:sz w:val="18"/>
                <w:szCs w:val="18"/>
              </w:rPr>
              <w:t>Z≥120000</w:t>
            </w:r>
          </w:p>
        </w:tc>
        <w:tc>
          <w:tcPr>
            <w:tcW w:w="1701" w:type="dxa"/>
            <w:tcBorders>
              <w:top w:val="nil"/>
              <w:left w:val="nil"/>
              <w:bottom w:val="single" w:color="auto" w:sz="4" w:space="0"/>
              <w:right w:val="single" w:color="auto" w:sz="4" w:space="0"/>
            </w:tcBorders>
            <w:vAlign w:val="center"/>
          </w:tcPr>
          <w:p w14:paraId="3285B3B2">
            <w:pPr>
              <w:widowControl/>
              <w:jc w:val="center"/>
              <w:rPr>
                <w:rFonts w:hint="eastAsia" w:ascii="宋体" w:hAnsi="宋体" w:cs="宋体"/>
                <w:color w:val="auto"/>
                <w:sz w:val="18"/>
                <w:szCs w:val="18"/>
              </w:rPr>
            </w:pPr>
            <w:r>
              <w:rPr>
                <w:rFonts w:hint="eastAsia" w:ascii="宋体" w:hAnsi="宋体" w:cs="宋体"/>
                <w:color w:val="auto"/>
                <w:sz w:val="18"/>
                <w:szCs w:val="18"/>
              </w:rPr>
              <w:t xml:space="preserve"> 8000≤Z＜120000</w:t>
            </w:r>
          </w:p>
        </w:tc>
        <w:tc>
          <w:tcPr>
            <w:tcW w:w="1426" w:type="dxa"/>
            <w:tcBorders>
              <w:top w:val="nil"/>
              <w:left w:val="nil"/>
              <w:bottom w:val="single" w:color="auto" w:sz="4" w:space="0"/>
              <w:right w:val="single" w:color="auto" w:sz="4" w:space="0"/>
            </w:tcBorders>
            <w:vAlign w:val="center"/>
          </w:tcPr>
          <w:p w14:paraId="38AE2154">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100≤Z＜8000</w:t>
            </w:r>
          </w:p>
        </w:tc>
        <w:tc>
          <w:tcPr>
            <w:tcW w:w="992" w:type="dxa"/>
            <w:tcBorders>
              <w:top w:val="nil"/>
              <w:left w:val="nil"/>
              <w:bottom w:val="single" w:color="auto" w:sz="4" w:space="0"/>
              <w:right w:val="nil"/>
            </w:tcBorders>
            <w:vAlign w:val="center"/>
          </w:tcPr>
          <w:p w14:paraId="2FFB4ED8">
            <w:pPr>
              <w:widowControl/>
              <w:jc w:val="center"/>
              <w:rPr>
                <w:rFonts w:hint="eastAsia" w:ascii="宋体" w:hAnsi="宋体" w:cs="宋体"/>
                <w:color w:val="auto"/>
                <w:sz w:val="18"/>
                <w:szCs w:val="18"/>
              </w:rPr>
            </w:pPr>
            <w:r>
              <w:rPr>
                <w:rFonts w:hint="eastAsia" w:ascii="宋体" w:hAnsi="宋体" w:cs="宋体"/>
                <w:color w:val="auto"/>
                <w:sz w:val="18"/>
                <w:szCs w:val="18"/>
              </w:rPr>
              <w:t>Z＜100</w:t>
            </w:r>
          </w:p>
        </w:tc>
      </w:tr>
      <w:tr w14:paraId="525A69C2">
        <w:tblPrEx>
          <w:tblCellMar>
            <w:top w:w="0" w:type="dxa"/>
            <w:left w:w="108" w:type="dxa"/>
            <w:bottom w:w="0" w:type="dxa"/>
            <w:right w:w="108" w:type="dxa"/>
          </w:tblCellMar>
        </w:tblPrEx>
        <w:trPr>
          <w:trHeight w:val="397" w:hRule="exact"/>
          <w:jc w:val="center"/>
        </w:trPr>
        <w:tc>
          <w:tcPr>
            <w:tcW w:w="2113" w:type="dxa"/>
            <w:tcBorders>
              <w:top w:val="nil"/>
              <w:left w:val="nil"/>
              <w:bottom w:val="single" w:color="auto" w:sz="4" w:space="0"/>
              <w:right w:val="single" w:color="auto" w:sz="4" w:space="0"/>
            </w:tcBorders>
            <w:vAlign w:val="center"/>
          </w:tcPr>
          <w:p w14:paraId="63480D8C">
            <w:pPr>
              <w:widowControl/>
              <w:spacing w:line="240" w:lineRule="exact"/>
              <w:rPr>
                <w:rFonts w:hint="eastAsia" w:ascii="宋体" w:hAnsi="宋体" w:cs="宋体"/>
                <w:color w:val="auto"/>
                <w:sz w:val="18"/>
                <w:szCs w:val="18"/>
              </w:rPr>
            </w:pPr>
            <w:r>
              <w:rPr>
                <w:rFonts w:hint="eastAsia" w:ascii="宋体" w:hAnsi="宋体" w:cs="宋体"/>
                <w:color w:val="auto"/>
                <w:sz w:val="18"/>
                <w:szCs w:val="18"/>
              </w:rPr>
              <w:t>其他未列明行业 *</w:t>
            </w:r>
          </w:p>
        </w:tc>
        <w:tc>
          <w:tcPr>
            <w:tcW w:w="1369" w:type="dxa"/>
            <w:tcBorders>
              <w:top w:val="nil"/>
              <w:left w:val="nil"/>
              <w:bottom w:val="single" w:color="auto" w:sz="4" w:space="0"/>
              <w:right w:val="single" w:color="auto" w:sz="4" w:space="0"/>
            </w:tcBorders>
            <w:vAlign w:val="center"/>
          </w:tcPr>
          <w:p w14:paraId="6F6CFDE7">
            <w:pPr>
              <w:widowControl/>
              <w:jc w:val="center"/>
              <w:rPr>
                <w:rFonts w:hint="eastAsia" w:ascii="宋体" w:hAnsi="宋体" w:cs="宋体"/>
                <w:color w:val="auto"/>
                <w:sz w:val="18"/>
                <w:szCs w:val="18"/>
              </w:rPr>
            </w:pPr>
            <w:r>
              <w:rPr>
                <w:rFonts w:hint="eastAsia" w:ascii="宋体" w:hAnsi="宋体" w:cs="宋体"/>
                <w:color w:val="auto"/>
                <w:sz w:val="18"/>
                <w:szCs w:val="18"/>
              </w:rPr>
              <w:t>从业人员(X)</w:t>
            </w:r>
          </w:p>
        </w:tc>
        <w:tc>
          <w:tcPr>
            <w:tcW w:w="709" w:type="dxa"/>
            <w:tcBorders>
              <w:top w:val="nil"/>
              <w:left w:val="nil"/>
              <w:bottom w:val="single" w:color="auto" w:sz="4" w:space="0"/>
              <w:right w:val="single" w:color="auto" w:sz="4" w:space="0"/>
            </w:tcBorders>
            <w:vAlign w:val="center"/>
          </w:tcPr>
          <w:p w14:paraId="0A37C6BC">
            <w:pPr>
              <w:widowControl/>
              <w:jc w:val="center"/>
              <w:rPr>
                <w:rFonts w:hint="eastAsia" w:ascii="宋体" w:hAnsi="宋体" w:cs="宋体"/>
                <w:color w:val="auto"/>
                <w:sz w:val="18"/>
                <w:szCs w:val="18"/>
              </w:rPr>
            </w:pPr>
            <w:r>
              <w:rPr>
                <w:rFonts w:hint="eastAsia" w:ascii="宋体" w:hAnsi="宋体" w:cs="宋体"/>
                <w:color w:val="auto"/>
                <w:sz w:val="18"/>
                <w:szCs w:val="18"/>
              </w:rPr>
              <w:t>人</w:t>
            </w:r>
          </w:p>
        </w:tc>
        <w:tc>
          <w:tcPr>
            <w:tcW w:w="1125" w:type="dxa"/>
            <w:tcBorders>
              <w:top w:val="nil"/>
              <w:left w:val="nil"/>
              <w:bottom w:val="single" w:color="auto" w:sz="4" w:space="0"/>
              <w:right w:val="single" w:color="auto" w:sz="4" w:space="0"/>
            </w:tcBorders>
            <w:vAlign w:val="center"/>
          </w:tcPr>
          <w:p w14:paraId="72881752">
            <w:pPr>
              <w:widowControl/>
              <w:jc w:val="center"/>
              <w:rPr>
                <w:rFonts w:hint="eastAsia" w:ascii="宋体" w:hAnsi="宋体" w:cs="宋体"/>
                <w:color w:val="auto"/>
                <w:sz w:val="18"/>
                <w:szCs w:val="18"/>
              </w:rPr>
            </w:pPr>
            <w:r>
              <w:rPr>
                <w:rFonts w:hint="eastAsia" w:ascii="宋体" w:hAnsi="宋体" w:cs="宋体"/>
                <w:color w:val="auto"/>
                <w:sz w:val="18"/>
                <w:szCs w:val="18"/>
              </w:rPr>
              <w:t>X≥300</w:t>
            </w:r>
          </w:p>
        </w:tc>
        <w:tc>
          <w:tcPr>
            <w:tcW w:w="1701" w:type="dxa"/>
            <w:tcBorders>
              <w:top w:val="nil"/>
              <w:left w:val="nil"/>
              <w:bottom w:val="single" w:color="auto" w:sz="4" w:space="0"/>
              <w:right w:val="single" w:color="auto" w:sz="4" w:space="0"/>
            </w:tcBorders>
            <w:vAlign w:val="center"/>
          </w:tcPr>
          <w:p w14:paraId="1AFABB22">
            <w:pPr>
              <w:widowControl/>
              <w:ind w:left="1" w:leftChars="-51" w:hanging="108" w:hangingChars="60"/>
              <w:jc w:val="center"/>
              <w:rPr>
                <w:rFonts w:hint="eastAsia" w:ascii="宋体" w:hAnsi="宋体" w:cs="宋体"/>
                <w:color w:val="auto"/>
                <w:sz w:val="18"/>
                <w:szCs w:val="18"/>
              </w:rPr>
            </w:pPr>
            <w:r>
              <w:rPr>
                <w:rFonts w:hint="eastAsia" w:ascii="宋体" w:hAnsi="宋体" w:cs="宋体"/>
                <w:color w:val="auto"/>
                <w:sz w:val="18"/>
                <w:szCs w:val="18"/>
              </w:rPr>
              <w:t xml:space="preserve">100≤X＜300 </w:t>
            </w:r>
          </w:p>
        </w:tc>
        <w:tc>
          <w:tcPr>
            <w:tcW w:w="1426" w:type="dxa"/>
            <w:tcBorders>
              <w:top w:val="nil"/>
              <w:left w:val="nil"/>
              <w:bottom w:val="single" w:color="auto" w:sz="4" w:space="0"/>
              <w:right w:val="single" w:color="auto" w:sz="4" w:space="0"/>
            </w:tcBorders>
            <w:vAlign w:val="center"/>
          </w:tcPr>
          <w:p w14:paraId="60DA83E1">
            <w:pPr>
              <w:widowControl/>
              <w:jc w:val="center"/>
              <w:rPr>
                <w:rFonts w:hint="eastAsia" w:ascii="宋体" w:hAnsi="宋体" w:cs="宋体"/>
                <w:color w:val="auto"/>
                <w:sz w:val="18"/>
                <w:szCs w:val="18"/>
              </w:rPr>
            </w:pPr>
            <w:r>
              <w:rPr>
                <w:rFonts w:hint="eastAsia" w:ascii="宋体" w:hAnsi="宋体" w:cs="宋体"/>
                <w:color w:val="auto"/>
                <w:sz w:val="18"/>
                <w:szCs w:val="18"/>
              </w:rPr>
              <w:t xml:space="preserve"> 10≤X＜100</w:t>
            </w:r>
          </w:p>
        </w:tc>
        <w:tc>
          <w:tcPr>
            <w:tcW w:w="992" w:type="dxa"/>
            <w:tcBorders>
              <w:top w:val="nil"/>
              <w:left w:val="nil"/>
              <w:bottom w:val="single" w:color="auto" w:sz="4" w:space="0"/>
              <w:right w:val="nil"/>
            </w:tcBorders>
            <w:vAlign w:val="center"/>
          </w:tcPr>
          <w:p w14:paraId="660F7EBF">
            <w:pPr>
              <w:widowControl/>
              <w:jc w:val="center"/>
              <w:rPr>
                <w:rFonts w:hint="eastAsia" w:ascii="宋体" w:hAnsi="宋体" w:cs="宋体"/>
                <w:color w:val="auto"/>
                <w:sz w:val="18"/>
                <w:szCs w:val="18"/>
              </w:rPr>
            </w:pPr>
            <w:r>
              <w:rPr>
                <w:rFonts w:hint="eastAsia" w:ascii="宋体" w:hAnsi="宋体" w:cs="宋体"/>
                <w:color w:val="auto"/>
                <w:sz w:val="18"/>
                <w:szCs w:val="18"/>
              </w:rPr>
              <w:t>X＜10</w:t>
            </w:r>
          </w:p>
        </w:tc>
      </w:tr>
    </w:tbl>
    <w:p w14:paraId="3460F532">
      <w:pPr>
        <w:spacing w:line="360" w:lineRule="auto"/>
        <w:rPr>
          <w:rFonts w:hint="eastAsia" w:ascii="宋体" w:hAnsi="宋体" w:cs="宋体"/>
          <w:color w:val="auto"/>
        </w:rPr>
      </w:pPr>
      <w:r>
        <w:rPr>
          <w:rFonts w:ascii="宋体" w:hAnsi="宋体" w:cs="宋体"/>
          <w:color w:val="auto"/>
        </w:rPr>
        <w:t>说明：</w:t>
      </w:r>
    </w:p>
    <w:p w14:paraId="42BE4DDC">
      <w:pPr>
        <w:spacing w:line="360" w:lineRule="auto"/>
        <w:ind w:firstLine="371" w:firstLineChars="177"/>
        <w:rPr>
          <w:rFonts w:hint="eastAsia" w:ascii="宋体" w:hAnsi="宋体" w:cs="宋体"/>
          <w:color w:val="auto"/>
        </w:rPr>
      </w:pPr>
      <w:r>
        <w:rPr>
          <w:rFonts w:ascii="宋体" w:hAnsi="宋体" w:cs="宋体"/>
          <w:color w:val="auto"/>
        </w:rPr>
        <w:t>1.大型、中型和小型企业须同时满足所列指标的下限，否则下划一档；微型企业只须满足所列指标中的一项即可。</w:t>
      </w:r>
    </w:p>
    <w:p w14:paraId="0FE875BF">
      <w:pPr>
        <w:spacing w:line="360" w:lineRule="auto"/>
        <w:ind w:firstLine="371" w:firstLineChars="177"/>
        <w:rPr>
          <w:rFonts w:hint="eastAsia" w:ascii="宋体" w:hAnsi="宋体" w:cs="宋体"/>
          <w:color w:val="auto"/>
        </w:rPr>
      </w:pPr>
      <w:r>
        <w:rPr>
          <w:rFonts w:ascii="宋体" w:hAnsi="宋体" w:cs="宋体"/>
          <w:color w:val="auto"/>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932ECFC">
      <w:pPr>
        <w:spacing w:line="360" w:lineRule="auto"/>
        <w:ind w:firstLine="371" w:firstLineChars="177"/>
        <w:rPr>
          <w:rFonts w:hint="eastAsia" w:ascii="宋体" w:hAnsi="宋体" w:cs="宋体"/>
          <w:color w:val="auto"/>
        </w:rPr>
      </w:pPr>
      <w:r>
        <w:rPr>
          <w:rFonts w:ascii="宋体" w:hAnsi="宋体" w:cs="宋体"/>
          <w:color w:val="auto"/>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1CF2B704">
      <w:pPr>
        <w:spacing w:line="360" w:lineRule="auto"/>
        <w:rPr>
          <w:rFonts w:hint="eastAsia" w:ascii="宋体" w:hAnsi="宋体"/>
          <w:color w:val="auto"/>
        </w:rPr>
      </w:pPr>
    </w:p>
    <w:p w14:paraId="58C2C62C">
      <w:pPr>
        <w:pStyle w:val="5"/>
        <w:spacing w:before="0" w:after="0"/>
        <w:ind w:firstLine="480"/>
        <w:jc w:val="center"/>
        <w:rPr>
          <w:rFonts w:hint="eastAsia" w:ascii="宋体" w:hAnsi="宋体"/>
          <w:color w:val="auto"/>
          <w:sz w:val="21"/>
          <w:szCs w:val="21"/>
        </w:rPr>
      </w:pPr>
      <w:bookmarkStart w:id="102" w:name="_Toc73613647"/>
      <w:bookmarkStart w:id="103" w:name="_Toc73610165"/>
      <w:r>
        <w:rPr>
          <w:rFonts w:hint="eastAsia" w:ascii="方正小标宋_GBK" w:hAnsi="方正小标宋_GBK" w:eastAsia="方正小标宋_GBK" w:cs="方正小标宋_GBK"/>
          <w:b/>
          <w:bCs w:val="0"/>
          <w:color w:val="auto"/>
        </w:rPr>
        <w:t>四、财政部 民政部 中国残疾人联合会关于促进残疾人就业 政府采购政策的通知</w:t>
      </w:r>
      <w:bookmarkEnd w:id="102"/>
      <w:bookmarkEnd w:id="103"/>
      <w:r>
        <w:rPr>
          <w:color w:val="auto"/>
        </w:rPr>
        <w:t xml:space="preserve"> </w:t>
      </w:r>
    </w:p>
    <w:p w14:paraId="40AAD67A">
      <w:pPr>
        <w:pStyle w:val="37"/>
        <w:spacing w:line="360" w:lineRule="auto"/>
        <w:jc w:val="center"/>
        <w:rPr>
          <w:rFonts w:hint="eastAsia"/>
          <w:color w:val="auto"/>
          <w:sz w:val="21"/>
          <w:szCs w:val="21"/>
        </w:rPr>
      </w:pPr>
      <w:r>
        <w:rPr>
          <w:color w:val="auto"/>
          <w:sz w:val="21"/>
          <w:szCs w:val="21"/>
        </w:rPr>
        <w:t>财库〔2017〕141号</w:t>
      </w:r>
    </w:p>
    <w:p w14:paraId="36BBF386">
      <w:pPr>
        <w:spacing w:line="360" w:lineRule="auto"/>
        <w:rPr>
          <w:rFonts w:hint="eastAsia" w:ascii="宋体" w:hAnsi="宋体" w:cs="宋体"/>
          <w:color w:val="auto"/>
        </w:rPr>
      </w:pPr>
      <w:r>
        <w:rPr>
          <w:rFonts w:hint="eastAsia" w:ascii="宋体" w:hAnsi="宋体" w:cs="宋体"/>
          <w:color w:val="auto"/>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5B133A55">
      <w:pPr>
        <w:spacing w:line="360" w:lineRule="auto"/>
        <w:rPr>
          <w:rFonts w:hint="eastAsia" w:ascii="宋体" w:hAnsi="宋体" w:cs="宋体"/>
          <w:color w:val="auto"/>
        </w:rPr>
      </w:pPr>
      <w:r>
        <w:rPr>
          <w:rFonts w:hint="eastAsia" w:ascii="宋体" w:hAnsi="宋体" w:cs="宋体"/>
          <w:color w:val="auto"/>
        </w:rPr>
        <w:t>　　为了发挥政府采购促进残疾人就业的作用，进一步保障残疾人权益，依照《政府采购法》、《残疾人保障法》等法律法规及相关规定，现就促进残疾人就业政府采购政策通知如下：</w:t>
      </w:r>
    </w:p>
    <w:p w14:paraId="08C737AD">
      <w:pPr>
        <w:spacing w:line="360" w:lineRule="auto"/>
        <w:rPr>
          <w:rFonts w:hint="eastAsia" w:ascii="宋体" w:hAnsi="宋体" w:cs="宋体"/>
          <w:color w:val="auto"/>
        </w:rPr>
      </w:pPr>
      <w:r>
        <w:rPr>
          <w:rFonts w:hint="eastAsia" w:ascii="宋体" w:hAnsi="宋体" w:cs="宋体"/>
          <w:color w:val="auto"/>
        </w:rPr>
        <w:t>　　一、享受政府采购支持政策的残疾人福利性单位应当同时满足以下条件：</w:t>
      </w:r>
    </w:p>
    <w:p w14:paraId="0EDB4FD7">
      <w:pPr>
        <w:spacing w:line="360" w:lineRule="auto"/>
        <w:rPr>
          <w:rFonts w:hint="eastAsia" w:ascii="宋体" w:hAnsi="宋体" w:cs="宋体"/>
          <w:color w:val="auto"/>
        </w:rPr>
      </w:pPr>
      <w:r>
        <w:rPr>
          <w:rFonts w:hint="eastAsia" w:ascii="宋体" w:hAnsi="宋体" w:cs="宋体"/>
          <w:color w:val="auto"/>
        </w:rPr>
        <w:t>　　（一）安置的残疾人占本单位在职职工人数的比例不低于25%（含25%），并且安置的残疾人人数不少于10人（含10人）；</w:t>
      </w:r>
    </w:p>
    <w:p w14:paraId="2E9F746E">
      <w:pPr>
        <w:spacing w:line="360" w:lineRule="auto"/>
        <w:rPr>
          <w:rFonts w:hint="eastAsia" w:ascii="宋体" w:hAnsi="宋体" w:cs="宋体"/>
          <w:color w:val="auto"/>
        </w:rPr>
      </w:pPr>
      <w:r>
        <w:rPr>
          <w:rFonts w:hint="eastAsia" w:ascii="宋体" w:hAnsi="宋体" w:cs="宋体"/>
          <w:color w:val="auto"/>
        </w:rPr>
        <w:t>　　（二）依法与安置的每位残疾人签订了一年以上（含一年）的劳动合同或服务协议；</w:t>
      </w:r>
    </w:p>
    <w:p w14:paraId="39EDE1AB">
      <w:pPr>
        <w:spacing w:line="360" w:lineRule="auto"/>
        <w:rPr>
          <w:rFonts w:hint="eastAsia" w:ascii="宋体" w:hAnsi="宋体" w:cs="宋体"/>
          <w:color w:val="auto"/>
        </w:rPr>
      </w:pPr>
      <w:r>
        <w:rPr>
          <w:rFonts w:hint="eastAsia" w:ascii="宋体" w:hAnsi="宋体" w:cs="宋体"/>
          <w:color w:val="auto"/>
        </w:rPr>
        <w:t>　　（三）为安置的每位残疾人按月足额缴纳了基本养老保险、基本医疗保险、失业保险、工伤保险和生育保险等社会保险费；</w:t>
      </w:r>
    </w:p>
    <w:p w14:paraId="3EB2CC24">
      <w:pPr>
        <w:spacing w:line="360" w:lineRule="auto"/>
        <w:rPr>
          <w:rFonts w:hint="eastAsia" w:ascii="宋体" w:hAnsi="宋体" w:cs="宋体"/>
          <w:color w:val="auto"/>
        </w:rPr>
      </w:pPr>
      <w:r>
        <w:rPr>
          <w:rFonts w:hint="eastAsia" w:ascii="宋体" w:hAnsi="宋体" w:cs="宋体"/>
          <w:color w:val="auto"/>
        </w:rPr>
        <w:t>　　（四）通过银行等金融机构向安置的每位残疾人，按月支付了不低于单位所在区县适用的经省级人民政府批准的月最低工资标准的工资；</w:t>
      </w:r>
    </w:p>
    <w:p w14:paraId="7D5F112F">
      <w:pPr>
        <w:spacing w:line="360" w:lineRule="auto"/>
        <w:rPr>
          <w:rFonts w:hint="eastAsia" w:ascii="宋体" w:hAnsi="宋体" w:cs="宋体"/>
          <w:color w:val="auto"/>
        </w:rPr>
      </w:pPr>
      <w:r>
        <w:rPr>
          <w:rFonts w:hint="eastAsia" w:ascii="宋体" w:hAnsi="宋体" w:cs="宋体"/>
          <w:color w:val="auto"/>
        </w:rPr>
        <w:t>　　（五）提供本单位制造的货物、承担的工程或者服务（以下简称产品），或者提供其他残疾人福利性单位制造的货物（不包括使用非残疾人福利性单位注册商标的货物）。</w:t>
      </w:r>
    </w:p>
    <w:p w14:paraId="76E33BF0">
      <w:pPr>
        <w:spacing w:line="360" w:lineRule="auto"/>
        <w:rPr>
          <w:rFonts w:hint="eastAsia" w:ascii="宋体" w:hAnsi="宋体" w:cs="宋体"/>
          <w:color w:val="auto"/>
        </w:rPr>
      </w:pPr>
      <w:r>
        <w:rPr>
          <w:rFonts w:hint="eastAsia" w:ascii="宋体" w:hAnsi="宋体" w:cs="宋体"/>
          <w:color w:val="auto"/>
        </w:rPr>
        <w:t>　　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4349D2B">
      <w:pPr>
        <w:spacing w:line="360" w:lineRule="auto"/>
        <w:rPr>
          <w:rFonts w:hint="eastAsia" w:ascii="宋体" w:hAnsi="宋体" w:cs="宋体"/>
          <w:color w:val="auto"/>
        </w:rPr>
      </w:pPr>
      <w:r>
        <w:rPr>
          <w:rFonts w:hint="eastAsia" w:ascii="宋体" w:hAnsi="宋体" w:cs="宋体"/>
          <w:color w:val="auto"/>
        </w:rPr>
        <w:t>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29FAA07D">
      <w:pPr>
        <w:spacing w:line="360" w:lineRule="auto"/>
        <w:rPr>
          <w:rFonts w:hint="eastAsia" w:ascii="宋体" w:hAnsi="宋体" w:cs="宋体"/>
          <w:color w:val="auto"/>
        </w:rPr>
      </w:pPr>
      <w:r>
        <w:rPr>
          <w:rFonts w:hint="eastAsia" w:ascii="宋体" w:hAnsi="宋体" w:cs="宋体"/>
          <w:color w:val="auto"/>
        </w:rPr>
        <w:t>　　中标、成交供应商为残疾人福利性单位的，采购人或者其委托的采购代理机构应当随中标、成交结果同时公告其《残疾人福利性单位声明函》，接受社会监督。</w:t>
      </w:r>
    </w:p>
    <w:p w14:paraId="57DD6FED">
      <w:pPr>
        <w:spacing w:line="360" w:lineRule="auto"/>
        <w:rPr>
          <w:rFonts w:hint="eastAsia" w:ascii="宋体" w:hAnsi="宋体" w:cs="宋体"/>
          <w:color w:val="auto"/>
        </w:rPr>
      </w:pPr>
      <w:r>
        <w:rPr>
          <w:rFonts w:hint="eastAsia" w:ascii="宋体" w:hAnsi="宋体" w:cs="宋体"/>
          <w:color w:val="auto"/>
        </w:rPr>
        <w:t>　　供应商提供的《残疾人福利性单位声明函》与事实不符的，依照《政府采购法》第七十七条第一款的规定追究法律责任。</w:t>
      </w:r>
    </w:p>
    <w:p w14:paraId="420F3EF5">
      <w:pPr>
        <w:spacing w:line="360" w:lineRule="auto"/>
        <w:rPr>
          <w:rFonts w:hint="eastAsia" w:ascii="宋体" w:hAnsi="宋体" w:cs="宋体"/>
          <w:color w:val="auto"/>
        </w:rPr>
      </w:pPr>
      <w:r>
        <w:rPr>
          <w:rFonts w:hint="eastAsia" w:ascii="宋体" w:hAnsi="宋体" w:cs="宋体"/>
          <w:color w:val="auto"/>
        </w:rPr>
        <w:t>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21C96C57">
      <w:pPr>
        <w:spacing w:line="360" w:lineRule="auto"/>
        <w:rPr>
          <w:rFonts w:hint="eastAsia" w:ascii="宋体" w:hAnsi="宋体" w:cs="宋体"/>
          <w:color w:val="auto"/>
        </w:rPr>
      </w:pPr>
      <w:r>
        <w:rPr>
          <w:rFonts w:hint="eastAsia" w:ascii="宋体" w:hAnsi="宋体" w:cs="宋体"/>
          <w:color w:val="auto"/>
        </w:rPr>
        <w:t>　　四、采购人采购公开招标数额标准以上的货物或者服务，因落实促进残疾人就业政策的需要，依法履行有关报批程序后，可采用公开招标以外的采购方式。</w:t>
      </w:r>
    </w:p>
    <w:p w14:paraId="1DF1C541">
      <w:pPr>
        <w:spacing w:line="360" w:lineRule="auto"/>
        <w:rPr>
          <w:rFonts w:hint="eastAsia" w:ascii="宋体" w:hAnsi="宋体" w:cs="宋体"/>
          <w:color w:val="auto"/>
        </w:rPr>
      </w:pPr>
      <w:r>
        <w:rPr>
          <w:rFonts w:hint="eastAsia" w:ascii="宋体" w:hAnsi="宋体" w:cs="宋体"/>
          <w:color w:val="auto"/>
        </w:rPr>
        <w:t>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7EBB98FD">
      <w:pPr>
        <w:spacing w:line="360" w:lineRule="auto"/>
        <w:rPr>
          <w:rFonts w:hint="eastAsia" w:ascii="宋体" w:hAnsi="宋体" w:cs="宋体"/>
          <w:color w:val="auto"/>
        </w:rPr>
      </w:pPr>
      <w:r>
        <w:rPr>
          <w:rFonts w:hint="eastAsia" w:ascii="宋体" w:hAnsi="宋体" w:cs="宋体"/>
          <w:color w:val="auto"/>
        </w:rPr>
        <w:t>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2D16FB86">
      <w:pPr>
        <w:spacing w:line="360" w:lineRule="auto"/>
        <w:rPr>
          <w:rFonts w:hint="eastAsia" w:ascii="宋体" w:hAnsi="宋体" w:cs="宋体"/>
          <w:color w:val="auto"/>
        </w:rPr>
      </w:pPr>
      <w:r>
        <w:rPr>
          <w:rFonts w:hint="eastAsia" w:ascii="宋体" w:hAnsi="宋体" w:cs="宋体"/>
          <w:color w:val="auto"/>
        </w:rPr>
        <w:t>　　七、本通知自2017年10月1日起执行。</w:t>
      </w:r>
    </w:p>
    <w:p w14:paraId="3FE345C6">
      <w:pPr>
        <w:spacing w:line="360" w:lineRule="auto"/>
        <w:rPr>
          <w:rFonts w:hint="eastAsia" w:ascii="宋体" w:hAnsi="宋体" w:cs="宋体"/>
          <w:color w:val="auto"/>
        </w:rPr>
      </w:pPr>
      <w:r>
        <w:rPr>
          <w:rFonts w:ascii="宋体" w:hAnsi="宋体" w:cs="宋体"/>
          <w:color w:val="auto"/>
        </w:rPr>
        <w:t>　　</w:t>
      </w:r>
    </w:p>
    <w:p w14:paraId="49B53D9E">
      <w:pPr>
        <w:spacing w:line="360" w:lineRule="auto"/>
        <w:jc w:val="right"/>
        <w:rPr>
          <w:rFonts w:hint="eastAsia" w:ascii="宋体" w:hAnsi="宋体" w:cs="宋体"/>
          <w:color w:val="auto"/>
        </w:rPr>
      </w:pPr>
      <w:r>
        <w:rPr>
          <w:rFonts w:hint="eastAsia" w:ascii="宋体" w:hAnsi="宋体" w:cs="宋体"/>
          <w:color w:val="auto"/>
        </w:rPr>
        <w:t>财政部 民政部 中国残疾人联合会</w:t>
      </w:r>
    </w:p>
    <w:p w14:paraId="768921BF">
      <w:pPr>
        <w:spacing w:line="360" w:lineRule="auto"/>
        <w:ind w:firstLine="5880" w:firstLineChars="2800"/>
        <w:rPr>
          <w:rFonts w:hint="eastAsia" w:ascii="宋体" w:hAnsi="宋体" w:cs="宋体"/>
          <w:color w:val="auto"/>
        </w:rPr>
      </w:pPr>
      <w:r>
        <w:rPr>
          <w:rFonts w:hint="eastAsia" w:ascii="宋体" w:hAnsi="宋体" w:cs="宋体"/>
          <w:color w:val="auto"/>
        </w:rPr>
        <w:t>2017年8月22日</w:t>
      </w:r>
    </w:p>
    <w:p w14:paraId="55A95E55">
      <w:pPr>
        <w:pStyle w:val="7"/>
        <w:spacing w:before="156" w:beforeLines="50" w:after="156" w:afterLines="50"/>
        <w:ind w:left="562" w:firstLine="1767" w:firstLineChars="550"/>
        <w:jc w:val="both"/>
        <w:rPr>
          <w:rFonts w:hint="eastAsia" w:ascii="方正小标宋_GBK" w:hAnsi="方正小标宋_GBK" w:eastAsia="方正小标宋_GBK" w:cs="方正小标宋_GBK"/>
          <w:color w:val="auto"/>
          <w:sz w:val="32"/>
          <w:szCs w:val="32"/>
        </w:rPr>
      </w:pPr>
      <w:r>
        <w:rPr>
          <w:rFonts w:hint="eastAsia" w:ascii="方正小标宋_GBK" w:hAnsi="方正小标宋_GBK" w:eastAsia="方正小标宋_GBK" w:cs="方正小标宋_GBK"/>
          <w:color w:val="auto"/>
          <w:sz w:val="32"/>
          <w:szCs w:val="32"/>
        </w:rPr>
        <w:t>第二册  通用条款（公开招标）</w:t>
      </w:r>
    </w:p>
    <w:p w14:paraId="010F9BA3">
      <w:pPr>
        <w:pStyle w:val="7"/>
        <w:spacing w:before="156" w:beforeLines="50" w:after="156" w:afterLines="50"/>
        <w:ind w:firstLine="3373" w:firstLineChars="1200"/>
        <w:jc w:val="both"/>
        <w:rPr>
          <w:color w:val="auto"/>
          <w:sz w:val="28"/>
          <w:szCs w:val="28"/>
        </w:rPr>
      </w:pPr>
      <w:bookmarkStart w:id="104" w:name="_Hlk72399513"/>
      <w:r>
        <w:rPr>
          <w:rFonts w:hint="eastAsia"/>
          <w:color w:val="auto"/>
          <w:sz w:val="28"/>
          <w:szCs w:val="28"/>
        </w:rPr>
        <w:t>第一章  总则</w:t>
      </w:r>
    </w:p>
    <w:bookmarkEnd w:id="104"/>
    <w:p w14:paraId="694D53FF">
      <w:pPr>
        <w:outlineLvl w:val="1"/>
        <w:rPr>
          <w:rFonts w:hint="eastAsia" w:ascii="黑体" w:hAnsi="宋体" w:eastAsia="黑体"/>
          <w:color w:val="auto"/>
          <w:sz w:val="24"/>
        </w:rPr>
      </w:pPr>
      <w:r>
        <w:rPr>
          <w:rFonts w:hint="eastAsia" w:ascii="黑体" w:hAnsi="宋体" w:eastAsia="黑体"/>
          <w:color w:val="auto"/>
          <w:sz w:val="24"/>
        </w:rPr>
        <w:t>1. 通用条款说明</w:t>
      </w:r>
    </w:p>
    <w:p w14:paraId="192E9943">
      <w:pPr>
        <w:ind w:firstLine="411" w:firstLineChars="196"/>
        <w:rPr>
          <w:rFonts w:hint="eastAsia" w:ascii="宋体" w:hAnsi="宋体"/>
          <w:color w:val="auto"/>
        </w:rPr>
      </w:pPr>
      <w:r>
        <w:rPr>
          <w:rFonts w:hint="eastAsia" w:ascii="宋体" w:hAnsi="宋体"/>
          <w:color w:val="auto"/>
        </w:rPr>
        <w:t>1.1政府集中采购机构发出招标文件通用条款版本，列出</w:t>
      </w:r>
      <w:r>
        <w:rPr>
          <w:rFonts w:hint="eastAsia" w:ascii="宋体" w:hAnsi="宋体"/>
          <w:b/>
          <w:bCs/>
          <w:color w:val="auto"/>
        </w:rPr>
        <w:t>巴州政府采购项目</w:t>
      </w:r>
      <w:r>
        <w:rPr>
          <w:rFonts w:hint="eastAsia" w:ascii="宋体" w:hAnsi="宋体"/>
          <w:color w:val="auto"/>
        </w:rPr>
        <w:t>进行招标采购所适用的通用条款内容。</w:t>
      </w:r>
      <w:bookmarkStart w:id="105" w:name="_Hlk72399729"/>
      <w:r>
        <w:rPr>
          <w:rFonts w:hint="eastAsia" w:ascii="宋体" w:hAnsi="宋体"/>
          <w:color w:val="auto"/>
        </w:rPr>
        <w:t>如有需要，政府集中采购机构可以对通用条款的内容进行补充。</w:t>
      </w:r>
      <w:bookmarkEnd w:id="105"/>
    </w:p>
    <w:p w14:paraId="05CCFDFC">
      <w:pPr>
        <w:ind w:firstLine="411" w:firstLineChars="196"/>
        <w:rPr>
          <w:rFonts w:hint="eastAsia" w:ascii="宋体" w:hAnsi="宋体"/>
          <w:color w:val="auto"/>
        </w:rPr>
      </w:pPr>
      <w:r>
        <w:rPr>
          <w:rFonts w:hint="eastAsia" w:ascii="宋体" w:hAnsi="宋体"/>
          <w:color w:val="auto"/>
        </w:rPr>
        <w:t>1.2招标文件分为第一册“专用条款”和第二册“通用条款”。</w:t>
      </w:r>
    </w:p>
    <w:p w14:paraId="52191407">
      <w:pPr>
        <w:ind w:firstLine="411" w:firstLineChars="196"/>
        <w:rPr>
          <w:rFonts w:hint="eastAsia" w:ascii="宋体" w:hAnsi="宋体"/>
          <w:color w:val="auto"/>
        </w:rPr>
      </w:pPr>
      <w:r>
        <w:rPr>
          <w:rFonts w:hint="eastAsia" w:ascii="宋体" w:hAnsi="宋体"/>
          <w:color w:val="auto"/>
        </w:rPr>
        <w:t>1.3“专用条款”是对本次采购项目的具体要求，包含招标公告、对通用条款的补充内容及其他关键信息、用户需求书、投标文件格式及附件、合同条款及格式等内容。</w:t>
      </w:r>
    </w:p>
    <w:p w14:paraId="429F1BCC">
      <w:pPr>
        <w:ind w:firstLine="411" w:firstLineChars="196"/>
        <w:rPr>
          <w:rFonts w:hint="eastAsia" w:ascii="宋体" w:hAnsi="宋体"/>
          <w:color w:val="auto"/>
        </w:rPr>
      </w:pPr>
      <w:r>
        <w:rPr>
          <w:rFonts w:hint="eastAsia" w:ascii="宋体" w:hAnsi="宋体"/>
          <w:color w:val="auto"/>
        </w:rPr>
        <w:t>1.4“通用条款”是适用于政府采购公开招标项目的基础性条款，具有普遍性和通用性。</w:t>
      </w:r>
    </w:p>
    <w:p w14:paraId="307CD1F7">
      <w:pPr>
        <w:ind w:firstLine="411" w:firstLineChars="196"/>
        <w:rPr>
          <w:rFonts w:hint="eastAsia" w:ascii="宋体" w:hAnsi="宋体"/>
          <w:color w:val="auto"/>
        </w:rPr>
      </w:pPr>
      <w:r>
        <w:rPr>
          <w:rFonts w:hint="eastAsia" w:ascii="宋体" w:hAnsi="宋体"/>
          <w:color w:val="auto"/>
        </w:rPr>
        <w:t>1.5 “专用条款”和“通用条款”表述不一致或有冲突时，以“专用条款”为准。</w:t>
      </w:r>
    </w:p>
    <w:p w14:paraId="537D15AE">
      <w:pPr>
        <w:outlineLvl w:val="1"/>
        <w:rPr>
          <w:rFonts w:hint="eastAsia" w:ascii="黑体" w:hAnsi="宋体" w:eastAsia="黑体"/>
          <w:color w:val="auto"/>
          <w:sz w:val="24"/>
        </w:rPr>
      </w:pPr>
      <w:r>
        <w:rPr>
          <w:rFonts w:hint="eastAsia" w:ascii="黑体" w:hAnsi="宋体" w:eastAsia="黑体"/>
          <w:color w:val="auto"/>
          <w:sz w:val="24"/>
        </w:rPr>
        <w:t>2</w:t>
      </w:r>
      <w:r>
        <w:rPr>
          <w:rFonts w:ascii="黑体" w:hAnsi="宋体" w:eastAsia="黑体"/>
          <w:color w:val="auto"/>
          <w:sz w:val="24"/>
        </w:rPr>
        <w:t>．</w:t>
      </w:r>
      <w:r>
        <w:rPr>
          <w:rFonts w:hint="eastAsia" w:ascii="黑体" w:hAnsi="宋体" w:eastAsia="黑体"/>
          <w:color w:val="auto"/>
          <w:sz w:val="24"/>
        </w:rPr>
        <w:t>招标说明</w:t>
      </w:r>
    </w:p>
    <w:p w14:paraId="15698A1B">
      <w:pPr>
        <w:ind w:firstLine="411" w:firstLineChars="196"/>
        <w:rPr>
          <w:rFonts w:hint="eastAsia" w:ascii="宋体" w:hAnsi="宋体"/>
          <w:color w:val="auto"/>
        </w:rPr>
      </w:pPr>
      <w:r>
        <w:rPr>
          <w:rFonts w:hint="eastAsia" w:ascii="宋体" w:hAnsi="宋体"/>
          <w:color w:val="auto"/>
        </w:rPr>
        <w:t>本项目按照《政府采购法》、《政府采购法实施条例》及政府采购其他法律法规，通过公开招标方式确定中标供应商。</w:t>
      </w:r>
    </w:p>
    <w:p w14:paraId="3FD1464C">
      <w:pPr>
        <w:outlineLvl w:val="1"/>
        <w:rPr>
          <w:rFonts w:hint="eastAsia" w:ascii="黑体" w:hAnsi="宋体" w:eastAsia="黑体"/>
          <w:color w:val="auto"/>
          <w:sz w:val="24"/>
        </w:rPr>
      </w:pPr>
      <w:r>
        <w:rPr>
          <w:rFonts w:hint="eastAsia" w:ascii="黑体" w:hAnsi="宋体" w:eastAsia="黑体"/>
          <w:color w:val="auto"/>
          <w:sz w:val="24"/>
        </w:rPr>
        <w:t>3．定义</w:t>
      </w:r>
    </w:p>
    <w:p w14:paraId="409B0FBD">
      <w:pPr>
        <w:ind w:firstLine="420" w:firstLineChars="200"/>
        <w:rPr>
          <w:rFonts w:hint="eastAsia" w:ascii="宋体" w:hAnsi="宋体"/>
          <w:color w:val="auto"/>
        </w:rPr>
      </w:pPr>
      <w:r>
        <w:rPr>
          <w:rFonts w:ascii="宋体" w:hAnsi="宋体"/>
          <w:color w:val="auto"/>
        </w:rPr>
        <w:t>招标文件中下列术语应解释为：</w:t>
      </w:r>
    </w:p>
    <w:p w14:paraId="51990DB8">
      <w:pPr>
        <w:ind w:firstLine="411" w:firstLineChars="196"/>
        <w:rPr>
          <w:rFonts w:hint="eastAsia" w:ascii="宋体" w:hAnsi="宋体"/>
          <w:color w:val="auto"/>
        </w:rPr>
      </w:pPr>
      <w:r>
        <w:rPr>
          <w:rFonts w:hint="eastAsia" w:ascii="宋体" w:hAnsi="宋体"/>
          <w:color w:val="auto"/>
        </w:rPr>
        <w:t>3.</w:t>
      </w:r>
      <w:r>
        <w:rPr>
          <w:rFonts w:ascii="宋体" w:hAnsi="宋体"/>
          <w:color w:val="auto"/>
        </w:rPr>
        <w:t>1</w:t>
      </w:r>
      <w:r>
        <w:rPr>
          <w:rFonts w:hint="eastAsia" w:ascii="宋体" w:hAnsi="宋体"/>
          <w:color w:val="auto"/>
        </w:rPr>
        <w:t>“采购人”：指利用财政性资金依法进行政府采购的国家机关、事业单位、团体组织；</w:t>
      </w:r>
    </w:p>
    <w:p w14:paraId="1C4DB26C">
      <w:pPr>
        <w:ind w:firstLine="411" w:firstLineChars="196"/>
        <w:rPr>
          <w:rFonts w:hint="eastAsia" w:ascii="宋体" w:hAnsi="宋体"/>
          <w:color w:val="auto"/>
        </w:rPr>
      </w:pPr>
      <w:r>
        <w:rPr>
          <w:rFonts w:hint="eastAsia" w:ascii="宋体" w:hAnsi="宋体"/>
          <w:color w:val="auto"/>
        </w:rPr>
        <w:t>3.2 “政府集中采购机构”</w:t>
      </w:r>
      <w:r>
        <w:rPr>
          <w:rFonts w:hint="eastAsia" w:ascii="Arial" w:hAnsi="Arial" w:cs="Arial"/>
          <w:color w:val="auto"/>
        </w:rPr>
        <w:t>是指政府设立的，组织实施政府采购项目，并对政府采购活动提供服务的专门机构；</w:t>
      </w:r>
      <w:r>
        <w:rPr>
          <w:rFonts w:hint="eastAsia" w:ascii="宋体" w:hAnsi="宋体"/>
          <w:color w:val="auto"/>
        </w:rPr>
        <w:t>本文件所述的“政府集中采购机构”</w:t>
      </w:r>
      <w:r>
        <w:rPr>
          <w:rFonts w:ascii="宋体" w:hAnsi="宋体"/>
          <w:color w:val="auto"/>
        </w:rPr>
        <w:t>指</w:t>
      </w:r>
      <w:r>
        <w:rPr>
          <w:rFonts w:hint="eastAsia" w:ascii="宋体" w:hAnsi="宋体"/>
          <w:b/>
          <w:bCs/>
          <w:color w:val="auto"/>
        </w:rPr>
        <w:t>巴州政务服务和公共资源交易中心</w:t>
      </w:r>
      <w:r>
        <w:rPr>
          <w:rFonts w:hint="eastAsia" w:ascii="宋体" w:hAnsi="宋体"/>
          <w:color w:val="auto"/>
        </w:rPr>
        <w:t>；</w:t>
      </w:r>
    </w:p>
    <w:p w14:paraId="5E59B87F">
      <w:pPr>
        <w:ind w:firstLine="411" w:firstLineChars="196"/>
        <w:rPr>
          <w:rFonts w:hint="eastAsia" w:ascii="宋体" w:hAnsi="宋体"/>
          <w:color w:val="auto"/>
        </w:rPr>
      </w:pPr>
      <w:r>
        <w:rPr>
          <w:rFonts w:hint="eastAsia" w:ascii="宋体" w:hAnsi="宋体"/>
          <w:color w:val="auto"/>
        </w:rPr>
        <w:t>3.3“投标人”，即供应商，指参加投标竞争并愿意按照招标文件要求向采购人提供货物、工程或者服务的依法成立的法人、其他组织或者自然人；</w:t>
      </w:r>
    </w:p>
    <w:p w14:paraId="73CB9E23">
      <w:pPr>
        <w:ind w:firstLine="411" w:firstLineChars="196"/>
        <w:rPr>
          <w:rFonts w:hint="eastAsia" w:ascii="宋体" w:hAnsi="宋体"/>
          <w:color w:val="auto"/>
        </w:rPr>
      </w:pPr>
      <w:r>
        <w:rPr>
          <w:rFonts w:hint="eastAsia" w:ascii="宋体" w:hAnsi="宋体"/>
          <w:color w:val="auto"/>
        </w:rPr>
        <w:t>3.4“中标候选人”即“候选中标供应商”；</w:t>
      </w:r>
    </w:p>
    <w:p w14:paraId="34E1A23B">
      <w:pPr>
        <w:ind w:firstLine="411" w:firstLineChars="196"/>
        <w:rPr>
          <w:rFonts w:hint="eastAsia" w:ascii="宋体" w:hAnsi="宋体"/>
          <w:color w:val="auto"/>
        </w:rPr>
      </w:pPr>
      <w:r>
        <w:rPr>
          <w:rFonts w:hint="eastAsia" w:ascii="宋体" w:hAnsi="宋体"/>
          <w:color w:val="auto"/>
        </w:rPr>
        <w:t>3.5“评审委员会”是依据《政府采购法》、《政府采购法实施条例》等有关规定组建的专门负责本次招标其评审工作的临时性机构；</w:t>
      </w:r>
    </w:p>
    <w:p w14:paraId="0C2DDDA9">
      <w:pPr>
        <w:ind w:firstLine="411" w:firstLineChars="196"/>
        <w:rPr>
          <w:rFonts w:hint="eastAsia" w:ascii="宋体" w:hAnsi="宋体"/>
          <w:color w:val="auto"/>
        </w:rPr>
      </w:pPr>
      <w:r>
        <w:rPr>
          <w:rFonts w:hint="eastAsia" w:ascii="宋体" w:hAnsi="宋体"/>
          <w:color w:val="auto"/>
        </w:rPr>
        <w:t>3.6“日期”指公历日；</w:t>
      </w:r>
    </w:p>
    <w:p w14:paraId="3DF3CBBF">
      <w:pPr>
        <w:ind w:firstLine="411" w:firstLineChars="196"/>
        <w:rPr>
          <w:rFonts w:hint="eastAsia" w:ascii="宋体" w:hAnsi="宋体"/>
          <w:color w:val="auto"/>
        </w:rPr>
      </w:pPr>
      <w:r>
        <w:rPr>
          <w:rFonts w:hint="eastAsia" w:ascii="宋体" w:hAnsi="宋体"/>
          <w:color w:val="auto"/>
        </w:rPr>
        <w:t>3.7“合同”指由本次招标所产生的合同或合约文件；</w:t>
      </w:r>
    </w:p>
    <w:p w14:paraId="226189E4">
      <w:pPr>
        <w:ind w:firstLine="411" w:firstLineChars="196"/>
        <w:rPr>
          <w:rFonts w:hint="eastAsia" w:ascii="宋体" w:hAnsi="宋体"/>
          <w:color w:val="auto"/>
        </w:rPr>
      </w:pPr>
      <w:r>
        <w:rPr>
          <w:rFonts w:hint="eastAsia" w:ascii="宋体" w:hAnsi="宋体"/>
          <w:color w:val="auto"/>
        </w:rPr>
        <w:t>3.8“电子投标文件”指利用</w:t>
      </w:r>
      <w:r>
        <w:rPr>
          <w:rFonts w:hint="eastAsia" w:ascii="宋体" w:hAnsi="宋体"/>
          <w:b/>
          <w:bCs/>
          <w:color w:val="auto"/>
        </w:rPr>
        <w:t>新疆政采云平台</w:t>
      </w:r>
      <w:r>
        <w:rPr>
          <w:rFonts w:hint="eastAsia" w:ascii="宋体" w:hAnsi="宋体"/>
          <w:color w:val="auto"/>
        </w:rPr>
        <w:t>投标文件制作专用软件制作并加密的投标文件,适用于网上投标；</w:t>
      </w:r>
    </w:p>
    <w:p w14:paraId="50724597">
      <w:pPr>
        <w:ind w:firstLine="411" w:firstLineChars="196"/>
        <w:rPr>
          <w:rFonts w:hint="eastAsia" w:ascii="宋体" w:hAnsi="宋体"/>
          <w:color w:val="auto"/>
        </w:rPr>
      </w:pPr>
      <w:r>
        <w:rPr>
          <w:rFonts w:hint="eastAsia" w:ascii="宋体" w:hAnsi="宋体"/>
          <w:color w:val="auto"/>
        </w:rPr>
        <w:t>3.9“网上投标”指通过</w:t>
      </w:r>
      <w:r>
        <w:rPr>
          <w:rFonts w:hint="eastAsia" w:ascii="宋体" w:hAnsi="宋体"/>
          <w:b/>
          <w:bCs/>
          <w:color w:val="auto"/>
        </w:rPr>
        <w:t>新疆政采云平台</w:t>
      </w:r>
      <w:r>
        <w:rPr>
          <w:rFonts w:hint="eastAsia" w:ascii="宋体" w:hAnsi="宋体"/>
          <w:color w:val="auto"/>
        </w:rPr>
        <w:t>网站上传电子投标文件；</w:t>
      </w:r>
    </w:p>
    <w:p w14:paraId="3D3A5D41">
      <w:pPr>
        <w:ind w:firstLine="411" w:firstLineChars="196"/>
        <w:rPr>
          <w:rFonts w:hint="eastAsia" w:ascii="宋体" w:hAnsi="宋体"/>
          <w:color w:val="auto"/>
        </w:rPr>
      </w:pPr>
      <w:r>
        <w:rPr>
          <w:rFonts w:hint="eastAsia" w:ascii="宋体" w:hAnsi="宋体"/>
          <w:color w:val="auto"/>
        </w:rPr>
        <w:t>3.10招标文件中的标题或题名仅起引导作用，而不应视为对招标文件内容的理解和解释。</w:t>
      </w:r>
    </w:p>
    <w:p w14:paraId="252AA6BE">
      <w:pPr>
        <w:outlineLvl w:val="1"/>
        <w:rPr>
          <w:rFonts w:hint="eastAsia" w:ascii="黑体" w:hAnsi="宋体" w:eastAsia="黑体"/>
          <w:color w:val="auto"/>
          <w:sz w:val="24"/>
        </w:rPr>
      </w:pPr>
      <w:r>
        <w:rPr>
          <w:rFonts w:hint="eastAsia" w:ascii="黑体" w:hAnsi="宋体" w:eastAsia="黑体"/>
          <w:color w:val="auto"/>
          <w:sz w:val="24"/>
        </w:rPr>
        <w:t xml:space="preserve">4. </w:t>
      </w:r>
      <w:bookmarkStart w:id="106" w:name="_Hlk72398643"/>
      <w:r>
        <w:rPr>
          <w:rFonts w:hint="eastAsia" w:ascii="黑体" w:hAnsi="宋体" w:eastAsia="黑体"/>
          <w:color w:val="auto"/>
          <w:sz w:val="24"/>
        </w:rPr>
        <w:t>政府采购供应商责任</w:t>
      </w:r>
    </w:p>
    <w:p w14:paraId="4BCF0148">
      <w:pPr>
        <w:ind w:firstLine="411" w:firstLineChars="196"/>
        <w:rPr>
          <w:rFonts w:hint="eastAsia" w:ascii="宋体" w:hAnsi="宋体"/>
          <w:color w:val="auto"/>
        </w:rPr>
      </w:pPr>
      <w:r>
        <w:rPr>
          <w:rFonts w:hint="eastAsia" w:ascii="宋体" w:hAnsi="宋体"/>
          <w:color w:val="auto"/>
        </w:rPr>
        <w:t>4.1欢迎诚信、有实力和有社会责任心的供应商参与政府采购事业。</w:t>
      </w:r>
    </w:p>
    <w:p w14:paraId="1D527E0D">
      <w:pPr>
        <w:ind w:firstLine="411" w:firstLineChars="196"/>
        <w:rPr>
          <w:rFonts w:hint="eastAsia" w:ascii="宋体" w:hAnsi="宋体"/>
          <w:color w:val="auto"/>
        </w:rPr>
      </w:pPr>
      <w:r>
        <w:rPr>
          <w:rFonts w:hint="eastAsia" w:ascii="宋体" w:hAnsi="宋体"/>
          <w:color w:val="auto"/>
        </w:rPr>
        <w:t>4.2投标人应当遵循公平竞争的原则，不得恶意串通，不得妨碍其他投标人的竞争行为，不得损害采购人或者其他投标人的合法权益。如违反上述要求，经核实后，供应商的投标无效。</w:t>
      </w:r>
    </w:p>
    <w:p w14:paraId="21C835FB">
      <w:pPr>
        <w:outlineLvl w:val="1"/>
        <w:rPr>
          <w:rFonts w:hint="eastAsia" w:ascii="黑体" w:hAnsi="宋体" w:eastAsia="黑体"/>
          <w:color w:val="auto"/>
          <w:sz w:val="24"/>
        </w:rPr>
      </w:pPr>
      <w:r>
        <w:rPr>
          <w:rFonts w:hint="eastAsia" w:ascii="黑体" w:hAnsi="宋体" w:eastAsia="黑体"/>
          <w:color w:val="auto"/>
          <w:sz w:val="24"/>
        </w:rPr>
        <w:t>5．投标人参加政府采购的条件</w:t>
      </w:r>
    </w:p>
    <w:p w14:paraId="58C85874">
      <w:pPr>
        <w:ind w:firstLine="411" w:firstLineChars="196"/>
        <w:rPr>
          <w:rFonts w:hint="eastAsia" w:ascii="宋体" w:hAnsi="宋体"/>
          <w:color w:val="auto"/>
        </w:rPr>
      </w:pPr>
      <w:r>
        <w:rPr>
          <w:rFonts w:hint="eastAsia" w:ascii="宋体" w:hAnsi="宋体"/>
          <w:color w:val="auto"/>
        </w:rPr>
        <w:t>5.1投标人应在投标前到</w:t>
      </w:r>
      <w:r>
        <w:rPr>
          <w:rFonts w:hint="eastAsia" w:ascii="宋体" w:hAnsi="宋体"/>
          <w:b/>
          <w:bCs/>
          <w:color w:val="auto"/>
        </w:rPr>
        <w:t>新疆CA本地营业网点</w:t>
      </w:r>
      <w:r>
        <w:rPr>
          <w:rFonts w:hint="eastAsia" w:ascii="宋体" w:hAnsi="宋体"/>
          <w:color w:val="auto"/>
        </w:rPr>
        <w:t>进行注册并办理电子密钥。</w:t>
      </w:r>
    </w:p>
    <w:p w14:paraId="24D98F4B">
      <w:pPr>
        <w:ind w:firstLine="411" w:firstLineChars="196"/>
        <w:rPr>
          <w:rFonts w:hint="eastAsia" w:ascii="宋体" w:hAnsi="宋体"/>
          <w:color w:val="auto"/>
        </w:rPr>
      </w:pPr>
      <w:r>
        <w:rPr>
          <w:rFonts w:hint="eastAsia" w:ascii="宋体" w:hAnsi="宋体"/>
          <w:color w:val="auto"/>
        </w:rPr>
        <w:t>5.2投标人资格要求</w:t>
      </w:r>
    </w:p>
    <w:p w14:paraId="0016B1CF">
      <w:pPr>
        <w:ind w:firstLine="411" w:firstLineChars="196"/>
        <w:rPr>
          <w:rFonts w:hint="eastAsia" w:ascii="宋体" w:hAnsi="宋体"/>
          <w:color w:val="auto"/>
        </w:rPr>
      </w:pPr>
      <w:r>
        <w:rPr>
          <w:rFonts w:hint="eastAsia" w:ascii="宋体" w:hAnsi="宋体"/>
          <w:color w:val="auto"/>
        </w:rPr>
        <w:t>参加本项目的投标人应具备的资格条件详见本项目招标公告中 “投标人资格要求”（即申请人的资格要求）的内容。</w:t>
      </w:r>
    </w:p>
    <w:p w14:paraId="7F4CEB3A">
      <w:pPr>
        <w:ind w:firstLine="411" w:firstLineChars="196"/>
        <w:rPr>
          <w:rFonts w:hint="eastAsia" w:ascii="宋体" w:hAnsi="宋体"/>
          <w:color w:val="auto"/>
        </w:rPr>
      </w:pPr>
      <w:r>
        <w:rPr>
          <w:rFonts w:hint="eastAsia" w:ascii="宋体" w:hAnsi="宋体"/>
          <w:color w:val="auto"/>
        </w:rPr>
        <w:t>5.3联合体投标</w:t>
      </w:r>
    </w:p>
    <w:p w14:paraId="2F356B10">
      <w:pPr>
        <w:ind w:firstLine="411" w:firstLineChars="196"/>
        <w:rPr>
          <w:rFonts w:hint="eastAsia" w:ascii="宋体" w:hAnsi="宋体"/>
          <w:color w:val="auto"/>
        </w:rPr>
      </w:pPr>
      <w:r>
        <w:rPr>
          <w:rFonts w:hint="eastAsia" w:ascii="宋体" w:hAnsi="宋体"/>
          <w:color w:val="auto"/>
        </w:rPr>
        <w:t>5.3.1　以下有关联合体投标的条款仅适用于允许投标人组成联合体投标的项目。</w:t>
      </w:r>
    </w:p>
    <w:p w14:paraId="131BAC16">
      <w:pPr>
        <w:ind w:firstLine="411" w:firstLineChars="196"/>
        <w:rPr>
          <w:rFonts w:hint="eastAsia" w:ascii="宋体" w:hAnsi="宋体"/>
          <w:color w:val="auto"/>
        </w:rPr>
      </w:pPr>
      <w:r>
        <w:rPr>
          <w:rFonts w:hint="eastAsia" w:ascii="宋体" w:hAnsi="宋体"/>
          <w:color w:val="auto"/>
        </w:rPr>
        <w:t>5.3.2  由两个或两个以上的自然人、法人或者其他组织可以组成一个联合体，以一个供应商的身份共同投标时，应符合以下原则：</w:t>
      </w:r>
    </w:p>
    <w:p w14:paraId="2EF74251">
      <w:pPr>
        <w:ind w:firstLine="411" w:firstLineChars="196"/>
        <w:rPr>
          <w:rFonts w:hint="eastAsia" w:ascii="宋体" w:hAnsi="宋体"/>
          <w:color w:val="auto"/>
        </w:rPr>
      </w:pPr>
      <w:r>
        <w:rPr>
          <w:rFonts w:hint="eastAsia" w:ascii="宋体" w:hAnsi="宋体"/>
          <w:color w:val="auto"/>
        </w:rPr>
        <w:t>（1）投标联合体各方参加政府采购活动应当具备下列条件：</w:t>
      </w:r>
    </w:p>
    <w:p w14:paraId="03A5E18C">
      <w:pPr>
        <w:ind w:left="420" w:leftChars="200" w:firstLine="411" w:firstLineChars="196"/>
        <w:rPr>
          <w:rFonts w:hint="eastAsia" w:ascii="宋体" w:hAnsi="宋体"/>
          <w:color w:val="auto"/>
        </w:rPr>
      </w:pPr>
      <w:r>
        <w:rPr>
          <w:rFonts w:hint="eastAsia" w:ascii="宋体" w:hAnsi="宋体"/>
          <w:color w:val="auto"/>
        </w:rPr>
        <w:t>1、具有独立承担民事责任的能力；</w:t>
      </w:r>
    </w:p>
    <w:p w14:paraId="64F5C6D0">
      <w:pPr>
        <w:ind w:left="420" w:firstLine="411" w:firstLineChars="196"/>
        <w:rPr>
          <w:rFonts w:hint="eastAsia" w:ascii="宋体" w:hAnsi="宋体"/>
          <w:color w:val="auto"/>
        </w:rPr>
      </w:pPr>
      <w:r>
        <w:rPr>
          <w:rFonts w:hint="eastAsia" w:ascii="宋体" w:hAnsi="宋体"/>
          <w:color w:val="auto"/>
        </w:rPr>
        <w:t>2、有良好的商业信誉和健全的财务会计制度；</w:t>
      </w:r>
    </w:p>
    <w:p w14:paraId="461FB93C">
      <w:pPr>
        <w:ind w:left="420" w:leftChars="200" w:firstLine="411" w:firstLineChars="196"/>
        <w:rPr>
          <w:rFonts w:hint="eastAsia" w:ascii="宋体" w:hAnsi="宋体"/>
          <w:color w:val="auto"/>
        </w:rPr>
      </w:pPr>
      <w:r>
        <w:rPr>
          <w:rFonts w:hint="eastAsia" w:ascii="宋体" w:hAnsi="宋体"/>
          <w:color w:val="auto"/>
        </w:rPr>
        <w:t>3、具有履行合同所必需的设备和专业技术能力；</w:t>
      </w:r>
    </w:p>
    <w:p w14:paraId="0BE8FE26">
      <w:pPr>
        <w:ind w:left="420" w:leftChars="200" w:firstLine="411" w:firstLineChars="196"/>
        <w:rPr>
          <w:rFonts w:hint="eastAsia" w:ascii="宋体" w:hAnsi="宋体"/>
          <w:color w:val="auto"/>
        </w:rPr>
      </w:pPr>
      <w:r>
        <w:rPr>
          <w:rFonts w:hint="eastAsia" w:ascii="宋体" w:hAnsi="宋体"/>
          <w:color w:val="auto"/>
        </w:rPr>
        <w:t>4、有依法缴纳税收和社会保障资金的良好记录；</w:t>
      </w:r>
    </w:p>
    <w:p w14:paraId="750EC7A9">
      <w:pPr>
        <w:ind w:left="420" w:leftChars="200" w:firstLine="411" w:firstLineChars="196"/>
        <w:rPr>
          <w:rFonts w:hint="eastAsia" w:ascii="宋体" w:hAnsi="宋体"/>
          <w:color w:val="auto"/>
        </w:rPr>
      </w:pPr>
      <w:r>
        <w:rPr>
          <w:rFonts w:hint="eastAsia" w:ascii="宋体" w:hAnsi="宋体"/>
          <w:color w:val="auto"/>
        </w:rPr>
        <w:t>5、参加政府采购活动前三年内，在经营活动中没有重大违法记录；</w:t>
      </w:r>
    </w:p>
    <w:p w14:paraId="2796F8DA">
      <w:pPr>
        <w:ind w:left="420" w:leftChars="200" w:firstLine="411" w:firstLineChars="196"/>
        <w:rPr>
          <w:rFonts w:hint="eastAsia" w:ascii="宋体" w:hAnsi="宋体"/>
          <w:color w:val="auto"/>
        </w:rPr>
      </w:pPr>
      <w:r>
        <w:rPr>
          <w:rFonts w:hint="eastAsia" w:ascii="宋体" w:hAnsi="宋体"/>
          <w:color w:val="auto"/>
        </w:rPr>
        <w:t>6、法律、行政法规规定的其他条件。</w:t>
      </w:r>
    </w:p>
    <w:p w14:paraId="75C4B197">
      <w:pPr>
        <w:ind w:firstLine="411" w:firstLineChars="196"/>
        <w:rPr>
          <w:rFonts w:hint="eastAsia" w:ascii="宋体" w:hAnsi="宋体"/>
          <w:color w:val="auto"/>
        </w:rPr>
      </w:pPr>
      <w:r>
        <w:rPr>
          <w:rFonts w:hint="eastAsia" w:ascii="宋体" w:hAnsi="宋体"/>
          <w:color w:val="auto"/>
        </w:rPr>
        <w:t>（2）在投标截止前，投标联合体各方均应注册成</w:t>
      </w:r>
      <w:r>
        <w:rPr>
          <w:rFonts w:hint="eastAsia" w:ascii="宋体" w:hAnsi="宋体"/>
          <w:b/>
          <w:bCs/>
          <w:color w:val="auto"/>
        </w:rPr>
        <w:t>政府采购正式供应商</w:t>
      </w:r>
      <w:r>
        <w:rPr>
          <w:rFonts w:hint="eastAsia" w:ascii="宋体" w:hAnsi="宋体"/>
          <w:color w:val="auto"/>
        </w:rPr>
        <w:t>；</w:t>
      </w:r>
    </w:p>
    <w:p w14:paraId="29BF2DCC">
      <w:pPr>
        <w:ind w:firstLine="411" w:firstLineChars="196"/>
        <w:rPr>
          <w:rFonts w:hint="eastAsia" w:ascii="宋体" w:hAnsi="宋体"/>
          <w:color w:val="auto"/>
        </w:rPr>
      </w:pPr>
      <w:r>
        <w:rPr>
          <w:rFonts w:hint="eastAsia" w:ascii="宋体" w:hAnsi="宋体"/>
          <w:color w:val="auto"/>
        </w:rPr>
        <w:t>（3）联合体中有同类资质的供应商按照联合体分工承担相同工作的，应当按照资质等级较低的供应商确定资质等级；</w:t>
      </w:r>
    </w:p>
    <w:p w14:paraId="29567B56">
      <w:pPr>
        <w:ind w:firstLine="411" w:firstLineChars="196"/>
        <w:rPr>
          <w:color w:val="auto"/>
        </w:rPr>
      </w:pPr>
      <w:r>
        <w:rPr>
          <w:rFonts w:hint="eastAsia"/>
          <w:color w:val="auto"/>
        </w:rPr>
        <w:t>（4）是否允许联合体参加投标，应当由采购人和采购代理机构根据项目的实际情况和潜在供应商的数量自主决定，如果决定接受联合体投标则应当在招标公告中明示；</w:t>
      </w:r>
    </w:p>
    <w:p w14:paraId="43F0D2A7">
      <w:pPr>
        <w:ind w:firstLine="411" w:firstLineChars="196"/>
        <w:rPr>
          <w:rFonts w:hint="eastAsia" w:ascii="宋体" w:hAnsi="宋体"/>
          <w:color w:val="auto"/>
        </w:rPr>
      </w:pPr>
      <w:r>
        <w:rPr>
          <w:rFonts w:hint="eastAsia" w:ascii="宋体" w:hAnsi="宋体"/>
          <w:color w:val="auto"/>
        </w:rPr>
        <w:t>（5）投标人的投标文件及中标后签署的合同协议对联合体各方均具法律约束力；</w:t>
      </w:r>
    </w:p>
    <w:p w14:paraId="6DCD10DB">
      <w:pPr>
        <w:ind w:firstLine="411" w:firstLineChars="196"/>
        <w:rPr>
          <w:rFonts w:hint="eastAsia" w:ascii="宋体" w:hAnsi="宋体"/>
          <w:color w:val="auto"/>
        </w:rPr>
      </w:pPr>
      <w:r>
        <w:rPr>
          <w:rFonts w:hint="eastAsia" w:ascii="宋体" w:hAnsi="宋体"/>
          <w:color w:val="auto"/>
        </w:rPr>
        <w:t>（6）联合体各方应当签订联合体投标协议，明确约定各方拟承担的工作和责任，并将该协议随投标文件一并递交给政府集中采购机构；</w:t>
      </w:r>
    </w:p>
    <w:p w14:paraId="3F9D5E52">
      <w:pPr>
        <w:ind w:firstLine="411" w:firstLineChars="196"/>
        <w:rPr>
          <w:rFonts w:hint="eastAsia" w:ascii="宋体" w:hAnsi="宋体"/>
          <w:color w:val="auto"/>
        </w:rPr>
      </w:pPr>
      <w:r>
        <w:rPr>
          <w:rFonts w:hint="eastAsia" w:ascii="宋体" w:hAnsi="宋体"/>
          <w:color w:val="auto"/>
        </w:rPr>
        <w:t>（7）联合体中标后，联合体各方应当共同与采购人签订合同，就中标项目向采购人承担连带责任；</w:t>
      </w:r>
    </w:p>
    <w:p w14:paraId="3C97C5C8">
      <w:pPr>
        <w:ind w:firstLine="411" w:firstLineChars="196"/>
        <w:rPr>
          <w:rFonts w:hint="eastAsia" w:ascii="宋体" w:hAnsi="宋体"/>
          <w:color w:val="auto"/>
        </w:rPr>
      </w:pPr>
      <w:r>
        <w:rPr>
          <w:rFonts w:hint="eastAsia" w:ascii="宋体" w:hAnsi="宋体"/>
          <w:color w:val="auto"/>
        </w:rPr>
        <w:t>（8）以联合体形式参加政府采购活动的，联合体各方不得再单独参加或者与其他供应商另外组成联合体参加同一合同项下的政府采购活动，出现上述情况者，其投标和与此有关联合体、总包单位的投标将被拒绝；</w:t>
      </w:r>
    </w:p>
    <w:p w14:paraId="73951354">
      <w:pPr>
        <w:ind w:firstLine="411" w:firstLineChars="196"/>
        <w:rPr>
          <w:rFonts w:hint="eastAsia" w:ascii="宋体" w:hAnsi="宋体"/>
          <w:color w:val="auto"/>
        </w:rPr>
      </w:pPr>
      <w:r>
        <w:rPr>
          <w:rFonts w:hint="eastAsia" w:ascii="宋体" w:hAnsi="宋体"/>
          <w:color w:val="auto"/>
        </w:rPr>
        <w:t>（9）本通用条款中“投标人”一词亦指联合体各方，专用条款另有规定或说明的除外。</w:t>
      </w:r>
    </w:p>
    <w:p w14:paraId="6C9C42F1">
      <w:pPr>
        <w:outlineLvl w:val="1"/>
        <w:rPr>
          <w:rFonts w:hint="eastAsia" w:ascii="黑体" w:hAnsi="宋体" w:eastAsia="黑体"/>
          <w:color w:val="auto"/>
          <w:sz w:val="24"/>
        </w:rPr>
      </w:pPr>
      <w:r>
        <w:rPr>
          <w:rFonts w:hint="eastAsia" w:ascii="黑体" w:hAnsi="宋体" w:eastAsia="黑体"/>
          <w:color w:val="auto"/>
          <w:sz w:val="24"/>
        </w:rPr>
        <w:t>6．政策导向</w:t>
      </w:r>
    </w:p>
    <w:p w14:paraId="37B7CB88">
      <w:pPr>
        <w:ind w:firstLine="411" w:firstLineChars="196"/>
        <w:rPr>
          <w:rFonts w:hint="eastAsia" w:ascii="宋体" w:hAnsi="宋体"/>
          <w:color w:val="auto"/>
        </w:rPr>
      </w:pPr>
      <w:r>
        <w:rPr>
          <w:rFonts w:hint="eastAsia" w:ascii="宋体" w:hAnsi="宋体"/>
          <w:color w:val="auto"/>
        </w:rPr>
        <w:t>6.1政府采购扶持贫困地区、中小企业、监狱企业和残疾人福利性单位发展，支持节能减排、环境保护。</w:t>
      </w:r>
    </w:p>
    <w:p w14:paraId="1CB1DA9B">
      <w:pPr>
        <w:ind w:firstLine="405"/>
        <w:rPr>
          <w:color w:val="auto"/>
        </w:rPr>
      </w:pPr>
      <w:r>
        <w:rPr>
          <w:rFonts w:hint="eastAsia" w:ascii="宋体" w:hAnsi="宋体"/>
          <w:color w:val="auto"/>
        </w:rPr>
        <w:t>6.2本项目落实巴州政府采购供应商诚信管理政策要求。</w:t>
      </w:r>
    </w:p>
    <w:p w14:paraId="708E2D22">
      <w:pPr>
        <w:outlineLvl w:val="1"/>
        <w:rPr>
          <w:rFonts w:hint="eastAsia" w:ascii="黑体" w:hAnsi="宋体" w:eastAsia="黑体"/>
          <w:color w:val="auto"/>
          <w:sz w:val="24"/>
        </w:rPr>
      </w:pPr>
      <w:r>
        <w:rPr>
          <w:rFonts w:hint="eastAsia" w:ascii="黑体" w:hAnsi="宋体" w:eastAsia="黑体"/>
          <w:color w:val="auto"/>
          <w:sz w:val="24"/>
        </w:rPr>
        <w:t>7. 本项目若涉及采购货物，则合格的货物及相应服务应满足以下要求：</w:t>
      </w:r>
    </w:p>
    <w:p w14:paraId="239230B9">
      <w:pPr>
        <w:ind w:firstLine="411" w:firstLineChars="196"/>
        <w:rPr>
          <w:rFonts w:hint="eastAsia" w:ascii="宋体" w:hAnsi="宋体"/>
          <w:color w:val="auto"/>
        </w:rPr>
      </w:pPr>
      <w:r>
        <w:rPr>
          <w:rFonts w:hint="eastAsia" w:ascii="宋体" w:hAnsi="宋体"/>
          <w:color w:val="auto"/>
        </w:rPr>
        <w:t>7</w:t>
      </w:r>
      <w:r>
        <w:rPr>
          <w:rFonts w:ascii="宋体" w:hAnsi="宋体"/>
          <w:color w:val="auto"/>
        </w:rPr>
        <w:t xml:space="preserve">.1  </w:t>
      </w:r>
      <w:r>
        <w:rPr>
          <w:rFonts w:hint="eastAsia" w:ascii="宋体" w:hAnsi="宋体"/>
          <w:color w:val="auto"/>
        </w:rPr>
        <w:t>必须是全新、未使用过的原装合格正品（包括零部件），如安装或配置了软件的，须为正版软件。</w:t>
      </w:r>
    </w:p>
    <w:p w14:paraId="7F0CEC25">
      <w:pPr>
        <w:ind w:firstLine="411" w:firstLineChars="196"/>
        <w:rPr>
          <w:rFonts w:hint="eastAsia" w:ascii="宋体" w:hAnsi="宋体"/>
          <w:color w:val="auto"/>
        </w:rPr>
      </w:pPr>
      <w:r>
        <w:rPr>
          <w:rFonts w:hint="eastAsia" w:ascii="宋体" w:hAnsi="宋体"/>
          <w:color w:val="auto"/>
        </w:rPr>
        <w:t>7.2  国产的货物及其有关服务必须符合中华人民共和国的设计、制造生产标准及行业标准。招标公告有其他要求的，亦应符合其要求。</w:t>
      </w:r>
    </w:p>
    <w:p w14:paraId="210ED97F">
      <w:pPr>
        <w:ind w:firstLine="411" w:firstLineChars="196"/>
        <w:rPr>
          <w:rFonts w:hint="eastAsia" w:ascii="宋体" w:hAnsi="宋体"/>
          <w:color w:val="auto"/>
        </w:rPr>
      </w:pPr>
      <w:r>
        <w:rPr>
          <w:rFonts w:hint="eastAsia" w:ascii="宋体" w:hAnsi="宋体"/>
          <w:color w:val="auto"/>
        </w:rPr>
        <w:t>7</w:t>
      </w:r>
      <w:r>
        <w:rPr>
          <w:rFonts w:ascii="宋体" w:hAnsi="宋体"/>
          <w:color w:val="auto"/>
        </w:rPr>
        <w:t>.</w:t>
      </w:r>
      <w:r>
        <w:rPr>
          <w:rFonts w:hint="eastAsia" w:ascii="宋体" w:hAnsi="宋体"/>
          <w:color w:val="auto"/>
        </w:rPr>
        <w:t>3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7548726B">
      <w:pPr>
        <w:ind w:firstLine="411" w:firstLineChars="196"/>
        <w:rPr>
          <w:rFonts w:hint="eastAsia" w:ascii="宋体" w:hAnsi="宋体"/>
          <w:color w:val="auto"/>
        </w:rPr>
      </w:pPr>
      <w:r>
        <w:rPr>
          <w:rFonts w:hint="eastAsia" w:ascii="宋体" w:hAnsi="宋体"/>
          <w:color w:val="auto"/>
        </w:rPr>
        <w:t>7</w:t>
      </w:r>
      <w:r>
        <w:rPr>
          <w:rFonts w:ascii="宋体" w:hAnsi="宋体"/>
          <w:color w:val="auto"/>
        </w:rPr>
        <w:t>.</w:t>
      </w:r>
      <w:r>
        <w:rPr>
          <w:rFonts w:hint="eastAsia" w:ascii="宋体" w:hAnsi="宋体"/>
          <w:color w:val="auto"/>
        </w:rPr>
        <w:t>4投标人</w:t>
      </w:r>
      <w:bookmarkStart w:id="107" w:name="_Hlk72152753"/>
      <w:r>
        <w:rPr>
          <w:rFonts w:hint="eastAsia" w:ascii="宋体" w:hAnsi="宋体"/>
          <w:color w:val="auto"/>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107"/>
    </w:p>
    <w:p w14:paraId="63641A59">
      <w:pPr>
        <w:ind w:firstLine="411" w:firstLineChars="196"/>
        <w:rPr>
          <w:rFonts w:hint="eastAsia" w:ascii="宋体" w:hAnsi="宋体"/>
          <w:color w:val="auto"/>
        </w:rPr>
      </w:pPr>
      <w:r>
        <w:rPr>
          <w:rFonts w:hint="eastAsia" w:ascii="宋体" w:hAnsi="宋体"/>
          <w:color w:val="auto"/>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4FD538C8">
      <w:pPr>
        <w:ind w:firstLine="411" w:firstLineChars="196"/>
        <w:rPr>
          <w:rFonts w:hint="eastAsia" w:ascii="宋体" w:hAnsi="宋体"/>
          <w:color w:val="auto"/>
        </w:rPr>
      </w:pPr>
      <w:r>
        <w:rPr>
          <w:rFonts w:hint="eastAsia" w:ascii="宋体" w:hAnsi="宋体"/>
          <w:color w:val="auto"/>
        </w:rPr>
        <w:t>7.6  工期要求：投标人在投标时对其所投项目应提交交货进度、交货计划等，在合同规定的时间内完成项目实施工作。</w:t>
      </w:r>
    </w:p>
    <w:p w14:paraId="54111FF8">
      <w:pPr>
        <w:ind w:firstLine="411" w:firstLineChars="196"/>
        <w:rPr>
          <w:rFonts w:hint="eastAsia" w:ascii="宋体" w:hAnsi="宋体"/>
          <w:color w:val="auto"/>
        </w:rPr>
      </w:pPr>
      <w:r>
        <w:rPr>
          <w:rFonts w:hint="eastAsia" w:ascii="宋体" w:hAnsi="宋体"/>
          <w:color w:val="auto"/>
        </w:rPr>
        <w:t>7.7  投标人必须承担的设备运输、安装调试、验收检测和提供设备操作说明书、图纸等其他相关及类似的义务。</w:t>
      </w:r>
    </w:p>
    <w:p w14:paraId="061AAED9">
      <w:pPr>
        <w:outlineLvl w:val="1"/>
        <w:rPr>
          <w:rFonts w:hint="eastAsia" w:ascii="黑体" w:hAnsi="宋体" w:eastAsia="黑体"/>
          <w:color w:val="auto"/>
          <w:sz w:val="24"/>
        </w:rPr>
      </w:pPr>
      <w:r>
        <w:rPr>
          <w:rFonts w:hint="eastAsia" w:ascii="黑体" w:hAnsi="宋体" w:eastAsia="黑体"/>
          <w:color w:val="auto"/>
          <w:sz w:val="24"/>
        </w:rPr>
        <w:t>8．投标费用</w:t>
      </w:r>
    </w:p>
    <w:p w14:paraId="3018AE13">
      <w:pPr>
        <w:ind w:firstLine="411" w:firstLineChars="196"/>
        <w:rPr>
          <w:rFonts w:hint="eastAsia" w:ascii="宋体" w:hAnsi="宋体"/>
          <w:color w:val="auto"/>
        </w:rPr>
      </w:pPr>
      <w:r>
        <w:rPr>
          <w:rFonts w:hint="eastAsia" w:ascii="宋体" w:hAnsi="宋体"/>
          <w:color w:val="auto"/>
        </w:rPr>
        <w:t>不论投标结果如何，投标人应承担其编制投标文件与递交投标文件所涉及的一切费用。</w:t>
      </w:r>
    </w:p>
    <w:p w14:paraId="2F6B9D8A">
      <w:pPr>
        <w:outlineLvl w:val="1"/>
        <w:rPr>
          <w:rFonts w:hint="eastAsia" w:ascii="黑体" w:hAnsi="宋体" w:eastAsia="黑体"/>
          <w:color w:val="auto"/>
          <w:sz w:val="24"/>
        </w:rPr>
      </w:pPr>
      <w:r>
        <w:rPr>
          <w:rFonts w:hint="eastAsia" w:ascii="黑体" w:hAnsi="宋体" w:eastAsia="黑体"/>
          <w:color w:val="auto"/>
          <w:sz w:val="24"/>
        </w:rPr>
        <w:t>9．踏勘现场</w:t>
      </w:r>
    </w:p>
    <w:p w14:paraId="2F789584">
      <w:pPr>
        <w:ind w:firstLine="411" w:firstLineChars="196"/>
        <w:rPr>
          <w:rFonts w:hint="eastAsia" w:ascii="宋体" w:hAnsi="宋体"/>
          <w:color w:val="auto"/>
        </w:rPr>
      </w:pPr>
      <w:r>
        <w:rPr>
          <w:rFonts w:hint="eastAsia" w:ascii="宋体" w:hAnsi="宋体"/>
          <w:color w:val="auto"/>
        </w:rPr>
        <w:t>9.1如有需要（详见第一册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5E2D57F">
      <w:pPr>
        <w:ind w:firstLine="411" w:firstLineChars="196"/>
        <w:rPr>
          <w:rFonts w:hint="eastAsia" w:ascii="宋体" w:hAnsi="宋体"/>
          <w:color w:val="auto"/>
        </w:rPr>
      </w:pPr>
      <w:r>
        <w:rPr>
          <w:rFonts w:hint="eastAsia" w:ascii="宋体" w:hAnsi="宋体"/>
          <w:color w:val="auto"/>
        </w:rPr>
        <w:t>9.2投标人及其人员经过采购人的允许，可以进入采购人的项目现场踏勘。若招标文件要求投标人于统一时间地点踏勘现场的，投标人应当按时前往。</w:t>
      </w:r>
    </w:p>
    <w:p w14:paraId="2CD5C5C3">
      <w:pPr>
        <w:ind w:firstLine="411" w:firstLineChars="196"/>
        <w:rPr>
          <w:rFonts w:hint="eastAsia" w:ascii="宋体" w:hAnsi="宋体"/>
          <w:color w:val="auto"/>
        </w:rPr>
      </w:pPr>
      <w:r>
        <w:rPr>
          <w:rFonts w:hint="eastAsia" w:ascii="宋体" w:hAnsi="宋体"/>
          <w:color w:val="auto"/>
        </w:rPr>
        <w:t>9.3采购人应当通过政府集中采购机构向投标人提供有关现场的书面资料和数据。</w:t>
      </w:r>
    </w:p>
    <w:p w14:paraId="2EAC97C0">
      <w:pPr>
        <w:ind w:firstLine="411" w:firstLineChars="196"/>
        <w:rPr>
          <w:rFonts w:hint="eastAsia" w:ascii="宋体" w:hAnsi="宋体"/>
          <w:color w:val="auto"/>
        </w:rPr>
      </w:pPr>
      <w:r>
        <w:rPr>
          <w:rFonts w:hint="eastAsia" w:ascii="宋体" w:hAnsi="宋体"/>
          <w:color w:val="auto"/>
        </w:rPr>
        <w:t>9.4任何人或任何组织在踏勘现场时向投标人提供的任何书面资料或口头承诺，未经政府集中采购机构在网上发布或书面通知，均作无效处理。</w:t>
      </w:r>
    </w:p>
    <w:p w14:paraId="481C0A51">
      <w:pPr>
        <w:ind w:firstLine="411" w:firstLineChars="196"/>
        <w:rPr>
          <w:rFonts w:hint="eastAsia" w:ascii="宋体" w:hAnsi="宋体"/>
          <w:color w:val="auto"/>
        </w:rPr>
      </w:pPr>
      <w:r>
        <w:rPr>
          <w:rFonts w:ascii="宋体" w:hAnsi="宋体"/>
          <w:color w:val="auto"/>
        </w:rPr>
        <w:t>9</w:t>
      </w:r>
      <w:r>
        <w:rPr>
          <w:rFonts w:hint="eastAsia" w:ascii="宋体" w:hAnsi="宋体"/>
          <w:color w:val="auto"/>
        </w:rPr>
        <w:t>.</w:t>
      </w:r>
      <w:r>
        <w:rPr>
          <w:rFonts w:ascii="宋体" w:hAnsi="宋体"/>
          <w:color w:val="auto"/>
        </w:rPr>
        <w:t>5</w:t>
      </w:r>
      <w:r>
        <w:rPr>
          <w:rFonts w:hint="eastAsia" w:ascii="宋体" w:hAnsi="宋体"/>
          <w:color w:val="auto"/>
        </w:rPr>
        <w:t>未参与踏勘现场不作为否定投标人资格的理由。</w:t>
      </w:r>
    </w:p>
    <w:p w14:paraId="359D47CC">
      <w:pPr>
        <w:outlineLvl w:val="1"/>
        <w:rPr>
          <w:rFonts w:hint="eastAsia" w:ascii="宋体" w:hAnsi="宋体"/>
          <w:color w:val="auto"/>
        </w:rPr>
      </w:pPr>
      <w:r>
        <w:rPr>
          <w:rFonts w:hint="eastAsia" w:ascii="黑体" w:hAnsi="宋体" w:eastAsia="黑体"/>
          <w:color w:val="auto"/>
          <w:sz w:val="24"/>
        </w:rPr>
        <w:t>1</w:t>
      </w:r>
      <w:r>
        <w:rPr>
          <w:rFonts w:ascii="黑体" w:hAnsi="宋体" w:eastAsia="黑体"/>
          <w:color w:val="auto"/>
          <w:sz w:val="24"/>
        </w:rPr>
        <w:t>0</w:t>
      </w:r>
      <w:r>
        <w:rPr>
          <w:rFonts w:hint="eastAsia" w:ascii="黑体" w:hAnsi="宋体" w:eastAsia="黑体"/>
          <w:color w:val="auto"/>
          <w:sz w:val="24"/>
        </w:rPr>
        <w:t>．标前会议</w:t>
      </w:r>
    </w:p>
    <w:p w14:paraId="23E200EF">
      <w:pPr>
        <w:ind w:firstLine="411" w:firstLineChars="196"/>
        <w:rPr>
          <w:rFonts w:hint="eastAsia" w:ascii="宋体" w:hAnsi="宋体"/>
          <w:color w:val="auto"/>
        </w:rPr>
      </w:pPr>
      <w:r>
        <w:rPr>
          <w:rFonts w:hint="eastAsia" w:ascii="宋体" w:hAnsi="宋体"/>
          <w:color w:val="auto"/>
        </w:rPr>
        <w:t>1</w:t>
      </w:r>
      <w:r>
        <w:rPr>
          <w:rFonts w:ascii="宋体" w:hAnsi="宋体"/>
          <w:color w:val="auto"/>
        </w:rPr>
        <w:t>0</w:t>
      </w:r>
      <w:r>
        <w:rPr>
          <w:rFonts w:hint="eastAsia" w:ascii="宋体" w:hAnsi="宋体"/>
          <w:color w:val="auto"/>
        </w:rPr>
        <w:t>.</w:t>
      </w:r>
      <w:r>
        <w:rPr>
          <w:rFonts w:ascii="宋体" w:hAnsi="宋体"/>
          <w:color w:val="auto"/>
        </w:rPr>
        <w:t>1</w:t>
      </w:r>
      <w:r>
        <w:rPr>
          <w:rFonts w:hint="eastAsia" w:ascii="宋体" w:hAnsi="宋体"/>
          <w:color w:val="auto"/>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73846BE0">
      <w:pPr>
        <w:ind w:firstLine="411" w:firstLineChars="196"/>
        <w:rPr>
          <w:rFonts w:hint="eastAsia" w:ascii="宋体" w:hAnsi="宋体"/>
          <w:color w:val="auto"/>
        </w:rPr>
      </w:pPr>
      <w:r>
        <w:rPr>
          <w:rFonts w:ascii="宋体" w:hAnsi="宋体"/>
          <w:color w:val="auto"/>
        </w:rPr>
        <w:t>10</w:t>
      </w:r>
      <w:r>
        <w:rPr>
          <w:rFonts w:hint="eastAsia" w:ascii="宋体" w:hAnsi="宋体"/>
          <w:color w:val="auto"/>
        </w:rPr>
        <w:t>.</w:t>
      </w:r>
      <w:r>
        <w:rPr>
          <w:rFonts w:ascii="宋体" w:hAnsi="宋体"/>
          <w:color w:val="auto"/>
        </w:rPr>
        <w:t>2</w:t>
      </w:r>
      <w:r>
        <w:rPr>
          <w:rFonts w:hint="eastAsia" w:ascii="宋体" w:hAnsi="宋体"/>
          <w:color w:val="auto"/>
        </w:rPr>
        <w:t>任何人或任何组织在标前会议时向投标人提供的任何书面资料或口头承诺，未经政府集中采购机构在网上发布或书面通知，均作无效处理。</w:t>
      </w:r>
    </w:p>
    <w:p w14:paraId="588E99BB">
      <w:pPr>
        <w:ind w:firstLine="411" w:firstLineChars="196"/>
        <w:rPr>
          <w:rFonts w:hint="eastAsia" w:ascii="宋体" w:hAnsi="宋体"/>
          <w:color w:val="auto"/>
        </w:rPr>
      </w:pPr>
      <w:r>
        <w:rPr>
          <w:rFonts w:hint="eastAsia" w:ascii="宋体" w:hAnsi="宋体"/>
          <w:color w:val="auto"/>
        </w:rPr>
        <w:t>1</w:t>
      </w:r>
      <w:r>
        <w:rPr>
          <w:rFonts w:ascii="宋体" w:hAnsi="宋体"/>
          <w:color w:val="auto"/>
        </w:rPr>
        <w:t>0</w:t>
      </w:r>
      <w:r>
        <w:rPr>
          <w:rFonts w:hint="eastAsia" w:ascii="宋体" w:hAnsi="宋体"/>
          <w:color w:val="auto"/>
        </w:rPr>
        <w:t>.</w:t>
      </w:r>
      <w:r>
        <w:rPr>
          <w:rFonts w:ascii="宋体" w:hAnsi="宋体"/>
          <w:color w:val="auto"/>
        </w:rPr>
        <w:t>3</w:t>
      </w:r>
      <w:r>
        <w:rPr>
          <w:rFonts w:hint="eastAsia" w:ascii="宋体" w:hAnsi="宋体"/>
          <w:color w:val="auto"/>
        </w:rPr>
        <w:t>未参与标前会议不作为否定投标人资格的理由。</w:t>
      </w:r>
    </w:p>
    <w:bookmarkEnd w:id="106"/>
    <w:p w14:paraId="6B793A5B">
      <w:pPr>
        <w:pStyle w:val="7"/>
        <w:tabs>
          <w:tab w:val="left" w:pos="360"/>
        </w:tabs>
        <w:spacing w:before="156" w:beforeLines="50" w:after="156" w:afterLines="50"/>
        <w:ind w:firstLine="2811" w:firstLineChars="1000"/>
        <w:jc w:val="both"/>
        <w:rPr>
          <w:color w:val="auto"/>
          <w:sz w:val="28"/>
          <w:szCs w:val="28"/>
        </w:rPr>
      </w:pPr>
      <w:r>
        <w:rPr>
          <w:rFonts w:hint="eastAsia"/>
          <w:color w:val="auto"/>
          <w:sz w:val="28"/>
          <w:szCs w:val="28"/>
        </w:rPr>
        <w:t>第二章  招标文件</w:t>
      </w:r>
    </w:p>
    <w:p w14:paraId="5C682302">
      <w:pPr>
        <w:rPr>
          <w:rFonts w:hint="eastAsia" w:ascii="黑体" w:hAnsi="宋体" w:eastAsia="黑体"/>
          <w:color w:val="auto"/>
          <w:sz w:val="24"/>
        </w:rPr>
      </w:pPr>
      <w:r>
        <w:rPr>
          <w:rFonts w:hint="eastAsia" w:ascii="黑体" w:hAnsi="宋体" w:eastAsia="黑体"/>
          <w:color w:val="auto"/>
          <w:sz w:val="24"/>
        </w:rPr>
        <w:t>1</w:t>
      </w:r>
      <w:r>
        <w:rPr>
          <w:rFonts w:ascii="黑体" w:hAnsi="宋体" w:eastAsia="黑体"/>
          <w:color w:val="auto"/>
          <w:sz w:val="24"/>
        </w:rPr>
        <w:t>1</w:t>
      </w:r>
      <w:r>
        <w:rPr>
          <w:rFonts w:hint="eastAsia" w:ascii="黑体" w:hAnsi="宋体" w:eastAsia="黑体"/>
          <w:color w:val="auto"/>
          <w:sz w:val="24"/>
        </w:rPr>
        <w:t>．</w:t>
      </w:r>
      <w:bookmarkStart w:id="108" w:name="_Hlk72399819"/>
      <w:r>
        <w:rPr>
          <w:rFonts w:hint="eastAsia" w:ascii="黑体" w:hAnsi="宋体" w:eastAsia="黑体"/>
          <w:color w:val="auto"/>
          <w:sz w:val="24"/>
        </w:rPr>
        <w:t>招标文件的编制与组成</w:t>
      </w:r>
    </w:p>
    <w:p w14:paraId="76D78123">
      <w:pPr>
        <w:snapToGrid w:val="0"/>
        <w:ind w:firstLine="420" w:firstLineChars="200"/>
        <w:rPr>
          <w:rFonts w:hint="eastAsia" w:ascii="宋体" w:hAnsi="宋体"/>
          <w:color w:val="auto"/>
        </w:rPr>
      </w:pPr>
      <w:r>
        <w:rPr>
          <w:rFonts w:hint="eastAsia" w:ascii="宋体" w:hAnsi="宋体"/>
          <w:color w:val="auto"/>
        </w:rPr>
        <w:t>1</w:t>
      </w:r>
      <w:r>
        <w:rPr>
          <w:rFonts w:ascii="宋体" w:hAnsi="宋体"/>
          <w:color w:val="auto"/>
        </w:rPr>
        <w:t>1</w:t>
      </w:r>
      <w:r>
        <w:rPr>
          <w:rFonts w:hint="eastAsia" w:ascii="宋体" w:hAnsi="宋体"/>
          <w:color w:val="auto"/>
        </w:rPr>
        <w:t>.1招标文件除以下内容外，政府集中采购机构在招标期间发出的澄清或修改等相关公告或通知内容，均是招标文件的组成部分，对投标人起约束作用；</w:t>
      </w:r>
    </w:p>
    <w:p w14:paraId="4258AC8B">
      <w:pPr>
        <w:ind w:firstLine="411" w:firstLineChars="196"/>
        <w:rPr>
          <w:rFonts w:hint="eastAsia" w:ascii="宋体" w:hAnsi="宋体"/>
          <w:color w:val="auto"/>
        </w:rPr>
      </w:pPr>
      <w:r>
        <w:rPr>
          <w:rFonts w:hint="eastAsia" w:ascii="宋体" w:hAnsi="宋体"/>
          <w:color w:val="auto"/>
        </w:rPr>
        <w:t>招标文件包括下列内容：</w:t>
      </w:r>
    </w:p>
    <w:p w14:paraId="08605F17">
      <w:pPr>
        <w:ind w:left="420" w:leftChars="200" w:firstLine="413" w:firstLineChars="196"/>
        <w:rPr>
          <w:rFonts w:hint="eastAsia" w:ascii="宋体" w:hAnsi="宋体"/>
          <w:b/>
          <w:color w:val="auto"/>
        </w:rPr>
      </w:pPr>
      <w:r>
        <w:rPr>
          <w:rFonts w:hint="eastAsia" w:ascii="宋体" w:hAnsi="宋体"/>
          <w:b/>
          <w:color w:val="auto"/>
        </w:rPr>
        <w:t>第一册  专用条款</w:t>
      </w:r>
    </w:p>
    <w:p w14:paraId="780C227D">
      <w:pPr>
        <w:ind w:left="1079" w:leftChars="514"/>
        <w:rPr>
          <w:rFonts w:hint="eastAsia" w:ascii="宋体" w:hAnsi="宋体"/>
          <w:b/>
          <w:color w:val="auto"/>
        </w:rPr>
      </w:pPr>
      <w:r>
        <w:rPr>
          <w:rFonts w:hint="eastAsia" w:ascii="宋体" w:hAnsi="宋体"/>
          <w:b/>
          <w:color w:val="auto"/>
        </w:rPr>
        <w:t>关键信息</w:t>
      </w:r>
    </w:p>
    <w:p w14:paraId="6B19F284">
      <w:pPr>
        <w:ind w:left="630" w:leftChars="300" w:firstLine="411" w:firstLineChars="196"/>
        <w:outlineLvl w:val="0"/>
        <w:rPr>
          <w:rFonts w:hint="eastAsia" w:ascii="宋体" w:hAnsi="宋体"/>
          <w:color w:val="auto"/>
        </w:rPr>
      </w:pPr>
      <w:r>
        <w:rPr>
          <w:rFonts w:hint="eastAsia" w:ascii="宋体" w:hAnsi="宋体"/>
          <w:color w:val="auto"/>
        </w:rPr>
        <w:t>第一章  招标公告</w:t>
      </w:r>
    </w:p>
    <w:p w14:paraId="06E2F1CF">
      <w:pPr>
        <w:ind w:left="630" w:leftChars="300" w:firstLine="411" w:firstLineChars="196"/>
        <w:outlineLvl w:val="0"/>
        <w:rPr>
          <w:rFonts w:hint="eastAsia" w:ascii="宋体" w:hAnsi="宋体"/>
          <w:color w:val="auto"/>
        </w:rPr>
      </w:pPr>
      <w:r>
        <w:rPr>
          <w:rFonts w:hint="eastAsia" w:ascii="宋体" w:hAnsi="宋体"/>
          <w:color w:val="auto"/>
        </w:rPr>
        <w:t>第二章  对通用条款的补充内容及其他关键信息</w:t>
      </w:r>
    </w:p>
    <w:p w14:paraId="5FBB9FA5">
      <w:pPr>
        <w:ind w:left="630" w:leftChars="300" w:firstLine="411" w:firstLineChars="196"/>
        <w:outlineLvl w:val="0"/>
        <w:rPr>
          <w:rFonts w:hint="eastAsia" w:ascii="宋体" w:hAnsi="宋体"/>
          <w:color w:val="auto"/>
        </w:rPr>
      </w:pPr>
      <w:r>
        <w:rPr>
          <w:rFonts w:hint="eastAsia" w:ascii="宋体" w:hAnsi="宋体"/>
          <w:color w:val="auto"/>
        </w:rPr>
        <w:t>第三章  用户需求书</w:t>
      </w:r>
    </w:p>
    <w:p w14:paraId="0ECA3072">
      <w:pPr>
        <w:ind w:left="630" w:leftChars="300" w:firstLine="411" w:firstLineChars="196"/>
        <w:outlineLvl w:val="0"/>
        <w:rPr>
          <w:rFonts w:hint="eastAsia" w:ascii="宋体" w:hAnsi="宋体"/>
          <w:color w:val="auto"/>
        </w:rPr>
      </w:pPr>
      <w:r>
        <w:rPr>
          <w:rFonts w:hint="eastAsia"/>
          <w:color w:val="auto"/>
        </w:rPr>
        <w:t>第四章  投标文件格式及附件</w:t>
      </w:r>
    </w:p>
    <w:p w14:paraId="5696C523">
      <w:pPr>
        <w:ind w:left="630" w:leftChars="300" w:firstLine="411" w:firstLineChars="196"/>
        <w:outlineLvl w:val="0"/>
        <w:rPr>
          <w:rFonts w:hint="eastAsia" w:ascii="宋体" w:hAnsi="宋体"/>
          <w:color w:val="auto"/>
        </w:rPr>
      </w:pPr>
      <w:r>
        <w:rPr>
          <w:rFonts w:hint="eastAsia" w:ascii="宋体" w:hAnsi="宋体"/>
          <w:color w:val="auto"/>
        </w:rPr>
        <w:t>第五章  合同条款及格式</w:t>
      </w:r>
    </w:p>
    <w:p w14:paraId="1215F50E">
      <w:pPr>
        <w:ind w:left="420" w:leftChars="200" w:firstLine="413" w:firstLineChars="196"/>
        <w:outlineLvl w:val="0"/>
        <w:rPr>
          <w:rFonts w:hint="eastAsia" w:ascii="宋体" w:hAnsi="宋体"/>
          <w:b/>
          <w:color w:val="auto"/>
        </w:rPr>
      </w:pPr>
      <w:r>
        <w:rPr>
          <w:rFonts w:hint="eastAsia" w:ascii="宋体" w:hAnsi="宋体"/>
          <w:b/>
          <w:color w:val="auto"/>
        </w:rPr>
        <w:t>第二册  通用条款</w:t>
      </w:r>
    </w:p>
    <w:p w14:paraId="23C8511E">
      <w:pPr>
        <w:ind w:left="630" w:leftChars="300" w:firstLine="411" w:firstLineChars="196"/>
        <w:outlineLvl w:val="0"/>
        <w:rPr>
          <w:rFonts w:hint="eastAsia" w:ascii="宋体" w:hAnsi="宋体"/>
          <w:color w:val="auto"/>
        </w:rPr>
      </w:pPr>
      <w:r>
        <w:rPr>
          <w:rFonts w:hint="eastAsia" w:ascii="宋体" w:hAnsi="宋体"/>
          <w:color w:val="auto"/>
        </w:rPr>
        <w:t>第一章  总则</w:t>
      </w:r>
    </w:p>
    <w:p w14:paraId="275E9248">
      <w:pPr>
        <w:ind w:left="630" w:leftChars="300" w:firstLine="411" w:firstLineChars="196"/>
        <w:outlineLvl w:val="0"/>
        <w:rPr>
          <w:rFonts w:hint="eastAsia" w:ascii="宋体" w:hAnsi="宋体"/>
          <w:color w:val="auto"/>
        </w:rPr>
      </w:pPr>
      <w:r>
        <w:rPr>
          <w:rFonts w:hint="eastAsia" w:ascii="宋体" w:hAnsi="宋体"/>
          <w:color w:val="auto"/>
        </w:rPr>
        <w:t>第二章  招标文件</w:t>
      </w:r>
    </w:p>
    <w:p w14:paraId="78AE8251">
      <w:pPr>
        <w:ind w:left="630" w:leftChars="300" w:firstLine="411" w:firstLineChars="196"/>
        <w:outlineLvl w:val="0"/>
        <w:rPr>
          <w:rFonts w:hint="eastAsia" w:ascii="宋体" w:hAnsi="宋体"/>
          <w:color w:val="auto"/>
        </w:rPr>
      </w:pPr>
      <w:r>
        <w:rPr>
          <w:rFonts w:hint="eastAsia" w:ascii="宋体" w:hAnsi="宋体"/>
          <w:color w:val="auto"/>
        </w:rPr>
        <w:t>第三章  投标文件的编制</w:t>
      </w:r>
    </w:p>
    <w:p w14:paraId="32B59BB8">
      <w:pPr>
        <w:ind w:left="630" w:leftChars="300" w:firstLine="411" w:firstLineChars="196"/>
        <w:outlineLvl w:val="0"/>
        <w:rPr>
          <w:rFonts w:hint="eastAsia" w:ascii="宋体" w:hAnsi="宋体"/>
          <w:color w:val="auto"/>
        </w:rPr>
      </w:pPr>
      <w:r>
        <w:rPr>
          <w:rFonts w:hint="eastAsia" w:ascii="宋体" w:hAnsi="宋体"/>
          <w:color w:val="auto"/>
        </w:rPr>
        <w:t>第四章  投标文件的递交</w:t>
      </w:r>
    </w:p>
    <w:p w14:paraId="3A98BB77">
      <w:pPr>
        <w:ind w:left="630" w:leftChars="300" w:firstLine="411" w:firstLineChars="196"/>
        <w:outlineLvl w:val="0"/>
        <w:rPr>
          <w:rFonts w:hint="eastAsia" w:ascii="宋体" w:hAnsi="宋体"/>
          <w:color w:val="auto"/>
        </w:rPr>
      </w:pPr>
      <w:r>
        <w:rPr>
          <w:rFonts w:hint="eastAsia" w:ascii="宋体" w:hAnsi="宋体"/>
          <w:color w:val="auto"/>
        </w:rPr>
        <w:t>第五章  开标</w:t>
      </w:r>
    </w:p>
    <w:p w14:paraId="01CC6C9C">
      <w:pPr>
        <w:ind w:left="630" w:leftChars="300" w:firstLine="411" w:firstLineChars="196"/>
        <w:outlineLvl w:val="0"/>
        <w:rPr>
          <w:rFonts w:hint="eastAsia" w:ascii="宋体" w:hAnsi="宋体"/>
          <w:color w:val="auto"/>
        </w:rPr>
      </w:pPr>
      <w:r>
        <w:rPr>
          <w:rFonts w:hint="eastAsia" w:ascii="宋体" w:hAnsi="宋体"/>
          <w:color w:val="auto"/>
        </w:rPr>
        <w:t>第六章  评审要求</w:t>
      </w:r>
    </w:p>
    <w:p w14:paraId="3A321686">
      <w:pPr>
        <w:ind w:left="630" w:leftChars="300" w:firstLine="411" w:firstLineChars="196"/>
        <w:outlineLvl w:val="0"/>
        <w:rPr>
          <w:rFonts w:hint="eastAsia" w:ascii="宋体" w:hAnsi="宋体"/>
          <w:color w:val="auto"/>
        </w:rPr>
      </w:pPr>
      <w:r>
        <w:rPr>
          <w:rFonts w:hint="eastAsia" w:ascii="宋体" w:hAnsi="宋体"/>
          <w:color w:val="auto"/>
        </w:rPr>
        <w:t>第七章  评审程序及评审方法</w:t>
      </w:r>
    </w:p>
    <w:p w14:paraId="08AAA41E">
      <w:pPr>
        <w:ind w:left="630" w:leftChars="300" w:firstLine="411" w:firstLineChars="196"/>
        <w:outlineLvl w:val="0"/>
        <w:rPr>
          <w:rFonts w:hint="eastAsia" w:ascii="宋体" w:hAnsi="宋体"/>
          <w:color w:val="auto"/>
        </w:rPr>
      </w:pPr>
      <w:r>
        <w:rPr>
          <w:rFonts w:hint="eastAsia" w:ascii="宋体" w:hAnsi="宋体"/>
          <w:color w:val="auto"/>
        </w:rPr>
        <w:t>第八章  定标及公示</w:t>
      </w:r>
    </w:p>
    <w:p w14:paraId="7CF52326">
      <w:pPr>
        <w:ind w:left="630" w:leftChars="300" w:firstLine="411" w:firstLineChars="196"/>
        <w:outlineLvl w:val="0"/>
        <w:rPr>
          <w:rFonts w:hint="eastAsia" w:ascii="宋体" w:hAnsi="宋体"/>
          <w:color w:val="auto"/>
        </w:rPr>
      </w:pPr>
      <w:r>
        <w:rPr>
          <w:rFonts w:hint="eastAsia" w:ascii="宋体" w:hAnsi="宋体"/>
          <w:color w:val="auto"/>
        </w:rPr>
        <w:t>第九章  公开招标失败的后续处理</w:t>
      </w:r>
    </w:p>
    <w:p w14:paraId="094F456E">
      <w:pPr>
        <w:ind w:left="630" w:leftChars="300" w:firstLine="411" w:firstLineChars="196"/>
        <w:outlineLvl w:val="0"/>
        <w:rPr>
          <w:rFonts w:hint="eastAsia" w:ascii="宋体" w:hAnsi="宋体"/>
          <w:color w:val="auto"/>
        </w:rPr>
      </w:pPr>
      <w:r>
        <w:rPr>
          <w:rFonts w:hint="eastAsia" w:ascii="宋体" w:hAnsi="宋体"/>
          <w:color w:val="auto"/>
        </w:rPr>
        <w:t>第十章  合同的授予与备案</w:t>
      </w:r>
    </w:p>
    <w:p w14:paraId="042CBFF0">
      <w:pPr>
        <w:ind w:left="630" w:leftChars="300" w:firstLine="411" w:firstLineChars="196"/>
        <w:outlineLvl w:val="0"/>
        <w:rPr>
          <w:rFonts w:hint="eastAsia" w:ascii="宋体" w:hAnsi="宋体"/>
          <w:color w:val="auto"/>
        </w:rPr>
      </w:pPr>
      <w:r>
        <w:rPr>
          <w:rFonts w:hint="eastAsia" w:ascii="宋体" w:hAnsi="宋体"/>
          <w:color w:val="auto"/>
        </w:rPr>
        <w:t>第十一章  质疑处理</w:t>
      </w:r>
    </w:p>
    <w:p w14:paraId="144D90FA">
      <w:pPr>
        <w:ind w:firstLine="411" w:firstLineChars="196"/>
        <w:rPr>
          <w:rFonts w:hint="eastAsia" w:ascii="宋体" w:hAnsi="宋体"/>
          <w:color w:val="auto"/>
        </w:rPr>
      </w:pPr>
      <w:r>
        <w:rPr>
          <w:rFonts w:hint="eastAsia" w:ascii="宋体" w:hAnsi="宋体"/>
          <w:color w:val="auto"/>
        </w:rPr>
        <w:t>1</w:t>
      </w:r>
      <w:r>
        <w:rPr>
          <w:rFonts w:ascii="宋体" w:hAnsi="宋体"/>
          <w:color w:val="auto"/>
        </w:rPr>
        <w:t>1</w:t>
      </w:r>
      <w:r>
        <w:rPr>
          <w:rFonts w:hint="eastAsia" w:ascii="宋体" w:hAnsi="宋体"/>
          <w:color w:val="auto"/>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5E5073B7">
      <w:pPr>
        <w:ind w:firstLine="411" w:firstLineChars="196"/>
        <w:rPr>
          <w:rFonts w:hint="eastAsia" w:ascii="宋体" w:hAnsi="宋体"/>
          <w:color w:val="auto"/>
        </w:rPr>
      </w:pPr>
      <w:r>
        <w:rPr>
          <w:rFonts w:hint="eastAsia" w:ascii="宋体" w:hAnsi="宋体"/>
          <w:color w:val="auto"/>
        </w:rPr>
        <w:t>1</w:t>
      </w:r>
      <w:r>
        <w:rPr>
          <w:rFonts w:ascii="宋体" w:hAnsi="宋体"/>
          <w:color w:val="auto"/>
        </w:rPr>
        <w:t>1</w:t>
      </w:r>
      <w:r>
        <w:rPr>
          <w:rFonts w:hint="eastAsia" w:ascii="宋体" w:hAnsi="宋体"/>
          <w:color w:val="auto"/>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157F4A8D">
      <w:pPr>
        <w:rPr>
          <w:rFonts w:hint="eastAsia" w:ascii="黑体" w:hAnsi="宋体" w:eastAsia="黑体"/>
          <w:color w:val="auto"/>
          <w:sz w:val="24"/>
        </w:rPr>
      </w:pPr>
      <w:r>
        <w:rPr>
          <w:rFonts w:hint="eastAsia" w:ascii="黑体" w:hAnsi="宋体" w:eastAsia="黑体"/>
          <w:color w:val="auto"/>
          <w:sz w:val="24"/>
        </w:rPr>
        <w:t>1</w:t>
      </w:r>
      <w:r>
        <w:rPr>
          <w:rFonts w:ascii="黑体" w:hAnsi="宋体" w:eastAsia="黑体"/>
          <w:color w:val="auto"/>
          <w:sz w:val="24"/>
        </w:rPr>
        <w:t>2</w:t>
      </w:r>
      <w:r>
        <w:rPr>
          <w:rFonts w:hint="eastAsia" w:ascii="黑体" w:hAnsi="宋体" w:eastAsia="黑体"/>
          <w:color w:val="auto"/>
          <w:sz w:val="24"/>
        </w:rPr>
        <w:t>．招标文件的澄清</w:t>
      </w:r>
    </w:p>
    <w:p w14:paraId="3882A829">
      <w:pPr>
        <w:ind w:firstLine="411" w:firstLineChars="196"/>
        <w:rPr>
          <w:rFonts w:hint="eastAsia" w:ascii="宋体" w:hAnsi="宋体"/>
          <w:color w:val="auto"/>
        </w:rPr>
      </w:pPr>
      <w:r>
        <w:rPr>
          <w:rFonts w:hint="eastAsia" w:ascii="宋体" w:hAnsi="宋体"/>
          <w:color w:val="auto"/>
        </w:rPr>
        <w:t>1</w:t>
      </w:r>
      <w:r>
        <w:rPr>
          <w:rFonts w:ascii="宋体" w:hAnsi="宋体"/>
          <w:color w:val="auto"/>
        </w:rPr>
        <w:t>2</w:t>
      </w:r>
      <w:r>
        <w:rPr>
          <w:rFonts w:hint="eastAsia" w:ascii="宋体" w:hAnsi="宋体"/>
          <w:color w:val="auto"/>
        </w:rPr>
        <w:t>.1招标文件澄清的目的是澄清、解答投标人在查阅招标文件后或现场踏勘中可能提出的与投标有关的疑问或询问。</w:t>
      </w:r>
    </w:p>
    <w:p w14:paraId="0B18F97B">
      <w:pPr>
        <w:ind w:firstLine="411" w:firstLineChars="196"/>
        <w:rPr>
          <w:rFonts w:hint="eastAsia" w:ascii="宋体" w:hAnsi="宋体"/>
          <w:color w:val="auto"/>
        </w:rPr>
      </w:pPr>
      <w:r>
        <w:rPr>
          <w:rFonts w:hint="eastAsia" w:ascii="宋体" w:hAnsi="宋体"/>
          <w:color w:val="auto"/>
        </w:rPr>
        <w:t>1</w:t>
      </w:r>
      <w:r>
        <w:rPr>
          <w:rFonts w:ascii="宋体" w:hAnsi="宋体"/>
          <w:color w:val="auto"/>
        </w:rPr>
        <w:t>2</w:t>
      </w:r>
      <w:r>
        <w:rPr>
          <w:rFonts w:hint="eastAsia" w:ascii="宋体" w:hAnsi="宋体"/>
          <w:color w:val="auto"/>
        </w:rPr>
        <w:t>.2投标人如对招标文件内容有疑问，应当在招标公告规定的澄清（提问）截止时间前以</w:t>
      </w:r>
      <w:r>
        <w:rPr>
          <w:rFonts w:hint="eastAsia" w:ascii="宋体" w:hAnsi="宋体"/>
          <w:b/>
          <w:bCs/>
          <w:color w:val="auto"/>
        </w:rPr>
        <w:t>书面提问的形式</w:t>
      </w:r>
      <w:r>
        <w:rPr>
          <w:rFonts w:hint="eastAsia" w:ascii="宋体" w:hAnsi="宋体"/>
          <w:color w:val="auto"/>
        </w:rPr>
        <w:t>提交政府集中采购机构。</w:t>
      </w:r>
    </w:p>
    <w:p w14:paraId="39CA6995">
      <w:pPr>
        <w:ind w:firstLine="411" w:firstLineChars="196"/>
        <w:rPr>
          <w:rFonts w:hint="eastAsia" w:ascii="宋体" w:hAnsi="宋体"/>
          <w:color w:val="auto"/>
        </w:rPr>
      </w:pPr>
      <w:r>
        <w:rPr>
          <w:rFonts w:hint="eastAsia" w:ascii="宋体" w:hAnsi="宋体"/>
          <w:color w:val="auto"/>
        </w:rPr>
        <w:t>1</w:t>
      </w:r>
      <w:r>
        <w:rPr>
          <w:rFonts w:ascii="宋体" w:hAnsi="宋体"/>
          <w:color w:val="auto"/>
        </w:rPr>
        <w:t>2</w:t>
      </w:r>
      <w:r>
        <w:rPr>
          <w:rFonts w:hint="eastAsia" w:ascii="宋体" w:hAnsi="宋体"/>
          <w:color w:val="auto"/>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color w:val="auto"/>
        </w:rPr>
        <w:t>3.3</w:t>
      </w:r>
      <w:r>
        <w:rPr>
          <w:rFonts w:hint="eastAsia" w:ascii="宋体" w:hAnsi="宋体"/>
          <w:color w:val="auto"/>
        </w:rPr>
        <w:t>、1</w:t>
      </w:r>
      <w:r>
        <w:rPr>
          <w:rFonts w:ascii="宋体" w:hAnsi="宋体"/>
          <w:color w:val="auto"/>
        </w:rPr>
        <w:t>3.4</w:t>
      </w:r>
      <w:r>
        <w:rPr>
          <w:rFonts w:hint="eastAsia" w:ascii="宋体" w:hAnsi="宋体"/>
          <w:color w:val="auto"/>
        </w:rPr>
        <w:t>款规定执行。</w:t>
      </w:r>
    </w:p>
    <w:p w14:paraId="0CCBB399">
      <w:pPr>
        <w:rPr>
          <w:rFonts w:hint="eastAsia" w:ascii="黑体" w:hAnsi="宋体" w:eastAsia="黑体"/>
          <w:color w:val="auto"/>
          <w:sz w:val="24"/>
        </w:rPr>
      </w:pPr>
      <w:r>
        <w:rPr>
          <w:rFonts w:ascii="黑体" w:hAnsi="宋体" w:eastAsia="黑体"/>
          <w:color w:val="auto"/>
          <w:sz w:val="24"/>
        </w:rPr>
        <w:t>1</w:t>
      </w:r>
      <w:r>
        <w:rPr>
          <w:rFonts w:hint="eastAsia" w:ascii="黑体" w:hAnsi="宋体" w:eastAsia="黑体"/>
          <w:color w:val="auto"/>
          <w:sz w:val="24"/>
        </w:rPr>
        <w:t>3．招标文件的修改</w:t>
      </w:r>
    </w:p>
    <w:p w14:paraId="5661E5A2">
      <w:pPr>
        <w:ind w:firstLine="411" w:firstLineChars="196"/>
        <w:rPr>
          <w:rFonts w:hint="eastAsia" w:ascii="宋体" w:hAnsi="宋体"/>
          <w:color w:val="auto"/>
        </w:rPr>
      </w:pPr>
      <w:r>
        <w:rPr>
          <w:rFonts w:ascii="宋体" w:hAnsi="宋体"/>
          <w:color w:val="auto"/>
        </w:rPr>
        <w:t>1</w:t>
      </w:r>
      <w:r>
        <w:rPr>
          <w:rFonts w:hint="eastAsia" w:ascii="宋体" w:hAnsi="宋体"/>
          <w:color w:val="auto"/>
        </w:rPr>
        <w:t>3.1招标文件发出后，在投标截止日期前任何时候，确需要变更招标文件内容的，政府集中采购机构可主动或在解答投标人提出的澄清问题时对招标文件进行修改。</w:t>
      </w:r>
    </w:p>
    <w:p w14:paraId="4781641A">
      <w:pPr>
        <w:ind w:firstLine="411" w:firstLineChars="196"/>
        <w:rPr>
          <w:rFonts w:hint="eastAsia" w:ascii="宋体" w:hAnsi="宋体"/>
          <w:color w:val="auto"/>
        </w:rPr>
      </w:pPr>
      <w:r>
        <w:rPr>
          <w:rFonts w:ascii="宋体" w:hAnsi="宋体"/>
          <w:color w:val="auto"/>
        </w:rPr>
        <w:t>1</w:t>
      </w:r>
      <w:r>
        <w:rPr>
          <w:rFonts w:hint="eastAsia" w:ascii="宋体" w:hAnsi="宋体"/>
          <w:color w:val="auto"/>
        </w:rPr>
        <w:t>3.2招标文件的修改以书面形式（包括政府集中采购机构网站发布方式，如更正公告等）发送给所有投标人，招标文件的修改内容作为招标文件的组成部分，并具有约束力。</w:t>
      </w:r>
    </w:p>
    <w:p w14:paraId="7E624E36">
      <w:pPr>
        <w:ind w:firstLine="411" w:firstLineChars="196"/>
        <w:rPr>
          <w:rFonts w:hint="eastAsia" w:ascii="宋体" w:hAnsi="宋体"/>
          <w:color w:val="auto"/>
        </w:rPr>
      </w:pPr>
      <w:r>
        <w:rPr>
          <w:rFonts w:ascii="宋体" w:hAnsi="宋体"/>
          <w:color w:val="auto"/>
        </w:rPr>
        <w:t>1</w:t>
      </w:r>
      <w:r>
        <w:rPr>
          <w:rFonts w:hint="eastAsia" w:ascii="宋体" w:hAnsi="宋体"/>
          <w:color w:val="auto"/>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1F1A8441">
      <w:pPr>
        <w:ind w:firstLine="411" w:firstLineChars="196"/>
        <w:rPr>
          <w:rFonts w:hint="eastAsia" w:ascii="宋体" w:hAnsi="宋体"/>
          <w:color w:val="auto"/>
        </w:rPr>
      </w:pPr>
      <w:r>
        <w:rPr>
          <w:rFonts w:ascii="宋体" w:hAnsi="宋体"/>
          <w:color w:val="auto"/>
        </w:rPr>
        <w:t>1</w:t>
      </w:r>
      <w:r>
        <w:rPr>
          <w:rFonts w:hint="eastAsia" w:ascii="宋体" w:hAnsi="宋体"/>
          <w:color w:val="auto"/>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108"/>
    </w:p>
    <w:p w14:paraId="78D5203E">
      <w:pPr>
        <w:pStyle w:val="7"/>
        <w:tabs>
          <w:tab w:val="left" w:pos="360"/>
        </w:tabs>
        <w:spacing w:before="156" w:beforeLines="50" w:after="156" w:afterLines="50"/>
        <w:ind w:firstLine="2530" w:firstLineChars="900"/>
        <w:jc w:val="both"/>
        <w:rPr>
          <w:color w:val="auto"/>
          <w:sz w:val="28"/>
          <w:szCs w:val="28"/>
        </w:rPr>
      </w:pPr>
      <w:r>
        <w:rPr>
          <w:rFonts w:hint="eastAsia"/>
          <w:color w:val="auto"/>
          <w:sz w:val="28"/>
          <w:szCs w:val="28"/>
        </w:rPr>
        <w:t>第三章  投标文件的编制</w:t>
      </w:r>
    </w:p>
    <w:p w14:paraId="697FF7A1">
      <w:pPr>
        <w:rPr>
          <w:rFonts w:hint="eastAsia" w:ascii="黑体" w:hAnsi="宋体" w:eastAsia="黑体"/>
          <w:color w:val="auto"/>
          <w:sz w:val="24"/>
        </w:rPr>
      </w:pPr>
      <w:r>
        <w:rPr>
          <w:rFonts w:hint="eastAsia" w:ascii="黑体" w:hAnsi="宋体" w:eastAsia="黑体"/>
          <w:color w:val="auto"/>
          <w:sz w:val="24"/>
        </w:rPr>
        <w:t>14．</w:t>
      </w:r>
      <w:bookmarkStart w:id="109" w:name="_Hlk72400236"/>
      <w:r>
        <w:rPr>
          <w:rFonts w:hint="eastAsia" w:ascii="黑体" w:hAnsi="宋体" w:eastAsia="黑体"/>
          <w:color w:val="auto"/>
          <w:sz w:val="24"/>
        </w:rPr>
        <w:t>投标文件的语言及度量单位</w:t>
      </w:r>
    </w:p>
    <w:p w14:paraId="0BF64D92">
      <w:pPr>
        <w:ind w:firstLine="411" w:firstLineChars="196"/>
        <w:rPr>
          <w:rFonts w:hint="eastAsia" w:ascii="宋体" w:hAnsi="宋体"/>
          <w:color w:val="auto"/>
        </w:rPr>
      </w:pPr>
      <w:r>
        <w:rPr>
          <w:rFonts w:hint="eastAsia" w:ascii="宋体" w:hAnsi="宋体"/>
          <w:color w:val="auto"/>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3CE7A245">
      <w:pPr>
        <w:ind w:firstLine="411" w:firstLineChars="196"/>
        <w:rPr>
          <w:rFonts w:hint="eastAsia" w:ascii="宋体" w:hAnsi="宋体"/>
          <w:color w:val="auto"/>
        </w:rPr>
      </w:pPr>
      <w:r>
        <w:rPr>
          <w:rFonts w:hint="eastAsia" w:ascii="宋体" w:hAnsi="宋体"/>
          <w:color w:val="auto"/>
        </w:rPr>
        <w:t>14.2 除技术规范另有规定外，投标文件使用的度量单位，均采用中华人民共和国法定计量单位。</w:t>
      </w:r>
    </w:p>
    <w:bookmarkEnd w:id="109"/>
    <w:p w14:paraId="69DAB3DD">
      <w:pPr>
        <w:rPr>
          <w:rFonts w:hint="eastAsia" w:ascii="黑体" w:hAnsi="宋体" w:eastAsia="黑体"/>
          <w:color w:val="auto"/>
          <w:sz w:val="24"/>
        </w:rPr>
      </w:pPr>
      <w:r>
        <w:rPr>
          <w:rFonts w:hint="eastAsia" w:ascii="黑体" w:hAnsi="宋体" w:eastAsia="黑体"/>
          <w:color w:val="auto"/>
          <w:sz w:val="24"/>
        </w:rPr>
        <w:t>15．</w:t>
      </w:r>
      <w:bookmarkStart w:id="110" w:name="_Hlk72401567"/>
      <w:r>
        <w:rPr>
          <w:rFonts w:hint="eastAsia" w:ascii="黑体" w:hAnsi="宋体" w:eastAsia="黑体"/>
          <w:color w:val="auto"/>
          <w:sz w:val="24"/>
        </w:rPr>
        <w:t>投标文件的组成</w:t>
      </w:r>
    </w:p>
    <w:p w14:paraId="6473EB44">
      <w:pPr>
        <w:ind w:firstLine="411" w:firstLineChars="196"/>
        <w:rPr>
          <w:rFonts w:hint="eastAsia" w:ascii="宋体" w:hAnsi="宋体"/>
          <w:color w:val="auto"/>
        </w:rPr>
      </w:pPr>
      <w:r>
        <w:rPr>
          <w:rFonts w:hint="eastAsia" w:ascii="宋体" w:hAnsi="宋体"/>
          <w:color w:val="auto"/>
        </w:rPr>
        <w:t>具体内容在招标文件专用条款中进行规定。</w:t>
      </w:r>
    </w:p>
    <w:p w14:paraId="6A62B93E">
      <w:pPr>
        <w:rPr>
          <w:rFonts w:hint="eastAsia" w:ascii="黑体" w:hAnsi="宋体" w:eastAsia="黑体"/>
          <w:color w:val="auto"/>
          <w:sz w:val="24"/>
        </w:rPr>
      </w:pPr>
      <w:r>
        <w:rPr>
          <w:rFonts w:ascii="黑体" w:hAnsi="宋体" w:eastAsia="黑体"/>
          <w:color w:val="auto"/>
          <w:sz w:val="24"/>
        </w:rPr>
        <w:t>16．投标文件格式</w:t>
      </w:r>
    </w:p>
    <w:p w14:paraId="669B37AC">
      <w:pPr>
        <w:ind w:firstLine="411" w:firstLineChars="196"/>
        <w:rPr>
          <w:rFonts w:hint="eastAsia" w:ascii="宋体" w:hAnsi="宋体"/>
          <w:color w:val="auto"/>
        </w:rPr>
      </w:pPr>
      <w:r>
        <w:rPr>
          <w:rFonts w:hint="eastAsia" w:ascii="宋体" w:hAnsi="宋体"/>
          <w:color w:val="auto"/>
        </w:rPr>
        <w:t>投标文件包括本通用条款第</w:t>
      </w:r>
      <w:r>
        <w:rPr>
          <w:rFonts w:ascii="宋体" w:hAnsi="宋体"/>
          <w:color w:val="auto"/>
        </w:rPr>
        <w:t>15条中规定的内容。如</w:t>
      </w:r>
      <w:r>
        <w:rPr>
          <w:rFonts w:ascii="宋体" w:hAnsi="宋体"/>
          <w:b/>
          <w:bCs/>
          <w:color w:val="auto"/>
        </w:rPr>
        <w:t>招标文件提供了投标文件格式，则</w:t>
      </w:r>
      <w:r>
        <w:rPr>
          <w:rFonts w:hint="eastAsia" w:ascii="宋体" w:hAnsi="宋体"/>
          <w:b/>
          <w:bCs/>
          <w:color w:val="auto"/>
        </w:rPr>
        <w:t>投标人提交的投标文件应毫无例外地使用招标文件所提供的相应格式</w:t>
      </w:r>
      <w:r>
        <w:rPr>
          <w:rFonts w:hint="eastAsia" w:ascii="宋体" w:hAnsi="宋体"/>
          <w:color w:val="auto"/>
        </w:rPr>
        <w:t>（表格均可按同样格式扩展）。</w:t>
      </w:r>
    </w:p>
    <w:p w14:paraId="265397F4">
      <w:pPr>
        <w:rPr>
          <w:rFonts w:hint="eastAsia" w:ascii="黑体" w:hAnsi="宋体" w:eastAsia="黑体"/>
          <w:color w:val="auto"/>
          <w:sz w:val="24"/>
        </w:rPr>
      </w:pPr>
      <w:r>
        <w:rPr>
          <w:rFonts w:hint="eastAsia" w:ascii="黑体" w:hAnsi="宋体" w:eastAsia="黑体"/>
          <w:color w:val="auto"/>
          <w:sz w:val="24"/>
        </w:rPr>
        <w:t>17．投标货币</w:t>
      </w:r>
    </w:p>
    <w:p w14:paraId="07B45DA8">
      <w:pPr>
        <w:ind w:firstLine="411" w:firstLineChars="196"/>
        <w:rPr>
          <w:rFonts w:hint="eastAsia" w:ascii="宋体" w:hAnsi="宋体"/>
          <w:color w:val="auto"/>
        </w:rPr>
      </w:pPr>
      <w:r>
        <w:rPr>
          <w:rFonts w:hint="eastAsia" w:ascii="宋体" w:hAnsi="宋体"/>
          <w:color w:val="auto"/>
        </w:rPr>
        <w:t>本项目的投标报价应以人民币计。</w:t>
      </w:r>
    </w:p>
    <w:bookmarkEnd w:id="110"/>
    <w:p w14:paraId="31F4F4F0">
      <w:pPr>
        <w:rPr>
          <w:rFonts w:hint="eastAsia" w:ascii="黑体" w:hAnsi="宋体" w:eastAsia="黑体"/>
          <w:color w:val="auto"/>
          <w:sz w:val="24"/>
        </w:rPr>
      </w:pPr>
      <w:r>
        <w:rPr>
          <w:rFonts w:hint="eastAsia" w:ascii="黑体" w:hAnsi="宋体" w:eastAsia="黑体"/>
          <w:color w:val="auto"/>
          <w:sz w:val="24"/>
        </w:rPr>
        <w:t>18．</w:t>
      </w:r>
      <w:bookmarkStart w:id="111" w:name="_Hlk72401735"/>
      <w:r>
        <w:rPr>
          <w:rFonts w:hint="eastAsia" w:ascii="黑体" w:hAnsi="宋体" w:eastAsia="黑体"/>
          <w:color w:val="auto"/>
          <w:sz w:val="24"/>
        </w:rPr>
        <w:t>证明投标文件投标技术方案的合格性和符合招标文件规定的文件要求</w:t>
      </w:r>
    </w:p>
    <w:p w14:paraId="703A3836">
      <w:pPr>
        <w:ind w:firstLine="411" w:firstLineChars="196"/>
        <w:rPr>
          <w:rFonts w:hint="eastAsia" w:ascii="宋体" w:hAnsi="宋体"/>
          <w:color w:val="auto"/>
        </w:rPr>
      </w:pPr>
      <w:r>
        <w:rPr>
          <w:rFonts w:hint="eastAsia" w:ascii="宋体" w:hAnsi="宋体"/>
          <w:color w:val="auto"/>
        </w:rPr>
        <w:t>18</w:t>
      </w:r>
      <w:r>
        <w:rPr>
          <w:rFonts w:ascii="宋体" w:hAnsi="宋体"/>
          <w:color w:val="auto"/>
        </w:rPr>
        <w:t xml:space="preserve">.1 </w:t>
      </w:r>
      <w:r>
        <w:rPr>
          <w:rFonts w:hint="eastAsia" w:ascii="宋体" w:hAnsi="宋体"/>
          <w:color w:val="auto"/>
        </w:rPr>
        <w:t>投标人应提交证明文件，证明其投标技术方案项下的货物和服务的合格性符合招标文件规定。该投标技术方案及其证明文件均作为投标文件组成部分。</w:t>
      </w:r>
    </w:p>
    <w:p w14:paraId="542E97DA">
      <w:pPr>
        <w:ind w:firstLine="411" w:firstLineChars="196"/>
        <w:rPr>
          <w:rFonts w:hint="eastAsia" w:ascii="宋体" w:hAnsi="宋体"/>
          <w:color w:val="auto"/>
        </w:rPr>
      </w:pPr>
      <w:r>
        <w:rPr>
          <w:rFonts w:ascii="宋体" w:hAnsi="宋体"/>
          <w:color w:val="auto"/>
        </w:rPr>
        <w:t>1</w:t>
      </w:r>
      <w:r>
        <w:rPr>
          <w:rFonts w:hint="eastAsia" w:ascii="宋体" w:hAnsi="宋体"/>
          <w:color w:val="auto"/>
        </w:rPr>
        <w:t>8</w:t>
      </w:r>
      <w:r>
        <w:rPr>
          <w:rFonts w:ascii="宋体" w:hAnsi="宋体"/>
          <w:color w:val="auto"/>
        </w:rPr>
        <w:t xml:space="preserve">.2 </w:t>
      </w:r>
      <w:r>
        <w:rPr>
          <w:rFonts w:hint="eastAsia" w:ascii="宋体" w:hAnsi="宋体"/>
          <w:color w:val="auto"/>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0E1EA691">
      <w:pPr>
        <w:ind w:firstLine="411" w:firstLineChars="196"/>
        <w:rPr>
          <w:rFonts w:hint="eastAsia" w:ascii="宋体" w:hAnsi="宋体"/>
          <w:color w:val="auto"/>
        </w:rPr>
      </w:pPr>
      <w:r>
        <w:rPr>
          <w:rFonts w:hint="eastAsia" w:ascii="宋体" w:hAnsi="宋体"/>
          <w:color w:val="auto"/>
        </w:rPr>
        <w:t>18.2.1主要技术指标和性能的详细说明。</w:t>
      </w:r>
    </w:p>
    <w:p w14:paraId="349718DC">
      <w:pPr>
        <w:ind w:firstLine="411" w:firstLineChars="196"/>
        <w:rPr>
          <w:rFonts w:hint="eastAsia" w:ascii="宋体" w:hAnsi="宋体"/>
          <w:color w:val="auto"/>
        </w:rPr>
      </w:pPr>
      <w:r>
        <w:rPr>
          <w:rFonts w:hint="eastAsia" w:ascii="宋体" w:hAnsi="宋体"/>
          <w:color w:val="auto"/>
        </w:rPr>
        <w:t>18.2.</w:t>
      </w:r>
      <w:r>
        <w:rPr>
          <w:rFonts w:ascii="宋体" w:hAnsi="宋体"/>
          <w:color w:val="auto"/>
        </w:rPr>
        <w:t>2</w:t>
      </w:r>
      <w:r>
        <w:rPr>
          <w:rFonts w:hint="eastAsia" w:ascii="宋体" w:hAnsi="宋体"/>
          <w:color w:val="auto"/>
        </w:rPr>
        <w:t>投标产品从采购人开始使用至招标文件中规定的周期内正常、连续地使用所必须的备件和专用工具清单，包括备件和专用工具的货源及现行价格。</w:t>
      </w:r>
    </w:p>
    <w:p w14:paraId="1C0BE103">
      <w:pPr>
        <w:ind w:firstLine="411" w:firstLineChars="196"/>
        <w:rPr>
          <w:rFonts w:hint="eastAsia" w:ascii="宋体" w:hAnsi="宋体"/>
          <w:color w:val="auto"/>
        </w:rPr>
      </w:pPr>
      <w:r>
        <w:rPr>
          <w:rFonts w:hint="eastAsia" w:ascii="宋体" w:hAnsi="宋体"/>
          <w:color w:val="auto"/>
        </w:rPr>
        <w:t>18.2.</w:t>
      </w:r>
      <w:r>
        <w:rPr>
          <w:rFonts w:ascii="宋体" w:hAnsi="宋体"/>
          <w:color w:val="auto"/>
        </w:rPr>
        <w:t>3</w:t>
      </w:r>
      <w:r>
        <w:rPr>
          <w:rFonts w:hint="eastAsia" w:ascii="宋体" w:hAnsi="宋体"/>
          <w:color w:val="auto"/>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3D831C70">
      <w:pPr>
        <w:ind w:firstLine="411" w:firstLineChars="196"/>
        <w:rPr>
          <w:rFonts w:hint="eastAsia" w:ascii="宋体" w:hAnsi="宋体"/>
          <w:color w:val="auto"/>
        </w:rPr>
      </w:pPr>
      <w:r>
        <w:rPr>
          <w:rFonts w:hint="eastAsia" w:ascii="宋体" w:hAnsi="宋体"/>
          <w:color w:val="auto"/>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color w:val="auto"/>
        </w:rPr>
        <w:t>清晰度要求能够使用电脑阅读、识别和判断</w:t>
      </w:r>
      <w:r>
        <w:rPr>
          <w:rFonts w:hint="eastAsia" w:ascii="宋体" w:hAnsi="宋体"/>
          <w:color w:val="auto"/>
        </w:rPr>
        <w:t>；</w:t>
      </w:r>
    </w:p>
    <w:p w14:paraId="454806CA">
      <w:pPr>
        <w:ind w:firstLine="411" w:firstLineChars="196"/>
        <w:rPr>
          <w:rFonts w:hint="eastAsia" w:ascii="宋体" w:hAnsi="宋体"/>
          <w:color w:val="auto"/>
        </w:rPr>
      </w:pPr>
      <w:r>
        <w:rPr>
          <w:rFonts w:hint="eastAsia" w:ascii="宋体" w:hAnsi="宋体"/>
          <w:color w:val="auto"/>
        </w:rPr>
        <w:t>18.2.5我国政府机构出具的产品检验和核准证件应为证件正面、背面和附件标注的全部具体内容；产品检验和核准证件的尺寸和清晰度应该能够在电脑上被阅读、识别和判断，提供原件扫描件。</w:t>
      </w:r>
    </w:p>
    <w:p w14:paraId="703AD757">
      <w:pPr>
        <w:ind w:firstLine="411" w:firstLineChars="196"/>
        <w:rPr>
          <w:rFonts w:hint="eastAsia" w:ascii="宋体" w:hAnsi="宋体"/>
          <w:color w:val="auto"/>
        </w:rPr>
      </w:pPr>
      <w:r>
        <w:rPr>
          <w:rFonts w:hint="eastAsia" w:ascii="宋体" w:hAnsi="宋体"/>
          <w:color w:val="auto"/>
        </w:rPr>
        <w:t>18.3相关资料不符合18.2款要求的，评审委员会有权认定为投标技术方案不合格响应，其相关分数予以扣减或作投标无效处理。</w:t>
      </w:r>
    </w:p>
    <w:p w14:paraId="048332E7">
      <w:pPr>
        <w:ind w:firstLine="411" w:firstLineChars="196"/>
        <w:rPr>
          <w:rFonts w:hint="eastAsia" w:ascii="宋体" w:hAnsi="宋体"/>
          <w:color w:val="auto"/>
        </w:rPr>
      </w:pPr>
      <w:r>
        <w:rPr>
          <w:rFonts w:ascii="宋体" w:hAnsi="宋体"/>
          <w:color w:val="auto"/>
        </w:rPr>
        <w:t>1</w:t>
      </w:r>
      <w:r>
        <w:rPr>
          <w:rFonts w:hint="eastAsia" w:ascii="宋体" w:hAnsi="宋体"/>
          <w:color w:val="auto"/>
        </w:rPr>
        <w:t>8</w:t>
      </w:r>
      <w:r>
        <w:rPr>
          <w:rFonts w:ascii="宋体" w:hAnsi="宋体"/>
          <w:color w:val="auto"/>
        </w:rPr>
        <w:t>.</w:t>
      </w:r>
      <w:r>
        <w:rPr>
          <w:rFonts w:hint="eastAsia" w:ascii="宋体" w:hAnsi="宋体"/>
          <w:color w:val="auto"/>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color w:val="auto"/>
        </w:rPr>
        <w:t>满足要求</w:t>
      </w:r>
      <w:r>
        <w:rPr>
          <w:rFonts w:hint="eastAsia" w:ascii="宋体" w:hAnsi="宋体"/>
          <w:color w:val="auto"/>
        </w:rPr>
        <w:t>，由评审委员会来评判。</w:t>
      </w:r>
    </w:p>
    <w:p w14:paraId="600AD370">
      <w:pPr>
        <w:ind w:firstLine="411" w:firstLineChars="196"/>
        <w:rPr>
          <w:rFonts w:hint="eastAsia" w:ascii="宋体" w:hAnsi="宋体"/>
          <w:color w:val="auto"/>
        </w:rPr>
      </w:pPr>
      <w:r>
        <w:rPr>
          <w:rFonts w:hint="eastAsia" w:ascii="宋体" w:hAnsi="宋体"/>
          <w:color w:val="auto"/>
        </w:rPr>
        <w:t>18.5除非另有规定或说明，投标人对同一项目投标时，不得同时提供两套或两套以上的投标方案。</w:t>
      </w:r>
    </w:p>
    <w:bookmarkEnd w:id="111"/>
    <w:p w14:paraId="4401CDED">
      <w:pPr>
        <w:rPr>
          <w:rFonts w:hint="eastAsia" w:ascii="黑体" w:hAnsi="宋体" w:eastAsia="黑体"/>
          <w:color w:val="auto"/>
          <w:sz w:val="24"/>
        </w:rPr>
      </w:pPr>
      <w:r>
        <w:rPr>
          <w:rFonts w:hint="eastAsia" w:ascii="黑体" w:hAnsi="宋体" w:eastAsia="黑体"/>
          <w:color w:val="auto"/>
          <w:sz w:val="24"/>
        </w:rPr>
        <w:t>19．</w:t>
      </w:r>
      <w:bookmarkStart w:id="112" w:name="_Hlk72402034"/>
      <w:r>
        <w:rPr>
          <w:rFonts w:hint="eastAsia" w:ascii="黑体" w:hAnsi="宋体" w:eastAsia="黑体"/>
          <w:color w:val="auto"/>
          <w:sz w:val="24"/>
        </w:rPr>
        <w:t>投标文件其他证明文件的要求</w:t>
      </w:r>
    </w:p>
    <w:p w14:paraId="212C6A12">
      <w:pPr>
        <w:ind w:firstLine="420" w:firstLineChars="200"/>
        <w:rPr>
          <w:rFonts w:hint="eastAsia" w:ascii="宋体" w:hAnsi="宋体"/>
          <w:color w:val="auto"/>
        </w:rPr>
      </w:pPr>
      <w:r>
        <w:rPr>
          <w:rFonts w:hint="eastAsia" w:ascii="宋体" w:hAnsi="宋体"/>
          <w:color w:val="auto"/>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13" w:name="_Hlk71407299"/>
    </w:p>
    <w:bookmarkEnd w:id="113"/>
    <w:p w14:paraId="64136B7C">
      <w:pPr>
        <w:ind w:firstLine="411" w:firstLineChars="196"/>
        <w:rPr>
          <w:rFonts w:hint="eastAsia" w:ascii="宋体" w:hAnsi="宋体"/>
          <w:color w:val="auto"/>
        </w:rPr>
      </w:pPr>
      <w:r>
        <w:rPr>
          <w:rFonts w:hint="eastAsia" w:ascii="宋体" w:hAnsi="宋体"/>
          <w:color w:val="auto"/>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123E6484">
      <w:pPr>
        <w:rPr>
          <w:rFonts w:hint="eastAsia" w:ascii="黑体" w:hAnsi="宋体" w:eastAsia="黑体"/>
          <w:color w:val="auto"/>
          <w:sz w:val="24"/>
        </w:rPr>
      </w:pPr>
      <w:r>
        <w:rPr>
          <w:rFonts w:hint="eastAsia" w:ascii="黑体" w:hAnsi="宋体" w:eastAsia="黑体"/>
          <w:color w:val="auto"/>
          <w:sz w:val="24"/>
        </w:rPr>
        <w:t>20．投标有效期</w:t>
      </w:r>
    </w:p>
    <w:bookmarkEnd w:id="112"/>
    <w:p w14:paraId="5CE8B3B3">
      <w:pPr>
        <w:ind w:firstLine="411" w:firstLineChars="196"/>
        <w:rPr>
          <w:rFonts w:hint="eastAsia" w:ascii="宋体" w:hAnsi="宋体"/>
          <w:color w:val="auto"/>
        </w:rPr>
      </w:pPr>
      <w:bookmarkStart w:id="114" w:name="_Hlk72402214"/>
      <w:r>
        <w:rPr>
          <w:rFonts w:hint="eastAsia" w:ascii="宋体" w:hAnsi="宋体"/>
          <w:color w:val="auto"/>
        </w:rPr>
        <w:t>20.1 投标有效期为</w:t>
      </w:r>
      <w:r>
        <w:rPr>
          <w:rFonts w:hint="eastAsia" w:ascii="Arial" w:hAnsi="Arial" w:cs="Arial"/>
          <w:color w:val="auto"/>
        </w:rPr>
        <w:t>从投标截止之日算起的日历天数。</w:t>
      </w:r>
      <w:r>
        <w:rPr>
          <w:rFonts w:hint="eastAsia" w:ascii="宋体" w:hAnsi="宋体"/>
          <w:color w:val="auto"/>
        </w:rPr>
        <w:t>在此期限内，所有投标文件均保持有效。</w:t>
      </w:r>
    </w:p>
    <w:p w14:paraId="055B27CA">
      <w:pPr>
        <w:ind w:firstLine="411" w:firstLineChars="196"/>
        <w:rPr>
          <w:rFonts w:hint="eastAsia" w:ascii="宋体" w:hAnsi="宋体"/>
          <w:color w:val="auto"/>
        </w:rPr>
      </w:pPr>
      <w:r>
        <w:rPr>
          <w:rFonts w:hint="eastAsia" w:ascii="宋体" w:hAnsi="宋体"/>
          <w:color w:val="auto"/>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5826778F">
      <w:pPr>
        <w:ind w:firstLine="411" w:firstLineChars="196"/>
        <w:rPr>
          <w:rFonts w:hint="eastAsia" w:ascii="宋体" w:hAnsi="宋体"/>
          <w:color w:val="auto"/>
        </w:rPr>
      </w:pPr>
      <w:r>
        <w:rPr>
          <w:rFonts w:hint="eastAsia" w:ascii="宋体" w:hAnsi="宋体"/>
          <w:color w:val="auto"/>
        </w:rPr>
        <w:t>20</w:t>
      </w:r>
      <w:r>
        <w:rPr>
          <w:rFonts w:ascii="宋体" w:hAnsi="宋体"/>
          <w:color w:val="auto"/>
        </w:rPr>
        <w:t>.3</w:t>
      </w:r>
      <w:r>
        <w:rPr>
          <w:rFonts w:hint="eastAsia" w:ascii="宋体" w:hAnsi="宋体"/>
          <w:color w:val="auto"/>
        </w:rPr>
        <w:t xml:space="preserve"> 中标供应商的投标文件有效期，截止于完成本招标文件规定的全部项目内容，并通过竣工验收及保修期结束。</w:t>
      </w:r>
    </w:p>
    <w:bookmarkEnd w:id="114"/>
    <w:p w14:paraId="6C04FB4C">
      <w:pPr>
        <w:rPr>
          <w:rFonts w:hint="eastAsia" w:ascii="黑体" w:hAnsi="宋体" w:eastAsia="黑体"/>
          <w:color w:val="auto"/>
          <w:sz w:val="24"/>
        </w:rPr>
      </w:pPr>
      <w:r>
        <w:rPr>
          <w:rFonts w:hint="eastAsia" w:ascii="黑体" w:hAnsi="宋体" w:eastAsia="黑体"/>
          <w:color w:val="auto"/>
          <w:sz w:val="24"/>
        </w:rPr>
        <w:t>21．</w:t>
      </w:r>
      <w:bookmarkStart w:id="115" w:name="_Hlk72402325"/>
      <w:r>
        <w:rPr>
          <w:rFonts w:hint="eastAsia" w:ascii="黑体" w:hAnsi="宋体" w:eastAsia="黑体"/>
          <w:color w:val="auto"/>
          <w:sz w:val="24"/>
        </w:rPr>
        <w:t xml:space="preserve">关于投标保证金 </w:t>
      </w:r>
    </w:p>
    <w:p w14:paraId="209043B1">
      <w:pPr>
        <w:ind w:firstLine="411" w:firstLineChars="196"/>
        <w:rPr>
          <w:color w:val="auto"/>
        </w:rPr>
      </w:pPr>
      <w:r>
        <w:rPr>
          <w:rFonts w:hint="eastAsia" w:ascii="宋体" w:hAnsi="宋体"/>
          <w:color w:val="auto"/>
        </w:rPr>
        <w:t xml:space="preserve"> 21.1 </w:t>
      </w:r>
      <w:r>
        <w:rPr>
          <w:rFonts w:hint="eastAsia"/>
          <w:color w:val="auto"/>
        </w:rPr>
        <w:t>根据第一册专用条款中的规定，足额缴纳。供应商有下列情形之一的，磋商保证金不予退还：</w:t>
      </w:r>
    </w:p>
    <w:p w14:paraId="4062FE84">
      <w:pPr>
        <w:ind w:firstLine="411" w:firstLineChars="196"/>
        <w:rPr>
          <w:rFonts w:hint="eastAsia" w:ascii="宋体" w:hAnsi="宋体"/>
          <w:color w:val="auto"/>
        </w:rPr>
      </w:pPr>
      <w:r>
        <w:rPr>
          <w:rFonts w:hint="eastAsia" w:ascii="宋体" w:hAnsi="宋体"/>
          <w:color w:val="auto"/>
        </w:rPr>
        <w:t>（一）供应商在提交响应文件截止时间后撤回响应文件的；</w:t>
      </w:r>
    </w:p>
    <w:p w14:paraId="607FB214">
      <w:pPr>
        <w:ind w:firstLine="411" w:firstLineChars="196"/>
        <w:rPr>
          <w:rFonts w:hint="eastAsia" w:ascii="宋体" w:hAnsi="宋体"/>
          <w:color w:val="auto"/>
        </w:rPr>
      </w:pPr>
      <w:r>
        <w:rPr>
          <w:rFonts w:hint="eastAsia" w:ascii="宋体" w:hAnsi="宋体"/>
          <w:color w:val="auto"/>
        </w:rPr>
        <w:t>（二）供应商在响应文件中提供虚假材料的；</w:t>
      </w:r>
    </w:p>
    <w:p w14:paraId="4D700188">
      <w:pPr>
        <w:ind w:left="428" w:leftChars="200" w:hanging="8" w:hangingChars="4"/>
        <w:rPr>
          <w:rFonts w:hint="eastAsia" w:ascii="宋体" w:hAnsi="宋体"/>
          <w:color w:val="auto"/>
        </w:rPr>
      </w:pPr>
      <w:r>
        <w:rPr>
          <w:rFonts w:hint="eastAsia" w:ascii="宋体" w:hAnsi="宋体"/>
          <w:color w:val="auto"/>
        </w:rPr>
        <w:t>（三）除因不可抗力或招标文件认可的情形以外，成交供应商不与采购人签订合同的；（四）供应商与采购人、其他供应商或者采购代理机构恶意串通的；</w:t>
      </w:r>
    </w:p>
    <w:p w14:paraId="0933DBF2">
      <w:pPr>
        <w:ind w:left="428" w:leftChars="200" w:hanging="8" w:hangingChars="4"/>
        <w:rPr>
          <w:rFonts w:hint="eastAsia" w:ascii="宋体" w:hAnsi="宋体"/>
          <w:color w:val="auto"/>
        </w:rPr>
      </w:pPr>
      <w:r>
        <w:rPr>
          <w:rFonts w:hint="eastAsia" w:ascii="宋体" w:hAnsi="宋体"/>
          <w:color w:val="auto"/>
        </w:rPr>
        <w:t>（五）招标文件规定的其他情形。</w:t>
      </w:r>
    </w:p>
    <w:p w14:paraId="58278535">
      <w:pPr>
        <w:rPr>
          <w:rFonts w:hint="eastAsia" w:ascii="黑体" w:hAnsi="宋体" w:eastAsia="黑体"/>
          <w:color w:val="auto"/>
          <w:sz w:val="24"/>
        </w:rPr>
      </w:pPr>
      <w:r>
        <w:rPr>
          <w:rFonts w:hint="eastAsia" w:ascii="黑体" w:hAnsi="宋体" w:eastAsia="黑体"/>
          <w:color w:val="auto"/>
          <w:sz w:val="24"/>
        </w:rPr>
        <w:t>22．投标人的替代方案</w:t>
      </w:r>
    </w:p>
    <w:p w14:paraId="56742309">
      <w:pPr>
        <w:ind w:firstLine="411" w:firstLineChars="196"/>
        <w:rPr>
          <w:rFonts w:hint="eastAsia" w:ascii="宋体" w:hAnsi="宋体"/>
          <w:color w:val="auto"/>
        </w:rPr>
      </w:pPr>
      <w:r>
        <w:rPr>
          <w:rFonts w:hint="eastAsia" w:ascii="宋体" w:hAnsi="宋体"/>
          <w:color w:val="auto"/>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1BC42EF7">
      <w:pPr>
        <w:ind w:firstLine="411" w:firstLineChars="196"/>
        <w:rPr>
          <w:rFonts w:hint="eastAsia" w:ascii="宋体" w:hAnsi="宋体"/>
          <w:color w:val="auto"/>
        </w:rPr>
      </w:pPr>
      <w:r>
        <w:rPr>
          <w:rFonts w:hint="eastAsia" w:ascii="宋体" w:hAnsi="宋体"/>
          <w:color w:val="auto"/>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115"/>
    <w:p w14:paraId="401CEDB3">
      <w:pPr>
        <w:rPr>
          <w:rFonts w:hint="eastAsia" w:ascii="黑体" w:hAnsi="宋体" w:eastAsia="黑体"/>
          <w:color w:val="auto"/>
          <w:sz w:val="24"/>
        </w:rPr>
      </w:pPr>
      <w:r>
        <w:rPr>
          <w:rFonts w:hint="eastAsia" w:ascii="黑体" w:hAnsi="宋体" w:eastAsia="黑体"/>
          <w:color w:val="auto"/>
          <w:sz w:val="24"/>
        </w:rPr>
        <w:t>23．</w:t>
      </w:r>
      <w:bookmarkStart w:id="116" w:name="_Hlk72402860"/>
      <w:r>
        <w:rPr>
          <w:rFonts w:ascii="黑体" w:hAnsi="宋体" w:eastAsia="黑体"/>
          <w:color w:val="auto"/>
          <w:sz w:val="24"/>
        </w:rPr>
        <w:t>投标文件的</w:t>
      </w:r>
      <w:r>
        <w:rPr>
          <w:rFonts w:hint="eastAsia" w:ascii="黑体" w:hAnsi="宋体" w:eastAsia="黑体"/>
          <w:color w:val="auto"/>
          <w:sz w:val="24"/>
        </w:rPr>
        <w:t>制作</w:t>
      </w:r>
      <w:r>
        <w:rPr>
          <w:rFonts w:ascii="黑体" w:hAnsi="宋体" w:eastAsia="黑体"/>
          <w:color w:val="auto"/>
          <w:sz w:val="24"/>
        </w:rPr>
        <w:t>要求</w:t>
      </w:r>
    </w:p>
    <w:p w14:paraId="650167B1">
      <w:pPr>
        <w:ind w:firstLine="411" w:firstLineChars="196"/>
        <w:rPr>
          <w:rFonts w:hint="eastAsia" w:ascii="宋体" w:hAnsi="宋体"/>
          <w:color w:val="auto"/>
        </w:rPr>
      </w:pPr>
      <w:r>
        <w:rPr>
          <w:rFonts w:hint="eastAsia" w:ascii="宋体" w:hAnsi="宋体"/>
          <w:color w:val="auto"/>
        </w:rPr>
        <w:t>23.1投标人应准备所投项目的电子投标文件一份。通过新疆政采云平台投标文件制作专用软件制作。</w:t>
      </w:r>
    </w:p>
    <w:p w14:paraId="06A0FC18">
      <w:pPr>
        <w:ind w:firstLine="411" w:firstLineChars="196"/>
        <w:rPr>
          <w:rFonts w:hint="eastAsia" w:ascii="宋体" w:hAnsi="宋体"/>
          <w:color w:val="auto"/>
        </w:rPr>
      </w:pPr>
      <w:r>
        <w:rPr>
          <w:rFonts w:hint="eastAsia" w:ascii="宋体" w:hAnsi="宋体"/>
          <w:color w:val="auto"/>
        </w:rPr>
        <w:t>23.2投标人在使用《投标文件制作软件》编制投标书时须注意：</w:t>
      </w:r>
    </w:p>
    <w:p w14:paraId="3F898E5F">
      <w:pPr>
        <w:ind w:firstLine="411" w:firstLineChars="196"/>
        <w:rPr>
          <w:rFonts w:hint="eastAsia" w:ascii="宋体" w:hAnsi="宋体"/>
          <w:color w:val="auto"/>
        </w:rPr>
      </w:pPr>
      <w:r>
        <w:rPr>
          <w:rFonts w:hint="eastAsia" w:ascii="宋体" w:hAnsi="宋体"/>
          <w:color w:val="auto"/>
        </w:rPr>
        <w:t>23.2.1导入《投标文件制作软件》的招标文件项目编号、包号应与以此制作的投标文件项目编号、包号一致。例如，不能将甲项目A包的招标书导入《投标文件制作软件》，制作乙项目B包的投标书。</w:t>
      </w:r>
    </w:p>
    <w:p w14:paraId="3C42BDB7">
      <w:pPr>
        <w:ind w:firstLine="411" w:firstLineChars="196"/>
        <w:rPr>
          <w:rFonts w:hint="eastAsia" w:ascii="宋体" w:hAnsi="宋体"/>
          <w:color w:val="auto"/>
        </w:rPr>
      </w:pPr>
      <w:r>
        <w:rPr>
          <w:rFonts w:hint="eastAsia" w:ascii="宋体" w:hAnsi="宋体"/>
          <w:color w:val="auto"/>
        </w:rPr>
        <w:t>23.2.2不能用非本公司的电子密钥加密本公司的投标文件，或者用其它公司的登录用户上传本公司的投标文件。</w:t>
      </w:r>
    </w:p>
    <w:p w14:paraId="3EA5482F">
      <w:pPr>
        <w:ind w:firstLine="411" w:firstLineChars="196"/>
        <w:rPr>
          <w:rFonts w:hint="eastAsia" w:ascii="宋体" w:hAnsi="宋体"/>
          <w:color w:val="auto"/>
        </w:rPr>
      </w:pPr>
      <w:r>
        <w:rPr>
          <w:rFonts w:hint="eastAsia" w:ascii="宋体" w:hAnsi="宋体"/>
          <w:color w:val="auto"/>
        </w:rPr>
        <w:t>23.2.3要求用《投标文件制作软件》编制投标书的包，不能用其它方式编制投标书。编制投标文件时，电脑须连通互联网。</w:t>
      </w:r>
    </w:p>
    <w:p w14:paraId="57951BC0">
      <w:pPr>
        <w:ind w:firstLine="411" w:firstLineChars="196"/>
        <w:rPr>
          <w:rFonts w:hint="eastAsia" w:ascii="宋体" w:hAnsi="宋体"/>
          <w:color w:val="auto"/>
        </w:rPr>
      </w:pPr>
      <w:r>
        <w:rPr>
          <w:rFonts w:hint="eastAsia" w:ascii="宋体" w:hAnsi="宋体"/>
          <w:color w:val="auto"/>
        </w:rPr>
        <w:t>23.2.4投标文件不能带病毒。</w:t>
      </w:r>
    </w:p>
    <w:p w14:paraId="25FD779D">
      <w:pPr>
        <w:ind w:firstLine="411" w:firstLineChars="196"/>
        <w:rPr>
          <w:rFonts w:hint="eastAsia" w:ascii="宋体" w:hAnsi="宋体"/>
          <w:color w:val="auto"/>
        </w:rPr>
      </w:pPr>
      <w:r>
        <w:rPr>
          <w:rFonts w:hint="eastAsia" w:ascii="宋体" w:hAnsi="宋体"/>
          <w:color w:val="auto"/>
        </w:rPr>
        <w:t>23.2.5完整填写“投标关键信息”，“开标一览表”中的“投标报价”将作为价格分计算依据；其它信息仅是对投标文件相关内容的概括性表述，不作为评审依据。</w:t>
      </w:r>
    </w:p>
    <w:p w14:paraId="292D96E0">
      <w:pPr>
        <w:ind w:firstLine="420" w:firstLineChars="200"/>
        <w:rPr>
          <w:rFonts w:hint="eastAsia" w:ascii="宋体" w:hAnsi="宋体"/>
          <w:b/>
          <w:color w:val="auto"/>
        </w:rPr>
      </w:pPr>
      <w:r>
        <w:rPr>
          <w:rFonts w:hint="eastAsia" w:ascii="宋体" w:hAnsi="宋体"/>
          <w:color w:val="auto"/>
        </w:rPr>
        <w:t>23.2.6投标人在编辑投标文件时，</w:t>
      </w:r>
      <w:r>
        <w:rPr>
          <w:rFonts w:hint="eastAsia" w:ascii="宋体" w:hAnsi="宋体"/>
          <w:b/>
          <w:color w:val="auto"/>
        </w:rPr>
        <w:t>在投标文件目录中属于本节点内容的必须在本节点上传。</w:t>
      </w:r>
    </w:p>
    <w:p w14:paraId="43277E97">
      <w:pPr>
        <w:ind w:firstLine="420" w:firstLineChars="200"/>
        <w:rPr>
          <w:rFonts w:hint="eastAsia" w:ascii="宋体" w:hAnsi="宋体"/>
          <w:bCs/>
          <w:color w:val="auto"/>
        </w:rPr>
      </w:pPr>
      <w:r>
        <w:rPr>
          <w:rFonts w:hint="eastAsia" w:ascii="宋体" w:hAnsi="宋体"/>
          <w:color w:val="auto"/>
        </w:rPr>
        <w:t>23.2.7投标文件编写完成后，</w:t>
      </w:r>
      <w:r>
        <w:rPr>
          <w:rFonts w:hint="eastAsia" w:ascii="宋体" w:hAnsi="宋体"/>
          <w:bCs/>
          <w:color w:val="auto"/>
        </w:rPr>
        <w:t>必须用属于投标人的电子密钥进行加密，否则视同未盖公章，将导致投标文件无效。</w:t>
      </w:r>
    </w:p>
    <w:p w14:paraId="3F8C909D">
      <w:pPr>
        <w:ind w:firstLine="411" w:firstLineChars="196"/>
        <w:rPr>
          <w:rFonts w:hint="eastAsia" w:ascii="宋体" w:hAnsi="宋体"/>
          <w:color w:val="auto"/>
        </w:rPr>
      </w:pPr>
      <w:r>
        <w:rPr>
          <w:rFonts w:hint="eastAsia" w:ascii="宋体" w:hAnsi="宋体"/>
          <w:color w:val="auto"/>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拨打政采云95763咨询。</w:t>
      </w:r>
    </w:p>
    <w:p w14:paraId="0C7A82E5">
      <w:pPr>
        <w:ind w:firstLine="411" w:firstLineChars="196"/>
        <w:rPr>
          <w:rFonts w:hint="eastAsia" w:ascii="宋体" w:hAnsi="宋体"/>
          <w:color w:val="auto"/>
        </w:rPr>
      </w:pPr>
      <w:r>
        <w:rPr>
          <w:rFonts w:hint="eastAsia" w:ascii="宋体" w:hAnsi="宋体"/>
          <w:color w:val="auto"/>
        </w:rPr>
        <w:t>23.2.9如果开标时出现网络故障、技术故障，影响了政府采购活动，政府集中采购机构有权采取措施如延期、接受无法从网上上传的投标书等，以保障政府采购活动的公开、公平和公正。</w:t>
      </w:r>
    </w:p>
    <w:p w14:paraId="181036D1">
      <w:pPr>
        <w:ind w:firstLine="411" w:firstLineChars="196"/>
        <w:rPr>
          <w:rFonts w:hint="eastAsia" w:ascii="宋体" w:hAnsi="宋体"/>
          <w:color w:val="auto"/>
        </w:rPr>
      </w:pPr>
      <w:r>
        <w:rPr>
          <w:rFonts w:hint="eastAsia" w:ascii="宋体" w:hAnsi="宋体"/>
          <w:color w:val="auto"/>
        </w:rPr>
        <w:t>23.3电报、电话、传真形式的投标概不接受。</w:t>
      </w:r>
    </w:p>
    <w:p w14:paraId="4D1F45CA">
      <w:pPr>
        <w:ind w:firstLine="411" w:firstLineChars="196"/>
        <w:rPr>
          <w:rFonts w:hint="eastAsia" w:ascii="宋体" w:hAnsi="宋体"/>
          <w:color w:val="auto"/>
        </w:rPr>
      </w:pPr>
      <w:r>
        <w:rPr>
          <w:rFonts w:hint="eastAsia" w:ascii="宋体" w:hAnsi="宋体"/>
          <w:bCs/>
          <w:color w:val="auto"/>
        </w:rPr>
        <w:t>23.4各类</w:t>
      </w:r>
      <w:r>
        <w:rPr>
          <w:rFonts w:hint="eastAsia" w:ascii="宋体" w:hAnsi="宋体"/>
          <w:color w:val="auto"/>
        </w:rPr>
        <w:t>资格（资质）文件提供扫描件，专用条款另有要求的除外。</w:t>
      </w:r>
      <w:bookmarkEnd w:id="116"/>
    </w:p>
    <w:p w14:paraId="6C670CD9">
      <w:pPr>
        <w:pStyle w:val="7"/>
        <w:tabs>
          <w:tab w:val="left" w:pos="360"/>
        </w:tabs>
        <w:spacing w:before="156" w:beforeLines="50" w:after="156" w:afterLines="50"/>
        <w:ind w:firstLine="2530" w:firstLineChars="900"/>
        <w:jc w:val="both"/>
        <w:rPr>
          <w:color w:val="auto"/>
          <w:sz w:val="28"/>
          <w:szCs w:val="28"/>
        </w:rPr>
      </w:pPr>
      <w:r>
        <w:rPr>
          <w:rFonts w:hint="eastAsia"/>
          <w:color w:val="auto"/>
          <w:sz w:val="28"/>
          <w:szCs w:val="28"/>
        </w:rPr>
        <w:t>第四章  投标文件的递交</w:t>
      </w:r>
      <w:bookmarkStart w:id="117" w:name="_Hlk72405459"/>
    </w:p>
    <w:p w14:paraId="4D8D1D5A">
      <w:pPr>
        <w:rPr>
          <w:rFonts w:hint="eastAsia" w:ascii="黑体" w:hAnsi="宋体" w:eastAsia="黑体"/>
          <w:color w:val="auto"/>
          <w:sz w:val="24"/>
        </w:rPr>
      </w:pPr>
      <w:r>
        <w:rPr>
          <w:rFonts w:hint="eastAsia" w:ascii="黑体" w:hAnsi="宋体" w:eastAsia="黑体"/>
          <w:color w:val="auto"/>
          <w:sz w:val="24"/>
        </w:rPr>
        <w:t>24．投标书的保密</w:t>
      </w:r>
    </w:p>
    <w:p w14:paraId="42E7C4C0">
      <w:pPr>
        <w:ind w:firstLine="411" w:firstLineChars="196"/>
        <w:rPr>
          <w:rFonts w:hint="eastAsia" w:ascii="宋体" w:hAnsi="宋体"/>
          <w:color w:val="auto"/>
        </w:rPr>
      </w:pPr>
      <w:r>
        <w:rPr>
          <w:rFonts w:hint="eastAsia" w:ascii="宋体" w:hAnsi="宋体"/>
          <w:color w:val="auto"/>
        </w:rPr>
        <w:t>24.1在投标文件制作完成后，在投标文件制作软件点击【生成标书】按钮进入【填写开标一览表界面】界面，在该界面填写完开标一览表信息后点击【确定】，进入投标文件生成环节。投标文件制作软件会在投标文件生成过程中，提示用户输入密码，输入密码后对投标文件自动进行加密，此加密程序确保投标文件在到达开标时间后才能解密查看。</w:t>
      </w:r>
    </w:p>
    <w:p w14:paraId="32D1BC15">
      <w:pPr>
        <w:ind w:firstLine="420" w:firstLineChars="200"/>
        <w:rPr>
          <w:rFonts w:hint="eastAsia" w:ascii="宋体" w:hAnsi="宋体"/>
          <w:bCs/>
          <w:color w:val="auto"/>
        </w:rPr>
      </w:pPr>
      <w:r>
        <w:rPr>
          <w:rFonts w:hint="eastAsia" w:ascii="宋体" w:hAnsi="宋体"/>
          <w:bCs/>
          <w:color w:val="auto"/>
        </w:rPr>
        <w:t>24.2若采购项目出现延期情况：</w:t>
      </w:r>
    </w:p>
    <w:p w14:paraId="0CA04092">
      <w:pPr>
        <w:ind w:firstLine="420" w:firstLineChars="200"/>
        <w:rPr>
          <w:rFonts w:hint="eastAsia" w:ascii="黑体" w:hAnsi="宋体"/>
          <w:bCs/>
          <w:color w:val="auto"/>
          <w:sz w:val="24"/>
        </w:rPr>
      </w:pPr>
      <w:r>
        <w:rPr>
          <w:rFonts w:hint="eastAsia" w:ascii="宋体" w:hAnsi="宋体"/>
          <w:bCs/>
          <w:color w:val="auto"/>
        </w:rPr>
        <w:t>如果供下载的招标文件有更新，投标人必须重新下载招标文件、重新制作投标文件、重新加密投标文件、重新上传投标文件。</w:t>
      </w:r>
    </w:p>
    <w:p w14:paraId="563CE6C0">
      <w:pPr>
        <w:rPr>
          <w:rFonts w:hint="eastAsia" w:ascii="黑体" w:hAnsi="宋体" w:eastAsia="黑体"/>
          <w:color w:val="auto"/>
          <w:sz w:val="24"/>
        </w:rPr>
      </w:pPr>
      <w:r>
        <w:rPr>
          <w:rFonts w:hint="eastAsia" w:ascii="黑体" w:hAnsi="宋体" w:eastAsia="黑体"/>
          <w:color w:val="auto"/>
          <w:sz w:val="24"/>
        </w:rPr>
        <w:t>25．上传投标文件及投标截止日期</w:t>
      </w:r>
    </w:p>
    <w:p w14:paraId="2E25B4B1">
      <w:pPr>
        <w:ind w:firstLine="411" w:firstLineChars="196"/>
        <w:rPr>
          <w:rFonts w:hint="eastAsia" w:ascii="宋体" w:hAnsi="宋体"/>
          <w:color w:val="auto"/>
        </w:rPr>
      </w:pPr>
      <w:r>
        <w:rPr>
          <w:rFonts w:hint="eastAsia" w:ascii="宋体" w:hAnsi="宋体"/>
          <w:color w:val="auto"/>
        </w:rPr>
        <w:t>25</w:t>
      </w:r>
      <w:r>
        <w:rPr>
          <w:rFonts w:ascii="宋体" w:hAnsi="宋体"/>
          <w:color w:val="auto"/>
        </w:rPr>
        <w:t>.</w:t>
      </w:r>
      <w:r>
        <w:rPr>
          <w:rFonts w:hint="eastAsia" w:ascii="宋体" w:hAnsi="宋体"/>
          <w:color w:val="auto"/>
        </w:rPr>
        <w:t>1实行网上投标，</w:t>
      </w:r>
      <w:r>
        <w:rPr>
          <w:rFonts w:ascii="宋体" w:hAnsi="宋体"/>
          <w:color w:val="auto"/>
        </w:rPr>
        <w:t>投标人必须</w:t>
      </w:r>
      <w:r>
        <w:rPr>
          <w:rFonts w:hint="eastAsia" w:ascii="宋体" w:hAnsi="宋体"/>
          <w:color w:val="auto"/>
        </w:rPr>
        <w:t>在招标</w:t>
      </w:r>
      <w:r>
        <w:rPr>
          <w:rFonts w:ascii="宋体" w:hAnsi="宋体"/>
          <w:color w:val="auto"/>
        </w:rPr>
        <w:t>文件规定的投标截止时间前</w:t>
      </w:r>
      <w:r>
        <w:rPr>
          <w:rFonts w:hint="eastAsia" w:ascii="宋体" w:hAnsi="宋体"/>
          <w:color w:val="auto"/>
        </w:rPr>
        <w:t>用电子密钥登录新疆政采云平台上传投标文件。如上传过程中遇到问题，可拨打技术支持电话，联系方式：95763</w:t>
      </w:r>
    </w:p>
    <w:p w14:paraId="2380B5C3">
      <w:pPr>
        <w:ind w:firstLine="411" w:firstLineChars="196"/>
        <w:rPr>
          <w:rFonts w:hint="eastAsia" w:ascii="宋体" w:hAnsi="宋体"/>
          <w:color w:val="auto"/>
        </w:rPr>
      </w:pPr>
      <w:r>
        <w:rPr>
          <w:rFonts w:hint="eastAsia" w:ascii="宋体" w:hAnsi="宋体"/>
          <w:color w:val="auto"/>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70C7C8F">
      <w:pPr>
        <w:ind w:firstLine="411" w:firstLineChars="196"/>
        <w:rPr>
          <w:rFonts w:hint="eastAsia" w:ascii="宋体" w:hAnsi="宋体"/>
          <w:color w:val="auto"/>
        </w:rPr>
      </w:pPr>
      <w:r>
        <w:rPr>
          <w:rFonts w:hint="eastAsia" w:ascii="宋体" w:hAnsi="宋体"/>
          <w:color w:val="auto"/>
        </w:rPr>
        <w:t>25</w:t>
      </w:r>
      <w:r>
        <w:rPr>
          <w:rFonts w:ascii="宋体" w:hAnsi="宋体"/>
          <w:color w:val="auto"/>
        </w:rPr>
        <w:t>.</w:t>
      </w:r>
      <w:r>
        <w:rPr>
          <w:rFonts w:hint="eastAsia" w:ascii="宋体" w:hAnsi="宋体"/>
          <w:color w:val="auto"/>
        </w:rPr>
        <w:t>3投标截止时间以后不得上传投标文件。</w:t>
      </w:r>
    </w:p>
    <w:p w14:paraId="78DFD945">
      <w:pPr>
        <w:ind w:firstLine="411" w:firstLineChars="196"/>
        <w:rPr>
          <w:rFonts w:hint="eastAsia" w:ascii="宋体" w:hAnsi="宋体"/>
          <w:color w:val="auto"/>
        </w:rPr>
      </w:pPr>
      <w:r>
        <w:rPr>
          <w:rFonts w:hint="eastAsia" w:ascii="宋体" w:hAnsi="宋体"/>
          <w:color w:val="auto"/>
        </w:rPr>
        <w:t>25.4.投标人须在开标当日的开标时间至解密截止时间内进行在线解密，逾期未解密的作无效处理。</w:t>
      </w:r>
    </w:p>
    <w:bookmarkEnd w:id="117"/>
    <w:p w14:paraId="360CD305">
      <w:pPr>
        <w:rPr>
          <w:rFonts w:hint="eastAsia" w:ascii="黑体" w:hAnsi="宋体" w:eastAsia="黑体"/>
          <w:color w:val="auto"/>
          <w:sz w:val="24"/>
        </w:rPr>
      </w:pPr>
      <w:r>
        <w:rPr>
          <w:rFonts w:hint="eastAsia" w:ascii="黑体" w:hAnsi="宋体" w:eastAsia="黑体"/>
          <w:color w:val="auto"/>
          <w:sz w:val="24"/>
        </w:rPr>
        <w:t>26. 样品、演示、方案讲解</w:t>
      </w:r>
    </w:p>
    <w:p w14:paraId="71CE255E">
      <w:pPr>
        <w:ind w:firstLine="411" w:firstLineChars="196"/>
        <w:rPr>
          <w:rFonts w:hint="eastAsia" w:ascii="宋体" w:hAnsi="宋体"/>
          <w:color w:val="auto"/>
        </w:rPr>
      </w:pPr>
      <w:r>
        <w:rPr>
          <w:rFonts w:hint="eastAsia" w:ascii="宋体" w:hAnsi="宋体"/>
          <w:color w:val="auto"/>
        </w:rPr>
        <w:t>26.1 样品、演示、方案讲解等事项在招标文件专用条款中进行规定。</w:t>
      </w:r>
    </w:p>
    <w:p w14:paraId="68F22314">
      <w:pPr>
        <w:rPr>
          <w:rFonts w:hint="eastAsia" w:ascii="黑体" w:hAnsi="宋体" w:eastAsia="黑体"/>
          <w:color w:val="auto"/>
          <w:sz w:val="24"/>
        </w:rPr>
      </w:pPr>
      <w:bookmarkStart w:id="118" w:name="_Hlk72428346"/>
      <w:r>
        <w:rPr>
          <w:rFonts w:ascii="黑体" w:hAnsi="宋体" w:eastAsia="黑体"/>
          <w:color w:val="auto"/>
          <w:sz w:val="24"/>
        </w:rPr>
        <w:t>2</w:t>
      </w:r>
      <w:r>
        <w:rPr>
          <w:rFonts w:hint="eastAsia" w:ascii="黑体" w:hAnsi="宋体" w:eastAsia="黑体"/>
          <w:color w:val="auto"/>
          <w:sz w:val="24"/>
        </w:rPr>
        <w:t>7．</w:t>
      </w:r>
      <w:r>
        <w:rPr>
          <w:rFonts w:ascii="黑体" w:hAnsi="宋体" w:eastAsia="黑体"/>
          <w:color w:val="auto"/>
          <w:sz w:val="24"/>
        </w:rPr>
        <w:t>投标文件的修改和撤销</w:t>
      </w:r>
    </w:p>
    <w:p w14:paraId="6F957944">
      <w:pPr>
        <w:ind w:firstLine="411" w:firstLineChars="196"/>
        <w:rPr>
          <w:rFonts w:hint="eastAsia" w:ascii="宋体" w:hAnsi="宋体"/>
          <w:color w:val="auto"/>
        </w:rPr>
      </w:pPr>
      <w:r>
        <w:rPr>
          <w:rFonts w:ascii="宋体" w:hAnsi="宋体"/>
          <w:color w:val="auto"/>
        </w:rPr>
        <w:t>2</w:t>
      </w:r>
      <w:r>
        <w:rPr>
          <w:rFonts w:hint="eastAsia" w:ascii="宋体" w:hAnsi="宋体"/>
          <w:color w:val="auto"/>
        </w:rPr>
        <w:t>7</w:t>
      </w:r>
      <w:r>
        <w:rPr>
          <w:rFonts w:ascii="宋体" w:hAnsi="宋体"/>
          <w:color w:val="auto"/>
        </w:rPr>
        <w:t>.</w:t>
      </w:r>
      <w:r>
        <w:rPr>
          <w:rFonts w:hint="eastAsia" w:ascii="宋体" w:hAnsi="宋体"/>
          <w:color w:val="auto"/>
        </w:rPr>
        <w:t>1</w:t>
      </w:r>
      <w:r>
        <w:rPr>
          <w:rFonts w:ascii="宋体" w:hAnsi="宋体"/>
          <w:color w:val="auto"/>
        </w:rPr>
        <w:t>投标方在提交投标文件后可对其投标文件进行修改</w:t>
      </w:r>
      <w:r>
        <w:rPr>
          <w:rFonts w:hint="eastAsia" w:ascii="宋体" w:hAnsi="宋体"/>
          <w:color w:val="auto"/>
        </w:rPr>
        <w:t>并重新上传投标文件</w:t>
      </w:r>
      <w:r>
        <w:rPr>
          <w:rFonts w:ascii="宋体" w:hAnsi="宋体"/>
          <w:color w:val="auto"/>
        </w:rPr>
        <w:t>或</w:t>
      </w:r>
      <w:r>
        <w:rPr>
          <w:rFonts w:hint="eastAsia" w:ascii="宋体" w:hAnsi="宋体"/>
          <w:color w:val="auto"/>
        </w:rPr>
        <w:t>在网上进行</w:t>
      </w:r>
      <w:r>
        <w:rPr>
          <w:rFonts w:ascii="宋体" w:hAnsi="宋体"/>
          <w:color w:val="auto"/>
        </w:rPr>
        <w:t>撤销</w:t>
      </w:r>
      <w:r>
        <w:rPr>
          <w:rFonts w:hint="eastAsia" w:ascii="宋体" w:hAnsi="宋体"/>
          <w:color w:val="auto"/>
        </w:rPr>
        <w:t>投标的操作</w:t>
      </w:r>
      <w:r>
        <w:rPr>
          <w:rFonts w:ascii="宋体" w:hAnsi="宋体"/>
          <w:color w:val="auto"/>
        </w:rPr>
        <w:t>。</w:t>
      </w:r>
    </w:p>
    <w:p w14:paraId="709B3CCA">
      <w:pPr>
        <w:ind w:firstLine="411" w:firstLineChars="196"/>
        <w:rPr>
          <w:rFonts w:hint="eastAsia" w:ascii="宋体" w:hAnsi="宋体"/>
          <w:color w:val="auto"/>
        </w:rPr>
      </w:pPr>
      <w:r>
        <w:rPr>
          <w:rFonts w:ascii="宋体" w:hAnsi="宋体"/>
          <w:color w:val="auto"/>
        </w:rPr>
        <w:t>2</w:t>
      </w:r>
      <w:r>
        <w:rPr>
          <w:rFonts w:hint="eastAsia" w:ascii="宋体" w:hAnsi="宋体"/>
          <w:color w:val="auto"/>
        </w:rPr>
        <w:t>7</w:t>
      </w:r>
      <w:r>
        <w:rPr>
          <w:rFonts w:ascii="宋体" w:hAnsi="宋体"/>
          <w:color w:val="auto"/>
        </w:rPr>
        <w:t>.</w:t>
      </w:r>
      <w:r>
        <w:rPr>
          <w:rFonts w:hint="eastAsia" w:ascii="宋体" w:hAnsi="宋体"/>
          <w:color w:val="auto"/>
        </w:rPr>
        <w:t>2</w:t>
      </w:r>
      <w:r>
        <w:rPr>
          <w:rFonts w:ascii="宋体" w:hAnsi="宋体"/>
          <w:color w:val="auto"/>
        </w:rPr>
        <w:t>投标截止时间以后不得修改投标文件。</w:t>
      </w:r>
    </w:p>
    <w:p w14:paraId="034BF478">
      <w:pPr>
        <w:ind w:firstLine="411" w:firstLineChars="196"/>
        <w:rPr>
          <w:rFonts w:hint="eastAsia" w:ascii="宋体" w:hAnsi="宋体"/>
          <w:color w:val="auto"/>
        </w:rPr>
      </w:pPr>
      <w:r>
        <w:rPr>
          <w:rFonts w:ascii="宋体" w:hAnsi="宋体"/>
          <w:color w:val="auto"/>
        </w:rPr>
        <w:t>2</w:t>
      </w:r>
      <w:r>
        <w:rPr>
          <w:rFonts w:hint="eastAsia" w:ascii="宋体" w:hAnsi="宋体"/>
          <w:color w:val="auto"/>
        </w:rPr>
        <w:t>7</w:t>
      </w:r>
      <w:r>
        <w:rPr>
          <w:rFonts w:ascii="宋体" w:hAnsi="宋体"/>
          <w:color w:val="auto"/>
        </w:rPr>
        <w:t>.</w:t>
      </w:r>
      <w:r>
        <w:rPr>
          <w:rFonts w:hint="eastAsia" w:ascii="宋体" w:hAnsi="宋体"/>
          <w:color w:val="auto"/>
        </w:rPr>
        <w:t>3从投标截止期至投标人在投标文件中确定的投标有效期之间的这段时间内，投标人不得撤回其投标。</w:t>
      </w:r>
    </w:p>
    <w:p w14:paraId="74407FEC">
      <w:pPr>
        <w:ind w:firstLine="411" w:firstLineChars="196"/>
        <w:rPr>
          <w:rFonts w:hint="eastAsia" w:ascii="宋体" w:hAnsi="宋体"/>
          <w:color w:val="auto"/>
        </w:rPr>
      </w:pPr>
      <w:r>
        <w:rPr>
          <w:rFonts w:hint="eastAsia" w:ascii="宋体" w:hAnsi="宋体"/>
          <w:color w:val="auto"/>
        </w:rPr>
        <w:t>27.4政府集中采购机构不退还投标文件，专用条款另有规定的除外。</w:t>
      </w:r>
    </w:p>
    <w:bookmarkEnd w:id="118"/>
    <w:p w14:paraId="756EF02C">
      <w:pPr>
        <w:pStyle w:val="7"/>
        <w:tabs>
          <w:tab w:val="left" w:pos="360"/>
        </w:tabs>
        <w:spacing w:before="156" w:beforeLines="50" w:after="156" w:afterLines="50"/>
        <w:ind w:firstLine="3092" w:firstLineChars="1100"/>
        <w:jc w:val="both"/>
        <w:rPr>
          <w:color w:val="auto"/>
          <w:sz w:val="28"/>
          <w:szCs w:val="28"/>
        </w:rPr>
      </w:pPr>
      <w:r>
        <w:rPr>
          <w:rFonts w:hint="eastAsia"/>
          <w:color w:val="auto"/>
          <w:sz w:val="28"/>
          <w:szCs w:val="28"/>
        </w:rPr>
        <w:t>第五章  开标</w:t>
      </w:r>
    </w:p>
    <w:p w14:paraId="5F4B0212">
      <w:pPr>
        <w:rPr>
          <w:rFonts w:hint="eastAsia" w:ascii="黑体" w:hAnsi="宋体" w:eastAsia="黑体"/>
          <w:color w:val="auto"/>
          <w:sz w:val="24"/>
        </w:rPr>
      </w:pPr>
      <w:r>
        <w:rPr>
          <w:rFonts w:hint="eastAsia" w:ascii="黑体" w:hAnsi="宋体" w:eastAsia="黑体"/>
          <w:color w:val="auto"/>
          <w:sz w:val="24"/>
        </w:rPr>
        <w:t>28．开标</w:t>
      </w:r>
    </w:p>
    <w:p w14:paraId="7E02AFFD">
      <w:pPr>
        <w:ind w:firstLine="420" w:firstLineChars="200"/>
        <w:rPr>
          <w:rFonts w:hint="eastAsia" w:ascii="宋体" w:hAnsi="宋体"/>
          <w:color w:val="auto"/>
        </w:rPr>
      </w:pPr>
      <w:r>
        <w:rPr>
          <w:rFonts w:ascii="宋体" w:hAnsi="宋体"/>
          <w:color w:val="auto"/>
        </w:rPr>
        <w:t>2</w:t>
      </w:r>
      <w:r>
        <w:rPr>
          <w:rFonts w:hint="eastAsia" w:ascii="宋体" w:hAnsi="宋体"/>
          <w:color w:val="auto"/>
        </w:rPr>
        <w:t>8</w:t>
      </w:r>
      <w:r>
        <w:rPr>
          <w:rFonts w:ascii="宋体" w:hAnsi="宋体"/>
          <w:color w:val="auto"/>
        </w:rPr>
        <w:t>.</w:t>
      </w:r>
      <w:r>
        <w:rPr>
          <w:rFonts w:hint="eastAsia" w:ascii="宋体" w:hAnsi="宋体"/>
          <w:color w:val="auto"/>
        </w:rPr>
        <w:t>1投标人须在开标当日的开标时间至解密截止时间内进行解密，逾期未解密的作无效处理。</w:t>
      </w:r>
    </w:p>
    <w:p w14:paraId="335BC3B3">
      <w:pPr>
        <w:ind w:firstLine="359" w:firstLineChars="171"/>
        <w:rPr>
          <w:rFonts w:hint="eastAsia" w:ascii="宋体" w:hAnsi="宋体"/>
          <w:color w:val="auto"/>
        </w:rPr>
      </w:pPr>
      <w:r>
        <w:rPr>
          <w:rFonts w:hint="eastAsia" w:ascii="宋体" w:hAnsi="宋体"/>
          <w:color w:val="auto"/>
        </w:rPr>
        <w:t>2</w:t>
      </w:r>
      <w:r>
        <w:rPr>
          <w:rFonts w:ascii="宋体" w:hAnsi="宋体"/>
          <w:color w:val="auto"/>
        </w:rPr>
        <w:t xml:space="preserve">8.2 </w:t>
      </w:r>
      <w:r>
        <w:rPr>
          <w:rFonts w:hint="eastAsia" w:ascii="宋体" w:hAnsi="宋体"/>
          <w:color w:val="auto"/>
        </w:rPr>
        <w:t>政府集中采购机构将在满足开标条件（</w:t>
      </w:r>
      <w:r>
        <w:rPr>
          <w:rFonts w:hint="eastAsia" w:ascii="宋体" w:hAnsi="宋体" w:cs="宋体"/>
          <w:color w:val="auto"/>
          <w:sz w:val="20"/>
          <w:szCs w:val="20"/>
        </w:rPr>
        <w:t>①</w:t>
      </w:r>
      <w:r>
        <w:rPr>
          <w:rFonts w:hint="eastAsia" w:ascii="宋体" w:hAnsi="宋体"/>
          <w:color w:val="auto"/>
        </w:rPr>
        <w:t>解密时间结束，解密后的投标供应商数量满足开标要求或</w:t>
      </w:r>
      <w:r>
        <w:rPr>
          <w:rFonts w:hint="eastAsia" w:ascii="宋体" w:hAnsi="宋体" w:cs="宋体"/>
          <w:color w:val="auto"/>
          <w:sz w:val="20"/>
          <w:szCs w:val="20"/>
        </w:rPr>
        <w:t>②</w:t>
      </w:r>
      <w:r>
        <w:rPr>
          <w:rFonts w:hint="eastAsia" w:ascii="宋体" w:hAnsi="宋体"/>
          <w:color w:val="auto"/>
        </w:rPr>
        <w:t>解密时间结束前所有投标供应商均完成投标文件解密）后，对投标文件进行开标，并在网上公布开标结果。</w:t>
      </w:r>
    </w:p>
    <w:p w14:paraId="0983F2D7">
      <w:pPr>
        <w:pStyle w:val="7"/>
        <w:tabs>
          <w:tab w:val="left" w:pos="360"/>
        </w:tabs>
        <w:spacing w:before="156" w:beforeLines="50" w:after="156" w:afterLines="50"/>
        <w:ind w:firstLine="2811" w:firstLineChars="1000"/>
        <w:jc w:val="both"/>
        <w:rPr>
          <w:color w:val="auto"/>
          <w:sz w:val="28"/>
          <w:szCs w:val="28"/>
        </w:rPr>
      </w:pPr>
      <w:r>
        <w:rPr>
          <w:rFonts w:hint="eastAsia"/>
          <w:color w:val="auto"/>
          <w:sz w:val="28"/>
          <w:szCs w:val="28"/>
        </w:rPr>
        <w:t>第六章   评审要求</w:t>
      </w:r>
    </w:p>
    <w:p w14:paraId="73B1C618">
      <w:pPr>
        <w:rPr>
          <w:rFonts w:hint="eastAsia" w:ascii="黑体" w:hAnsi="宋体" w:eastAsia="黑体"/>
          <w:color w:val="auto"/>
          <w:sz w:val="24"/>
        </w:rPr>
      </w:pPr>
      <w:r>
        <w:rPr>
          <w:rFonts w:hint="eastAsia" w:ascii="黑体" w:hAnsi="宋体" w:eastAsia="黑体"/>
          <w:color w:val="auto"/>
          <w:sz w:val="24"/>
        </w:rPr>
        <w:t>29．评审委员会组成</w:t>
      </w:r>
    </w:p>
    <w:p w14:paraId="55AEAFAA">
      <w:pPr>
        <w:ind w:firstLine="411" w:firstLineChars="196"/>
        <w:rPr>
          <w:rFonts w:hint="eastAsia" w:ascii="宋体" w:hAnsi="宋体"/>
          <w:color w:val="auto"/>
        </w:rPr>
      </w:pPr>
      <w:r>
        <w:rPr>
          <w:rFonts w:hint="eastAsia" w:ascii="宋体" w:hAnsi="宋体"/>
          <w:color w:val="auto"/>
        </w:rPr>
        <w:t>29.1网上开标结束后召开评审会议，评审委员会由政府集中采购机构依法组建，负责评审活动。</w:t>
      </w:r>
    </w:p>
    <w:p w14:paraId="0DC8E797">
      <w:pPr>
        <w:ind w:firstLine="411" w:firstLineChars="196"/>
        <w:rPr>
          <w:rFonts w:hint="eastAsia" w:ascii="宋体" w:hAnsi="宋体"/>
          <w:color w:val="auto"/>
        </w:rPr>
      </w:pPr>
      <w:bookmarkStart w:id="119" w:name="_Hlk72436580"/>
      <w:r>
        <w:rPr>
          <w:rFonts w:hint="eastAsia" w:ascii="宋体" w:hAnsi="宋体"/>
          <w:color w:val="auto"/>
        </w:rPr>
        <w:t>评审委员会由采购人代表和评审专家组成，成员人数应当为3人以上单数（部分条件下为7人以上单数），其中评审专家不得少于成员总数的三分之二。</w:t>
      </w:r>
      <w:bookmarkEnd w:id="119"/>
      <w:r>
        <w:rPr>
          <w:rFonts w:hint="eastAsia" w:ascii="宋体" w:hAnsi="宋体"/>
          <w:color w:val="auto"/>
        </w:rPr>
        <w:t>评审专家一般是从新疆政采云平台政府采购评审专家库中随机抽取。采购人代表须持采购人出具的《评审授权书》参加评审。</w:t>
      </w:r>
    </w:p>
    <w:p w14:paraId="7E8EE64E">
      <w:pPr>
        <w:ind w:firstLine="411" w:firstLineChars="196"/>
        <w:rPr>
          <w:rFonts w:hint="eastAsia" w:ascii="宋体" w:hAnsi="宋体"/>
          <w:color w:val="auto"/>
        </w:rPr>
      </w:pPr>
      <w:r>
        <w:rPr>
          <w:rFonts w:hint="eastAsia" w:ascii="宋体" w:hAnsi="宋体"/>
          <w:color w:val="auto"/>
        </w:rPr>
        <w:t>29.2评审定标应当遵循公平、公正、科学、择优的原则。</w:t>
      </w:r>
    </w:p>
    <w:p w14:paraId="0DF61610">
      <w:pPr>
        <w:ind w:firstLine="411" w:firstLineChars="196"/>
        <w:rPr>
          <w:rFonts w:hint="eastAsia" w:ascii="宋体" w:hAnsi="宋体"/>
          <w:color w:val="auto"/>
        </w:rPr>
      </w:pPr>
      <w:r>
        <w:rPr>
          <w:rFonts w:hint="eastAsia" w:ascii="宋体" w:hAnsi="宋体"/>
          <w:color w:val="auto"/>
        </w:rPr>
        <w:t>29.3评审活动依法进行，任何单位和个人不得非法干预评标过程和结果。</w:t>
      </w:r>
    </w:p>
    <w:p w14:paraId="03DDD3AF">
      <w:pPr>
        <w:ind w:firstLine="411" w:firstLineChars="196"/>
        <w:rPr>
          <w:rFonts w:hint="eastAsia" w:ascii="宋体" w:hAnsi="宋体"/>
          <w:color w:val="auto"/>
        </w:rPr>
      </w:pPr>
      <w:r>
        <w:rPr>
          <w:rFonts w:hint="eastAsia" w:ascii="宋体" w:hAnsi="宋体"/>
          <w:color w:val="auto"/>
        </w:rPr>
        <w:t>29.4评审过程中不允许违背评标程序或采用招标文件未载明的评标方法或评标因素进行评标。</w:t>
      </w:r>
    </w:p>
    <w:p w14:paraId="120622B4">
      <w:pPr>
        <w:ind w:firstLine="411" w:firstLineChars="196"/>
        <w:rPr>
          <w:rFonts w:hint="eastAsia" w:ascii="宋体" w:hAnsi="宋体"/>
          <w:bCs/>
          <w:color w:val="auto"/>
        </w:rPr>
      </w:pPr>
      <w:r>
        <w:rPr>
          <w:rFonts w:hint="eastAsia" w:ascii="宋体" w:hAnsi="宋体"/>
          <w:bCs/>
          <w:color w:val="auto"/>
        </w:rPr>
        <w:t>29.5 开标后，直到签订合同为止，凡属于对投标文件的审查、澄清、评价和比较的有关资料以及中标候选人的推荐情况、与评审有关的其他任何情况均严格保密（</w:t>
      </w:r>
      <w:r>
        <w:rPr>
          <w:rFonts w:hint="eastAsia"/>
          <w:color w:val="auto"/>
        </w:rPr>
        <w:t>信息公开的内容除外</w:t>
      </w:r>
      <w:r>
        <w:rPr>
          <w:rFonts w:hint="eastAsia" w:ascii="宋体" w:hAnsi="宋体"/>
          <w:bCs/>
          <w:color w:val="auto"/>
        </w:rPr>
        <w:t>）。</w:t>
      </w:r>
    </w:p>
    <w:p w14:paraId="1A57B3B7">
      <w:pPr>
        <w:rPr>
          <w:rFonts w:hint="eastAsia" w:ascii="黑体" w:hAnsi="宋体" w:eastAsia="黑体"/>
          <w:color w:val="auto"/>
          <w:sz w:val="24"/>
        </w:rPr>
      </w:pPr>
      <w:r>
        <w:rPr>
          <w:rFonts w:hint="eastAsia" w:ascii="黑体" w:hAnsi="宋体" w:eastAsia="黑体"/>
          <w:color w:val="auto"/>
          <w:sz w:val="24"/>
        </w:rPr>
        <w:t>30．向评审委员会提供的资料</w:t>
      </w:r>
    </w:p>
    <w:p w14:paraId="4BDC121D">
      <w:pPr>
        <w:ind w:firstLine="411" w:firstLineChars="196"/>
        <w:rPr>
          <w:rFonts w:hint="eastAsia" w:ascii="宋体" w:hAnsi="宋体"/>
          <w:color w:val="auto"/>
        </w:rPr>
      </w:pPr>
      <w:r>
        <w:rPr>
          <w:rFonts w:hint="eastAsia" w:ascii="宋体" w:hAnsi="宋体"/>
          <w:color w:val="auto"/>
        </w:rPr>
        <w:t>30.1公开发布的招标文件，包括图纸、服务清单、答疑文件等；</w:t>
      </w:r>
    </w:p>
    <w:p w14:paraId="70C17F31">
      <w:pPr>
        <w:ind w:firstLine="411" w:firstLineChars="196"/>
        <w:rPr>
          <w:rFonts w:hint="eastAsia" w:ascii="宋体" w:hAnsi="宋体"/>
          <w:color w:val="auto"/>
        </w:rPr>
      </w:pPr>
      <w:r>
        <w:rPr>
          <w:rFonts w:hint="eastAsia" w:ascii="宋体" w:hAnsi="宋体"/>
          <w:color w:val="auto"/>
        </w:rPr>
        <w:t>30.2其他评标必须的资料。</w:t>
      </w:r>
    </w:p>
    <w:p w14:paraId="5FF81EC8">
      <w:pPr>
        <w:ind w:firstLine="411" w:firstLineChars="196"/>
        <w:rPr>
          <w:rFonts w:hint="eastAsia" w:ascii="宋体" w:hAnsi="宋体"/>
          <w:color w:val="auto"/>
        </w:rPr>
      </w:pPr>
      <w:r>
        <w:rPr>
          <w:rFonts w:hint="eastAsia" w:ascii="宋体" w:hAnsi="宋体"/>
          <w:color w:val="auto"/>
        </w:rPr>
        <w:t>30.3评审委员会应当认真研究招标文件，至少应了解熟悉以下内容：</w:t>
      </w:r>
    </w:p>
    <w:p w14:paraId="6561ADD8">
      <w:pPr>
        <w:ind w:firstLine="411" w:firstLineChars="196"/>
        <w:rPr>
          <w:rFonts w:hint="eastAsia" w:ascii="宋体" w:hAnsi="宋体"/>
          <w:color w:val="auto"/>
        </w:rPr>
      </w:pPr>
      <w:r>
        <w:rPr>
          <w:rFonts w:hint="eastAsia" w:ascii="宋体" w:hAnsi="宋体"/>
          <w:color w:val="auto"/>
        </w:rPr>
        <w:t>（1）招标的目的；</w:t>
      </w:r>
    </w:p>
    <w:p w14:paraId="7FC4EEDB">
      <w:pPr>
        <w:ind w:firstLine="411" w:firstLineChars="196"/>
        <w:rPr>
          <w:rFonts w:hint="eastAsia" w:ascii="宋体" w:hAnsi="宋体"/>
          <w:color w:val="auto"/>
        </w:rPr>
      </w:pPr>
      <w:r>
        <w:rPr>
          <w:rFonts w:hint="eastAsia" w:ascii="宋体" w:hAnsi="宋体"/>
          <w:color w:val="auto"/>
        </w:rPr>
        <w:t>（2）招标项目需求的范围和性质；</w:t>
      </w:r>
    </w:p>
    <w:p w14:paraId="10F4E91C">
      <w:pPr>
        <w:ind w:firstLine="411" w:firstLineChars="196"/>
        <w:rPr>
          <w:rFonts w:hint="eastAsia" w:ascii="宋体" w:hAnsi="宋体"/>
          <w:color w:val="auto"/>
        </w:rPr>
      </w:pPr>
      <w:r>
        <w:rPr>
          <w:rFonts w:hint="eastAsia" w:ascii="宋体" w:hAnsi="宋体"/>
          <w:color w:val="auto"/>
        </w:rPr>
        <w:t>（3）招标文件规定的投标人的资格、预算金额、商务条款；</w:t>
      </w:r>
    </w:p>
    <w:p w14:paraId="266C30E1">
      <w:pPr>
        <w:ind w:firstLine="411" w:firstLineChars="196"/>
        <w:rPr>
          <w:rFonts w:hint="eastAsia" w:ascii="宋体" w:hAnsi="宋体"/>
          <w:color w:val="auto"/>
        </w:rPr>
      </w:pPr>
      <w:r>
        <w:rPr>
          <w:rFonts w:hint="eastAsia" w:ascii="宋体" w:hAnsi="宋体"/>
          <w:color w:val="auto"/>
        </w:rPr>
        <w:t>（4）招标文件规定的评标程序、评标方法和评标因素；</w:t>
      </w:r>
    </w:p>
    <w:p w14:paraId="4DB5222B">
      <w:pPr>
        <w:ind w:firstLine="411" w:firstLineChars="196"/>
        <w:rPr>
          <w:rFonts w:hint="eastAsia" w:ascii="宋体" w:hAnsi="宋体"/>
          <w:color w:val="auto"/>
        </w:rPr>
      </w:pPr>
      <w:r>
        <w:rPr>
          <w:rFonts w:hint="eastAsia" w:ascii="宋体" w:hAnsi="宋体"/>
          <w:color w:val="auto"/>
        </w:rPr>
        <w:t>（5）招标文件所列示的资格性审查表及符合性审查表。</w:t>
      </w:r>
    </w:p>
    <w:p w14:paraId="275A8208">
      <w:pPr>
        <w:rPr>
          <w:rFonts w:hint="eastAsia" w:ascii="黑体" w:hAnsi="宋体" w:eastAsia="黑体"/>
          <w:color w:val="auto"/>
          <w:sz w:val="24"/>
        </w:rPr>
      </w:pPr>
      <w:r>
        <w:rPr>
          <w:rFonts w:hint="eastAsia" w:ascii="黑体" w:hAnsi="宋体" w:eastAsia="黑体"/>
          <w:color w:val="auto"/>
          <w:sz w:val="24"/>
        </w:rPr>
        <w:t>31．独立评审</w:t>
      </w:r>
    </w:p>
    <w:p w14:paraId="6DB1154E">
      <w:pPr>
        <w:ind w:firstLine="411" w:firstLineChars="196"/>
        <w:rPr>
          <w:rFonts w:hint="eastAsia" w:ascii="宋体" w:hAnsi="宋体"/>
          <w:bCs/>
          <w:color w:val="auto"/>
        </w:rPr>
      </w:pPr>
      <w:r>
        <w:rPr>
          <w:rFonts w:hint="eastAsia" w:ascii="宋体" w:hAnsi="宋体"/>
          <w:bCs/>
          <w:color w:val="auto"/>
        </w:rPr>
        <w:t>3</w:t>
      </w:r>
      <w:r>
        <w:rPr>
          <w:rFonts w:ascii="宋体" w:hAnsi="宋体"/>
          <w:bCs/>
          <w:color w:val="auto"/>
        </w:rPr>
        <w:t>1</w:t>
      </w:r>
      <w:r>
        <w:rPr>
          <w:rFonts w:hint="eastAsia" w:ascii="宋体" w:hAnsi="宋体"/>
          <w:bCs/>
          <w:color w:val="auto"/>
        </w:rPr>
        <w:t>.1</w:t>
      </w:r>
      <w:r>
        <w:rPr>
          <w:rFonts w:hint="eastAsia" w:ascii="宋体" w:hAnsi="宋体"/>
          <w:color w:val="auto"/>
        </w:rPr>
        <w:t>评审委员会</w:t>
      </w:r>
      <w:r>
        <w:rPr>
          <w:rFonts w:hint="eastAsia" w:ascii="宋体" w:hAnsi="宋体"/>
          <w:bCs/>
          <w:color w:val="auto"/>
        </w:rPr>
        <w:t>成员的评标活动应当独立进行，并应遵循投标文件初审、澄清有关问题、比较与评价、确定中标供应商、编写评审报告的工作程序。</w:t>
      </w:r>
    </w:p>
    <w:p w14:paraId="65BECB03">
      <w:pPr>
        <w:pStyle w:val="2"/>
        <w:rPr>
          <w:color w:val="auto"/>
        </w:rPr>
      </w:pPr>
    </w:p>
    <w:p w14:paraId="4C802DA9">
      <w:pPr>
        <w:pStyle w:val="7"/>
        <w:tabs>
          <w:tab w:val="left" w:pos="360"/>
        </w:tabs>
        <w:spacing w:before="156" w:beforeLines="50" w:after="156" w:afterLines="50"/>
        <w:ind w:firstLine="2249" w:firstLineChars="800"/>
        <w:jc w:val="both"/>
        <w:rPr>
          <w:color w:val="auto"/>
          <w:sz w:val="28"/>
          <w:szCs w:val="28"/>
        </w:rPr>
      </w:pPr>
      <w:r>
        <w:rPr>
          <w:rFonts w:hint="eastAsia"/>
          <w:color w:val="auto"/>
          <w:sz w:val="28"/>
          <w:szCs w:val="28"/>
        </w:rPr>
        <w:t>第七章  评审程序及评审方法</w:t>
      </w:r>
    </w:p>
    <w:p w14:paraId="07D05797">
      <w:pPr>
        <w:rPr>
          <w:rFonts w:hint="eastAsia" w:ascii="黑体" w:hAnsi="宋体" w:eastAsia="黑体"/>
          <w:color w:val="auto"/>
          <w:sz w:val="24"/>
        </w:rPr>
      </w:pPr>
      <w:r>
        <w:rPr>
          <w:rFonts w:hint="eastAsia" w:ascii="黑体" w:hAnsi="宋体" w:eastAsia="黑体"/>
          <w:color w:val="auto"/>
          <w:sz w:val="24"/>
        </w:rPr>
        <w:t>32．投标文件初审</w:t>
      </w:r>
    </w:p>
    <w:p w14:paraId="192184F2">
      <w:pPr>
        <w:ind w:firstLine="411" w:firstLineChars="196"/>
        <w:rPr>
          <w:rFonts w:hint="eastAsia" w:ascii="宋体" w:hAnsi="宋体"/>
          <w:color w:val="auto"/>
        </w:rPr>
      </w:pPr>
      <w:r>
        <w:rPr>
          <w:rFonts w:hint="eastAsia" w:ascii="宋体" w:hAnsi="宋体"/>
          <w:color w:val="auto"/>
        </w:rPr>
        <w:t>32.1投标文件初审包括资格性审查和符合性审查。</w:t>
      </w:r>
    </w:p>
    <w:p w14:paraId="0E028EE5">
      <w:pPr>
        <w:ind w:firstLine="411" w:firstLineChars="196"/>
        <w:rPr>
          <w:rFonts w:hint="eastAsia" w:ascii="宋体" w:hAnsi="宋体"/>
          <w:color w:val="auto"/>
        </w:rPr>
      </w:pPr>
      <w:r>
        <w:rPr>
          <w:rFonts w:hint="eastAsia" w:ascii="宋体" w:hAnsi="宋体"/>
          <w:color w:val="auto"/>
        </w:rPr>
        <w:t>资格性审查：依据法律法规和招标文件的规定，对投标文件中的资格证明等进行审查，以确定投标供应商是否具备投标资格。</w:t>
      </w:r>
    </w:p>
    <w:p w14:paraId="523EFEB9">
      <w:pPr>
        <w:ind w:firstLine="411" w:firstLineChars="196"/>
        <w:rPr>
          <w:rFonts w:hint="eastAsia" w:ascii="宋体" w:hAnsi="宋体"/>
          <w:color w:val="auto"/>
        </w:rPr>
      </w:pPr>
      <w:r>
        <w:rPr>
          <w:rFonts w:hint="eastAsia" w:ascii="宋体" w:hAnsi="宋体"/>
          <w:color w:val="auto"/>
        </w:rPr>
        <w:t>符合性审查：依据招标文件的规定，对投标文件的有效性、完整性和对招标文件的响应程度进行审查，以确定是否满足符合性审查的要求。</w:t>
      </w:r>
    </w:p>
    <w:p w14:paraId="08515C2D">
      <w:pPr>
        <w:ind w:firstLine="411" w:firstLineChars="196"/>
        <w:rPr>
          <w:rFonts w:hint="eastAsia" w:ascii="宋体" w:hAnsi="宋体"/>
          <w:color w:val="auto"/>
        </w:rPr>
      </w:pPr>
      <w:r>
        <w:rPr>
          <w:rFonts w:hint="eastAsia" w:ascii="宋体" w:hAnsi="宋体"/>
          <w:color w:val="auto"/>
        </w:rPr>
        <w:t>32.2 投标文件初审内容请详见《资格性审查表》和《符合性审查表》部分。投标人若有一条审查不通过则按投标无效处理。</w:t>
      </w:r>
    </w:p>
    <w:p w14:paraId="65DFD0AF">
      <w:pPr>
        <w:ind w:firstLine="411" w:firstLineChars="196"/>
        <w:rPr>
          <w:rFonts w:hint="eastAsia" w:ascii="宋体" w:hAnsi="宋体"/>
          <w:bCs/>
          <w:color w:val="auto"/>
        </w:rPr>
      </w:pPr>
      <w:r>
        <w:rPr>
          <w:rFonts w:hint="eastAsia" w:ascii="宋体" w:hAnsi="宋体"/>
          <w:bCs/>
          <w:color w:val="auto"/>
        </w:rPr>
        <w:t>32.3 投标文件初审中关于供应商家数的计算:</w:t>
      </w:r>
    </w:p>
    <w:p w14:paraId="42D4D8E3">
      <w:pPr>
        <w:ind w:firstLine="411" w:firstLineChars="196"/>
        <w:rPr>
          <w:rFonts w:hint="eastAsia" w:ascii="宋体" w:hAnsi="宋体"/>
          <w:bCs/>
          <w:color w:val="auto"/>
        </w:rPr>
      </w:pPr>
      <w:r>
        <w:rPr>
          <w:rFonts w:hint="eastAsia" w:ascii="宋体" w:hAnsi="宋体"/>
          <w:bCs/>
          <w:color w:val="auto"/>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CF61AE0">
      <w:pPr>
        <w:ind w:firstLine="411" w:firstLineChars="196"/>
        <w:rPr>
          <w:rFonts w:hint="eastAsia" w:ascii="宋体" w:hAnsi="宋体"/>
          <w:bCs/>
          <w:color w:val="auto"/>
        </w:rPr>
      </w:pPr>
      <w:r>
        <w:rPr>
          <w:rFonts w:hint="eastAsia" w:ascii="宋体" w:hAnsi="宋体"/>
          <w:bCs/>
          <w:color w:val="auto"/>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514CADE2">
      <w:pPr>
        <w:ind w:firstLine="411" w:firstLineChars="196"/>
        <w:rPr>
          <w:rFonts w:hint="eastAsia" w:ascii="宋体" w:hAnsi="宋体"/>
          <w:bCs/>
          <w:color w:val="auto"/>
        </w:rPr>
      </w:pPr>
      <w:r>
        <w:rPr>
          <w:rFonts w:hint="eastAsia" w:ascii="宋体" w:hAnsi="宋体"/>
          <w:bCs/>
          <w:color w:val="auto"/>
        </w:rPr>
        <w:t>32.3.3非单一产品采购项目，采购人应当根据采购项目技术构成、产品价格比重等合理确定核心产品，并在招标文件中载明。多家投标人提供的核心产品品牌相同的，按前两款规定处理。</w:t>
      </w:r>
    </w:p>
    <w:p w14:paraId="505F0A01">
      <w:pPr>
        <w:ind w:firstLine="411" w:firstLineChars="196"/>
        <w:rPr>
          <w:rFonts w:hint="eastAsia" w:ascii="宋体" w:hAnsi="宋体"/>
          <w:color w:val="auto"/>
        </w:rPr>
      </w:pPr>
      <w:r>
        <w:rPr>
          <w:rFonts w:hint="eastAsia" w:ascii="宋体" w:hAnsi="宋体"/>
          <w:color w:val="auto"/>
        </w:rPr>
        <w:t>32.4投标人投标文件作无效处理的情形，具体包括但不限于以下：</w:t>
      </w:r>
    </w:p>
    <w:p w14:paraId="59C2779A">
      <w:pPr>
        <w:ind w:firstLine="411" w:firstLineChars="196"/>
        <w:rPr>
          <w:color w:val="auto"/>
        </w:rPr>
      </w:pPr>
      <w:r>
        <w:rPr>
          <w:rFonts w:hint="eastAsia" w:ascii="宋体" w:hAnsi="宋体"/>
          <w:color w:val="auto"/>
        </w:rPr>
        <w:t>32.4.1</w:t>
      </w:r>
      <w:r>
        <w:rPr>
          <w:rFonts w:hint="eastAsia"/>
          <w:color w:val="auto"/>
        </w:rPr>
        <w:t>不同投标人的投标文件由同一单位或者同一个人编制，或者由同一个人分阶段参与编制；</w:t>
      </w:r>
    </w:p>
    <w:p w14:paraId="37A0EEEC">
      <w:pPr>
        <w:ind w:firstLine="411" w:firstLineChars="196"/>
        <w:rPr>
          <w:color w:val="auto"/>
        </w:rPr>
      </w:pPr>
      <w:r>
        <w:rPr>
          <w:rFonts w:ascii="宋体" w:hAnsi="宋体"/>
          <w:color w:val="auto"/>
        </w:rPr>
        <w:t>32.4.</w:t>
      </w:r>
      <w:r>
        <w:rPr>
          <w:rFonts w:hint="eastAsia" w:ascii="宋体" w:hAnsi="宋体"/>
          <w:color w:val="auto"/>
        </w:rPr>
        <w:t>2</w:t>
      </w:r>
      <w:r>
        <w:rPr>
          <w:rFonts w:hint="eastAsia"/>
          <w:color w:val="auto"/>
        </w:rPr>
        <w:t>不同投标人委托同一单位或者个人办理投标事宜；</w:t>
      </w:r>
    </w:p>
    <w:p w14:paraId="3B992440">
      <w:pPr>
        <w:ind w:firstLine="411" w:firstLineChars="196"/>
        <w:rPr>
          <w:rFonts w:hint="eastAsia" w:ascii="宋体" w:hAnsi="宋体"/>
          <w:color w:val="auto"/>
        </w:rPr>
      </w:pPr>
      <w:r>
        <w:rPr>
          <w:rFonts w:hint="eastAsia" w:ascii="宋体" w:hAnsi="宋体"/>
          <w:color w:val="auto"/>
        </w:rPr>
        <w:t>32.4.3不同投标人的投标文件载明的项目管理成员或者联系人员为同一人；</w:t>
      </w:r>
    </w:p>
    <w:p w14:paraId="20FC0760">
      <w:pPr>
        <w:ind w:firstLine="411" w:firstLineChars="196"/>
        <w:rPr>
          <w:rFonts w:hint="eastAsia" w:ascii="宋体" w:hAnsi="宋体"/>
          <w:color w:val="auto"/>
        </w:rPr>
      </w:pPr>
      <w:r>
        <w:rPr>
          <w:rFonts w:hint="eastAsia" w:ascii="宋体" w:hAnsi="宋体"/>
          <w:color w:val="auto"/>
        </w:rPr>
        <w:t>32.4.4不同投标人的投标文件异常一致或者投标报价呈规律性差异；</w:t>
      </w:r>
    </w:p>
    <w:p w14:paraId="55EDB219">
      <w:pPr>
        <w:ind w:firstLine="411" w:firstLineChars="196"/>
        <w:rPr>
          <w:rFonts w:hint="eastAsia" w:ascii="宋体" w:hAnsi="宋体"/>
          <w:color w:val="auto"/>
        </w:rPr>
      </w:pPr>
      <w:r>
        <w:rPr>
          <w:rFonts w:hint="eastAsia" w:ascii="宋体" w:hAnsi="宋体"/>
          <w:color w:val="auto"/>
        </w:rPr>
        <w:t>32.4.5</w:t>
      </w:r>
      <w:r>
        <w:rPr>
          <w:rFonts w:ascii="宋体" w:hAnsi="宋体"/>
          <w:color w:val="auto"/>
        </w:rPr>
        <w:t>不同投标供应商的投标文件或部分投标文件相互混装</w:t>
      </w:r>
      <w:r>
        <w:rPr>
          <w:rFonts w:hint="eastAsia" w:ascii="宋体" w:hAnsi="宋体"/>
          <w:color w:val="auto"/>
        </w:rPr>
        <w:t>；</w:t>
      </w:r>
    </w:p>
    <w:p w14:paraId="2EFF242E">
      <w:pPr>
        <w:ind w:firstLine="411" w:firstLineChars="196"/>
        <w:rPr>
          <w:rFonts w:hint="eastAsia" w:ascii="宋体" w:hAnsi="宋体"/>
          <w:color w:val="auto"/>
        </w:rPr>
      </w:pPr>
      <w:r>
        <w:rPr>
          <w:rFonts w:hint="eastAsia" w:ascii="宋体" w:hAnsi="宋体"/>
          <w:color w:val="auto"/>
        </w:rPr>
        <w:t>32.4.6投标供应商之间相互约定给予未中标的供应商利益补偿；</w:t>
      </w:r>
    </w:p>
    <w:p w14:paraId="68D4CF83">
      <w:pPr>
        <w:ind w:firstLine="411" w:firstLineChars="196"/>
        <w:rPr>
          <w:rFonts w:hint="eastAsia" w:ascii="宋体" w:hAnsi="宋体"/>
          <w:color w:val="auto"/>
        </w:rPr>
      </w:pPr>
      <w:r>
        <w:rPr>
          <w:rFonts w:hint="eastAsia" w:ascii="宋体" w:hAnsi="宋体"/>
          <w:color w:val="auto"/>
        </w:rPr>
        <w:t>32.4.7不同投标供应商的法定代表人、主要经营负责人、项目投标授权代表人、项目负责人、主要技术人员为同一人、属同一单位或者同一单位缴纳社会保险；</w:t>
      </w:r>
    </w:p>
    <w:p w14:paraId="4228529C">
      <w:pPr>
        <w:ind w:firstLine="411" w:firstLineChars="196"/>
        <w:rPr>
          <w:rFonts w:hint="eastAsia" w:ascii="宋体" w:hAnsi="宋体"/>
          <w:color w:val="auto"/>
        </w:rPr>
      </w:pPr>
      <w:r>
        <w:rPr>
          <w:rFonts w:hint="eastAsia" w:ascii="宋体" w:hAnsi="宋体"/>
          <w:color w:val="auto"/>
        </w:rPr>
        <w:t>32.4.8不同投标供应商的投标文件内容存在非正常一致；</w:t>
      </w:r>
    </w:p>
    <w:p w14:paraId="183CDC20">
      <w:pPr>
        <w:ind w:firstLine="411" w:firstLineChars="196"/>
        <w:rPr>
          <w:rFonts w:hint="eastAsia" w:ascii="宋体" w:hAnsi="宋体"/>
          <w:color w:val="auto"/>
        </w:rPr>
      </w:pPr>
      <w:r>
        <w:rPr>
          <w:rFonts w:hint="eastAsia" w:ascii="宋体" w:hAnsi="宋体"/>
          <w:color w:val="auto"/>
        </w:rPr>
        <w:t>32.4.9在同一单位工作人员为两家以上（含两家）供应商进行同一项投标活动；</w:t>
      </w:r>
    </w:p>
    <w:p w14:paraId="26A041AD">
      <w:pPr>
        <w:ind w:firstLine="411" w:firstLineChars="196"/>
        <w:rPr>
          <w:rFonts w:hint="eastAsia" w:ascii="宋体" w:hAnsi="宋体"/>
          <w:color w:val="auto"/>
        </w:rPr>
      </w:pPr>
      <w:r>
        <w:rPr>
          <w:rFonts w:hint="eastAsia" w:ascii="宋体" w:hAnsi="宋体"/>
          <w:color w:val="auto"/>
        </w:rPr>
        <w:t>32.4.10主管部门依照法律、法规认定的其他情形。</w:t>
      </w:r>
    </w:p>
    <w:p w14:paraId="68672F2C">
      <w:pPr>
        <w:ind w:firstLine="411" w:firstLineChars="196"/>
        <w:rPr>
          <w:rFonts w:hint="eastAsia" w:ascii="宋体" w:hAnsi="宋体"/>
          <w:color w:val="auto"/>
        </w:rPr>
      </w:pPr>
      <w:r>
        <w:rPr>
          <w:rFonts w:hint="eastAsia" w:ascii="宋体" w:hAnsi="宋体"/>
          <w:color w:val="auto"/>
        </w:rPr>
        <w:t>32.5对不属于《资格性审查表》和《符合性审查表》所列的其他情形，除专用条款另有规定和32.4条款所列情形外，不得作为投标无效的理由。</w:t>
      </w:r>
    </w:p>
    <w:p w14:paraId="4D899E10">
      <w:pPr>
        <w:ind w:firstLine="420" w:firstLineChars="200"/>
        <w:rPr>
          <w:rFonts w:hint="eastAsia" w:ascii="黑体" w:hAnsi="宋体" w:eastAsia="黑体"/>
          <w:color w:val="auto"/>
          <w:sz w:val="24"/>
        </w:rPr>
      </w:pPr>
      <w:r>
        <w:rPr>
          <w:color w:val="auto"/>
        </w:rPr>
        <w:t>32.6不同投标人的“文件制作时间”“文件制作机器码”“文件创建标识码”“IP”“上传时间”等信息异常一致的，不得作为投标无效的理由。如出现上述异常情况，应报主管部门处理。</w:t>
      </w:r>
      <w:r>
        <w:rPr>
          <w:rFonts w:hint="eastAsia" w:ascii="黑体" w:hAnsi="宋体" w:eastAsia="黑体"/>
          <w:color w:val="auto"/>
          <w:sz w:val="24"/>
        </w:rPr>
        <w:t>33．澄清有关问题</w:t>
      </w:r>
    </w:p>
    <w:p w14:paraId="7531E48A">
      <w:pPr>
        <w:ind w:firstLine="411" w:firstLineChars="196"/>
        <w:rPr>
          <w:rFonts w:hint="eastAsia" w:ascii="宋体" w:hAnsi="宋体"/>
          <w:color w:val="auto"/>
        </w:rPr>
      </w:pPr>
      <w:bookmarkStart w:id="120" w:name="_Hlk71407321"/>
      <w:r>
        <w:rPr>
          <w:rFonts w:hint="eastAsia" w:ascii="宋体" w:hAnsi="宋体"/>
          <w:color w:val="auto"/>
        </w:rPr>
        <w:t>3</w:t>
      </w:r>
      <w:r>
        <w:rPr>
          <w:rFonts w:ascii="宋体" w:hAnsi="宋体"/>
          <w:color w:val="auto"/>
        </w:rPr>
        <w:t>3.1</w:t>
      </w:r>
      <w:r>
        <w:rPr>
          <w:rFonts w:hint="eastAsia" w:ascii="宋体" w:hAnsi="宋体"/>
          <w:color w:val="auto"/>
        </w:rPr>
        <w:t>对招标文件中描述有歧义或前后不一致的地方（不含</w:t>
      </w:r>
      <w:r>
        <w:rPr>
          <w:color w:val="auto"/>
        </w:rPr>
        <w:t>招标文件存在歧义、重大缺陷导致评</w:t>
      </w:r>
      <w:r>
        <w:rPr>
          <w:rFonts w:hint="eastAsia"/>
          <w:color w:val="auto"/>
        </w:rPr>
        <w:t>审</w:t>
      </w:r>
      <w:r>
        <w:rPr>
          <w:color w:val="auto"/>
        </w:rPr>
        <w:t>工作无法进行</w:t>
      </w:r>
      <w:r>
        <w:rPr>
          <w:rFonts w:hint="eastAsia"/>
          <w:color w:val="auto"/>
        </w:rPr>
        <w:t>的情况）</w:t>
      </w:r>
      <w:r>
        <w:rPr>
          <w:rFonts w:hint="eastAsia" w:ascii="宋体" w:hAnsi="宋体"/>
          <w:color w:val="auto"/>
        </w:rPr>
        <w:t>，评审委员会有权进行评判，但对同一条款的评判应适用于每个投标人。</w:t>
      </w:r>
      <w:bookmarkEnd w:id="120"/>
    </w:p>
    <w:p w14:paraId="51EF3490">
      <w:pPr>
        <w:ind w:firstLine="411" w:firstLineChars="196"/>
        <w:rPr>
          <w:rFonts w:hint="eastAsia" w:ascii="宋体" w:hAnsi="宋体"/>
          <w:color w:val="auto"/>
        </w:rPr>
      </w:pPr>
      <w:r>
        <w:rPr>
          <w:rFonts w:hint="eastAsia" w:ascii="宋体" w:hAnsi="宋体"/>
          <w:color w:val="auto"/>
        </w:rPr>
        <w:t>3</w:t>
      </w:r>
      <w:r>
        <w:rPr>
          <w:rFonts w:ascii="宋体" w:hAnsi="宋体"/>
          <w:color w:val="auto"/>
        </w:rPr>
        <w:t>3.2</w:t>
      </w:r>
      <w:r>
        <w:rPr>
          <w:color w:val="auto"/>
        </w:rPr>
        <w:t>评</w:t>
      </w:r>
      <w:r>
        <w:rPr>
          <w:rFonts w:hint="eastAsia"/>
          <w:color w:val="auto"/>
        </w:rPr>
        <w:t>审</w:t>
      </w:r>
      <w:r>
        <w:rPr>
          <w:color w:val="auto"/>
        </w:rPr>
        <w:t>委员会发现招标文件存在歧义、重大缺陷导致评</w:t>
      </w:r>
      <w:r>
        <w:rPr>
          <w:rFonts w:hint="eastAsia"/>
          <w:color w:val="auto"/>
        </w:rPr>
        <w:t>审</w:t>
      </w:r>
      <w:r>
        <w:rPr>
          <w:color w:val="auto"/>
        </w:rPr>
        <w:t>工作无法进行，或者招标文件内容违反国家有关强制性规定的，应当停止评</w:t>
      </w:r>
      <w:r>
        <w:rPr>
          <w:rFonts w:hint="eastAsia"/>
          <w:color w:val="auto"/>
        </w:rPr>
        <w:t>审</w:t>
      </w:r>
      <w:r>
        <w:rPr>
          <w:color w:val="auto"/>
        </w:rPr>
        <w:t>工作，与</w:t>
      </w:r>
      <w:r>
        <w:rPr>
          <w:rFonts w:hint="eastAsia"/>
          <w:color w:val="auto"/>
        </w:rPr>
        <w:t>政府集中采购机构</w:t>
      </w:r>
      <w:r>
        <w:rPr>
          <w:color w:val="auto"/>
        </w:rPr>
        <w:t>沟通并作书面记录。</w:t>
      </w:r>
      <w:r>
        <w:rPr>
          <w:rFonts w:hint="eastAsia"/>
          <w:color w:val="auto"/>
        </w:rPr>
        <w:t>经</w:t>
      </w:r>
      <w:r>
        <w:rPr>
          <w:color w:val="auto"/>
        </w:rPr>
        <w:t>确认后，</w:t>
      </w:r>
      <w:r>
        <w:rPr>
          <w:rFonts w:hint="eastAsia"/>
          <w:color w:val="auto"/>
        </w:rPr>
        <w:t>项目</w:t>
      </w:r>
      <w:r>
        <w:rPr>
          <w:color w:val="auto"/>
        </w:rPr>
        <w:t>应当修改招标文件，重新组织采购活动。</w:t>
      </w:r>
    </w:p>
    <w:p w14:paraId="3ECDF24A">
      <w:pPr>
        <w:ind w:firstLine="411" w:firstLineChars="196"/>
        <w:rPr>
          <w:rFonts w:hint="eastAsia" w:ascii="宋体" w:hAnsi="宋体"/>
          <w:color w:val="auto"/>
        </w:rPr>
      </w:pPr>
      <w:r>
        <w:rPr>
          <w:rFonts w:ascii="宋体" w:hAnsi="宋体"/>
          <w:color w:val="auto"/>
        </w:rPr>
        <w:t>33.3</w:t>
      </w:r>
      <w:r>
        <w:rPr>
          <w:rFonts w:hint="eastAsia" w:ascii="宋体" w:hAnsi="宋体"/>
          <w:color w:val="auto"/>
        </w:rPr>
        <w:t>对于投标文件中含义不明确、同类问题表述不一致或者有明显文字和计算错误的内容，评审委员会应当以书面形式要求投标人作出必要的澄清、说明或者补正。</w:t>
      </w:r>
    </w:p>
    <w:p w14:paraId="6144740D">
      <w:pPr>
        <w:ind w:firstLine="411" w:firstLineChars="196"/>
        <w:rPr>
          <w:rFonts w:hint="eastAsia" w:ascii="宋体" w:hAnsi="宋体"/>
          <w:color w:val="auto"/>
        </w:rPr>
      </w:pPr>
      <w:r>
        <w:rPr>
          <w:rFonts w:hint="eastAsia" w:ascii="宋体" w:hAnsi="宋体"/>
          <w:color w:val="auto"/>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73511E14">
      <w:pPr>
        <w:ind w:firstLine="411" w:firstLineChars="196"/>
        <w:rPr>
          <w:rFonts w:hint="eastAsia" w:ascii="宋体" w:hAnsi="宋体"/>
          <w:color w:val="auto"/>
        </w:rPr>
      </w:pPr>
      <w:r>
        <w:rPr>
          <w:rFonts w:hint="eastAsia" w:ascii="宋体" w:hAnsi="宋体"/>
          <w:color w:val="auto"/>
        </w:rPr>
        <w:t>根据本通用条款第34条，凡属于评审委员会在评审中发现的算术错误进行核实的修改不在此列。</w:t>
      </w:r>
    </w:p>
    <w:p w14:paraId="1E2ADDB8">
      <w:pPr>
        <w:rPr>
          <w:rFonts w:hint="eastAsia" w:ascii="黑体" w:hAnsi="宋体" w:eastAsia="黑体"/>
          <w:color w:val="auto"/>
          <w:sz w:val="24"/>
        </w:rPr>
      </w:pPr>
      <w:bookmarkStart w:id="121" w:name="_Toc100052400"/>
      <w:bookmarkStart w:id="122" w:name="_Toc73521581"/>
      <w:bookmarkStart w:id="123" w:name="_Toc73521669"/>
      <w:bookmarkStart w:id="124" w:name="_Toc73518151"/>
      <w:bookmarkStart w:id="125" w:name="_Toc73517673"/>
      <w:r>
        <w:rPr>
          <w:rFonts w:hint="eastAsia" w:ascii="黑体" w:hAnsi="宋体" w:eastAsia="黑体"/>
          <w:color w:val="auto"/>
          <w:sz w:val="24"/>
        </w:rPr>
        <w:t>34．错误的修正</w:t>
      </w:r>
      <w:bookmarkEnd w:id="121"/>
      <w:bookmarkEnd w:id="122"/>
      <w:bookmarkEnd w:id="123"/>
      <w:bookmarkEnd w:id="124"/>
      <w:bookmarkEnd w:id="125"/>
    </w:p>
    <w:p w14:paraId="300B6896">
      <w:pPr>
        <w:ind w:firstLine="411" w:firstLineChars="196"/>
        <w:rPr>
          <w:rFonts w:hint="eastAsia" w:ascii="宋体" w:hAnsi="宋体"/>
          <w:color w:val="auto"/>
        </w:rPr>
      </w:pPr>
      <w:r>
        <w:rPr>
          <w:rFonts w:hint="eastAsia" w:ascii="宋体" w:hAnsi="宋体"/>
          <w:color w:val="auto"/>
        </w:rPr>
        <w:t>投标文件报价出现前后不一致的，除专用条款另有规定外，按照下列规定修正：</w:t>
      </w:r>
    </w:p>
    <w:p w14:paraId="5AD8149E">
      <w:pPr>
        <w:ind w:firstLine="411" w:firstLineChars="196"/>
        <w:rPr>
          <w:rFonts w:hint="eastAsia" w:ascii="宋体" w:hAnsi="宋体"/>
          <w:color w:val="auto"/>
        </w:rPr>
      </w:pPr>
      <w:r>
        <w:rPr>
          <w:rFonts w:hint="eastAsia" w:ascii="宋体" w:hAnsi="宋体"/>
          <w:color w:val="auto"/>
        </w:rPr>
        <w:t>34.1投标文件中开标一览表投标报价内容与投标文件中投标报价相应内容不一致的，以开标一览表为准；</w:t>
      </w:r>
    </w:p>
    <w:p w14:paraId="01B7489F">
      <w:pPr>
        <w:ind w:firstLine="411" w:firstLineChars="196"/>
        <w:rPr>
          <w:rFonts w:hint="eastAsia" w:ascii="宋体" w:hAnsi="宋体"/>
          <w:color w:val="auto"/>
        </w:rPr>
      </w:pPr>
      <w:r>
        <w:rPr>
          <w:rFonts w:hint="eastAsia" w:ascii="宋体" w:hAnsi="宋体"/>
          <w:color w:val="auto"/>
        </w:rPr>
        <w:t>34.2大写金额和小写金额不一致的，以大写金额为准；</w:t>
      </w:r>
    </w:p>
    <w:p w14:paraId="37E0703B">
      <w:pPr>
        <w:ind w:firstLine="411" w:firstLineChars="196"/>
        <w:rPr>
          <w:rFonts w:hint="eastAsia" w:ascii="宋体" w:hAnsi="宋体"/>
          <w:color w:val="auto"/>
        </w:rPr>
      </w:pPr>
      <w:r>
        <w:rPr>
          <w:rFonts w:hint="eastAsia" w:ascii="宋体" w:hAnsi="宋体"/>
          <w:color w:val="auto"/>
        </w:rPr>
        <w:t>34.3单价金额小数点或者百分比有明显错位，以开标一览表的总价为准，并修改单价；</w:t>
      </w:r>
    </w:p>
    <w:p w14:paraId="6DEC6EC1">
      <w:pPr>
        <w:ind w:firstLine="411" w:firstLineChars="196"/>
        <w:rPr>
          <w:rFonts w:hint="eastAsia" w:ascii="宋体" w:hAnsi="宋体"/>
          <w:color w:val="auto"/>
        </w:rPr>
      </w:pPr>
      <w:r>
        <w:rPr>
          <w:rFonts w:hint="eastAsia" w:ascii="宋体" w:hAnsi="宋体"/>
          <w:color w:val="auto"/>
        </w:rPr>
        <w:t>34.4总价金额与按单价汇总金额不一致的，以单价金额计算结果为准。</w:t>
      </w:r>
    </w:p>
    <w:p w14:paraId="2A8B7F16">
      <w:pPr>
        <w:ind w:firstLine="411" w:firstLineChars="196"/>
        <w:rPr>
          <w:rFonts w:hint="eastAsia" w:ascii="宋体" w:hAnsi="宋体"/>
          <w:color w:val="auto"/>
        </w:rPr>
      </w:pPr>
      <w:r>
        <w:rPr>
          <w:rFonts w:hint="eastAsia" w:ascii="宋体" w:hAnsi="宋体"/>
          <w:color w:val="auto"/>
        </w:rPr>
        <w:t>34.5同时出现两种以上不一致的，按照前款规定的顺序修正。修正后的报价按照本通用条款33条的规定，经投标人确认后产生约束力，投标人不确认的，其投标无效。</w:t>
      </w:r>
    </w:p>
    <w:p w14:paraId="20FBB3FF">
      <w:pPr>
        <w:rPr>
          <w:rFonts w:hint="eastAsia" w:ascii="黑体" w:hAnsi="宋体" w:eastAsia="黑体"/>
          <w:color w:val="auto"/>
          <w:sz w:val="24"/>
        </w:rPr>
      </w:pPr>
      <w:r>
        <w:rPr>
          <w:rFonts w:hint="eastAsia" w:ascii="黑体" w:hAnsi="宋体" w:eastAsia="黑体"/>
          <w:color w:val="auto"/>
          <w:sz w:val="24"/>
        </w:rPr>
        <w:t>35．投标文件的比较与评价</w:t>
      </w:r>
    </w:p>
    <w:p w14:paraId="277D873F">
      <w:pPr>
        <w:ind w:firstLine="411" w:firstLineChars="196"/>
        <w:rPr>
          <w:rFonts w:hint="eastAsia" w:ascii="宋体" w:hAnsi="宋体"/>
          <w:color w:val="auto"/>
        </w:rPr>
      </w:pPr>
      <w:r>
        <w:rPr>
          <w:rFonts w:hint="eastAsia" w:ascii="宋体" w:hAnsi="宋体"/>
          <w:color w:val="auto"/>
        </w:rPr>
        <w:t>评审委员会将按照政府采购法律法规，仅对通过资格性审查和符合性审查的投标文件进行综合比较与评价。</w:t>
      </w:r>
    </w:p>
    <w:p w14:paraId="32DFF4B6">
      <w:pPr>
        <w:ind w:firstLine="411" w:firstLineChars="196"/>
        <w:rPr>
          <w:rFonts w:hint="eastAsia" w:ascii="宋体" w:hAnsi="宋体"/>
          <w:color w:val="auto"/>
        </w:rPr>
      </w:pPr>
      <w:r>
        <w:rPr>
          <w:rFonts w:hint="eastAsia" w:ascii="宋体" w:hAnsi="宋体"/>
          <w:color w:val="auto"/>
        </w:rPr>
        <w:t>评审委员会成员对需要共同认定的事项存在争议的，应当按照少数服从多数的原则作出结论。持不同意见的评审委员会成员应当书面作出说明，否则视为无异议。</w:t>
      </w:r>
    </w:p>
    <w:p w14:paraId="4D4CF502">
      <w:pPr>
        <w:rPr>
          <w:rFonts w:hint="eastAsia" w:ascii="黑体" w:hAnsi="宋体" w:eastAsia="黑体"/>
          <w:color w:val="auto"/>
          <w:sz w:val="24"/>
        </w:rPr>
      </w:pPr>
      <w:r>
        <w:rPr>
          <w:rFonts w:hint="eastAsia" w:ascii="黑体" w:hAnsi="宋体" w:eastAsia="黑体"/>
          <w:color w:val="auto"/>
          <w:sz w:val="24"/>
        </w:rPr>
        <w:t>36. 实地考察或资料查验</w:t>
      </w:r>
    </w:p>
    <w:p w14:paraId="77B31FEA">
      <w:pPr>
        <w:ind w:firstLine="411" w:firstLineChars="196"/>
        <w:rPr>
          <w:rFonts w:hint="eastAsia" w:ascii="宋体" w:hAnsi="宋体"/>
          <w:color w:val="auto"/>
        </w:rPr>
      </w:pPr>
      <w:r>
        <w:rPr>
          <w:rFonts w:hint="eastAsia" w:ascii="宋体" w:hAnsi="宋体"/>
          <w:color w:val="auto"/>
        </w:rPr>
        <w:t>36.1在评审过程中，评审委员会有权决定是否对本项目投标人进行实地考察或资料查验（原件）。投标人应随时做好接受实地考察或资料查验的准备。</w:t>
      </w:r>
    </w:p>
    <w:p w14:paraId="60A6B8AB">
      <w:pPr>
        <w:rPr>
          <w:rFonts w:hint="eastAsia" w:ascii="黑体" w:hAnsi="宋体" w:eastAsia="黑体"/>
          <w:color w:val="auto"/>
          <w:sz w:val="24"/>
        </w:rPr>
      </w:pPr>
      <w:r>
        <w:rPr>
          <w:rFonts w:hint="eastAsia" w:ascii="黑体" w:hAnsi="宋体" w:eastAsia="黑体"/>
          <w:color w:val="auto"/>
          <w:sz w:val="24"/>
        </w:rPr>
        <w:t>37．评审方法</w:t>
      </w:r>
    </w:p>
    <w:p w14:paraId="3D856744">
      <w:pPr>
        <w:ind w:firstLine="413" w:firstLineChars="196"/>
        <w:rPr>
          <w:rFonts w:hint="eastAsia" w:ascii="宋体" w:hAnsi="宋体"/>
          <w:b/>
          <w:bCs/>
          <w:color w:val="auto"/>
        </w:rPr>
      </w:pPr>
      <w:r>
        <w:rPr>
          <w:rFonts w:hint="eastAsia" w:ascii="宋体" w:hAnsi="宋体"/>
          <w:b/>
          <w:bCs/>
          <w:color w:val="auto"/>
        </w:rPr>
        <w:t>37.1.1最低价法</w:t>
      </w:r>
    </w:p>
    <w:p w14:paraId="4BB10BAC">
      <w:pPr>
        <w:ind w:firstLine="411" w:firstLineChars="196"/>
        <w:rPr>
          <w:rFonts w:hint="eastAsia" w:ascii="ˎ̥" w:hAnsi="ˎ̥"/>
          <w:color w:val="auto"/>
        </w:rPr>
      </w:pPr>
      <w:bookmarkStart w:id="126" w:name="_Hlk72438142"/>
      <w:r>
        <w:rPr>
          <w:rFonts w:ascii="ˎ̥" w:hAnsi="ˎ̥"/>
          <w:color w:val="auto"/>
        </w:rPr>
        <w:t>最低价法，是指</w:t>
      </w:r>
      <w:r>
        <w:rPr>
          <w:rFonts w:hint="eastAsia" w:ascii="ˎ̥" w:hAnsi="ˎ̥"/>
          <w:color w:val="auto"/>
        </w:rPr>
        <w:t>完全</w:t>
      </w:r>
      <w:r>
        <w:rPr>
          <w:rFonts w:ascii="ˎ̥" w:hAnsi="ˎ̥"/>
          <w:color w:val="auto"/>
        </w:rPr>
        <w:t>满足招标文件实质性要求，</w:t>
      </w:r>
      <w:r>
        <w:rPr>
          <w:rFonts w:hint="eastAsia" w:ascii="ˎ̥" w:hAnsi="ˎ̥"/>
          <w:color w:val="auto"/>
        </w:rPr>
        <w:t>按照报价由低到高的顺序，依据招标文件中规定的数量或者比例推荐候选中标供应商。</w:t>
      </w:r>
    </w:p>
    <w:p w14:paraId="6527BF9F">
      <w:pPr>
        <w:ind w:firstLine="413" w:firstLineChars="196"/>
        <w:rPr>
          <w:rFonts w:hint="eastAsia" w:ascii="宋体" w:hAnsi="宋体"/>
          <w:b/>
          <w:bCs/>
          <w:color w:val="auto"/>
        </w:rPr>
      </w:pPr>
      <w:r>
        <w:rPr>
          <w:rFonts w:hint="eastAsia" w:ascii="宋体" w:hAnsi="宋体"/>
          <w:b/>
          <w:bCs/>
          <w:color w:val="auto"/>
        </w:rPr>
        <w:t>37.1.2综合评分法</w:t>
      </w:r>
    </w:p>
    <w:p w14:paraId="600B59C8">
      <w:pPr>
        <w:ind w:firstLine="411" w:firstLineChars="196"/>
        <w:rPr>
          <w:rFonts w:hint="eastAsia" w:ascii="ˎ̥" w:hAnsi="ˎ̥"/>
          <w:color w:val="auto"/>
        </w:rPr>
      </w:pPr>
      <w:r>
        <w:rPr>
          <w:rFonts w:ascii="ˎ̥" w:hAnsi="ˎ̥"/>
          <w:color w:val="auto"/>
        </w:rPr>
        <w:t>综合评分法，是指</w:t>
      </w:r>
      <w:r>
        <w:rPr>
          <w:rFonts w:hint="eastAsia" w:ascii="ˎ̥" w:hAnsi="ˎ̥"/>
          <w:color w:val="auto"/>
        </w:rPr>
        <w:t>在</w:t>
      </w:r>
      <w:r>
        <w:rPr>
          <w:rFonts w:ascii="ˎ̥" w:hAnsi="ˎ̥"/>
          <w:color w:val="auto"/>
        </w:rPr>
        <w:t>满足招标文件全部实质性要求</w:t>
      </w:r>
      <w:r>
        <w:rPr>
          <w:rFonts w:hint="eastAsia" w:ascii="ˎ̥" w:hAnsi="ˎ̥"/>
          <w:color w:val="auto"/>
        </w:rPr>
        <w:t>的前提下</w:t>
      </w:r>
      <w:r>
        <w:rPr>
          <w:rFonts w:ascii="ˎ̥" w:hAnsi="ˎ̥"/>
          <w:color w:val="auto"/>
        </w:rPr>
        <w:t>，</w:t>
      </w:r>
      <w:r>
        <w:rPr>
          <w:rFonts w:hint="eastAsia" w:ascii="ˎ̥" w:hAnsi="ˎ̥"/>
          <w:color w:val="auto"/>
        </w:rPr>
        <w:t>按照招标文件中规定的各项因素进行综合评审，评审总得分排名前列的投标人，作为推荐的候选中标供应商。</w:t>
      </w:r>
      <w:bookmarkEnd w:id="126"/>
    </w:p>
    <w:p w14:paraId="3065005D">
      <w:pPr>
        <w:ind w:firstLine="413" w:firstLineChars="196"/>
        <w:rPr>
          <w:rFonts w:hint="eastAsia" w:ascii="宋体" w:hAnsi="宋体"/>
          <w:b/>
          <w:bCs/>
          <w:color w:val="auto"/>
        </w:rPr>
      </w:pPr>
      <w:r>
        <w:rPr>
          <w:rFonts w:hint="eastAsia" w:ascii="宋体" w:hAnsi="宋体"/>
          <w:b/>
          <w:bCs/>
          <w:color w:val="auto"/>
        </w:rPr>
        <w:t>37.2 本项目采用的评审方法见本项目招标文件第一册“专用条款”的相关内容。</w:t>
      </w:r>
    </w:p>
    <w:p w14:paraId="3734C6CC">
      <w:pPr>
        <w:ind w:firstLine="413" w:firstLineChars="196"/>
        <w:rPr>
          <w:rFonts w:hint="eastAsia" w:ascii="宋体" w:hAnsi="宋体"/>
          <w:b/>
          <w:bCs/>
          <w:color w:val="auto"/>
        </w:rPr>
      </w:pPr>
      <w:r>
        <w:rPr>
          <w:rFonts w:hint="eastAsia" w:ascii="宋体" w:hAnsi="宋体"/>
          <w:b/>
          <w:bCs/>
          <w:color w:val="auto"/>
        </w:rPr>
        <w:t>37.3重新评审的情形</w:t>
      </w:r>
    </w:p>
    <w:p w14:paraId="58443D83">
      <w:pPr>
        <w:ind w:firstLine="411" w:firstLineChars="196"/>
        <w:rPr>
          <w:rFonts w:hint="eastAsia" w:ascii="宋体" w:hAnsi="宋体"/>
          <w:b/>
          <w:bCs/>
          <w:color w:val="auto"/>
        </w:rPr>
      </w:pPr>
      <w:r>
        <w:rPr>
          <w:rFonts w:hint="eastAsia" w:ascii="宋体" w:hAnsi="宋体" w:cs="宋体"/>
          <w:color w:val="auto"/>
          <w:kern w:val="0"/>
        </w:rPr>
        <w:t>评审结果汇总完成后，除下列情形外，任何人不得修改评审结果：</w:t>
      </w:r>
    </w:p>
    <w:p w14:paraId="0CCB6342">
      <w:pPr>
        <w:ind w:firstLine="411" w:firstLineChars="196"/>
        <w:rPr>
          <w:rFonts w:hint="eastAsia" w:ascii="宋体" w:hAnsi="宋体" w:cs="宋体"/>
          <w:color w:val="auto"/>
          <w:kern w:val="0"/>
        </w:rPr>
      </w:pPr>
      <w:r>
        <w:rPr>
          <w:rFonts w:hint="eastAsia" w:ascii="宋体" w:hAnsi="宋体" w:cs="宋体"/>
          <w:color w:val="auto"/>
          <w:kern w:val="0"/>
        </w:rPr>
        <w:t>37.3.1分值汇总计算错误的；</w:t>
      </w:r>
    </w:p>
    <w:p w14:paraId="043AB9C3">
      <w:pPr>
        <w:ind w:firstLine="411" w:firstLineChars="196"/>
        <w:rPr>
          <w:rFonts w:hint="eastAsia" w:ascii="宋体" w:hAnsi="宋体" w:cs="宋体"/>
          <w:color w:val="auto"/>
          <w:kern w:val="0"/>
        </w:rPr>
      </w:pPr>
      <w:r>
        <w:rPr>
          <w:rFonts w:hint="eastAsia" w:ascii="宋体" w:hAnsi="宋体" w:cs="宋体"/>
          <w:color w:val="auto"/>
          <w:kern w:val="0"/>
        </w:rPr>
        <w:t>37.3.2分项评分超出评分标准范围的；</w:t>
      </w:r>
    </w:p>
    <w:p w14:paraId="49A2DF47">
      <w:pPr>
        <w:ind w:firstLine="411" w:firstLineChars="196"/>
        <w:rPr>
          <w:rFonts w:hint="eastAsia" w:ascii="宋体" w:hAnsi="宋体" w:cs="宋体"/>
          <w:color w:val="auto"/>
          <w:kern w:val="0"/>
        </w:rPr>
      </w:pPr>
      <w:r>
        <w:rPr>
          <w:rFonts w:hint="eastAsia" w:ascii="宋体" w:hAnsi="宋体" w:cs="宋体"/>
          <w:color w:val="auto"/>
          <w:kern w:val="0"/>
        </w:rPr>
        <w:t>37.3.3评审委员会成员对客观评审因素评分不一致的；</w:t>
      </w:r>
    </w:p>
    <w:p w14:paraId="721DFE74">
      <w:pPr>
        <w:ind w:firstLine="411" w:firstLineChars="196"/>
        <w:rPr>
          <w:rFonts w:hint="eastAsia" w:ascii="宋体" w:hAnsi="宋体" w:cs="宋体"/>
          <w:color w:val="auto"/>
          <w:kern w:val="0"/>
        </w:rPr>
      </w:pPr>
      <w:r>
        <w:rPr>
          <w:rFonts w:hint="eastAsia" w:ascii="宋体" w:hAnsi="宋体" w:cs="宋体"/>
          <w:color w:val="auto"/>
          <w:kern w:val="0"/>
        </w:rPr>
        <w:t>37.3.4经评审委员会认定评分畸高、畸低的。</w:t>
      </w:r>
    </w:p>
    <w:p w14:paraId="36FC862D">
      <w:pPr>
        <w:ind w:firstLine="411" w:firstLineChars="196"/>
        <w:rPr>
          <w:rFonts w:hint="eastAsia" w:ascii="宋体" w:hAnsi="宋体" w:cs="宋体"/>
          <w:color w:val="auto"/>
          <w:kern w:val="0"/>
        </w:rPr>
      </w:pPr>
      <w:r>
        <w:rPr>
          <w:rFonts w:hint="eastAsia" w:ascii="宋体" w:hAnsi="宋体" w:cs="宋体"/>
          <w:color w:val="auto"/>
          <w:kern w:val="0"/>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6D0E28B7">
      <w:pPr>
        <w:ind w:firstLine="411" w:firstLineChars="196"/>
        <w:rPr>
          <w:rFonts w:hint="eastAsia" w:ascii="宋体" w:hAnsi="宋体" w:cs="宋体"/>
          <w:color w:val="auto"/>
          <w:kern w:val="0"/>
        </w:rPr>
      </w:pPr>
      <w:r>
        <w:rPr>
          <w:rFonts w:hint="eastAsia" w:ascii="宋体" w:hAnsi="宋体" w:cs="宋体"/>
          <w:color w:val="auto"/>
          <w:kern w:val="0"/>
        </w:rPr>
        <w:t>投标人对本条第一款情形提出质疑的，采购人或者采购代理机构可以组织原评审委员会进行重新评审，重新评审改变评审结果的，应当书面报告本级财政部门。</w:t>
      </w:r>
    </w:p>
    <w:p w14:paraId="77D7C4D8">
      <w:pPr>
        <w:ind w:firstLine="413" w:firstLineChars="196"/>
        <w:rPr>
          <w:rFonts w:hint="eastAsia" w:ascii="宋体" w:hAnsi="宋体"/>
          <w:b/>
          <w:bCs/>
          <w:color w:val="auto"/>
        </w:rPr>
      </w:pPr>
      <w:r>
        <w:rPr>
          <w:rFonts w:hint="eastAsia" w:ascii="宋体" w:hAnsi="宋体"/>
          <w:b/>
          <w:bCs/>
          <w:color w:val="auto"/>
        </w:rPr>
        <w:t xml:space="preserve"> 37.4重新组建评审委员会的情形</w:t>
      </w:r>
    </w:p>
    <w:p w14:paraId="181EC340">
      <w:pPr>
        <w:ind w:firstLine="411" w:firstLineChars="196"/>
        <w:rPr>
          <w:rFonts w:hint="eastAsia" w:ascii="宋体" w:hAnsi="宋体" w:cs="宋体"/>
          <w:color w:val="auto"/>
          <w:kern w:val="0"/>
        </w:rPr>
      </w:pPr>
      <w:r>
        <w:rPr>
          <w:rFonts w:hint="eastAsia" w:ascii="宋体" w:hAnsi="宋体" w:cs="宋体"/>
          <w:color w:val="auto"/>
          <w:kern w:val="0"/>
        </w:rPr>
        <w:t>评审委员会或者其成员存在下列情形导致评审结果无效的，重新组建评审委员会进行评标，并书面报告本级财政部门：</w:t>
      </w:r>
    </w:p>
    <w:p w14:paraId="05CEBBE1">
      <w:pPr>
        <w:ind w:firstLine="411" w:firstLineChars="196"/>
        <w:rPr>
          <w:rFonts w:hint="eastAsia" w:ascii="宋体" w:hAnsi="宋体" w:cs="宋体"/>
          <w:color w:val="auto"/>
          <w:kern w:val="0"/>
        </w:rPr>
      </w:pPr>
      <w:r>
        <w:rPr>
          <w:rFonts w:hint="eastAsia" w:ascii="宋体" w:hAnsi="宋体" w:cs="宋体"/>
          <w:color w:val="auto"/>
          <w:kern w:val="0"/>
        </w:rPr>
        <w:t>37.4.1评审委员会组成不符合《政府采购货物和服务招标投标管理办法》规定的；</w:t>
      </w:r>
    </w:p>
    <w:p w14:paraId="2E4B5BD9">
      <w:pPr>
        <w:ind w:firstLine="411" w:firstLineChars="196"/>
        <w:rPr>
          <w:rFonts w:hint="eastAsia" w:ascii="宋体" w:hAnsi="宋体" w:cs="宋体"/>
          <w:color w:val="auto"/>
          <w:kern w:val="0"/>
        </w:rPr>
      </w:pPr>
      <w:r>
        <w:rPr>
          <w:rFonts w:hint="eastAsia" w:ascii="宋体" w:hAnsi="宋体" w:cs="宋体"/>
          <w:color w:val="auto"/>
          <w:kern w:val="0"/>
        </w:rPr>
        <w:t>37.4.2有《政府采购货物和服务招标投标管理办法》第六十二条第一至五项情形的；</w:t>
      </w:r>
    </w:p>
    <w:p w14:paraId="00DE8120">
      <w:pPr>
        <w:ind w:firstLine="411" w:firstLineChars="196"/>
        <w:rPr>
          <w:rFonts w:hint="eastAsia" w:ascii="宋体" w:hAnsi="宋体" w:cs="宋体"/>
          <w:color w:val="auto"/>
          <w:kern w:val="0"/>
        </w:rPr>
      </w:pPr>
      <w:r>
        <w:rPr>
          <w:rFonts w:hint="eastAsia" w:ascii="宋体" w:hAnsi="宋体" w:cs="宋体"/>
          <w:color w:val="auto"/>
          <w:kern w:val="0"/>
        </w:rPr>
        <w:t>37.4.3评审委员会及其成员独立评标受到非法干预的；</w:t>
      </w:r>
    </w:p>
    <w:p w14:paraId="17EAB0BA">
      <w:pPr>
        <w:ind w:firstLine="411" w:firstLineChars="196"/>
        <w:rPr>
          <w:rFonts w:hint="eastAsia" w:ascii="宋体" w:hAnsi="宋体" w:cs="宋体"/>
          <w:color w:val="auto"/>
          <w:kern w:val="0"/>
        </w:rPr>
      </w:pPr>
      <w:r>
        <w:rPr>
          <w:rFonts w:hint="eastAsia" w:ascii="宋体" w:hAnsi="宋体" w:cs="宋体"/>
          <w:color w:val="auto"/>
          <w:kern w:val="0"/>
        </w:rPr>
        <w:t>37.4.4有政府采购法实施条例第七十五条规定的违法行为的。</w:t>
      </w:r>
    </w:p>
    <w:p w14:paraId="6C71CCD5">
      <w:pPr>
        <w:ind w:firstLine="411" w:firstLineChars="196"/>
        <w:rPr>
          <w:rFonts w:hint="eastAsia" w:ascii="宋体" w:hAnsi="宋体" w:cs="宋体"/>
          <w:color w:val="auto"/>
          <w:kern w:val="0"/>
        </w:rPr>
      </w:pPr>
      <w:r>
        <w:rPr>
          <w:rFonts w:hint="eastAsia" w:ascii="宋体" w:hAnsi="宋体" w:cs="宋体"/>
          <w:color w:val="auto"/>
          <w:kern w:val="0"/>
        </w:rPr>
        <w:t>有违法违规行为的原评审委员会成员不得参加重新组建的评审委员会。</w:t>
      </w:r>
    </w:p>
    <w:p w14:paraId="6569DC25">
      <w:pPr>
        <w:pStyle w:val="7"/>
        <w:tabs>
          <w:tab w:val="left" w:pos="360"/>
        </w:tabs>
        <w:spacing w:before="156" w:beforeLines="50" w:after="156" w:afterLines="50"/>
        <w:ind w:firstLine="2530" w:firstLineChars="900"/>
        <w:jc w:val="both"/>
        <w:rPr>
          <w:color w:val="auto"/>
          <w:sz w:val="28"/>
          <w:szCs w:val="28"/>
        </w:rPr>
      </w:pPr>
      <w:r>
        <w:rPr>
          <w:rFonts w:hint="eastAsia"/>
          <w:color w:val="auto"/>
          <w:sz w:val="28"/>
          <w:szCs w:val="28"/>
        </w:rPr>
        <w:t>第八章  定标及公示</w:t>
      </w:r>
    </w:p>
    <w:p w14:paraId="75B3CA70">
      <w:pPr>
        <w:rPr>
          <w:rFonts w:hint="eastAsia" w:ascii="黑体" w:hAnsi="宋体" w:eastAsia="黑体"/>
          <w:color w:val="auto"/>
          <w:sz w:val="24"/>
        </w:rPr>
      </w:pPr>
      <w:r>
        <w:rPr>
          <w:rFonts w:hint="eastAsia" w:ascii="黑体" w:hAnsi="宋体" w:eastAsia="黑体"/>
          <w:color w:val="auto"/>
          <w:sz w:val="24"/>
        </w:rPr>
        <w:t>38．定标方法</w:t>
      </w:r>
    </w:p>
    <w:p w14:paraId="0F282D04">
      <w:pPr>
        <w:ind w:firstLine="411" w:firstLineChars="196"/>
        <w:rPr>
          <w:rFonts w:hint="eastAsia" w:ascii="宋体" w:hAnsi="宋体"/>
          <w:color w:val="auto"/>
        </w:rPr>
      </w:pPr>
      <w:bookmarkStart w:id="127" w:name="_Hlk73782795"/>
      <w:r>
        <w:rPr>
          <w:rFonts w:hint="eastAsia" w:ascii="宋体" w:hAnsi="宋体"/>
          <w:color w:val="auto"/>
        </w:rPr>
        <w:t>38.1非评定分离项目定标方法</w:t>
      </w:r>
    </w:p>
    <w:p w14:paraId="6DE158A3">
      <w:pPr>
        <w:ind w:firstLine="411" w:firstLineChars="196"/>
        <w:rPr>
          <w:rFonts w:hint="eastAsia" w:ascii="宋体" w:hAnsi="宋体"/>
          <w:color w:val="auto"/>
        </w:rPr>
      </w:pPr>
      <w:r>
        <w:rPr>
          <w:rFonts w:hint="eastAsia" w:ascii="宋体" w:hAnsi="宋体"/>
          <w:color w:val="auto"/>
        </w:rPr>
        <w:t>38</w:t>
      </w:r>
      <w:r>
        <w:rPr>
          <w:rFonts w:ascii="宋体" w:hAnsi="宋体"/>
          <w:color w:val="auto"/>
        </w:rPr>
        <w:t>.</w:t>
      </w:r>
      <w:r>
        <w:rPr>
          <w:rFonts w:hint="eastAsia" w:ascii="宋体" w:hAnsi="宋体"/>
          <w:color w:val="auto"/>
        </w:rPr>
        <w:t>1.1评审委员会依据本项目招标文件所约定的评审方法进行评审和比较，向政府集中采购机构提交书面评审报告，并根据评审方法比较评价结果从优到劣进行排序，确定候选中标供应商。</w:t>
      </w:r>
    </w:p>
    <w:p w14:paraId="553BD197">
      <w:pPr>
        <w:ind w:firstLine="411" w:firstLineChars="196"/>
        <w:rPr>
          <w:rFonts w:hint="eastAsia" w:ascii="ˎ̥" w:hAnsi="ˎ̥"/>
          <w:color w:val="auto"/>
        </w:rPr>
      </w:pPr>
      <w:r>
        <w:rPr>
          <w:rFonts w:hint="eastAsia" w:ascii="宋体" w:hAnsi="宋体"/>
          <w:color w:val="auto"/>
        </w:rPr>
        <w:t>38</w:t>
      </w:r>
      <w:r>
        <w:rPr>
          <w:rFonts w:ascii="宋体" w:hAnsi="宋体"/>
          <w:color w:val="auto"/>
        </w:rPr>
        <w:t>.</w:t>
      </w:r>
      <w:r>
        <w:rPr>
          <w:rFonts w:hint="eastAsia" w:ascii="宋体" w:hAnsi="宋体"/>
          <w:color w:val="auto"/>
        </w:rPr>
        <w:t>1.2</w:t>
      </w:r>
      <w:r>
        <w:rPr>
          <w:rFonts w:ascii="ˎ̥" w:hAnsi="ˎ̥"/>
          <w:color w:val="auto"/>
        </w:rPr>
        <w:t>采用最低价法的，评</w:t>
      </w:r>
      <w:r>
        <w:rPr>
          <w:rFonts w:hint="eastAsia" w:ascii="ˎ̥" w:hAnsi="ˎ̥"/>
          <w:color w:val="auto"/>
        </w:rPr>
        <w:t>审</w:t>
      </w:r>
      <w:r>
        <w:rPr>
          <w:rFonts w:ascii="ˎ̥" w:hAnsi="ˎ̥"/>
          <w:color w:val="auto"/>
        </w:rPr>
        <w:t>结果按投标报价由低到高顺序排列。投标报价相同的并列。投标文件满足招标文件全部实质性要求且投标报价最低的</w:t>
      </w:r>
      <w:r>
        <w:rPr>
          <w:rFonts w:hint="eastAsia" w:ascii="ˎ̥" w:hAnsi="ˎ̥"/>
          <w:color w:val="auto"/>
        </w:rPr>
        <w:t>投标人为</w:t>
      </w:r>
      <w:bookmarkStart w:id="128" w:name="_Hlk73821177"/>
      <w:r>
        <w:rPr>
          <w:rFonts w:hint="eastAsia" w:ascii="ˎ̥" w:hAnsi="ˎ̥"/>
          <w:color w:val="auto"/>
        </w:rPr>
        <w:t>中标供应商</w:t>
      </w:r>
      <w:r>
        <w:rPr>
          <w:rFonts w:ascii="ˎ̥" w:hAnsi="ˎ̥"/>
          <w:color w:val="auto"/>
        </w:rPr>
        <w:t>（</w:t>
      </w:r>
      <w:r>
        <w:rPr>
          <w:rFonts w:hint="eastAsia" w:ascii="ˎ̥" w:hAnsi="ˎ̥"/>
          <w:color w:val="auto"/>
        </w:rPr>
        <w:t>排名</w:t>
      </w:r>
      <w:r>
        <w:rPr>
          <w:rFonts w:ascii="ˎ̥" w:hAnsi="ˎ̥"/>
          <w:color w:val="auto"/>
        </w:rPr>
        <w:t>第二</w:t>
      </w:r>
      <w:r>
        <w:rPr>
          <w:rFonts w:hint="eastAsia" w:ascii="ˎ̥" w:hAnsi="ˎ̥"/>
          <w:color w:val="auto"/>
        </w:rPr>
        <w:t>的投标人为第一替补中标候选人、排名</w:t>
      </w:r>
      <w:r>
        <w:rPr>
          <w:rFonts w:ascii="ˎ̥" w:hAnsi="ˎ̥"/>
          <w:color w:val="auto"/>
        </w:rPr>
        <w:t>第</w:t>
      </w:r>
      <w:r>
        <w:rPr>
          <w:rFonts w:hint="eastAsia" w:ascii="ˎ̥" w:hAnsi="ˎ̥"/>
          <w:color w:val="auto"/>
        </w:rPr>
        <w:t>三的投标人为第二替补中标候选人</w:t>
      </w:r>
      <w:bookmarkEnd w:id="128"/>
      <w:r>
        <w:rPr>
          <w:rFonts w:ascii="ˎ̥" w:hAnsi="ˎ̥"/>
          <w:color w:val="auto"/>
        </w:rPr>
        <w:t>）。</w:t>
      </w:r>
    </w:p>
    <w:p w14:paraId="6559B17C">
      <w:pPr>
        <w:ind w:firstLine="411" w:firstLineChars="196"/>
        <w:rPr>
          <w:rFonts w:hint="eastAsia" w:ascii="ˎ̥" w:hAnsi="ˎ̥"/>
          <w:color w:val="auto"/>
        </w:rPr>
      </w:pPr>
      <w:r>
        <w:rPr>
          <w:rFonts w:hint="eastAsia" w:ascii="宋体" w:hAnsi="宋体"/>
          <w:color w:val="auto"/>
        </w:rPr>
        <w:t>38</w:t>
      </w:r>
      <w:r>
        <w:rPr>
          <w:rFonts w:ascii="宋体" w:hAnsi="宋体"/>
          <w:color w:val="auto"/>
        </w:rPr>
        <w:t>.</w:t>
      </w:r>
      <w:r>
        <w:rPr>
          <w:rFonts w:hint="eastAsia" w:ascii="宋体" w:hAnsi="宋体"/>
          <w:color w:val="auto"/>
        </w:rPr>
        <w:t>1.3</w:t>
      </w:r>
      <w:r>
        <w:rPr>
          <w:rFonts w:ascii="宋体" w:hAnsi="宋体"/>
          <w:color w:val="auto"/>
        </w:rPr>
        <w:t>采</w:t>
      </w:r>
      <w:r>
        <w:rPr>
          <w:rFonts w:ascii="ˎ̥" w:hAnsi="ˎ̥"/>
          <w:color w:val="auto"/>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color w:val="auto"/>
        </w:rPr>
        <w:t>为中标供应商</w:t>
      </w:r>
      <w:r>
        <w:rPr>
          <w:rFonts w:ascii="ˎ̥" w:hAnsi="ˎ̥"/>
          <w:color w:val="auto"/>
        </w:rPr>
        <w:t>（</w:t>
      </w:r>
      <w:r>
        <w:rPr>
          <w:rFonts w:hint="eastAsia" w:ascii="ˎ̥" w:hAnsi="ˎ̥"/>
          <w:color w:val="auto"/>
        </w:rPr>
        <w:t>排名</w:t>
      </w:r>
      <w:r>
        <w:rPr>
          <w:rFonts w:ascii="ˎ̥" w:hAnsi="ˎ̥"/>
          <w:color w:val="auto"/>
        </w:rPr>
        <w:t>第二</w:t>
      </w:r>
      <w:r>
        <w:rPr>
          <w:rFonts w:hint="eastAsia" w:ascii="ˎ̥" w:hAnsi="ˎ̥"/>
          <w:color w:val="auto"/>
        </w:rPr>
        <w:t>的投标人为第一替补中标候选人、排名</w:t>
      </w:r>
      <w:r>
        <w:rPr>
          <w:rFonts w:ascii="ˎ̥" w:hAnsi="ˎ̥"/>
          <w:color w:val="auto"/>
        </w:rPr>
        <w:t>第</w:t>
      </w:r>
      <w:r>
        <w:rPr>
          <w:rFonts w:hint="eastAsia" w:ascii="ˎ̥" w:hAnsi="ˎ̥"/>
          <w:color w:val="auto"/>
        </w:rPr>
        <w:t>三的投标人为第二替补中标候选人</w:t>
      </w:r>
      <w:r>
        <w:rPr>
          <w:rFonts w:ascii="ˎ̥" w:hAnsi="ˎ̥"/>
          <w:color w:val="auto"/>
        </w:rPr>
        <w:t>）。</w:t>
      </w:r>
      <w:r>
        <w:rPr>
          <w:rFonts w:hint="eastAsia" w:ascii="ˎ̥" w:hAnsi="ˎ̥"/>
          <w:color w:val="auto"/>
        </w:rPr>
        <w:t>出现</w:t>
      </w:r>
      <w:r>
        <w:rPr>
          <w:rFonts w:ascii="ˎ̥" w:hAnsi="ˎ̥"/>
          <w:color w:val="auto"/>
        </w:rPr>
        <w:t>得分且投标报价相同的并列</w:t>
      </w:r>
      <w:r>
        <w:rPr>
          <w:rFonts w:hint="eastAsia" w:ascii="ˎ̥" w:hAnsi="ˎ̥"/>
          <w:color w:val="auto"/>
        </w:rPr>
        <w:t>情况时，采取随机抽取的方式确定，具体操作办法及流程由评审委员会确定。</w:t>
      </w:r>
    </w:p>
    <w:p w14:paraId="0243C035">
      <w:pPr>
        <w:ind w:firstLine="411" w:firstLineChars="196"/>
        <w:rPr>
          <w:rFonts w:hint="eastAsia" w:ascii="宋体" w:hAnsi="宋体"/>
          <w:color w:val="auto"/>
        </w:rPr>
      </w:pPr>
      <w:r>
        <w:rPr>
          <w:rFonts w:hint="eastAsia" w:ascii="宋体" w:hAnsi="宋体"/>
          <w:color w:val="auto"/>
        </w:rPr>
        <w:t>38.2评定分离项目定标方法</w:t>
      </w:r>
    </w:p>
    <w:p w14:paraId="7B6A36F4">
      <w:pPr>
        <w:ind w:firstLine="411" w:firstLineChars="196"/>
        <w:rPr>
          <w:rFonts w:hint="eastAsia" w:ascii="宋体" w:hAnsi="宋体"/>
          <w:color w:val="auto"/>
        </w:rPr>
      </w:pPr>
      <w:r>
        <w:rPr>
          <w:rFonts w:hint="eastAsia" w:ascii="宋体" w:hAnsi="宋体"/>
          <w:color w:val="auto"/>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03D9B57F">
      <w:pPr>
        <w:ind w:firstLine="411" w:firstLineChars="196"/>
        <w:rPr>
          <w:color w:val="auto"/>
        </w:rPr>
      </w:pPr>
      <w:r>
        <w:rPr>
          <w:rFonts w:ascii="宋体" w:hAnsi="宋体"/>
          <w:color w:val="auto"/>
        </w:rPr>
        <w:t xml:space="preserve">38.2.2 </w:t>
      </w:r>
      <w:bookmarkStart w:id="129" w:name="_Hlk71469733"/>
      <w:r>
        <w:rPr>
          <w:color w:val="auto"/>
        </w:rPr>
        <w:t>适用评定分离的政府采购项目，采用综合评分法评</w:t>
      </w:r>
      <w:r>
        <w:rPr>
          <w:rFonts w:hint="eastAsia"/>
          <w:color w:val="auto"/>
        </w:rPr>
        <w:t>审。</w:t>
      </w:r>
      <w:r>
        <w:rPr>
          <w:rFonts w:hint="eastAsia" w:ascii="宋体" w:hAnsi="宋体"/>
          <w:color w:val="auto"/>
        </w:rPr>
        <w:t>评审委员会按照评审结果，推荐</w:t>
      </w:r>
      <w:r>
        <w:rPr>
          <w:color w:val="auto"/>
        </w:rPr>
        <w:t>三个合格的候选中标供应商。</w:t>
      </w:r>
    </w:p>
    <w:p w14:paraId="2A06951D">
      <w:pPr>
        <w:ind w:firstLine="411" w:firstLineChars="196"/>
        <w:rPr>
          <w:rFonts w:hint="eastAsia" w:ascii="宋体" w:hAnsi="宋体"/>
          <w:color w:val="auto"/>
        </w:rPr>
      </w:pPr>
      <w:r>
        <w:rPr>
          <w:rFonts w:hint="eastAsia" w:ascii="宋体" w:hAnsi="宋体"/>
          <w:color w:val="auto"/>
        </w:rPr>
        <w:t>38.2.3</w:t>
      </w:r>
      <w:bookmarkStart w:id="130" w:name="_Hlk71469688"/>
      <w:r>
        <w:rPr>
          <w:color w:val="auto"/>
        </w:rPr>
        <w:t>适用评定分离的政府采购项目，</w:t>
      </w:r>
      <w:r>
        <w:rPr>
          <w:rFonts w:hint="eastAsia" w:ascii="宋体" w:hAnsi="宋体"/>
          <w:color w:val="auto"/>
        </w:rPr>
        <w:t>按照自定法确定中标供应商：自定法是指采购人组织定标委员会，由定标委员会在三家候选中标供应商中确定中标供应商。</w:t>
      </w:r>
      <w:bookmarkEnd w:id="129"/>
      <w:bookmarkEnd w:id="130"/>
    </w:p>
    <w:p w14:paraId="11A7EEC9">
      <w:pPr>
        <w:ind w:firstLine="411" w:firstLineChars="196"/>
        <w:rPr>
          <w:rFonts w:hint="eastAsia" w:ascii="宋体" w:hAnsi="宋体"/>
          <w:color w:val="auto"/>
        </w:rPr>
      </w:pPr>
      <w:r>
        <w:rPr>
          <w:rFonts w:ascii="宋体" w:hAnsi="宋体"/>
          <w:color w:val="auto"/>
        </w:rPr>
        <w:t>38.2.4</w:t>
      </w:r>
      <w:r>
        <w:rPr>
          <w:rFonts w:hint="eastAsia" w:ascii="宋体" w:hAnsi="宋体"/>
          <w:color w:val="auto"/>
        </w:rPr>
        <w:t>政府集中采购机构</w:t>
      </w:r>
      <w:r>
        <w:rPr>
          <w:color w:val="auto"/>
        </w:rPr>
        <w:t>应当自评审结束之日起两个工作日内将候选中标供应商名单及其投标文件、评审报告送交采购人</w:t>
      </w:r>
      <w:r>
        <w:rPr>
          <w:rFonts w:hint="eastAsia" w:ascii="宋体" w:hAnsi="宋体"/>
          <w:color w:val="auto"/>
        </w:rPr>
        <w:t>。</w:t>
      </w:r>
      <w:r>
        <w:rPr>
          <w:color w:val="auto"/>
        </w:rPr>
        <w:t>采购人应当安排专人对定标过程进行书面记录，形成定标报告，作为采购文件的组成部分存档，并及时将定标结果反馈</w:t>
      </w:r>
      <w:r>
        <w:rPr>
          <w:rFonts w:hint="eastAsia"/>
          <w:color w:val="auto"/>
        </w:rPr>
        <w:t>政府集中采购机构。</w:t>
      </w:r>
      <w:r>
        <w:rPr>
          <w:rFonts w:hint="eastAsia" w:ascii="宋体" w:hAnsi="宋体"/>
          <w:color w:val="auto"/>
        </w:rPr>
        <w:t>说明：采购人及投标供应商应按照上述方法提前做好相关准备。</w:t>
      </w:r>
    </w:p>
    <w:p w14:paraId="0C4E9B76">
      <w:pPr>
        <w:ind w:firstLine="411" w:firstLineChars="196"/>
        <w:rPr>
          <w:rFonts w:hint="eastAsia" w:ascii="宋体" w:hAnsi="宋体"/>
          <w:color w:val="auto"/>
        </w:rPr>
      </w:pPr>
      <w:r>
        <w:rPr>
          <w:rFonts w:hint="eastAsia" w:ascii="宋体" w:hAnsi="宋体"/>
          <w:color w:val="auto"/>
        </w:rPr>
        <w:t>38.3专用条款另有规定的，按专用条款相关要求定标。</w:t>
      </w:r>
      <w:bookmarkEnd w:id="127"/>
    </w:p>
    <w:p w14:paraId="2202DA75">
      <w:pPr>
        <w:rPr>
          <w:rFonts w:hint="eastAsia" w:ascii="黑体" w:hAnsi="宋体" w:eastAsia="黑体"/>
          <w:color w:val="auto"/>
          <w:sz w:val="24"/>
        </w:rPr>
      </w:pPr>
      <w:r>
        <w:rPr>
          <w:rFonts w:hint="eastAsia" w:ascii="黑体" w:hAnsi="宋体" w:eastAsia="黑体"/>
          <w:color w:val="auto"/>
          <w:sz w:val="24"/>
        </w:rPr>
        <w:t>39．编写评审报告</w:t>
      </w:r>
    </w:p>
    <w:p w14:paraId="0EFFE060">
      <w:pPr>
        <w:ind w:firstLine="411" w:firstLineChars="196"/>
        <w:rPr>
          <w:rFonts w:hint="eastAsia" w:ascii="宋体" w:hAnsi="宋体"/>
          <w:color w:val="auto"/>
        </w:rPr>
      </w:pPr>
      <w:r>
        <w:rPr>
          <w:rFonts w:hint="eastAsia" w:ascii="宋体" w:hAnsi="宋体"/>
          <w:color w:val="auto"/>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7752FEC">
      <w:pPr>
        <w:rPr>
          <w:rFonts w:hint="eastAsia" w:ascii="黑体" w:hAnsi="宋体" w:eastAsia="黑体"/>
          <w:color w:val="auto"/>
          <w:sz w:val="24"/>
        </w:rPr>
      </w:pPr>
      <w:r>
        <w:rPr>
          <w:rFonts w:hint="eastAsia" w:ascii="黑体" w:hAnsi="宋体" w:eastAsia="黑体"/>
          <w:color w:val="auto"/>
          <w:sz w:val="24"/>
        </w:rPr>
        <w:t>40．中标公告</w:t>
      </w:r>
    </w:p>
    <w:p w14:paraId="11106756">
      <w:pPr>
        <w:ind w:firstLine="411" w:firstLineChars="196"/>
        <w:rPr>
          <w:rFonts w:hint="eastAsia" w:ascii="宋体" w:hAnsi="宋体"/>
          <w:color w:val="auto"/>
        </w:rPr>
      </w:pPr>
      <w:r>
        <w:rPr>
          <w:rFonts w:hint="eastAsia" w:ascii="宋体" w:hAnsi="宋体"/>
          <w:color w:val="auto"/>
        </w:rPr>
        <w:t>40.1</w:t>
      </w:r>
      <w:bookmarkStart w:id="131" w:name="_Hlk72438709"/>
      <w:r>
        <w:rPr>
          <w:rFonts w:hint="eastAsia" w:ascii="宋体" w:hAnsi="宋体"/>
          <w:color w:val="auto"/>
        </w:rPr>
        <w:t>为体现“公开、公平、公正”的原则，评审结束后经采购人确认（确定）评审结果，政府集中采购机构将在“新疆政采云平台”上发布中标结果公告。</w:t>
      </w:r>
      <w:bookmarkEnd w:id="131"/>
      <w:bookmarkStart w:id="132" w:name="_Hlk72438751"/>
      <w:r>
        <w:rPr>
          <w:rFonts w:hint="eastAsia" w:ascii="宋体" w:hAnsi="宋体"/>
          <w:color w:val="auto"/>
        </w:rPr>
        <w:t>供应商如对评审结果有异议，</w:t>
      </w:r>
      <w:r>
        <w:rPr>
          <w:rFonts w:ascii="宋体" w:hAnsi="宋体"/>
          <w:color w:val="auto"/>
        </w:rPr>
        <w:t>可在发布公示日期起</w:t>
      </w:r>
      <w:r>
        <w:rPr>
          <w:rFonts w:hint="eastAsia" w:ascii="宋体" w:hAnsi="宋体"/>
          <w:color w:val="auto"/>
        </w:rPr>
        <w:t>七</w:t>
      </w:r>
      <w:r>
        <w:rPr>
          <w:rFonts w:ascii="宋体" w:hAnsi="宋体"/>
          <w:color w:val="auto"/>
        </w:rPr>
        <w:t>个工作日内向</w:t>
      </w:r>
      <w:r>
        <w:rPr>
          <w:rFonts w:hint="eastAsia" w:ascii="宋体" w:hAnsi="宋体"/>
          <w:color w:val="auto"/>
        </w:rPr>
        <w:t>政府集中采购机构</w:t>
      </w:r>
      <w:r>
        <w:rPr>
          <w:rFonts w:ascii="宋体" w:hAnsi="宋体"/>
          <w:color w:val="auto"/>
        </w:rPr>
        <w:t>提出。 监督电话：</w:t>
      </w:r>
      <w:r>
        <w:rPr>
          <w:rFonts w:hint="eastAsia" w:ascii="宋体" w:hAnsi="宋体"/>
          <w:color w:val="auto"/>
        </w:rPr>
        <w:t>0996-2025012</w:t>
      </w:r>
      <w:r>
        <w:rPr>
          <w:rFonts w:ascii="宋体" w:hAnsi="宋体"/>
          <w:color w:val="auto"/>
        </w:rPr>
        <w:t>。</w:t>
      </w:r>
      <w:r>
        <w:rPr>
          <w:rFonts w:hint="eastAsia" w:ascii="宋体" w:hAnsi="宋体"/>
          <w:color w:val="auto"/>
        </w:rPr>
        <w:t>若在公示期内未提出质疑，则视为认同该评审结果。</w:t>
      </w:r>
    </w:p>
    <w:bookmarkEnd w:id="132"/>
    <w:p w14:paraId="34E36B92">
      <w:pPr>
        <w:ind w:firstLine="411" w:firstLineChars="196"/>
        <w:rPr>
          <w:rFonts w:hint="eastAsia" w:ascii="宋体" w:hAnsi="宋体"/>
          <w:color w:val="auto"/>
        </w:rPr>
      </w:pPr>
      <w:r>
        <w:rPr>
          <w:rFonts w:hint="eastAsia" w:ascii="宋体" w:hAnsi="宋体"/>
          <w:color w:val="auto"/>
        </w:rPr>
        <w:t>40.2质疑、投诉供应商应保证质疑、投诉内容的真实性和可靠性，并承担相应的法律责任。</w:t>
      </w:r>
    </w:p>
    <w:p w14:paraId="266F4FF1">
      <w:pPr>
        <w:rPr>
          <w:rFonts w:hint="eastAsia" w:ascii="黑体" w:hAnsi="宋体" w:eastAsia="黑体"/>
          <w:color w:val="auto"/>
          <w:sz w:val="24"/>
        </w:rPr>
      </w:pPr>
      <w:r>
        <w:rPr>
          <w:rFonts w:hint="eastAsia" w:ascii="黑体" w:hAnsi="宋体" w:eastAsia="黑体"/>
          <w:color w:val="auto"/>
          <w:sz w:val="24"/>
        </w:rPr>
        <w:t>41．中标通知书</w:t>
      </w:r>
    </w:p>
    <w:p w14:paraId="21611944">
      <w:pPr>
        <w:ind w:firstLine="411" w:firstLineChars="196"/>
        <w:rPr>
          <w:rFonts w:hint="eastAsia" w:ascii="宋体" w:hAnsi="宋体"/>
          <w:color w:val="auto"/>
        </w:rPr>
      </w:pPr>
      <w:r>
        <w:rPr>
          <w:rFonts w:hint="eastAsia" w:ascii="宋体" w:hAnsi="宋体"/>
          <w:color w:val="auto"/>
        </w:rPr>
        <w:t>41</w:t>
      </w:r>
      <w:r>
        <w:rPr>
          <w:rFonts w:ascii="宋体" w:hAnsi="宋体"/>
          <w:color w:val="auto"/>
        </w:rPr>
        <w:t>.</w:t>
      </w:r>
      <w:r>
        <w:rPr>
          <w:rFonts w:hint="eastAsia" w:ascii="宋体" w:hAnsi="宋体"/>
          <w:color w:val="auto"/>
        </w:rPr>
        <w:t>1</w:t>
      </w:r>
      <w:bookmarkStart w:id="133" w:name="_Hlk72438863"/>
      <w:r>
        <w:rPr>
          <w:rFonts w:hint="eastAsia" w:ascii="宋体" w:hAnsi="宋体"/>
          <w:color w:val="auto"/>
        </w:rPr>
        <w:t>中标公告公布以后无异常的情况下,中标供应商和采购人可自行在“新疆政采云平台）”上打印电子</w:t>
      </w:r>
      <w:r>
        <w:rPr>
          <w:rFonts w:hint="eastAsia" w:ascii="宋体" w:hAnsi="宋体"/>
          <w:bCs/>
          <w:color w:val="auto"/>
        </w:rPr>
        <w:t>中标通知书。</w:t>
      </w:r>
      <w:bookmarkEnd w:id="133"/>
    </w:p>
    <w:p w14:paraId="4C18DB63">
      <w:pPr>
        <w:ind w:firstLine="411" w:firstLineChars="196"/>
        <w:rPr>
          <w:rFonts w:hint="eastAsia" w:ascii="宋体" w:hAnsi="宋体"/>
          <w:color w:val="auto"/>
        </w:rPr>
      </w:pPr>
      <w:r>
        <w:rPr>
          <w:rFonts w:hint="eastAsia" w:ascii="宋体" w:hAnsi="宋体"/>
          <w:color w:val="auto"/>
        </w:rPr>
        <w:t>41</w:t>
      </w:r>
      <w:r>
        <w:rPr>
          <w:rFonts w:ascii="宋体" w:hAnsi="宋体"/>
          <w:color w:val="auto"/>
        </w:rPr>
        <w:t>.2</w:t>
      </w:r>
      <w:r>
        <w:rPr>
          <w:rFonts w:hint="eastAsia" w:ascii="宋体" w:hAnsi="宋体"/>
          <w:color w:val="auto"/>
        </w:rPr>
        <w:t>中标通知书是合同的重要组成部分。</w:t>
      </w:r>
    </w:p>
    <w:p w14:paraId="647A1A72">
      <w:pPr>
        <w:ind w:firstLine="411" w:firstLineChars="196"/>
        <w:rPr>
          <w:rFonts w:hint="eastAsia" w:ascii="宋体" w:hAnsi="宋体"/>
          <w:color w:val="auto"/>
        </w:rPr>
      </w:pPr>
      <w:bookmarkStart w:id="134" w:name="_Hlk71407340"/>
      <w:r>
        <w:rPr>
          <w:rFonts w:hint="eastAsia" w:ascii="宋体" w:hAnsi="宋体"/>
          <w:color w:val="auto"/>
        </w:rPr>
        <w:t>41.3因质疑投诉或其它原因导致项目结果变更或采购终止的，政府集中采购机构有权吊销中标通知书。</w:t>
      </w:r>
    </w:p>
    <w:bookmarkEnd w:id="134"/>
    <w:p w14:paraId="35F43B2E">
      <w:pPr>
        <w:pStyle w:val="7"/>
        <w:tabs>
          <w:tab w:val="left" w:pos="360"/>
        </w:tabs>
        <w:spacing w:before="156" w:beforeLines="50" w:after="156" w:afterLines="50"/>
        <w:ind w:firstLine="2249" w:firstLineChars="800"/>
        <w:jc w:val="both"/>
        <w:rPr>
          <w:color w:val="auto"/>
          <w:sz w:val="28"/>
          <w:szCs w:val="28"/>
        </w:rPr>
      </w:pPr>
      <w:r>
        <w:rPr>
          <w:rFonts w:hint="eastAsia"/>
          <w:color w:val="auto"/>
          <w:sz w:val="28"/>
          <w:szCs w:val="28"/>
        </w:rPr>
        <w:t>第九章  公开招标失败的后续处理</w:t>
      </w:r>
    </w:p>
    <w:p w14:paraId="229FE70E">
      <w:pPr>
        <w:rPr>
          <w:rFonts w:hint="eastAsia" w:ascii="黑体" w:hAnsi="宋体" w:eastAsia="黑体"/>
          <w:color w:val="auto"/>
          <w:sz w:val="24"/>
        </w:rPr>
      </w:pPr>
      <w:r>
        <w:rPr>
          <w:rFonts w:hint="eastAsia" w:ascii="黑体" w:hAnsi="宋体" w:eastAsia="黑体"/>
          <w:color w:val="auto"/>
          <w:sz w:val="24"/>
        </w:rPr>
        <w:t>42．公开招标失败的处理</w:t>
      </w:r>
    </w:p>
    <w:p w14:paraId="732E3F2A">
      <w:pPr>
        <w:ind w:firstLine="411" w:firstLineChars="196"/>
        <w:rPr>
          <w:rFonts w:hint="eastAsia" w:ascii="宋体" w:hAnsi="宋体"/>
          <w:color w:val="auto"/>
        </w:rPr>
      </w:pPr>
      <w:r>
        <w:rPr>
          <w:rFonts w:hint="eastAsia" w:ascii="宋体" w:hAnsi="宋体"/>
          <w:color w:val="auto"/>
        </w:rPr>
        <w:t>42.1本项目公开招标过程中若由于投标截止后实际递交</w:t>
      </w:r>
      <w:r>
        <w:rPr>
          <w:rFonts w:ascii="宋体" w:hAnsi="宋体"/>
          <w:color w:val="auto"/>
        </w:rPr>
        <w:t>投标</w:t>
      </w:r>
      <w:r>
        <w:rPr>
          <w:rFonts w:hint="eastAsia" w:ascii="宋体" w:hAnsi="宋体"/>
          <w:color w:val="auto"/>
        </w:rPr>
        <w:t>文件的供应商数量不足、经评审委员会评审对招标文件作实质响应的供应商不足等原因造成公开招标失败，可由</w:t>
      </w:r>
      <w:r>
        <w:rPr>
          <w:rFonts w:hint="eastAsia" w:ascii="宋体" w:hAnsi="宋体" w:cs="宋体"/>
          <w:color w:val="auto"/>
        </w:rPr>
        <w:t>政府集中采购机构</w:t>
      </w:r>
      <w:r>
        <w:rPr>
          <w:rFonts w:hint="eastAsia" w:ascii="宋体" w:hAnsi="宋体"/>
          <w:color w:val="auto"/>
        </w:rPr>
        <w:t>重新组织采购。</w:t>
      </w:r>
    </w:p>
    <w:p w14:paraId="357CD605">
      <w:pPr>
        <w:ind w:firstLine="411" w:firstLineChars="196"/>
        <w:rPr>
          <w:rFonts w:hint="eastAsia" w:ascii="宋体" w:hAnsi="宋体"/>
          <w:color w:val="auto"/>
        </w:rPr>
      </w:pPr>
      <w:r>
        <w:rPr>
          <w:rFonts w:hint="eastAsia" w:ascii="宋体" w:hAnsi="宋体"/>
          <w:color w:val="auto"/>
        </w:rPr>
        <w:t>42.2对公开招标失败的项目，评审委员会在出具该项目招标失败结论的同时，可以提出重新采购组织形式的建议，以及进一步完善招标文件的资格、技术、商务要求的修改建议。</w:t>
      </w:r>
    </w:p>
    <w:p w14:paraId="78B29363">
      <w:pPr>
        <w:ind w:firstLine="411" w:firstLineChars="196"/>
        <w:rPr>
          <w:rFonts w:hint="eastAsia" w:ascii="宋体" w:hAnsi="宋体"/>
          <w:color w:val="auto"/>
        </w:rPr>
      </w:pPr>
      <w:r>
        <w:rPr>
          <w:rFonts w:hint="eastAsia" w:ascii="宋体" w:hAnsi="宋体"/>
          <w:color w:val="auto"/>
        </w:rPr>
        <w:t>42.3重新组织采购有以下两种组织形式：</w:t>
      </w:r>
    </w:p>
    <w:p w14:paraId="1A140955">
      <w:pPr>
        <w:ind w:firstLine="411" w:firstLineChars="196"/>
        <w:rPr>
          <w:rFonts w:hint="eastAsia" w:ascii="宋体" w:hAnsi="宋体"/>
          <w:color w:val="auto"/>
        </w:rPr>
      </w:pPr>
      <w:r>
        <w:rPr>
          <w:rFonts w:hint="eastAsia" w:ascii="宋体" w:hAnsi="宋体"/>
          <w:color w:val="auto"/>
        </w:rPr>
        <w:t>（1）由政府集中采购机构重新组织公开招标；</w:t>
      </w:r>
    </w:p>
    <w:p w14:paraId="7753FAE7">
      <w:pPr>
        <w:ind w:firstLine="411" w:firstLineChars="196"/>
        <w:rPr>
          <w:rFonts w:hint="eastAsia" w:ascii="宋体" w:hAnsi="宋体"/>
          <w:color w:val="auto"/>
        </w:rPr>
      </w:pPr>
      <w:r>
        <w:rPr>
          <w:rFonts w:hint="eastAsia" w:ascii="宋体" w:hAnsi="宋体"/>
          <w:color w:val="auto"/>
        </w:rPr>
        <w:t>（2）根据实际情况需要向同级财政部门提出非公开招标方式申请，经同级财政部门批准，公开招标失败采购项目可转为竞争性谈判或单一来源谈判方式采购。</w:t>
      </w:r>
    </w:p>
    <w:p w14:paraId="1450166B">
      <w:pPr>
        <w:ind w:firstLine="411" w:firstLineChars="196"/>
        <w:rPr>
          <w:rFonts w:hint="eastAsia" w:ascii="宋体" w:hAnsi="宋体"/>
          <w:color w:val="auto"/>
        </w:rPr>
      </w:pPr>
      <w:r>
        <w:rPr>
          <w:rFonts w:hint="eastAsia" w:ascii="宋体" w:hAnsi="宋体"/>
          <w:color w:val="auto"/>
        </w:rPr>
        <w:t>42.4公开招标失败的采购项目重新组织公开招标，由政府集中采购机构重新按公开招标流程组织采购活动。</w:t>
      </w:r>
    </w:p>
    <w:p w14:paraId="2DACC8E4">
      <w:pPr>
        <w:ind w:firstLine="420" w:firstLineChars="200"/>
        <w:rPr>
          <w:rFonts w:hint="eastAsia" w:ascii="宋体" w:hAnsi="宋体"/>
          <w:color w:val="auto"/>
        </w:rPr>
      </w:pPr>
      <w:r>
        <w:rPr>
          <w:rFonts w:hint="eastAsia" w:ascii="宋体" w:hAnsi="宋体"/>
          <w:color w:val="auto"/>
        </w:rPr>
        <w:t>42.5公开招标失败的采购项目经同级财政部门批准转为竞争性谈判或单一来源谈判方式采购的，按规定要求组织政府采购工作。</w:t>
      </w:r>
    </w:p>
    <w:p w14:paraId="775405AA">
      <w:pPr>
        <w:pStyle w:val="7"/>
        <w:tabs>
          <w:tab w:val="left" w:pos="360"/>
        </w:tabs>
        <w:spacing w:before="156" w:beforeLines="50" w:after="156" w:afterLines="50"/>
        <w:ind w:firstLine="2811" w:firstLineChars="1000"/>
        <w:jc w:val="both"/>
        <w:rPr>
          <w:color w:val="auto"/>
          <w:sz w:val="28"/>
          <w:szCs w:val="28"/>
        </w:rPr>
      </w:pPr>
      <w:bookmarkStart w:id="135" w:name="_Hlk72439043"/>
      <w:r>
        <w:rPr>
          <w:rFonts w:hint="eastAsia"/>
          <w:color w:val="auto"/>
          <w:sz w:val="28"/>
          <w:szCs w:val="28"/>
        </w:rPr>
        <w:t>第十章  合同的授予与备案</w:t>
      </w:r>
      <w:bookmarkEnd w:id="135"/>
    </w:p>
    <w:p w14:paraId="7FAAB57C">
      <w:pPr>
        <w:rPr>
          <w:rFonts w:hint="eastAsia" w:ascii="黑体" w:hAnsi="宋体" w:eastAsia="黑体"/>
          <w:color w:val="auto"/>
          <w:sz w:val="24"/>
        </w:rPr>
      </w:pPr>
      <w:bookmarkStart w:id="136" w:name="_Toc73521674"/>
      <w:bookmarkStart w:id="137" w:name="_Toc73521586"/>
      <w:bookmarkStart w:id="138" w:name="_Toc100052408"/>
      <w:bookmarkStart w:id="139" w:name="_Toc73517679"/>
      <w:bookmarkStart w:id="140" w:name="_Toc73518157"/>
      <w:bookmarkStart w:id="141" w:name="_Hlk72439088"/>
      <w:r>
        <w:rPr>
          <w:rFonts w:hint="eastAsia" w:ascii="黑体" w:hAnsi="宋体" w:eastAsia="黑体"/>
          <w:color w:val="auto"/>
          <w:sz w:val="24"/>
        </w:rPr>
        <w:t>43．合同授予标准</w:t>
      </w:r>
      <w:bookmarkEnd w:id="136"/>
      <w:bookmarkEnd w:id="137"/>
      <w:bookmarkEnd w:id="138"/>
      <w:bookmarkEnd w:id="139"/>
      <w:bookmarkEnd w:id="140"/>
    </w:p>
    <w:p w14:paraId="0DC89F4A">
      <w:pPr>
        <w:ind w:firstLine="411" w:firstLineChars="196"/>
        <w:rPr>
          <w:rFonts w:hint="eastAsia" w:ascii="宋体" w:hAnsi="宋体"/>
          <w:color w:val="auto"/>
        </w:rPr>
      </w:pPr>
      <w:r>
        <w:rPr>
          <w:rFonts w:hint="eastAsia" w:ascii="宋体" w:hAnsi="宋体"/>
          <w:color w:val="auto"/>
        </w:rPr>
        <w:t>本项目的合同将授予经本招标文件规定评审确定的中标供应商。</w:t>
      </w:r>
    </w:p>
    <w:p w14:paraId="27C817AE">
      <w:pPr>
        <w:rPr>
          <w:rFonts w:hint="eastAsia" w:ascii="黑体" w:hAnsi="宋体" w:eastAsia="黑体"/>
          <w:color w:val="auto"/>
          <w:sz w:val="24"/>
        </w:rPr>
      </w:pPr>
      <w:bookmarkStart w:id="142" w:name="_Toc73521675"/>
      <w:bookmarkStart w:id="143" w:name="_Toc73521587"/>
      <w:bookmarkStart w:id="144" w:name="_Toc100052409"/>
      <w:bookmarkStart w:id="145" w:name="_Toc73517680"/>
      <w:bookmarkStart w:id="146" w:name="_Toc73518158"/>
      <w:r>
        <w:rPr>
          <w:rFonts w:hint="eastAsia" w:ascii="黑体" w:hAnsi="宋体" w:eastAsia="黑体"/>
          <w:color w:val="auto"/>
          <w:sz w:val="24"/>
        </w:rPr>
        <w:t>44．</w:t>
      </w:r>
      <w:bookmarkEnd w:id="142"/>
      <w:bookmarkEnd w:id="143"/>
      <w:bookmarkEnd w:id="144"/>
      <w:bookmarkEnd w:id="145"/>
      <w:bookmarkEnd w:id="146"/>
      <w:r>
        <w:rPr>
          <w:rFonts w:hint="eastAsia" w:ascii="黑体" w:hAnsi="宋体" w:eastAsia="黑体"/>
          <w:color w:val="auto"/>
          <w:sz w:val="24"/>
        </w:rPr>
        <w:t>接受和拒绝任何或所有投标的权力</w:t>
      </w:r>
    </w:p>
    <w:p w14:paraId="7FDFCB36">
      <w:pPr>
        <w:ind w:firstLine="411" w:firstLineChars="196"/>
        <w:rPr>
          <w:rFonts w:hint="eastAsia" w:ascii="宋体" w:hAnsi="宋体"/>
          <w:color w:val="auto"/>
        </w:rPr>
      </w:pPr>
      <w:r>
        <w:rPr>
          <w:rFonts w:hint="eastAsia" w:ascii="宋体" w:hAnsi="宋体"/>
          <w:color w:val="auto"/>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E544AA7">
      <w:pPr>
        <w:rPr>
          <w:rFonts w:hint="eastAsia" w:ascii="黑体" w:hAnsi="宋体" w:eastAsia="黑体"/>
          <w:color w:val="auto"/>
          <w:sz w:val="24"/>
        </w:rPr>
      </w:pPr>
      <w:bookmarkStart w:id="147" w:name="_Toc73521589"/>
      <w:bookmarkStart w:id="148" w:name="_Toc100052410"/>
      <w:bookmarkStart w:id="149" w:name="_Toc73517682"/>
      <w:bookmarkStart w:id="150" w:name="_Toc73518160"/>
      <w:bookmarkStart w:id="151" w:name="_Toc73521677"/>
      <w:r>
        <w:rPr>
          <w:rFonts w:hint="eastAsia" w:ascii="黑体" w:hAnsi="宋体" w:eastAsia="黑体"/>
          <w:color w:val="auto"/>
          <w:sz w:val="24"/>
        </w:rPr>
        <w:t>45．合同的签订</w:t>
      </w:r>
      <w:bookmarkEnd w:id="147"/>
      <w:bookmarkEnd w:id="148"/>
      <w:bookmarkEnd w:id="149"/>
      <w:bookmarkEnd w:id="150"/>
      <w:bookmarkEnd w:id="151"/>
    </w:p>
    <w:p w14:paraId="30054F62">
      <w:pPr>
        <w:ind w:firstLine="411" w:firstLineChars="196"/>
        <w:rPr>
          <w:rFonts w:hint="eastAsia" w:ascii="宋体" w:hAnsi="宋体"/>
          <w:color w:val="auto"/>
        </w:rPr>
      </w:pPr>
      <w:r>
        <w:rPr>
          <w:rFonts w:hint="eastAsia" w:ascii="宋体" w:hAnsi="宋体"/>
          <w:color w:val="auto"/>
        </w:rPr>
        <w:t>45.1中标人将于中标通知书发出之日起十个工作日内，按照采购文件（招标文件和投标文件等）内容与采购人签订政府采购合同；合同的实质性内容应当符合招标文件的规定；</w:t>
      </w:r>
    </w:p>
    <w:p w14:paraId="610C0C6F">
      <w:pPr>
        <w:ind w:firstLine="411" w:firstLineChars="196"/>
        <w:rPr>
          <w:rFonts w:hint="eastAsia" w:ascii="宋体" w:hAnsi="宋体"/>
          <w:color w:val="auto"/>
        </w:rPr>
      </w:pPr>
      <w:r>
        <w:rPr>
          <w:rFonts w:hint="eastAsia" w:ascii="宋体" w:hAnsi="宋体"/>
          <w:color w:val="auto"/>
        </w:rPr>
        <w:t>45.2中标人如不按本通用条款第45</w:t>
      </w:r>
      <w:r>
        <w:rPr>
          <w:rFonts w:ascii="宋体" w:hAnsi="宋体"/>
          <w:color w:val="auto"/>
        </w:rPr>
        <w:t>.1</w:t>
      </w:r>
      <w:r>
        <w:rPr>
          <w:rFonts w:hint="eastAsia" w:ascii="宋体" w:hAnsi="宋体"/>
          <w:color w:val="auto"/>
        </w:rPr>
        <w:t>款的规定与采购人签订合同，</w:t>
      </w:r>
      <w:r>
        <w:rPr>
          <w:rFonts w:ascii="宋体" w:hAnsi="宋体" w:cs="宋体"/>
          <w:color w:val="auto"/>
          <w:kern w:val="0"/>
        </w:rPr>
        <w:t>情节严重的，由</w:t>
      </w:r>
      <w:r>
        <w:rPr>
          <w:rFonts w:hint="eastAsia" w:ascii="宋体" w:hAnsi="宋体" w:cs="宋体"/>
          <w:color w:val="auto"/>
          <w:kern w:val="0"/>
        </w:rPr>
        <w:t>同级财政</w:t>
      </w:r>
      <w:r>
        <w:rPr>
          <w:rFonts w:ascii="宋体" w:hAnsi="宋体" w:cs="宋体"/>
          <w:color w:val="auto"/>
          <w:kern w:val="0"/>
        </w:rPr>
        <w:t>部门记入供应商诚信档案，予以通报</w:t>
      </w:r>
      <w:r>
        <w:rPr>
          <w:rFonts w:hint="eastAsia" w:ascii="宋体" w:hAnsi="宋体"/>
          <w:color w:val="auto"/>
        </w:rPr>
        <w:t>；</w:t>
      </w:r>
    </w:p>
    <w:p w14:paraId="387E8E30">
      <w:pPr>
        <w:ind w:firstLine="411" w:firstLineChars="196"/>
        <w:rPr>
          <w:rFonts w:hint="eastAsia" w:ascii="宋体" w:hAnsi="宋体"/>
          <w:color w:val="auto"/>
        </w:rPr>
      </w:pPr>
      <w:r>
        <w:rPr>
          <w:rFonts w:hint="eastAsia" w:ascii="宋体" w:hAnsi="宋体"/>
          <w:color w:val="auto"/>
        </w:rPr>
        <w:t>45.3中标人应当按照合同约定履行义务，完成中标项目，不得将中标项目转让（转包）给他人。</w:t>
      </w:r>
    </w:p>
    <w:p w14:paraId="09953152">
      <w:pPr>
        <w:rPr>
          <w:rFonts w:hint="eastAsia" w:ascii="黑体" w:hAnsi="宋体" w:eastAsia="黑体"/>
          <w:color w:val="auto"/>
          <w:sz w:val="24"/>
        </w:rPr>
      </w:pPr>
      <w:bookmarkStart w:id="152" w:name="_Toc73521678"/>
      <w:bookmarkStart w:id="153" w:name="_Toc100052411"/>
      <w:bookmarkStart w:id="154" w:name="_Toc73517683"/>
      <w:bookmarkStart w:id="155" w:name="_Toc73518161"/>
      <w:bookmarkStart w:id="156" w:name="_Toc73521590"/>
      <w:r>
        <w:rPr>
          <w:rFonts w:hint="eastAsia" w:ascii="黑体" w:hAnsi="宋体" w:eastAsia="黑体"/>
          <w:color w:val="auto"/>
          <w:sz w:val="24"/>
        </w:rPr>
        <w:t>46．履约担保</w:t>
      </w:r>
      <w:bookmarkEnd w:id="152"/>
      <w:bookmarkEnd w:id="153"/>
      <w:bookmarkEnd w:id="154"/>
      <w:bookmarkEnd w:id="155"/>
      <w:bookmarkEnd w:id="156"/>
    </w:p>
    <w:p w14:paraId="50DC2789">
      <w:pPr>
        <w:ind w:firstLine="411" w:firstLineChars="196"/>
        <w:rPr>
          <w:rFonts w:hint="eastAsia" w:ascii="宋体" w:hAnsi="宋体"/>
          <w:color w:val="auto"/>
        </w:rPr>
      </w:pPr>
      <w:r>
        <w:rPr>
          <w:rFonts w:hint="eastAsia" w:ascii="宋体" w:hAnsi="宋体"/>
          <w:color w:val="auto"/>
        </w:rPr>
        <w:t>46.1在签订项目合同的同时，中标人应按“对通用条款的补充内容”中规定的金额向采购人提交履约担保；</w:t>
      </w:r>
    </w:p>
    <w:p w14:paraId="2BCB03B9">
      <w:pPr>
        <w:ind w:firstLine="411" w:firstLineChars="196"/>
        <w:rPr>
          <w:rFonts w:hint="eastAsia" w:ascii="宋体" w:hAnsi="宋体"/>
          <w:color w:val="auto"/>
        </w:rPr>
      </w:pPr>
      <w:r>
        <w:rPr>
          <w:rFonts w:hint="eastAsia" w:ascii="宋体" w:hAnsi="宋体"/>
          <w:color w:val="auto"/>
        </w:rPr>
        <w:t>46.2，允许供应商自主选择以支票、汇票、本票、保函等非现金方式提交履约担保；</w:t>
      </w:r>
      <w:r>
        <w:rPr>
          <w:color w:val="auto"/>
        </w:rPr>
        <w:t>中标</w:t>
      </w:r>
      <w:r>
        <w:rPr>
          <w:rFonts w:hint="eastAsia"/>
          <w:color w:val="auto"/>
        </w:rPr>
        <w:t>人</w:t>
      </w:r>
      <w:r>
        <w:rPr>
          <w:color w:val="auto"/>
        </w:rPr>
        <w:t>提交履约</w:t>
      </w:r>
      <w:r>
        <w:rPr>
          <w:rFonts w:hint="eastAsia"/>
          <w:color w:val="auto"/>
        </w:rPr>
        <w:t>担保不是</w:t>
      </w:r>
      <w:r>
        <w:rPr>
          <w:color w:val="auto"/>
        </w:rPr>
        <w:t>合同签订的</w:t>
      </w:r>
      <w:r>
        <w:rPr>
          <w:rFonts w:hint="eastAsia"/>
          <w:color w:val="auto"/>
        </w:rPr>
        <w:t>前提</w:t>
      </w:r>
      <w:r>
        <w:rPr>
          <w:color w:val="auto"/>
        </w:rPr>
        <w:t>条件，不要求中标</w:t>
      </w:r>
      <w:r>
        <w:rPr>
          <w:rFonts w:hint="eastAsia"/>
          <w:color w:val="auto"/>
        </w:rPr>
        <w:t>人</w:t>
      </w:r>
      <w:r>
        <w:rPr>
          <w:color w:val="auto"/>
        </w:rPr>
        <w:t>提供除法律、法规明确规定外的其他担保</w:t>
      </w:r>
      <w:r>
        <w:rPr>
          <w:rFonts w:hint="eastAsia"/>
          <w:color w:val="auto"/>
        </w:rPr>
        <w:t>。</w:t>
      </w:r>
    </w:p>
    <w:p w14:paraId="50AD43FD">
      <w:pPr>
        <w:rPr>
          <w:rFonts w:hint="eastAsia" w:ascii="黑体" w:hAnsi="宋体" w:eastAsia="黑体"/>
          <w:color w:val="auto"/>
          <w:sz w:val="24"/>
        </w:rPr>
      </w:pPr>
      <w:r>
        <w:rPr>
          <w:rFonts w:hint="eastAsia" w:ascii="黑体" w:hAnsi="宋体" w:eastAsia="黑体"/>
          <w:color w:val="auto"/>
          <w:sz w:val="24"/>
        </w:rPr>
        <w:t>47. 合同备案</w:t>
      </w:r>
    </w:p>
    <w:p w14:paraId="1510E69A">
      <w:pPr>
        <w:ind w:firstLine="411" w:firstLineChars="196"/>
        <w:rPr>
          <w:rFonts w:hint="eastAsia" w:ascii="宋体" w:hAnsi="宋体"/>
          <w:color w:val="auto"/>
        </w:rPr>
      </w:pPr>
      <w:r>
        <w:rPr>
          <w:rFonts w:hint="eastAsia" w:ascii="宋体" w:hAnsi="宋体"/>
          <w:color w:val="auto"/>
        </w:rPr>
        <w:t>采购人与中标人应于合同签订之日起十日内，由采购人或委托中标人将采购合同副本抄送合同备案工作实施机构备案。</w:t>
      </w:r>
    </w:p>
    <w:p w14:paraId="07DE9B75">
      <w:pPr>
        <w:rPr>
          <w:rFonts w:hint="eastAsia" w:ascii="黑体" w:hAnsi="宋体" w:eastAsia="黑体"/>
          <w:color w:val="auto"/>
          <w:sz w:val="24"/>
        </w:rPr>
      </w:pPr>
      <w:r>
        <w:rPr>
          <w:rFonts w:hint="eastAsia" w:ascii="黑体" w:hAnsi="宋体" w:eastAsia="黑体"/>
          <w:color w:val="auto"/>
          <w:sz w:val="24"/>
        </w:rPr>
        <w:t>48. 合同变更</w:t>
      </w:r>
    </w:p>
    <w:p w14:paraId="666CE905">
      <w:pPr>
        <w:ind w:firstLine="411" w:firstLineChars="196"/>
        <w:rPr>
          <w:rFonts w:hint="eastAsia" w:ascii="宋体" w:hAnsi="宋体"/>
          <w:color w:val="auto"/>
        </w:rPr>
      </w:pPr>
      <w:r>
        <w:rPr>
          <w:rFonts w:hint="eastAsia" w:ascii="宋体" w:hAnsi="宋体"/>
          <w:color w:val="auto"/>
        </w:rPr>
        <w:t>合同变更事宜按财政部门相关规定执行。</w:t>
      </w:r>
    </w:p>
    <w:p w14:paraId="1ED34D3E">
      <w:pPr>
        <w:rPr>
          <w:rFonts w:hint="eastAsia" w:ascii="黑体" w:hAnsi="宋体" w:eastAsia="黑体"/>
          <w:color w:val="auto"/>
          <w:sz w:val="24"/>
        </w:rPr>
      </w:pPr>
      <w:r>
        <w:rPr>
          <w:rFonts w:hint="eastAsia" w:ascii="黑体" w:hAnsi="宋体" w:eastAsia="黑体"/>
          <w:color w:val="auto"/>
          <w:sz w:val="24"/>
        </w:rPr>
        <w:t>49. 项目验收</w:t>
      </w:r>
    </w:p>
    <w:p w14:paraId="40FF8E59">
      <w:pPr>
        <w:widowControl/>
        <w:ind w:right="176" w:firstLine="420"/>
        <w:jc w:val="left"/>
        <w:rPr>
          <w:rFonts w:hint="eastAsia" w:ascii="宋体" w:hAnsi="宋体"/>
          <w:color w:val="auto"/>
        </w:rPr>
      </w:pPr>
      <w:r>
        <w:rPr>
          <w:rFonts w:hint="eastAsia" w:ascii="宋体" w:hAnsi="宋体"/>
          <w:color w:val="auto"/>
        </w:rPr>
        <w:t>49.1采购人应当按照招标文件和合同规定的标准和方法，及时组织验收。</w:t>
      </w:r>
    </w:p>
    <w:p w14:paraId="6021091F">
      <w:pPr>
        <w:rPr>
          <w:rFonts w:hint="eastAsia" w:ascii="黑体" w:hAnsi="宋体" w:eastAsia="黑体"/>
          <w:color w:val="auto"/>
          <w:sz w:val="24"/>
        </w:rPr>
      </w:pPr>
      <w:r>
        <w:rPr>
          <w:rFonts w:hint="eastAsia" w:ascii="黑体" w:hAnsi="宋体" w:eastAsia="黑体"/>
          <w:color w:val="auto"/>
          <w:sz w:val="24"/>
        </w:rPr>
        <w:t>50. 宣传</w:t>
      </w:r>
    </w:p>
    <w:p w14:paraId="2F0B6048">
      <w:pPr>
        <w:ind w:left="210" w:leftChars="100" w:firstLine="411" w:firstLineChars="196"/>
        <w:rPr>
          <w:rFonts w:hint="eastAsia" w:ascii="宋体" w:hAnsi="宋体"/>
          <w:color w:val="auto"/>
        </w:rPr>
      </w:pPr>
      <w:r>
        <w:rPr>
          <w:rFonts w:hint="eastAsia" w:ascii="宋体" w:hAnsi="宋体"/>
          <w:color w:val="auto"/>
        </w:rPr>
        <w:t>凡与政府采购活动有关的宣传或广告，若当中提及政府采购，</w:t>
      </w:r>
      <w:r>
        <w:rPr>
          <w:rFonts w:ascii="宋体" w:hAnsi="宋体"/>
          <w:color w:val="auto"/>
        </w:rPr>
        <w:t>必须事先将具体对外宣传方案报</w:t>
      </w:r>
      <w:r>
        <w:rPr>
          <w:rFonts w:hint="eastAsia" w:ascii="宋体" w:hAnsi="宋体"/>
          <w:color w:val="auto"/>
        </w:rPr>
        <w:t>同级财政部门</w:t>
      </w:r>
      <w:r>
        <w:rPr>
          <w:rFonts w:ascii="宋体" w:hAnsi="宋体"/>
          <w:color w:val="auto"/>
        </w:rPr>
        <w:t>和</w:t>
      </w:r>
      <w:r>
        <w:rPr>
          <w:rFonts w:hint="eastAsia" w:ascii="宋体" w:hAnsi="宋体"/>
          <w:color w:val="auto"/>
        </w:rPr>
        <w:t>政府集中采购机构</w:t>
      </w:r>
      <w:r>
        <w:rPr>
          <w:rFonts w:ascii="宋体" w:hAnsi="宋体"/>
          <w:color w:val="auto"/>
        </w:rPr>
        <w:t>，并征得其同意。对外市场宣传包括但不限于以下形式：</w:t>
      </w:r>
    </w:p>
    <w:p w14:paraId="4897D2F3">
      <w:pPr>
        <w:ind w:left="210" w:leftChars="100" w:firstLine="411" w:firstLineChars="196"/>
        <w:rPr>
          <w:rFonts w:hint="eastAsia" w:ascii="宋体" w:hAnsi="宋体"/>
          <w:color w:val="auto"/>
        </w:rPr>
      </w:pPr>
      <w:r>
        <w:rPr>
          <w:rFonts w:ascii="宋体" w:hAnsi="宋体"/>
          <w:color w:val="auto"/>
        </w:rPr>
        <w:t>a.名片、宣传册、广告标语等；</w:t>
      </w:r>
    </w:p>
    <w:p w14:paraId="44FBEB7E">
      <w:pPr>
        <w:ind w:left="210" w:leftChars="100" w:firstLine="411" w:firstLineChars="196"/>
        <w:rPr>
          <w:rFonts w:hint="eastAsia" w:ascii="宋体" w:hAnsi="宋体"/>
          <w:color w:val="auto"/>
        </w:rPr>
      </w:pPr>
      <w:r>
        <w:rPr>
          <w:rFonts w:ascii="宋体" w:hAnsi="宋体"/>
          <w:color w:val="auto"/>
        </w:rPr>
        <w:t>b.案例介绍、推广等；</w:t>
      </w:r>
    </w:p>
    <w:p w14:paraId="4C520377">
      <w:pPr>
        <w:ind w:left="210" w:leftChars="100" w:firstLine="411" w:firstLineChars="196"/>
        <w:rPr>
          <w:rFonts w:hint="eastAsia" w:ascii="宋体" w:hAnsi="宋体"/>
          <w:color w:val="auto"/>
        </w:rPr>
      </w:pPr>
      <w:r>
        <w:rPr>
          <w:rFonts w:hint="eastAsia" w:ascii="宋体" w:hAnsi="宋体"/>
          <w:color w:val="auto"/>
        </w:rPr>
        <w:t>c.工作</w:t>
      </w:r>
      <w:r>
        <w:rPr>
          <w:rFonts w:ascii="宋体" w:hAnsi="宋体"/>
          <w:color w:val="auto"/>
        </w:rPr>
        <w:t>人员向其他消费群体宣传。</w:t>
      </w:r>
    </w:p>
    <w:p w14:paraId="22AB11F5">
      <w:pPr>
        <w:rPr>
          <w:rFonts w:hint="eastAsia" w:ascii="黑体" w:hAnsi="宋体" w:eastAsia="黑体"/>
          <w:color w:val="auto"/>
          <w:sz w:val="24"/>
        </w:rPr>
      </w:pPr>
      <w:r>
        <w:rPr>
          <w:rFonts w:hint="eastAsia" w:ascii="黑体" w:hAnsi="宋体" w:eastAsia="黑体"/>
          <w:color w:val="auto"/>
          <w:sz w:val="24"/>
        </w:rPr>
        <w:t>51. 供应商违法责任</w:t>
      </w:r>
    </w:p>
    <w:p w14:paraId="7DC04862">
      <w:pPr>
        <w:ind w:firstLine="411" w:firstLineChars="196"/>
        <w:rPr>
          <w:rFonts w:hint="eastAsia" w:ascii="宋体" w:hAnsi="宋体"/>
          <w:color w:val="auto"/>
        </w:rPr>
      </w:pPr>
      <w:r>
        <w:rPr>
          <w:rFonts w:hint="eastAsia" w:ascii="宋体" w:hAnsi="宋体"/>
          <w:color w:val="auto"/>
        </w:rPr>
        <w:t>5</w:t>
      </w:r>
      <w:r>
        <w:rPr>
          <w:rFonts w:ascii="宋体" w:hAnsi="宋体"/>
          <w:color w:val="auto"/>
        </w:rPr>
        <w:t>1.1</w:t>
      </w:r>
      <w:r>
        <w:rPr>
          <w:rFonts w:hint="eastAsia" w:ascii="宋体" w:hAnsi="宋体"/>
          <w:color w:val="auto"/>
        </w:rPr>
        <w:t>供应商在政府采购中，有下列行为之一的，一至三年内禁止其参与本市政府采购，并由主管部门记入供应商诚信档案，处以采购金额千分之十以上千分之二十以下的罚款；情节严重的，取消其参与本地区政府采购资格，处以采购金额千分之二十以上千分之三十以下的罚款，并由市场监管部门依法吊销其营业执照；给他人造成损失的，依法承担赔偿责任；构成犯罪的，依法追究刑事责任：</w:t>
      </w:r>
    </w:p>
    <w:p w14:paraId="1E78B1AB">
      <w:pPr>
        <w:ind w:firstLine="411" w:firstLineChars="196"/>
        <w:rPr>
          <w:rFonts w:hint="eastAsia" w:ascii="宋体" w:hAnsi="宋体"/>
          <w:color w:val="auto"/>
        </w:rPr>
      </w:pPr>
      <w:r>
        <w:rPr>
          <w:rFonts w:hint="eastAsia" w:ascii="宋体" w:hAnsi="宋体"/>
          <w:color w:val="auto"/>
        </w:rPr>
        <w:t>（1）在采购活动中应当回避而未回避的；</w:t>
      </w:r>
    </w:p>
    <w:p w14:paraId="7D303E3B">
      <w:pPr>
        <w:ind w:firstLine="411" w:firstLineChars="196"/>
        <w:rPr>
          <w:rFonts w:hint="eastAsia" w:ascii="宋体" w:hAnsi="宋体"/>
          <w:color w:val="auto"/>
        </w:rPr>
      </w:pPr>
      <w:r>
        <w:rPr>
          <w:rFonts w:hint="eastAsia" w:ascii="宋体" w:hAnsi="宋体"/>
          <w:color w:val="auto"/>
        </w:rPr>
        <w:t>（2）未按本条例规定签订、履行采购合同，造成严重后果的；</w:t>
      </w:r>
    </w:p>
    <w:p w14:paraId="527B55D3">
      <w:pPr>
        <w:ind w:firstLine="411" w:firstLineChars="196"/>
        <w:rPr>
          <w:rFonts w:hint="eastAsia" w:ascii="宋体" w:hAnsi="宋体"/>
          <w:color w:val="auto"/>
        </w:rPr>
      </w:pPr>
      <w:r>
        <w:rPr>
          <w:rFonts w:hint="eastAsia" w:ascii="宋体" w:hAnsi="宋体"/>
          <w:color w:val="auto"/>
        </w:rPr>
        <w:t>（3）隐瞒真实情况，提供虚假资料的；</w:t>
      </w:r>
    </w:p>
    <w:p w14:paraId="56C094A5">
      <w:pPr>
        <w:ind w:firstLine="411" w:firstLineChars="196"/>
        <w:rPr>
          <w:rFonts w:hint="eastAsia" w:ascii="宋体" w:hAnsi="宋体"/>
          <w:color w:val="auto"/>
        </w:rPr>
      </w:pPr>
      <w:r>
        <w:rPr>
          <w:rFonts w:hint="eastAsia" w:ascii="宋体" w:hAnsi="宋体"/>
          <w:color w:val="auto"/>
        </w:rPr>
        <w:t>（4）以非法手段排斥其他供应商参与竞争的；</w:t>
      </w:r>
    </w:p>
    <w:p w14:paraId="6DFA0C96">
      <w:pPr>
        <w:ind w:firstLine="411" w:firstLineChars="196"/>
        <w:rPr>
          <w:rFonts w:hint="eastAsia" w:ascii="宋体" w:hAnsi="宋体"/>
          <w:color w:val="auto"/>
        </w:rPr>
      </w:pPr>
      <w:r>
        <w:rPr>
          <w:rFonts w:hint="eastAsia" w:ascii="宋体" w:hAnsi="宋体"/>
          <w:color w:val="auto"/>
        </w:rPr>
        <w:t>（5）与其他采购参加人串通投标的；</w:t>
      </w:r>
    </w:p>
    <w:p w14:paraId="66218794">
      <w:pPr>
        <w:ind w:firstLine="411" w:firstLineChars="196"/>
        <w:rPr>
          <w:rFonts w:hint="eastAsia" w:ascii="宋体" w:hAnsi="宋体"/>
          <w:color w:val="auto"/>
        </w:rPr>
      </w:pPr>
      <w:r>
        <w:rPr>
          <w:rFonts w:hint="eastAsia" w:ascii="宋体" w:hAnsi="宋体"/>
          <w:color w:val="auto"/>
        </w:rPr>
        <w:t>（6）恶意投诉的；</w:t>
      </w:r>
    </w:p>
    <w:p w14:paraId="5AFB5C09">
      <w:pPr>
        <w:ind w:firstLine="411" w:firstLineChars="196"/>
        <w:rPr>
          <w:rFonts w:hint="eastAsia" w:ascii="宋体" w:hAnsi="宋体"/>
          <w:color w:val="auto"/>
        </w:rPr>
      </w:pPr>
      <w:r>
        <w:rPr>
          <w:rFonts w:hint="eastAsia" w:ascii="宋体" w:hAnsi="宋体"/>
          <w:color w:val="auto"/>
        </w:rPr>
        <w:t>（7）向采购项目相关人行贿或者提供其他不当利益的；</w:t>
      </w:r>
    </w:p>
    <w:p w14:paraId="545D9FA0">
      <w:pPr>
        <w:ind w:firstLine="411" w:firstLineChars="196"/>
        <w:rPr>
          <w:rFonts w:hint="eastAsia" w:ascii="宋体" w:hAnsi="宋体"/>
          <w:color w:val="auto"/>
        </w:rPr>
      </w:pPr>
      <w:r>
        <w:rPr>
          <w:rFonts w:hint="eastAsia" w:ascii="宋体" w:hAnsi="宋体"/>
          <w:color w:val="auto"/>
        </w:rPr>
        <w:t>（8）阻碍、抗拒主管部门监督检查的；</w:t>
      </w:r>
    </w:p>
    <w:p w14:paraId="27616B78">
      <w:pPr>
        <w:ind w:firstLine="411" w:firstLineChars="196"/>
        <w:rPr>
          <w:rFonts w:hint="eastAsia" w:ascii="宋体" w:hAnsi="宋体"/>
          <w:color w:val="auto"/>
        </w:rPr>
      </w:pPr>
      <w:r>
        <w:rPr>
          <w:rFonts w:hint="eastAsia" w:ascii="宋体" w:hAnsi="宋体"/>
          <w:color w:val="auto"/>
        </w:rPr>
        <w:t>（9）其他违反本条例规定的行为。</w:t>
      </w:r>
    </w:p>
    <w:p w14:paraId="73183F49">
      <w:pPr>
        <w:ind w:firstLine="411" w:firstLineChars="196"/>
        <w:rPr>
          <w:rFonts w:hint="eastAsia" w:ascii="宋体" w:hAnsi="宋体"/>
          <w:color w:val="auto"/>
        </w:rPr>
      </w:pPr>
      <w:r>
        <w:rPr>
          <w:rFonts w:hint="eastAsia" w:ascii="宋体" w:hAnsi="宋体"/>
          <w:color w:val="auto"/>
        </w:rPr>
        <w:t>5</w:t>
      </w:r>
      <w:r>
        <w:rPr>
          <w:rFonts w:ascii="宋体" w:hAnsi="宋体"/>
          <w:color w:val="auto"/>
        </w:rPr>
        <w:t xml:space="preserve">1.2 </w:t>
      </w:r>
      <w:r>
        <w:rPr>
          <w:rFonts w:hint="eastAsia" w:ascii="宋体" w:hAnsi="宋体"/>
          <w:color w:val="auto"/>
        </w:rPr>
        <w:t>有下述四条所列情形的，</w:t>
      </w:r>
      <w:bookmarkStart w:id="157" w:name="_Hlk72440769"/>
      <w:r>
        <w:rPr>
          <w:rFonts w:hint="eastAsia" w:ascii="宋体" w:hAnsi="宋体"/>
          <w:color w:val="auto"/>
        </w:rPr>
        <w:t>采购人或政府集中采购机构</w:t>
      </w:r>
      <w:bookmarkEnd w:id="157"/>
      <w:r>
        <w:rPr>
          <w:rFonts w:hint="eastAsia" w:ascii="宋体" w:hAnsi="宋体"/>
          <w:color w:val="auto"/>
        </w:rPr>
        <w:t>可将有关情况报同级财政部门，由财政部门根据实际情况记入供应商诚信档案，予以通报：</w:t>
      </w:r>
    </w:p>
    <w:p w14:paraId="5A92EA91">
      <w:pPr>
        <w:ind w:firstLine="411" w:firstLineChars="196"/>
        <w:rPr>
          <w:rFonts w:hint="eastAsia" w:ascii="宋体" w:hAnsi="宋体"/>
          <w:color w:val="auto"/>
        </w:rPr>
      </w:pPr>
      <w:r>
        <w:rPr>
          <w:rFonts w:hint="eastAsia" w:ascii="宋体" w:hAnsi="宋体"/>
          <w:color w:val="auto"/>
        </w:rPr>
        <w:t>（1</w:t>
      </w:r>
      <w:r>
        <w:rPr>
          <w:rFonts w:ascii="宋体" w:hAnsi="宋体"/>
          <w:color w:val="auto"/>
        </w:rPr>
        <w:t>）投标截止后，撤销投标的；</w:t>
      </w:r>
    </w:p>
    <w:p w14:paraId="6C382DF1">
      <w:pPr>
        <w:ind w:firstLine="411" w:firstLineChars="196"/>
        <w:rPr>
          <w:rFonts w:hint="eastAsia" w:ascii="宋体" w:hAnsi="宋体"/>
          <w:color w:val="auto"/>
        </w:rPr>
      </w:pPr>
      <w:r>
        <w:rPr>
          <w:rFonts w:ascii="宋体" w:hAnsi="宋体"/>
          <w:color w:val="auto"/>
        </w:rPr>
        <w:t>（</w:t>
      </w:r>
      <w:r>
        <w:rPr>
          <w:rFonts w:hint="eastAsia" w:ascii="宋体" w:hAnsi="宋体"/>
          <w:color w:val="auto"/>
        </w:rPr>
        <w:t>2</w:t>
      </w:r>
      <w:r>
        <w:rPr>
          <w:rFonts w:ascii="宋体" w:hAnsi="宋体"/>
          <w:color w:val="auto"/>
        </w:rPr>
        <w:t>）中标后无正当理由未在规定期限内签订合同的；</w:t>
      </w:r>
    </w:p>
    <w:p w14:paraId="2C438A50">
      <w:pPr>
        <w:ind w:firstLine="411" w:firstLineChars="196"/>
        <w:rPr>
          <w:rFonts w:hint="eastAsia" w:ascii="宋体" w:hAnsi="宋体"/>
          <w:color w:val="auto"/>
        </w:rPr>
      </w:pPr>
      <w:r>
        <w:rPr>
          <w:rFonts w:ascii="宋体" w:hAnsi="宋体"/>
          <w:color w:val="auto"/>
        </w:rPr>
        <w:t>（</w:t>
      </w:r>
      <w:r>
        <w:rPr>
          <w:rFonts w:hint="eastAsia" w:ascii="宋体" w:hAnsi="宋体"/>
          <w:color w:val="auto"/>
        </w:rPr>
        <w:t>3</w:t>
      </w:r>
      <w:r>
        <w:rPr>
          <w:rFonts w:ascii="宋体" w:hAnsi="宋体"/>
          <w:color w:val="auto"/>
        </w:rPr>
        <w:t>）将中标项目转让给他人、或者在投标文件中未说明且未经采购人、采购招标机构同意，将中标项目分包给他人的；</w:t>
      </w:r>
    </w:p>
    <w:p w14:paraId="59F4775C">
      <w:pPr>
        <w:ind w:firstLine="411" w:firstLineChars="196"/>
        <w:rPr>
          <w:rFonts w:hint="eastAsia" w:ascii="宋体" w:hAnsi="宋体"/>
          <w:color w:val="auto"/>
        </w:rPr>
      </w:pPr>
      <w:r>
        <w:rPr>
          <w:rFonts w:ascii="宋体" w:hAnsi="宋体"/>
          <w:color w:val="auto"/>
        </w:rPr>
        <w:t>（</w:t>
      </w:r>
      <w:r>
        <w:rPr>
          <w:rFonts w:hint="eastAsia" w:ascii="宋体" w:hAnsi="宋体"/>
          <w:color w:val="auto"/>
        </w:rPr>
        <w:t>4</w:t>
      </w:r>
      <w:r>
        <w:rPr>
          <w:rFonts w:ascii="宋体" w:hAnsi="宋体"/>
          <w:color w:val="auto"/>
        </w:rPr>
        <w:t>）拒绝履行合同义务的</w:t>
      </w:r>
      <w:r>
        <w:rPr>
          <w:rFonts w:hint="eastAsia" w:ascii="宋体" w:hAnsi="宋体"/>
          <w:color w:val="auto"/>
        </w:rPr>
        <w:t>。</w:t>
      </w:r>
    </w:p>
    <w:bookmarkEnd w:id="141"/>
    <w:p w14:paraId="59D910B9">
      <w:pPr>
        <w:pStyle w:val="7"/>
        <w:tabs>
          <w:tab w:val="left" w:pos="360"/>
        </w:tabs>
        <w:spacing w:before="156" w:beforeLines="50" w:after="156" w:afterLines="50"/>
        <w:ind w:firstLine="2530" w:firstLineChars="900"/>
        <w:jc w:val="both"/>
        <w:rPr>
          <w:color w:val="auto"/>
          <w:sz w:val="28"/>
          <w:szCs w:val="28"/>
        </w:rPr>
      </w:pPr>
      <w:r>
        <w:rPr>
          <w:rFonts w:hint="eastAsia"/>
          <w:color w:val="auto"/>
          <w:sz w:val="28"/>
          <w:szCs w:val="28"/>
        </w:rPr>
        <w:t>第十一章  质疑处理</w:t>
      </w:r>
    </w:p>
    <w:p w14:paraId="6E7EF2D6">
      <w:pPr>
        <w:rPr>
          <w:rFonts w:hint="eastAsia" w:ascii="黑体" w:hAnsi="宋体" w:eastAsia="黑体"/>
          <w:color w:val="auto"/>
          <w:sz w:val="24"/>
        </w:rPr>
      </w:pPr>
      <w:bookmarkStart w:id="158" w:name="_Hlk72439706"/>
      <w:r>
        <w:rPr>
          <w:rFonts w:hint="eastAsia" w:ascii="黑体" w:hAnsi="宋体" w:eastAsia="黑体"/>
          <w:color w:val="auto"/>
          <w:sz w:val="24"/>
        </w:rPr>
        <w:t>52.质疑提出与答复</w:t>
      </w:r>
    </w:p>
    <w:p w14:paraId="163D5277">
      <w:pPr>
        <w:rPr>
          <w:rFonts w:hint="eastAsia" w:ascii="宋体" w:hAnsi="宋体"/>
          <w:color w:val="auto"/>
        </w:rPr>
      </w:pPr>
      <w:r>
        <w:rPr>
          <w:rFonts w:hint="eastAsia" w:ascii="宋体" w:hAnsi="宋体"/>
          <w:color w:val="auto"/>
        </w:rPr>
        <w:t xml:space="preserve">    52.1提出质疑</w:t>
      </w:r>
    </w:p>
    <w:p w14:paraId="218238CD">
      <w:pPr>
        <w:rPr>
          <w:rFonts w:hint="eastAsia" w:ascii="宋体" w:hAnsi="宋体"/>
          <w:color w:val="auto"/>
        </w:rPr>
      </w:pPr>
      <w:r>
        <w:rPr>
          <w:rFonts w:hint="eastAsia" w:ascii="宋体" w:hAnsi="宋体"/>
          <w:color w:val="auto"/>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216E67B8">
      <w:pPr>
        <w:rPr>
          <w:rFonts w:hint="eastAsia" w:ascii="宋体" w:hAnsi="宋体"/>
          <w:color w:val="auto"/>
        </w:rPr>
      </w:pPr>
      <w:r>
        <w:rPr>
          <w:rFonts w:hint="eastAsia" w:ascii="宋体" w:hAnsi="宋体"/>
          <w:color w:val="auto"/>
        </w:rPr>
        <w:t xml:space="preserve">    52.2</w:t>
      </w:r>
      <w:r>
        <w:rPr>
          <w:rFonts w:ascii="宋体" w:hAnsi="宋体"/>
          <w:color w:val="auto"/>
        </w:rPr>
        <w:t>法律依据</w:t>
      </w:r>
    </w:p>
    <w:p w14:paraId="604A909F">
      <w:pPr>
        <w:rPr>
          <w:rFonts w:hint="eastAsia" w:ascii="宋体" w:hAnsi="宋体"/>
          <w:color w:val="auto"/>
        </w:rPr>
      </w:pPr>
      <w:r>
        <w:rPr>
          <w:rFonts w:hint="eastAsia" w:ascii="宋体" w:hAnsi="宋体"/>
          <w:color w:val="auto"/>
        </w:rPr>
        <w:t xml:space="preserve">    《中华人民共和国政府采购法》、《中华人民共和国政府采购法实施条例》、《政府采购质疑和投诉办法》（财政部令第94号）和其他有关法律法规规定。</w:t>
      </w:r>
    </w:p>
    <w:p w14:paraId="45A25D12">
      <w:pPr>
        <w:rPr>
          <w:rFonts w:hint="eastAsia" w:ascii="宋体" w:hAnsi="宋体"/>
          <w:color w:val="auto"/>
        </w:rPr>
      </w:pPr>
      <w:r>
        <w:rPr>
          <w:rFonts w:hint="eastAsia" w:ascii="宋体" w:hAnsi="宋体"/>
          <w:color w:val="auto"/>
        </w:rPr>
        <w:t>52.3质疑条件</w:t>
      </w:r>
    </w:p>
    <w:p w14:paraId="1DF15D8B">
      <w:pPr>
        <w:rPr>
          <w:rFonts w:hint="eastAsia" w:ascii="宋体" w:hAnsi="宋体"/>
          <w:color w:val="auto"/>
        </w:rPr>
      </w:pPr>
      <w:r>
        <w:rPr>
          <w:rFonts w:hint="eastAsia" w:ascii="宋体" w:hAnsi="宋体"/>
          <w:color w:val="auto"/>
        </w:rPr>
        <w:t xml:space="preserve">    52.3.1提出质疑的供应商应当是参与所质疑项目采购活动的供应商；</w:t>
      </w:r>
      <w:bookmarkStart w:id="159" w:name="_Hlk75374941"/>
      <w:r>
        <w:rPr>
          <w:rFonts w:hint="eastAsia" w:ascii="宋体" w:hAnsi="宋体"/>
          <w:color w:val="auto"/>
        </w:rPr>
        <w:t>以联合体形式参与的，质疑应当由组成联合体的所有成员共同提出</w:t>
      </w:r>
      <w:bookmarkEnd w:id="159"/>
      <w:r>
        <w:rPr>
          <w:rFonts w:hint="eastAsia" w:ascii="宋体" w:hAnsi="宋体"/>
          <w:color w:val="auto"/>
        </w:rPr>
        <w:t>；</w:t>
      </w:r>
    </w:p>
    <w:p w14:paraId="4EC09F9C">
      <w:pPr>
        <w:rPr>
          <w:rFonts w:hint="eastAsia" w:ascii="宋体" w:hAnsi="宋体"/>
          <w:color w:val="auto"/>
        </w:rPr>
      </w:pPr>
      <w:r>
        <w:rPr>
          <w:rFonts w:hint="eastAsia" w:ascii="宋体" w:hAnsi="宋体"/>
          <w:color w:val="auto"/>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0B731039">
      <w:pPr>
        <w:ind w:firstLine="420"/>
        <w:rPr>
          <w:rFonts w:hint="eastAsia" w:ascii="宋体" w:hAnsi="宋体"/>
          <w:color w:val="auto"/>
        </w:rPr>
      </w:pPr>
      <w:r>
        <w:rPr>
          <w:rFonts w:hint="eastAsia" w:ascii="宋体" w:hAnsi="宋体"/>
          <w:color w:val="auto"/>
        </w:rPr>
        <w:t>52.3.3应提交书面质疑函，质疑函应当包括以下内容：</w:t>
      </w:r>
    </w:p>
    <w:p w14:paraId="7BE2EE7F">
      <w:pPr>
        <w:ind w:firstLine="420"/>
        <w:rPr>
          <w:rFonts w:hint="eastAsia" w:ascii="宋体" w:hAnsi="宋体"/>
          <w:color w:val="auto"/>
        </w:rPr>
      </w:pPr>
      <w:r>
        <w:rPr>
          <w:rFonts w:hint="eastAsia" w:ascii="宋体" w:hAnsi="宋体"/>
          <w:color w:val="auto"/>
        </w:rPr>
        <w:t>（1）供应商的名称（或者姓名）、地址、邮编、邮箱、联系人及联系电话；</w:t>
      </w:r>
    </w:p>
    <w:p w14:paraId="1E89DE49">
      <w:pPr>
        <w:ind w:firstLine="420" w:firstLineChars="200"/>
        <w:rPr>
          <w:rFonts w:hint="eastAsia" w:ascii="宋体" w:hAnsi="宋体"/>
          <w:color w:val="auto"/>
        </w:rPr>
      </w:pPr>
      <w:r>
        <w:rPr>
          <w:rFonts w:hint="eastAsia" w:ascii="宋体" w:hAnsi="宋体"/>
          <w:color w:val="auto"/>
        </w:rPr>
        <w:t>（2）质疑项目的名称、编号；</w:t>
      </w:r>
    </w:p>
    <w:p w14:paraId="672CEE7C">
      <w:pPr>
        <w:ind w:firstLine="420" w:firstLineChars="200"/>
        <w:rPr>
          <w:rFonts w:hint="eastAsia" w:ascii="宋体" w:hAnsi="宋体"/>
          <w:color w:val="auto"/>
        </w:rPr>
      </w:pPr>
      <w:r>
        <w:rPr>
          <w:rFonts w:hint="eastAsia" w:ascii="宋体" w:hAnsi="宋体"/>
          <w:color w:val="auto"/>
        </w:rPr>
        <w:t>（3）具体、明确的质疑对象、质疑事项和质疑请求；</w:t>
      </w:r>
    </w:p>
    <w:p w14:paraId="1867CAAF">
      <w:pPr>
        <w:ind w:firstLine="420" w:firstLineChars="200"/>
        <w:rPr>
          <w:rFonts w:hint="eastAsia" w:ascii="宋体" w:hAnsi="宋体"/>
          <w:color w:val="auto"/>
        </w:rPr>
      </w:pPr>
      <w:r>
        <w:rPr>
          <w:rFonts w:hint="eastAsia" w:ascii="宋体" w:hAnsi="宋体"/>
          <w:color w:val="auto"/>
        </w:rPr>
        <w:t>（4）因质疑事项而受损害的权益；</w:t>
      </w:r>
    </w:p>
    <w:p w14:paraId="3928C954">
      <w:pPr>
        <w:ind w:firstLine="420" w:firstLineChars="200"/>
        <w:rPr>
          <w:rFonts w:hint="eastAsia" w:ascii="宋体" w:hAnsi="宋体"/>
          <w:color w:val="auto"/>
        </w:rPr>
      </w:pPr>
      <w:r>
        <w:rPr>
          <w:rFonts w:hint="eastAsia" w:ascii="宋体" w:hAnsi="宋体"/>
          <w:color w:val="auto"/>
        </w:rPr>
        <w:t>（5）事实依据；</w:t>
      </w:r>
    </w:p>
    <w:p w14:paraId="7937C9F8">
      <w:pPr>
        <w:ind w:firstLine="420" w:firstLineChars="200"/>
        <w:rPr>
          <w:rFonts w:hint="eastAsia" w:ascii="宋体" w:hAnsi="宋体"/>
          <w:color w:val="auto"/>
        </w:rPr>
      </w:pPr>
      <w:r>
        <w:rPr>
          <w:rFonts w:hint="eastAsia" w:ascii="宋体" w:hAnsi="宋体"/>
          <w:color w:val="auto"/>
        </w:rPr>
        <w:t>（6）必要的法律依据；</w:t>
      </w:r>
    </w:p>
    <w:p w14:paraId="2809B83E">
      <w:pPr>
        <w:ind w:firstLine="420" w:firstLineChars="200"/>
        <w:rPr>
          <w:rFonts w:hint="eastAsia" w:ascii="宋体" w:hAnsi="宋体"/>
          <w:color w:val="auto"/>
        </w:rPr>
      </w:pPr>
      <w:r>
        <w:rPr>
          <w:rFonts w:hint="eastAsia" w:ascii="宋体" w:hAnsi="宋体"/>
          <w:color w:val="auto"/>
        </w:rPr>
        <w:t>（7）提出质疑的日期。</w:t>
      </w:r>
    </w:p>
    <w:p w14:paraId="2668A702">
      <w:pPr>
        <w:ind w:firstLine="420" w:firstLineChars="200"/>
        <w:rPr>
          <w:rFonts w:hint="eastAsia" w:ascii="宋体" w:hAnsi="宋体"/>
          <w:color w:val="auto"/>
        </w:rPr>
      </w:pPr>
      <w:r>
        <w:rPr>
          <w:rFonts w:hint="eastAsia" w:ascii="宋体" w:hAnsi="宋体"/>
          <w:color w:val="auto"/>
        </w:rPr>
        <w:t>供应商为自然人的，应当由本人签字；供应商为法人或者其他组织的，应当由法定代表人（负责人），或者其授权代理人签字或者盖章，并加盖公章。</w:t>
      </w:r>
    </w:p>
    <w:p w14:paraId="0ECF2E62">
      <w:pPr>
        <w:ind w:firstLine="420" w:firstLineChars="200"/>
        <w:rPr>
          <w:rFonts w:hint="eastAsia" w:ascii="宋体" w:hAnsi="宋体"/>
          <w:color w:val="auto"/>
        </w:rPr>
      </w:pPr>
      <w:r>
        <w:rPr>
          <w:rFonts w:hint="eastAsia" w:ascii="宋体" w:hAnsi="宋体"/>
          <w:color w:val="auto"/>
        </w:rPr>
        <w:t>52.4提交</w:t>
      </w:r>
      <w:r>
        <w:rPr>
          <w:rFonts w:ascii="宋体" w:hAnsi="宋体"/>
          <w:color w:val="auto"/>
        </w:rPr>
        <w:t>材料</w:t>
      </w:r>
    </w:p>
    <w:p w14:paraId="1F80520F">
      <w:pPr>
        <w:ind w:firstLine="420" w:firstLineChars="200"/>
        <w:rPr>
          <w:rFonts w:hint="eastAsia" w:ascii="宋体" w:hAnsi="宋体"/>
          <w:color w:val="auto"/>
        </w:rPr>
      </w:pPr>
      <w:r>
        <w:rPr>
          <w:rFonts w:hint="eastAsia" w:ascii="宋体" w:hAnsi="宋体"/>
          <w:color w:val="auto"/>
        </w:rPr>
        <w:t>供应商质疑实行实名制。供应商为自然人的，应当提交本人身份证复印件；供应商为法人或者其他组织的，应当根据自身性质提交营业执照复印件或者其他证明文件（如事业单位法人证书等）复印件。</w:t>
      </w:r>
    </w:p>
    <w:p w14:paraId="64437E02">
      <w:pPr>
        <w:ind w:firstLine="420" w:firstLineChars="200"/>
        <w:rPr>
          <w:rFonts w:hint="eastAsia" w:ascii="宋体" w:hAnsi="宋体"/>
          <w:color w:val="auto"/>
        </w:rPr>
      </w:pPr>
      <w:r>
        <w:rPr>
          <w:rFonts w:hint="eastAsia" w:ascii="宋体" w:hAnsi="宋体"/>
          <w:color w:val="auto"/>
        </w:rPr>
        <w:t>供应商可以委托代理人进行质疑。</w:t>
      </w:r>
      <w:r>
        <w:rPr>
          <w:rFonts w:ascii="宋体" w:hAnsi="宋体"/>
          <w:color w:val="auto"/>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0E913E20">
      <w:pPr>
        <w:ind w:firstLine="420" w:firstLineChars="200"/>
        <w:rPr>
          <w:rFonts w:hint="eastAsia" w:ascii="宋体" w:hAnsi="宋体"/>
          <w:color w:val="auto"/>
        </w:rPr>
      </w:pPr>
      <w:r>
        <w:rPr>
          <w:rFonts w:hint="eastAsia" w:ascii="宋体" w:hAnsi="宋体"/>
          <w:color w:val="auto"/>
        </w:rPr>
        <w:t>52.5提交方式</w:t>
      </w:r>
    </w:p>
    <w:p w14:paraId="43DCDA7B">
      <w:pPr>
        <w:ind w:firstLine="420" w:firstLineChars="200"/>
        <w:rPr>
          <w:rFonts w:hint="eastAsia" w:ascii="宋体" w:hAnsi="宋体"/>
          <w:b/>
          <w:bCs/>
          <w:color w:val="auto"/>
        </w:rPr>
      </w:pPr>
      <w:r>
        <w:rPr>
          <w:rFonts w:hint="eastAsia" w:ascii="宋体" w:hAnsi="宋体"/>
          <w:color w:val="auto"/>
        </w:rPr>
        <w:t>5</w:t>
      </w:r>
      <w:r>
        <w:rPr>
          <w:rFonts w:ascii="宋体" w:hAnsi="宋体"/>
          <w:color w:val="auto"/>
        </w:rPr>
        <w:t>2.5.</w:t>
      </w:r>
      <w:r>
        <w:rPr>
          <w:rFonts w:hint="eastAsia" w:ascii="宋体" w:hAnsi="宋体"/>
          <w:color w:val="auto"/>
        </w:rPr>
        <w:t>1请质疑供应商根据附件质疑函范本所发布的质疑指引、质疑函模板填写质疑函并提交书面质疑材料。</w:t>
      </w:r>
      <w:r>
        <w:rPr>
          <w:rFonts w:hint="eastAsia" w:ascii="宋体" w:hAnsi="宋体"/>
          <w:b/>
          <w:bCs/>
          <w:color w:val="auto"/>
        </w:rPr>
        <w:t>地址：新疆库尔勒市索克巴格路州住建大厦14楼政府采购交易科，质疑咨询电话：0996-2035295。</w:t>
      </w:r>
    </w:p>
    <w:p w14:paraId="2109BB3C">
      <w:pPr>
        <w:ind w:firstLine="420" w:firstLineChars="200"/>
        <w:rPr>
          <w:rFonts w:hint="eastAsia" w:ascii="宋体" w:hAnsi="宋体"/>
          <w:color w:val="auto"/>
        </w:rPr>
      </w:pPr>
      <w:r>
        <w:rPr>
          <w:rFonts w:hint="eastAsia" w:ascii="宋体" w:hAnsi="宋体"/>
          <w:color w:val="auto"/>
        </w:rPr>
        <w:t>52.6收文办理</w:t>
      </w:r>
      <w:r>
        <w:rPr>
          <w:rFonts w:ascii="宋体" w:hAnsi="宋体"/>
          <w:color w:val="auto"/>
        </w:rPr>
        <w:t>程序</w:t>
      </w:r>
    </w:p>
    <w:p w14:paraId="648C975C">
      <w:pPr>
        <w:ind w:firstLine="420" w:firstLineChars="200"/>
        <w:rPr>
          <w:rFonts w:hint="eastAsia" w:ascii="宋体" w:hAnsi="宋体"/>
          <w:color w:val="auto"/>
        </w:rPr>
      </w:pPr>
      <w:r>
        <w:rPr>
          <w:rFonts w:hint="eastAsia" w:ascii="宋体" w:hAnsi="宋体"/>
          <w:color w:val="auto"/>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7D746CE0">
      <w:pPr>
        <w:ind w:firstLine="420" w:firstLineChars="200"/>
        <w:rPr>
          <w:rFonts w:hint="eastAsia" w:ascii="仿宋" w:hAnsi="仿宋" w:eastAsia="仿宋"/>
          <w:color w:val="auto"/>
          <w:sz w:val="28"/>
          <w:szCs w:val="28"/>
        </w:rPr>
      </w:pPr>
      <w:r>
        <w:rPr>
          <w:rFonts w:hint="eastAsia" w:ascii="宋体" w:hAnsi="宋体"/>
          <w:color w:val="auto"/>
        </w:rPr>
        <w:t>52.6.2供应商提交的质疑材料不符合质疑条件的，视情况处理：</w:t>
      </w:r>
    </w:p>
    <w:p w14:paraId="7A1B2CAD">
      <w:pPr>
        <w:ind w:firstLine="420" w:firstLineChars="200"/>
        <w:rPr>
          <w:rFonts w:hint="eastAsia" w:ascii="宋体" w:hAnsi="宋体"/>
          <w:color w:val="auto"/>
        </w:rPr>
      </w:pPr>
      <w:r>
        <w:rPr>
          <w:rFonts w:hint="eastAsia" w:ascii="宋体" w:hAnsi="宋体"/>
          <w:color w:val="auto"/>
        </w:rPr>
        <w:t>供应商提交的质疑材料不全或者未按要求签字或者盖章的，政府集中采购机构应当一次性告知供应商需补正的内容和补正期限。</w:t>
      </w:r>
    </w:p>
    <w:p w14:paraId="1EA2E16C">
      <w:pPr>
        <w:ind w:firstLine="420" w:firstLineChars="200"/>
        <w:rPr>
          <w:rFonts w:hint="eastAsia" w:ascii="宋体" w:hAnsi="宋体"/>
          <w:color w:val="auto"/>
        </w:rPr>
      </w:pPr>
      <w:r>
        <w:rPr>
          <w:rFonts w:hint="eastAsia" w:ascii="宋体" w:hAnsi="宋体"/>
          <w:color w:val="auto"/>
        </w:rPr>
        <w:t>供应商提交的质疑存在下列情形之一的，不予受理：</w:t>
      </w:r>
    </w:p>
    <w:p w14:paraId="11D0B002">
      <w:pPr>
        <w:ind w:firstLine="420" w:firstLineChars="200"/>
        <w:rPr>
          <w:rFonts w:hint="eastAsia" w:ascii="宋体" w:hAnsi="宋体"/>
          <w:color w:val="auto"/>
        </w:rPr>
      </w:pPr>
      <w:r>
        <w:rPr>
          <w:rFonts w:hint="eastAsia" w:ascii="宋体" w:hAnsi="宋体"/>
          <w:color w:val="auto"/>
        </w:rPr>
        <w:t>（1）质疑主体不满足要求的；</w:t>
      </w:r>
    </w:p>
    <w:p w14:paraId="3C989DC2">
      <w:pPr>
        <w:ind w:firstLine="420" w:firstLineChars="200"/>
        <w:rPr>
          <w:rFonts w:hint="eastAsia" w:ascii="宋体" w:hAnsi="宋体"/>
          <w:color w:val="auto"/>
        </w:rPr>
      </w:pPr>
      <w:r>
        <w:rPr>
          <w:rFonts w:hint="eastAsia" w:ascii="宋体" w:hAnsi="宋体"/>
          <w:color w:val="auto"/>
        </w:rPr>
        <w:t>（2）供应商自身权益未受到损害的；</w:t>
      </w:r>
    </w:p>
    <w:p w14:paraId="4C80FF85">
      <w:pPr>
        <w:ind w:firstLine="420" w:firstLineChars="200"/>
        <w:rPr>
          <w:rFonts w:hint="eastAsia" w:ascii="宋体" w:hAnsi="宋体"/>
          <w:color w:val="auto"/>
        </w:rPr>
      </w:pPr>
      <w:r>
        <w:rPr>
          <w:rFonts w:hint="eastAsia" w:ascii="宋体" w:hAnsi="宋体"/>
          <w:color w:val="auto"/>
        </w:rPr>
        <w:t>（3）供应商未在法定质疑期限内提出质疑的；</w:t>
      </w:r>
    </w:p>
    <w:p w14:paraId="3640A561">
      <w:pPr>
        <w:ind w:firstLine="420" w:firstLineChars="200"/>
        <w:rPr>
          <w:rFonts w:hint="eastAsia" w:ascii="宋体" w:hAnsi="宋体"/>
          <w:color w:val="auto"/>
        </w:rPr>
      </w:pPr>
      <w:r>
        <w:rPr>
          <w:rFonts w:hint="eastAsia" w:ascii="宋体" w:hAnsi="宋体"/>
          <w:color w:val="auto"/>
        </w:rPr>
        <w:t>（4）质疑材料不全或者未按要求签字或者盖章的情况下，要求补正后，逾期未补正或者补正后仍不符合规定的；</w:t>
      </w:r>
    </w:p>
    <w:p w14:paraId="0F6E84DA">
      <w:pPr>
        <w:ind w:firstLine="420" w:firstLineChars="200"/>
        <w:rPr>
          <w:rFonts w:hint="eastAsia" w:ascii="宋体" w:hAnsi="宋体"/>
          <w:color w:val="auto"/>
        </w:rPr>
      </w:pPr>
      <w:r>
        <w:rPr>
          <w:rFonts w:hint="eastAsia" w:ascii="宋体" w:hAnsi="宋体"/>
          <w:color w:val="auto"/>
        </w:rPr>
        <w:t>（5）其他不符合受理条件情形的。</w:t>
      </w:r>
    </w:p>
    <w:p w14:paraId="79A7E34E">
      <w:pPr>
        <w:ind w:firstLine="420" w:firstLineChars="200"/>
        <w:rPr>
          <w:rFonts w:hint="eastAsia" w:ascii="宋体" w:hAnsi="宋体"/>
          <w:color w:val="auto"/>
        </w:rPr>
      </w:pPr>
      <w:r>
        <w:rPr>
          <w:rFonts w:hint="eastAsia" w:ascii="宋体" w:hAnsi="宋体"/>
          <w:color w:val="auto"/>
        </w:rPr>
        <w:t>质疑事项不予受理的，政府集中采购机构应当向供应商出具不符合质疑条件告知书。</w:t>
      </w:r>
    </w:p>
    <w:p w14:paraId="2857D9A3">
      <w:pPr>
        <w:rPr>
          <w:rFonts w:hint="eastAsia" w:ascii="宋体" w:hAnsi="宋体"/>
          <w:color w:val="auto"/>
        </w:rPr>
      </w:pPr>
      <w:r>
        <w:rPr>
          <w:rFonts w:hint="eastAsia" w:ascii="宋体" w:hAnsi="宋体"/>
          <w:color w:val="auto"/>
        </w:rPr>
        <w:t xml:space="preserve">  52.7质疑答复时限</w:t>
      </w:r>
    </w:p>
    <w:p w14:paraId="2DE6EDF8">
      <w:pPr>
        <w:rPr>
          <w:rFonts w:hint="eastAsia" w:ascii="宋体" w:hAnsi="宋体"/>
          <w:color w:val="auto"/>
        </w:rPr>
      </w:pPr>
      <w:r>
        <w:rPr>
          <w:rFonts w:hint="eastAsia" w:ascii="宋体" w:hAnsi="宋体"/>
          <w:color w:val="auto"/>
        </w:rPr>
        <w:t xml:space="preserve">    自收文之日起七个工作日内。</w:t>
      </w:r>
    </w:p>
    <w:p w14:paraId="687788E2">
      <w:pPr>
        <w:rPr>
          <w:rFonts w:hint="eastAsia" w:ascii="宋体" w:hAnsi="宋体"/>
          <w:color w:val="auto"/>
        </w:rPr>
      </w:pPr>
      <w:r>
        <w:rPr>
          <w:rFonts w:hint="eastAsia" w:ascii="宋体" w:hAnsi="宋体"/>
          <w:color w:val="auto"/>
        </w:rPr>
        <w:t xml:space="preserve">    52.8投诉</w:t>
      </w:r>
    </w:p>
    <w:p w14:paraId="7C9D70CB">
      <w:pPr>
        <w:rPr>
          <w:rFonts w:hint="eastAsia" w:ascii="宋体" w:hAnsi="宋体"/>
          <w:color w:val="auto"/>
        </w:rPr>
      </w:pPr>
      <w:r>
        <w:rPr>
          <w:rFonts w:hint="eastAsia" w:ascii="宋体" w:hAnsi="宋体"/>
          <w:color w:val="auto"/>
        </w:rPr>
        <w:t xml:space="preserve">    对质疑答复不满意或者未在规定时间内答复的，提出质疑的供应商可以在答复期满后15个工作日内向同级财政部门投诉。</w:t>
      </w:r>
    </w:p>
    <w:p w14:paraId="570F9B5A">
      <w:pPr>
        <w:rPr>
          <w:rFonts w:hint="eastAsia" w:ascii="黑体" w:hAnsi="宋体" w:eastAsia="黑体"/>
          <w:color w:val="auto"/>
          <w:sz w:val="24"/>
        </w:rPr>
      </w:pPr>
      <w:r>
        <w:rPr>
          <w:rFonts w:hint="eastAsia" w:ascii="黑体" w:hAnsi="宋体" w:eastAsia="黑体"/>
          <w:color w:val="auto"/>
          <w:sz w:val="24"/>
        </w:rPr>
        <w:t>53. 质疑后续处理</w:t>
      </w:r>
    </w:p>
    <w:p w14:paraId="02F911AA">
      <w:pPr>
        <w:rPr>
          <w:rFonts w:hint="eastAsia" w:ascii="宋体" w:hAnsi="宋体"/>
          <w:color w:val="auto"/>
        </w:rPr>
      </w:pPr>
      <w:r>
        <w:rPr>
          <w:rFonts w:hint="eastAsia" w:ascii="宋体" w:hAnsi="宋体"/>
          <w:color w:val="auto"/>
        </w:rPr>
        <w:t xml:space="preserve">    53.1供应商质疑不成立，或者成立但未对中标、成交结果构成影响的，继续开展采购活动。</w:t>
      </w:r>
    </w:p>
    <w:p w14:paraId="2C6D7D30">
      <w:pPr>
        <w:rPr>
          <w:rFonts w:hint="eastAsia" w:ascii="宋体" w:hAnsi="宋体"/>
          <w:color w:val="auto"/>
        </w:rPr>
      </w:pPr>
      <w:r>
        <w:rPr>
          <w:rFonts w:hint="eastAsia" w:ascii="宋体" w:hAnsi="宋体"/>
          <w:color w:val="auto"/>
        </w:rPr>
        <w:t xml:space="preserve">    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bookmarkEnd w:id="158"/>
    <w:p w14:paraId="1F6469D4">
      <w:pPr>
        <w:rPr>
          <w:rFonts w:hint="eastAsia" w:ascii="宋体" w:hAnsi="宋体"/>
          <w:color w:val="auto"/>
        </w:rPr>
      </w:pPr>
    </w:p>
    <w:p w14:paraId="439C1316">
      <w:pPr>
        <w:rPr>
          <w:rFonts w:hint="eastAsia" w:ascii="宋体" w:hAnsi="宋体"/>
          <w:b/>
          <w:bCs/>
          <w:color w:val="auto"/>
          <w:kern w:val="0"/>
          <w:sz w:val="28"/>
          <w:szCs w:val="28"/>
        </w:rPr>
      </w:pPr>
    </w:p>
    <w:p w14:paraId="6314AC92">
      <w:pPr>
        <w:rPr>
          <w:rFonts w:hint="eastAsia" w:ascii="方正黑体_GBK" w:hAnsi="方正黑体_GBK" w:eastAsia="方正黑体_GBK" w:cs="方正黑体_GBK"/>
          <w:b/>
          <w:bCs/>
          <w:color w:val="auto"/>
          <w:sz w:val="30"/>
          <w:szCs w:val="30"/>
        </w:rPr>
      </w:pPr>
    </w:p>
    <w:p w14:paraId="3E86C85F">
      <w:pPr>
        <w:jc w:val="center"/>
        <w:rPr>
          <w:rFonts w:hint="eastAsia" w:ascii="方正黑体_GBK" w:hAnsi="方正黑体_GBK" w:eastAsia="方正黑体_GBK" w:cs="方正黑体_GBK"/>
          <w:b/>
          <w:bCs/>
          <w:color w:val="auto"/>
          <w:sz w:val="30"/>
          <w:szCs w:val="30"/>
        </w:rPr>
      </w:pPr>
      <w:r>
        <w:rPr>
          <w:rFonts w:hint="eastAsia" w:ascii="方正黑体_GBK" w:hAnsi="方正黑体_GBK" w:eastAsia="方正黑体_GBK" w:cs="方正黑体_GBK"/>
          <w:b/>
          <w:bCs/>
          <w:color w:val="auto"/>
          <w:sz w:val="30"/>
          <w:szCs w:val="30"/>
        </w:rPr>
        <w:t>质疑函范本</w:t>
      </w:r>
    </w:p>
    <w:p w14:paraId="2E149E21">
      <w:pPr>
        <w:adjustRightInd w:val="0"/>
        <w:snapToGrid w:val="0"/>
        <w:spacing w:before="312" w:beforeLines="100" w:line="360" w:lineRule="auto"/>
        <w:rPr>
          <w:rFonts w:hint="eastAsia" w:ascii="宋体" w:hAnsi="宋体" w:cs="宋体"/>
          <w:color w:val="auto"/>
          <w:spacing w:val="-4"/>
          <w:kern w:val="0"/>
        </w:rPr>
      </w:pPr>
      <w:r>
        <w:rPr>
          <w:rFonts w:hint="eastAsia" w:ascii="宋体" w:hAnsi="宋体" w:cs="宋体"/>
          <w:color w:val="auto"/>
          <w:spacing w:val="-4"/>
          <w:kern w:val="0"/>
        </w:rPr>
        <w:t>一、质疑供应商基本信息</w:t>
      </w:r>
    </w:p>
    <w:p w14:paraId="7BA570FD">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质疑供应商：</w:t>
      </w:r>
    </w:p>
    <w:p w14:paraId="61B3D493">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 xml:space="preserve">地址：                             邮编：                                    </w:t>
      </w:r>
    </w:p>
    <w:p w14:paraId="08FB3927">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 xml:space="preserve">联系人：                           联系电话：                                       </w:t>
      </w:r>
    </w:p>
    <w:p w14:paraId="4BAC99D1">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授权代表：</w:t>
      </w:r>
    </w:p>
    <w:p w14:paraId="55E6EC9D">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联系电话：</w:t>
      </w:r>
    </w:p>
    <w:p w14:paraId="2E04CACD">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 xml:space="preserve">地址：                              邮编：                                     </w:t>
      </w:r>
    </w:p>
    <w:p w14:paraId="3DD09793">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二、质疑项目基本情况</w:t>
      </w:r>
    </w:p>
    <w:p w14:paraId="40ADF8CD">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质疑项目的名称：</w:t>
      </w:r>
    </w:p>
    <w:p w14:paraId="373FF8DD">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 xml:space="preserve">质疑项目的编号：                         包号：                           </w:t>
      </w:r>
    </w:p>
    <w:p w14:paraId="7697203D">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采购人名称：</w:t>
      </w:r>
    </w:p>
    <w:p w14:paraId="7B961346">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采购文件获取日期：</w:t>
      </w:r>
    </w:p>
    <w:p w14:paraId="567E2406">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三、质疑事项具体内容</w:t>
      </w:r>
    </w:p>
    <w:p w14:paraId="3E55B57C">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质疑事项1：</w:t>
      </w:r>
    </w:p>
    <w:p w14:paraId="0C798E71">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事实依据：</w:t>
      </w:r>
    </w:p>
    <w:p w14:paraId="1B3B8321">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法律依据：</w:t>
      </w:r>
    </w:p>
    <w:p w14:paraId="1F5C4920">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质疑事项2</w:t>
      </w:r>
    </w:p>
    <w:p w14:paraId="4F3EBF55">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w:t>
      </w:r>
    </w:p>
    <w:p w14:paraId="5E650D4D">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四、与质疑事项相关的质疑请求</w:t>
      </w:r>
    </w:p>
    <w:p w14:paraId="362C0FB6">
      <w:pPr>
        <w:adjustRightInd w:val="0"/>
        <w:snapToGrid w:val="0"/>
        <w:spacing w:line="360" w:lineRule="auto"/>
        <w:rPr>
          <w:rFonts w:hint="eastAsia" w:ascii="宋体" w:hAnsi="宋体" w:cs="宋体"/>
          <w:color w:val="auto"/>
          <w:spacing w:val="-4"/>
          <w:kern w:val="0"/>
        </w:rPr>
      </w:pPr>
      <w:r>
        <w:rPr>
          <w:rFonts w:hint="eastAsia" w:ascii="宋体" w:hAnsi="宋体" w:cs="宋体"/>
          <w:color w:val="auto"/>
          <w:spacing w:val="-4"/>
          <w:kern w:val="0"/>
        </w:rPr>
        <w:t>请求：</w:t>
      </w:r>
    </w:p>
    <w:p w14:paraId="159EFD02">
      <w:pPr>
        <w:rPr>
          <w:rFonts w:hint="eastAsia" w:ascii="宋体" w:hAnsi="宋体" w:cs="宋体"/>
          <w:color w:val="auto"/>
          <w:spacing w:val="-4"/>
          <w:kern w:val="0"/>
        </w:rPr>
      </w:pPr>
      <w:r>
        <w:rPr>
          <w:rFonts w:hint="eastAsia" w:ascii="宋体" w:hAnsi="宋体" w:cs="宋体"/>
          <w:color w:val="auto"/>
          <w:spacing w:val="-4"/>
          <w:kern w:val="0"/>
        </w:rPr>
        <w:t xml:space="preserve">签字(签章)：                   公章：                      </w:t>
      </w:r>
    </w:p>
    <w:p w14:paraId="6C17E43C">
      <w:pPr>
        <w:rPr>
          <w:rFonts w:hint="eastAsia" w:ascii="宋体" w:hAnsi="宋体" w:cs="宋体"/>
          <w:color w:val="auto"/>
          <w:spacing w:val="-4"/>
          <w:kern w:val="0"/>
        </w:rPr>
      </w:pPr>
      <w:r>
        <w:rPr>
          <w:rFonts w:hint="eastAsia" w:ascii="宋体" w:hAnsi="宋体" w:cs="宋体"/>
          <w:color w:val="auto"/>
          <w:spacing w:val="-4"/>
          <w:kern w:val="0"/>
        </w:rPr>
        <w:t xml:space="preserve">日期：    </w:t>
      </w:r>
    </w:p>
    <w:p w14:paraId="5EE8E8EC">
      <w:pPr>
        <w:spacing w:line="400" w:lineRule="exact"/>
        <w:rPr>
          <w:rFonts w:hint="eastAsia" w:ascii="宋体" w:hAnsi="宋体" w:cs="宋体"/>
          <w:color w:val="auto"/>
          <w:spacing w:val="-4"/>
          <w:kern w:val="0"/>
        </w:rPr>
      </w:pPr>
    </w:p>
    <w:p w14:paraId="03CFA199">
      <w:pPr>
        <w:spacing w:line="400" w:lineRule="exact"/>
        <w:rPr>
          <w:rFonts w:hint="eastAsia" w:ascii="宋体" w:hAnsi="宋体" w:cs="宋体"/>
          <w:b/>
          <w:bCs/>
          <w:color w:val="auto"/>
          <w:spacing w:val="-4"/>
          <w:kern w:val="0"/>
        </w:rPr>
      </w:pPr>
      <w:r>
        <w:rPr>
          <w:rFonts w:hint="eastAsia" w:ascii="宋体" w:hAnsi="宋体" w:cs="宋体"/>
          <w:b/>
          <w:bCs/>
          <w:color w:val="auto"/>
          <w:spacing w:val="-4"/>
          <w:kern w:val="0"/>
        </w:rPr>
        <w:t>质疑函制作说明：</w:t>
      </w:r>
    </w:p>
    <w:p w14:paraId="20EBB899">
      <w:pPr>
        <w:widowControl/>
        <w:spacing w:line="400" w:lineRule="exact"/>
        <w:ind w:firstLine="404" w:firstLineChars="200"/>
        <w:jc w:val="left"/>
        <w:rPr>
          <w:rFonts w:hint="eastAsia" w:ascii="宋体" w:hAnsi="宋体" w:cs="宋体"/>
          <w:color w:val="auto"/>
          <w:spacing w:val="-4"/>
          <w:kern w:val="0"/>
        </w:rPr>
      </w:pPr>
      <w:r>
        <w:rPr>
          <w:rFonts w:hint="eastAsia" w:ascii="宋体" w:hAnsi="宋体" w:cs="宋体"/>
          <w:color w:val="auto"/>
          <w:spacing w:val="-4"/>
          <w:kern w:val="0"/>
        </w:rPr>
        <w:t>1.供应商提出质疑时，应提交质疑函和必要的证明材料。</w:t>
      </w:r>
    </w:p>
    <w:p w14:paraId="2ECB7BD1">
      <w:pPr>
        <w:widowControl/>
        <w:spacing w:line="400" w:lineRule="exact"/>
        <w:ind w:firstLine="404" w:firstLineChars="200"/>
        <w:jc w:val="left"/>
        <w:rPr>
          <w:rFonts w:hint="eastAsia" w:ascii="宋体" w:hAnsi="宋体" w:cs="宋体"/>
          <w:color w:val="auto"/>
          <w:spacing w:val="-4"/>
          <w:kern w:val="0"/>
        </w:rPr>
      </w:pPr>
      <w:r>
        <w:rPr>
          <w:rFonts w:hint="eastAsia" w:ascii="宋体" w:hAnsi="宋体" w:cs="宋体"/>
          <w:color w:val="auto"/>
          <w:spacing w:val="-4"/>
          <w:kern w:val="0"/>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B968700">
      <w:pPr>
        <w:widowControl/>
        <w:spacing w:line="400" w:lineRule="exact"/>
        <w:ind w:firstLine="404" w:firstLineChars="200"/>
        <w:jc w:val="left"/>
        <w:rPr>
          <w:rFonts w:hint="eastAsia" w:ascii="宋体" w:hAnsi="宋体" w:cs="宋体"/>
          <w:color w:val="auto"/>
          <w:spacing w:val="-4"/>
          <w:kern w:val="0"/>
        </w:rPr>
      </w:pPr>
      <w:r>
        <w:rPr>
          <w:rFonts w:hint="eastAsia" w:ascii="宋体" w:hAnsi="宋体" w:cs="宋体"/>
          <w:color w:val="auto"/>
          <w:spacing w:val="-4"/>
          <w:kern w:val="0"/>
        </w:rPr>
        <w:t>3.质疑供应商若对项目的某一分包进行质疑，质疑函中应列明具体分包号。</w:t>
      </w:r>
    </w:p>
    <w:p w14:paraId="646D0073">
      <w:pPr>
        <w:widowControl/>
        <w:spacing w:line="400" w:lineRule="exact"/>
        <w:ind w:firstLine="404" w:firstLineChars="200"/>
        <w:jc w:val="left"/>
        <w:rPr>
          <w:rFonts w:hint="eastAsia" w:ascii="宋体" w:hAnsi="宋体" w:cs="宋体"/>
          <w:color w:val="auto"/>
          <w:spacing w:val="-4"/>
          <w:kern w:val="0"/>
        </w:rPr>
      </w:pPr>
      <w:r>
        <w:rPr>
          <w:rFonts w:hint="eastAsia" w:ascii="宋体" w:hAnsi="宋体" w:cs="宋体"/>
          <w:color w:val="auto"/>
          <w:spacing w:val="-4"/>
          <w:kern w:val="0"/>
        </w:rPr>
        <w:t>4.质疑函的质疑事项应具体、明确，并有必要的事实依据和法律依据。</w:t>
      </w:r>
    </w:p>
    <w:p w14:paraId="72480B9B">
      <w:pPr>
        <w:widowControl/>
        <w:spacing w:line="400" w:lineRule="exact"/>
        <w:ind w:firstLine="404" w:firstLineChars="200"/>
        <w:jc w:val="left"/>
        <w:rPr>
          <w:rFonts w:hint="eastAsia" w:ascii="宋体" w:hAnsi="宋体" w:cs="宋体"/>
          <w:color w:val="auto"/>
          <w:spacing w:val="-4"/>
          <w:kern w:val="0"/>
        </w:rPr>
      </w:pPr>
      <w:r>
        <w:rPr>
          <w:rFonts w:hint="eastAsia" w:ascii="宋体" w:hAnsi="宋体" w:cs="宋体"/>
          <w:color w:val="auto"/>
          <w:spacing w:val="-4"/>
          <w:kern w:val="0"/>
        </w:rPr>
        <w:t>5.质疑函的质疑请求应与质疑事项相关。</w:t>
      </w:r>
    </w:p>
    <w:p w14:paraId="307DADCF">
      <w:pPr>
        <w:widowControl/>
        <w:spacing w:line="400" w:lineRule="exact"/>
        <w:ind w:firstLine="404" w:firstLineChars="200"/>
        <w:jc w:val="left"/>
        <w:rPr>
          <w:rFonts w:hint="eastAsia" w:ascii="宋体" w:hAnsi="宋体" w:cs="宋体"/>
          <w:color w:val="auto"/>
          <w:spacing w:val="-4"/>
          <w:kern w:val="0"/>
        </w:rPr>
      </w:pPr>
      <w:r>
        <w:rPr>
          <w:rFonts w:hint="eastAsia" w:ascii="宋体" w:hAnsi="宋体" w:cs="宋体"/>
          <w:color w:val="auto"/>
          <w:spacing w:val="-4"/>
          <w:kern w:val="0"/>
        </w:rPr>
        <w:t>6.质疑供应商为自然人的，质疑函应由本人签字；质疑供应商为法人或者其他组织的，质疑函应由法定代表人、主要负责人，或者其授权代表签字或者盖章，并加盖公章。</w:t>
      </w:r>
    </w:p>
    <w:p w14:paraId="44CC0C0C">
      <w:pPr>
        <w:widowControl/>
        <w:spacing w:line="400" w:lineRule="exact"/>
        <w:ind w:firstLine="404" w:firstLineChars="200"/>
        <w:jc w:val="left"/>
        <w:rPr>
          <w:rFonts w:hint="eastAsia" w:ascii="宋体" w:hAnsi="宋体" w:cs="宋体"/>
          <w:color w:val="auto"/>
          <w:spacing w:val="-4"/>
          <w:kern w:val="0"/>
        </w:rPr>
      </w:pPr>
      <w:r>
        <w:rPr>
          <w:rFonts w:hint="eastAsia" w:ascii="宋体" w:hAnsi="宋体" w:cs="宋体"/>
          <w:color w:val="auto"/>
          <w:spacing w:val="-4"/>
          <w:kern w:val="0"/>
        </w:rPr>
        <w:t>7.质疑函份数要求：一式三份。</w:t>
      </w:r>
    </w:p>
    <w:p w14:paraId="27703611">
      <w:pPr>
        <w:widowControl/>
        <w:spacing w:line="400" w:lineRule="exact"/>
        <w:ind w:firstLine="404" w:firstLineChars="200"/>
        <w:jc w:val="left"/>
        <w:rPr>
          <w:rFonts w:hint="eastAsia" w:ascii="宋体" w:hAnsi="宋体" w:cs="宋体"/>
          <w:color w:val="auto"/>
          <w:spacing w:val="-4"/>
          <w:kern w:val="0"/>
          <w:lang w:val="en-US" w:eastAsia="zh-CN"/>
        </w:rPr>
      </w:pPr>
      <w:r>
        <w:rPr>
          <w:rFonts w:hint="eastAsia" w:ascii="宋体" w:hAnsi="宋体" w:cs="宋体"/>
          <w:color w:val="auto"/>
          <w:spacing w:val="-4"/>
          <w:kern w:val="0"/>
          <w:lang w:val="en-US" w:eastAsia="zh-CN"/>
        </w:rPr>
        <w:t>8.对采购文件的质疑需提供附件：政采云平台获取采购文件截图。</w:t>
      </w:r>
    </w:p>
    <w:p w14:paraId="5B4C5B36">
      <w:pPr>
        <w:widowControl/>
        <w:spacing w:line="400" w:lineRule="exact"/>
        <w:ind w:firstLine="404" w:firstLineChars="200"/>
        <w:jc w:val="left"/>
        <w:rPr>
          <w:rFonts w:hint="eastAsia" w:ascii="宋体" w:hAnsi="宋体" w:cs="宋体"/>
          <w:color w:val="auto"/>
          <w:spacing w:val="-4"/>
          <w:kern w:val="0"/>
          <w:lang w:val="en-US" w:eastAsia="zh-CN"/>
        </w:rPr>
      </w:pPr>
      <w:r>
        <w:rPr>
          <w:rFonts w:hint="eastAsia" w:ascii="宋体" w:hAnsi="宋体" w:cs="宋体"/>
          <w:color w:val="auto"/>
          <w:spacing w:val="-4"/>
          <w:kern w:val="0"/>
          <w:lang w:val="en-US" w:eastAsia="zh-CN"/>
        </w:rPr>
        <w:t>9.质疑接收时间：以纸质版书面质疑材料原件送达时间为准。</w:t>
      </w:r>
    </w:p>
    <w:p w14:paraId="6D5BCD07">
      <w:pPr>
        <w:pStyle w:val="2"/>
        <w:rPr>
          <w:rFonts w:hint="default"/>
          <w:lang w:val="en-US" w:eastAsia="zh-CN"/>
        </w:rPr>
      </w:pPr>
    </w:p>
    <w:p w14:paraId="12358110">
      <w:pPr>
        <w:pStyle w:val="2"/>
        <w:rPr>
          <w:rFonts w:hint="default"/>
          <w:lang w:val="en-US" w:eastAsia="zh-CN"/>
        </w:rPr>
      </w:pPr>
    </w:p>
    <w:p w14:paraId="74B405EB">
      <w:pPr>
        <w:pStyle w:val="2"/>
        <w:rPr>
          <w:rFonts w:hint="eastAsia"/>
        </w:rPr>
      </w:pPr>
    </w:p>
    <w:p w14:paraId="6834AE2E">
      <w:pPr>
        <w:ind w:firstLine="2650" w:firstLineChars="600"/>
        <w:rPr>
          <w:rFonts w:ascii="黑体" w:hAnsi="Arial" w:eastAsia="黑体" w:cs="Arial"/>
          <w:b/>
          <w:bCs/>
          <w:color w:val="auto"/>
          <w:sz w:val="44"/>
          <w:szCs w:val="44"/>
        </w:rPr>
      </w:pPr>
    </w:p>
    <w:p w14:paraId="33E0313F">
      <w:pPr>
        <w:ind w:firstLine="2650" w:firstLineChars="600"/>
        <w:rPr>
          <w:rFonts w:ascii="黑体" w:hAnsi="Arial" w:eastAsia="黑体" w:cs="Arial"/>
          <w:b/>
          <w:bCs/>
          <w:color w:val="auto"/>
          <w:sz w:val="44"/>
          <w:szCs w:val="44"/>
        </w:rPr>
      </w:pPr>
    </w:p>
    <w:p w14:paraId="5ECF9758">
      <w:pPr>
        <w:ind w:firstLine="2650" w:firstLineChars="600"/>
        <w:rPr>
          <w:rFonts w:ascii="黑体" w:hAnsi="Arial" w:eastAsia="黑体" w:cs="Arial"/>
          <w:b/>
          <w:bCs/>
          <w:color w:val="auto"/>
          <w:sz w:val="44"/>
          <w:szCs w:val="44"/>
        </w:rPr>
      </w:pPr>
    </w:p>
    <w:p w14:paraId="092B9FDC">
      <w:pPr>
        <w:jc w:val="center"/>
        <w:rPr>
          <w:color w:val="auto"/>
        </w:rPr>
      </w:pPr>
      <w:r>
        <w:rPr>
          <w:color w:val="auto"/>
        </w:rPr>
        <w:t>---- END ----</w:t>
      </w:r>
    </w:p>
    <w:p w14:paraId="1609F4F9">
      <w:pPr>
        <w:rPr>
          <w:rFonts w:ascii="黑体" w:hAnsi="Arial" w:eastAsia="黑体" w:cs="Arial"/>
          <w:b/>
          <w:bCs/>
          <w:color w:val="auto"/>
          <w:sz w:val="44"/>
          <w:szCs w:val="44"/>
        </w:rPr>
        <w:sectPr>
          <w:headerReference r:id="rId10" w:type="default"/>
          <w:footerReference r:id="rId11" w:type="default"/>
          <w:pgSz w:w="11906" w:h="16838"/>
          <w:pgMar w:top="1418" w:right="1588" w:bottom="1418" w:left="1366" w:header="851" w:footer="992" w:gutter="0"/>
          <w:cols w:space="720" w:num="1"/>
          <w:docGrid w:type="lines" w:linePitch="312" w:charSpace="0"/>
        </w:sectPr>
      </w:pPr>
    </w:p>
    <w:bookmarkEnd w:id="5"/>
    <w:bookmarkEnd w:id="6"/>
    <w:bookmarkEnd w:id="7"/>
    <w:bookmarkEnd w:id="8"/>
    <w:bookmarkEnd w:id="9"/>
    <w:p w14:paraId="7A01AE9D">
      <w:pPr>
        <w:tabs>
          <w:tab w:val="left" w:pos="2556"/>
        </w:tabs>
        <w:ind w:firstLine="5040" w:firstLineChars="1400"/>
        <w:rPr>
          <w:rFonts w:hint="eastAsia" w:ascii="方正黑体_GBK" w:hAnsi="方正黑体_GBK" w:eastAsia="方正黑体_GBK" w:cs="方正黑体_GBK"/>
          <w:color w:val="auto"/>
          <w:sz w:val="36"/>
          <w:szCs w:val="36"/>
        </w:rPr>
      </w:pPr>
      <w:bookmarkStart w:id="160" w:name="_Toc120614281"/>
      <w:bookmarkStart w:id="161" w:name="_Toc479757211"/>
      <w:bookmarkStart w:id="162" w:name="_Toc49090575"/>
      <w:bookmarkStart w:id="163" w:name="_Toc26554093"/>
      <w:bookmarkStart w:id="164" w:name="_Toc462564139"/>
      <w:r>
        <w:rPr>
          <w:rFonts w:hint="eastAsia" w:ascii="方正黑体_GBK" w:hAnsi="方正黑体_GBK" w:eastAsia="方正黑体_GBK" w:cs="方正黑体_GBK"/>
          <w:color w:val="auto"/>
          <w:sz w:val="36"/>
          <w:szCs w:val="36"/>
        </w:rPr>
        <w:t>项目采购前期现场踏勘记录表</w:t>
      </w:r>
    </w:p>
    <w:tbl>
      <w:tblPr>
        <w:tblStyle w:val="42"/>
        <w:tblW w:w="143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4"/>
        <w:gridCol w:w="1057"/>
        <w:gridCol w:w="1508"/>
        <w:gridCol w:w="3052"/>
        <w:gridCol w:w="1812"/>
        <w:gridCol w:w="5365"/>
      </w:tblGrid>
      <w:tr w14:paraId="3006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544" w:type="dxa"/>
            <w:vAlign w:val="center"/>
          </w:tcPr>
          <w:p w14:paraId="16544F6B">
            <w:pPr>
              <w:jc w:val="center"/>
              <w:rPr>
                <w:rFonts w:hint="eastAsia" w:ascii="宋体" w:hAnsi="宋体" w:cs="宋体"/>
                <w:color w:val="auto"/>
              </w:rPr>
            </w:pPr>
            <w:r>
              <w:rPr>
                <w:rFonts w:hint="eastAsia" w:ascii="宋体" w:hAnsi="宋体" w:cs="宋体"/>
                <w:color w:val="auto"/>
              </w:rPr>
              <w:t>项目名称</w:t>
            </w:r>
          </w:p>
        </w:tc>
        <w:tc>
          <w:tcPr>
            <w:tcW w:w="5617" w:type="dxa"/>
            <w:gridSpan w:val="3"/>
            <w:vAlign w:val="center"/>
          </w:tcPr>
          <w:p w14:paraId="304FD9FB">
            <w:pPr>
              <w:jc w:val="center"/>
              <w:rPr>
                <w:rFonts w:hint="eastAsia" w:ascii="宋体" w:hAnsi="宋体" w:cs="宋体"/>
                <w:color w:val="auto"/>
              </w:rPr>
            </w:pPr>
          </w:p>
        </w:tc>
        <w:tc>
          <w:tcPr>
            <w:tcW w:w="1812" w:type="dxa"/>
            <w:vAlign w:val="center"/>
          </w:tcPr>
          <w:p w14:paraId="5948D9EE">
            <w:pPr>
              <w:jc w:val="center"/>
              <w:rPr>
                <w:rFonts w:hint="eastAsia" w:ascii="宋体" w:hAnsi="宋体" w:cs="宋体"/>
                <w:color w:val="auto"/>
              </w:rPr>
            </w:pPr>
            <w:r>
              <w:rPr>
                <w:rFonts w:hint="eastAsia" w:ascii="宋体" w:hAnsi="宋体" w:cs="宋体"/>
                <w:color w:val="auto"/>
              </w:rPr>
              <w:t>采购单位</w:t>
            </w:r>
          </w:p>
        </w:tc>
        <w:tc>
          <w:tcPr>
            <w:tcW w:w="5365" w:type="dxa"/>
            <w:vAlign w:val="center"/>
          </w:tcPr>
          <w:p w14:paraId="4EC84DD4">
            <w:pPr>
              <w:jc w:val="center"/>
              <w:rPr>
                <w:rFonts w:hint="eastAsia" w:ascii="宋体" w:hAnsi="宋体" w:cs="宋体"/>
                <w:color w:val="auto"/>
              </w:rPr>
            </w:pPr>
          </w:p>
        </w:tc>
      </w:tr>
      <w:tr w14:paraId="4BC0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544" w:type="dxa"/>
            <w:vAlign w:val="center"/>
          </w:tcPr>
          <w:p w14:paraId="3CF30098">
            <w:pPr>
              <w:jc w:val="center"/>
              <w:rPr>
                <w:rFonts w:hint="eastAsia" w:ascii="宋体" w:hAnsi="宋体" w:cs="宋体"/>
                <w:color w:val="auto"/>
              </w:rPr>
            </w:pPr>
            <w:r>
              <w:rPr>
                <w:rFonts w:hint="eastAsia" w:ascii="宋体" w:hAnsi="宋体" w:cs="宋体"/>
                <w:color w:val="auto"/>
              </w:rPr>
              <w:t>勘察日期</w:t>
            </w:r>
          </w:p>
        </w:tc>
        <w:tc>
          <w:tcPr>
            <w:tcW w:w="5617" w:type="dxa"/>
            <w:gridSpan w:val="3"/>
            <w:vAlign w:val="center"/>
          </w:tcPr>
          <w:p w14:paraId="1867DA02">
            <w:pPr>
              <w:jc w:val="center"/>
              <w:rPr>
                <w:rFonts w:hint="eastAsia" w:ascii="宋体" w:hAnsi="宋体" w:cs="宋体"/>
                <w:color w:val="auto"/>
              </w:rPr>
            </w:pPr>
          </w:p>
        </w:tc>
        <w:tc>
          <w:tcPr>
            <w:tcW w:w="1812" w:type="dxa"/>
            <w:vAlign w:val="center"/>
          </w:tcPr>
          <w:p w14:paraId="3475B671">
            <w:pPr>
              <w:jc w:val="center"/>
              <w:rPr>
                <w:rFonts w:hint="eastAsia" w:ascii="宋体" w:hAnsi="宋体" w:cs="宋体"/>
                <w:color w:val="auto"/>
              </w:rPr>
            </w:pPr>
            <w:r>
              <w:rPr>
                <w:rFonts w:hint="eastAsia" w:ascii="宋体" w:hAnsi="宋体" w:cs="宋体"/>
                <w:color w:val="auto"/>
              </w:rPr>
              <w:t>工程地点</w:t>
            </w:r>
          </w:p>
        </w:tc>
        <w:tc>
          <w:tcPr>
            <w:tcW w:w="5365" w:type="dxa"/>
            <w:vAlign w:val="center"/>
          </w:tcPr>
          <w:p w14:paraId="1C6A9651">
            <w:pPr>
              <w:jc w:val="center"/>
              <w:rPr>
                <w:rFonts w:hint="eastAsia" w:ascii="宋体" w:hAnsi="宋体" w:cs="宋体"/>
                <w:color w:val="auto"/>
              </w:rPr>
            </w:pPr>
          </w:p>
        </w:tc>
      </w:tr>
      <w:tr w14:paraId="3DA0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544" w:type="dxa"/>
            <w:vAlign w:val="center"/>
          </w:tcPr>
          <w:p w14:paraId="78AA5660">
            <w:pPr>
              <w:jc w:val="center"/>
              <w:rPr>
                <w:rFonts w:hint="eastAsia" w:ascii="宋体" w:hAnsi="宋体" w:cs="宋体"/>
                <w:color w:val="auto"/>
              </w:rPr>
            </w:pPr>
            <w:r>
              <w:rPr>
                <w:rFonts w:hint="eastAsia" w:ascii="宋体" w:hAnsi="宋体" w:cs="宋体"/>
                <w:color w:val="auto"/>
              </w:rPr>
              <w:t>踏勘供应商</w:t>
            </w:r>
          </w:p>
        </w:tc>
        <w:tc>
          <w:tcPr>
            <w:tcW w:w="5617" w:type="dxa"/>
            <w:gridSpan w:val="3"/>
            <w:vAlign w:val="center"/>
          </w:tcPr>
          <w:p w14:paraId="4B1FAC3B">
            <w:pPr>
              <w:jc w:val="center"/>
              <w:rPr>
                <w:rFonts w:hint="eastAsia" w:ascii="宋体" w:hAnsi="宋体" w:cs="宋体"/>
                <w:color w:val="auto"/>
              </w:rPr>
            </w:pPr>
          </w:p>
        </w:tc>
        <w:tc>
          <w:tcPr>
            <w:tcW w:w="1812" w:type="dxa"/>
            <w:vAlign w:val="center"/>
          </w:tcPr>
          <w:p w14:paraId="2C0A2A5F">
            <w:pPr>
              <w:jc w:val="center"/>
              <w:rPr>
                <w:rFonts w:hint="eastAsia" w:ascii="宋体" w:hAnsi="宋体" w:cs="宋体"/>
                <w:color w:val="auto"/>
              </w:rPr>
            </w:pPr>
            <w:r>
              <w:rPr>
                <w:rFonts w:hint="eastAsia" w:ascii="宋体" w:hAnsi="宋体" w:cs="宋体"/>
                <w:color w:val="auto"/>
              </w:rPr>
              <w:t>联系人、联系电话</w:t>
            </w:r>
          </w:p>
        </w:tc>
        <w:tc>
          <w:tcPr>
            <w:tcW w:w="5365" w:type="dxa"/>
            <w:vAlign w:val="center"/>
          </w:tcPr>
          <w:p w14:paraId="00999FF3">
            <w:pPr>
              <w:jc w:val="center"/>
              <w:rPr>
                <w:rFonts w:hint="eastAsia" w:ascii="宋体" w:hAnsi="宋体" w:cs="宋体"/>
                <w:color w:val="auto"/>
              </w:rPr>
            </w:pPr>
          </w:p>
        </w:tc>
      </w:tr>
      <w:tr w14:paraId="6B33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544" w:type="dxa"/>
            <w:vMerge w:val="restart"/>
            <w:vAlign w:val="center"/>
          </w:tcPr>
          <w:p w14:paraId="029A76EB">
            <w:pPr>
              <w:jc w:val="center"/>
              <w:rPr>
                <w:rFonts w:hint="eastAsia" w:ascii="宋体" w:hAnsi="宋体" w:cs="宋体"/>
                <w:color w:val="auto"/>
              </w:rPr>
            </w:pPr>
            <w:r>
              <w:rPr>
                <w:rFonts w:hint="eastAsia" w:ascii="宋体" w:hAnsi="宋体" w:cs="宋体"/>
                <w:color w:val="auto"/>
              </w:rPr>
              <w:t>现场踏勘</w:t>
            </w:r>
          </w:p>
          <w:p w14:paraId="2A80DA98">
            <w:pPr>
              <w:jc w:val="center"/>
              <w:rPr>
                <w:rFonts w:hint="eastAsia" w:ascii="宋体" w:hAnsi="宋体" w:cs="宋体"/>
                <w:color w:val="auto"/>
              </w:rPr>
            </w:pPr>
            <w:r>
              <w:rPr>
                <w:rFonts w:hint="eastAsia" w:ascii="宋体" w:hAnsi="宋体" w:cs="宋体"/>
                <w:color w:val="auto"/>
              </w:rPr>
              <w:t>提交资料</w:t>
            </w:r>
          </w:p>
        </w:tc>
        <w:tc>
          <w:tcPr>
            <w:tcW w:w="2565" w:type="dxa"/>
            <w:gridSpan w:val="2"/>
            <w:vAlign w:val="center"/>
          </w:tcPr>
          <w:p w14:paraId="122D3857">
            <w:pPr>
              <w:jc w:val="center"/>
              <w:rPr>
                <w:rFonts w:hint="eastAsia" w:ascii="宋体" w:hAnsi="宋体" w:cs="宋体"/>
                <w:color w:val="auto"/>
              </w:rPr>
            </w:pPr>
            <w:r>
              <w:rPr>
                <w:rFonts w:hint="eastAsia" w:ascii="宋体" w:hAnsi="宋体" w:cs="宋体"/>
                <w:color w:val="auto"/>
              </w:rPr>
              <w:t>授权委托书原件（盖公章）</w:t>
            </w:r>
          </w:p>
        </w:tc>
        <w:tc>
          <w:tcPr>
            <w:tcW w:w="10229" w:type="dxa"/>
            <w:gridSpan w:val="3"/>
            <w:vAlign w:val="center"/>
          </w:tcPr>
          <w:p w14:paraId="2F916E4B">
            <w:pPr>
              <w:jc w:val="center"/>
              <w:rPr>
                <w:rFonts w:hint="eastAsia" w:ascii="宋体" w:hAnsi="宋体" w:cs="宋体"/>
                <w:color w:val="auto"/>
              </w:rPr>
            </w:pPr>
            <w:r>
              <w:rPr>
                <w:rFonts w:hint="eastAsia" w:ascii="宋体" w:hAnsi="宋体" w:cs="宋体"/>
                <w:color w:val="auto"/>
              </w:rPr>
              <w:sym w:font="Wingdings" w:char="00A8"/>
            </w:r>
            <w:r>
              <w:rPr>
                <w:rFonts w:hint="eastAsia" w:ascii="宋体" w:hAnsi="宋体" w:cs="宋体"/>
                <w:color w:val="auto"/>
              </w:rPr>
              <w:t xml:space="preserve">符合  </w:t>
            </w:r>
            <w:r>
              <w:rPr>
                <w:rFonts w:hint="eastAsia" w:ascii="宋体" w:hAnsi="宋体" w:cs="宋体"/>
                <w:color w:val="auto"/>
              </w:rPr>
              <w:sym w:font="Wingdings" w:char="00A8"/>
            </w:r>
            <w:r>
              <w:rPr>
                <w:rFonts w:hint="eastAsia" w:ascii="宋体" w:hAnsi="宋体" w:cs="宋体"/>
                <w:color w:val="auto"/>
              </w:rPr>
              <w:t>不符合</w:t>
            </w:r>
          </w:p>
        </w:tc>
      </w:tr>
      <w:tr w14:paraId="5EA8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4" w:type="dxa"/>
            <w:vMerge w:val="continue"/>
            <w:vAlign w:val="center"/>
          </w:tcPr>
          <w:p w14:paraId="04FB65C5">
            <w:pPr>
              <w:jc w:val="center"/>
              <w:rPr>
                <w:rFonts w:hint="eastAsia" w:ascii="宋体" w:hAnsi="宋体" w:cs="宋体"/>
                <w:color w:val="auto"/>
              </w:rPr>
            </w:pPr>
          </w:p>
        </w:tc>
        <w:tc>
          <w:tcPr>
            <w:tcW w:w="2565" w:type="dxa"/>
            <w:gridSpan w:val="2"/>
            <w:vAlign w:val="center"/>
          </w:tcPr>
          <w:p w14:paraId="08428449">
            <w:pPr>
              <w:jc w:val="center"/>
              <w:rPr>
                <w:rFonts w:hint="eastAsia" w:ascii="宋体" w:hAnsi="宋体" w:cs="宋体"/>
                <w:color w:val="auto"/>
              </w:rPr>
            </w:pPr>
            <w:r>
              <w:rPr>
                <w:rFonts w:hint="eastAsia" w:ascii="宋体" w:hAnsi="宋体" w:cs="宋体"/>
                <w:color w:val="auto"/>
              </w:rPr>
              <w:t>本人身份证原件</w:t>
            </w:r>
          </w:p>
        </w:tc>
        <w:tc>
          <w:tcPr>
            <w:tcW w:w="10229" w:type="dxa"/>
            <w:gridSpan w:val="3"/>
            <w:vAlign w:val="center"/>
          </w:tcPr>
          <w:p w14:paraId="271102E8">
            <w:pPr>
              <w:jc w:val="center"/>
              <w:rPr>
                <w:rFonts w:hint="eastAsia" w:ascii="宋体" w:hAnsi="宋体" w:cs="宋体"/>
                <w:color w:val="auto"/>
              </w:rPr>
            </w:pPr>
            <w:r>
              <w:rPr>
                <w:rFonts w:hint="eastAsia" w:ascii="宋体" w:hAnsi="宋体" w:cs="宋体"/>
                <w:color w:val="auto"/>
              </w:rPr>
              <w:sym w:font="Wingdings" w:char="00A8"/>
            </w:r>
            <w:r>
              <w:rPr>
                <w:rFonts w:hint="eastAsia" w:ascii="宋体" w:hAnsi="宋体" w:cs="宋体"/>
                <w:color w:val="auto"/>
              </w:rPr>
              <w:t xml:space="preserve">符合  </w:t>
            </w:r>
            <w:r>
              <w:rPr>
                <w:rFonts w:hint="eastAsia" w:ascii="宋体" w:hAnsi="宋体" w:cs="宋体"/>
                <w:color w:val="auto"/>
              </w:rPr>
              <w:sym w:font="Wingdings" w:char="00A8"/>
            </w:r>
            <w:r>
              <w:rPr>
                <w:rFonts w:hint="eastAsia" w:ascii="宋体" w:hAnsi="宋体" w:cs="宋体"/>
                <w:color w:val="auto"/>
              </w:rPr>
              <w:t>不符合</w:t>
            </w:r>
          </w:p>
        </w:tc>
      </w:tr>
      <w:tr w14:paraId="0F3E5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161" w:type="dxa"/>
            <w:gridSpan w:val="4"/>
            <w:vAlign w:val="center"/>
          </w:tcPr>
          <w:p w14:paraId="00C21256">
            <w:pPr>
              <w:jc w:val="center"/>
              <w:rPr>
                <w:rFonts w:hint="eastAsia" w:ascii="宋体" w:hAnsi="宋体" w:cs="宋体"/>
                <w:color w:val="auto"/>
              </w:rPr>
            </w:pPr>
            <w:r>
              <w:rPr>
                <w:rFonts w:hint="eastAsia" w:ascii="宋体" w:hAnsi="宋体" w:cs="宋体"/>
                <w:color w:val="auto"/>
              </w:rPr>
              <w:t>确认勘察内容</w:t>
            </w:r>
          </w:p>
        </w:tc>
        <w:tc>
          <w:tcPr>
            <w:tcW w:w="7177" w:type="dxa"/>
            <w:gridSpan w:val="2"/>
            <w:vAlign w:val="center"/>
          </w:tcPr>
          <w:p w14:paraId="144B7390">
            <w:pPr>
              <w:jc w:val="center"/>
              <w:rPr>
                <w:rFonts w:hint="eastAsia" w:ascii="宋体" w:hAnsi="宋体" w:cs="宋体"/>
                <w:color w:val="auto"/>
              </w:rPr>
            </w:pPr>
            <w:r>
              <w:rPr>
                <w:rFonts w:hint="eastAsia" w:ascii="宋体" w:hAnsi="宋体" w:cs="宋体"/>
                <w:color w:val="auto"/>
              </w:rPr>
              <w:t>确认情况</w:t>
            </w:r>
          </w:p>
          <w:p w14:paraId="7D360260">
            <w:pPr>
              <w:jc w:val="center"/>
              <w:rPr>
                <w:rFonts w:hint="eastAsia" w:ascii="宋体" w:hAnsi="宋体" w:cs="宋体"/>
                <w:color w:val="auto"/>
              </w:rPr>
            </w:pPr>
            <w:r>
              <w:rPr>
                <w:rFonts w:hint="eastAsia" w:ascii="宋体" w:hAnsi="宋体" w:cs="宋体"/>
                <w:color w:val="auto"/>
              </w:rPr>
              <w:t>如“否”请说明情况</w:t>
            </w:r>
          </w:p>
        </w:tc>
      </w:tr>
      <w:tr w14:paraId="7BCB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161" w:type="dxa"/>
            <w:gridSpan w:val="4"/>
            <w:vAlign w:val="center"/>
          </w:tcPr>
          <w:p w14:paraId="29AAEEEC">
            <w:pPr>
              <w:jc w:val="left"/>
              <w:rPr>
                <w:rFonts w:hint="eastAsia" w:ascii="宋体" w:hAnsi="宋体" w:cs="宋体"/>
                <w:color w:val="auto"/>
              </w:rPr>
            </w:pPr>
            <w:r>
              <w:rPr>
                <w:rFonts w:hint="eastAsia" w:ascii="宋体" w:hAnsi="宋体" w:cs="宋体"/>
                <w:color w:val="auto"/>
              </w:rPr>
              <w:t>1、</w:t>
            </w:r>
          </w:p>
        </w:tc>
        <w:tc>
          <w:tcPr>
            <w:tcW w:w="7177" w:type="dxa"/>
            <w:gridSpan w:val="2"/>
            <w:vAlign w:val="center"/>
          </w:tcPr>
          <w:p w14:paraId="16D0AA9C">
            <w:pPr>
              <w:ind w:firstLine="420" w:firstLineChars="200"/>
              <w:jc w:val="left"/>
              <w:rPr>
                <w:rFonts w:hint="eastAsia" w:ascii="宋体" w:hAnsi="宋体" w:cs="宋体"/>
                <w:color w:val="auto"/>
              </w:rPr>
            </w:pPr>
            <w:r>
              <w:rPr>
                <w:rFonts w:hint="eastAsia" w:ascii="宋体" w:hAnsi="宋体" w:cs="宋体"/>
                <w:color w:val="auto"/>
              </w:rPr>
              <w:sym w:font="Wingdings" w:char="00A8"/>
            </w:r>
            <w:r>
              <w:rPr>
                <w:rFonts w:hint="eastAsia" w:ascii="宋体" w:hAnsi="宋体" w:cs="宋体"/>
                <w:color w:val="auto"/>
              </w:rPr>
              <w:t xml:space="preserve">是  </w:t>
            </w:r>
            <w:r>
              <w:rPr>
                <w:rFonts w:hint="eastAsia" w:ascii="宋体" w:hAnsi="宋体" w:cs="宋体"/>
                <w:color w:val="auto"/>
              </w:rPr>
              <w:sym w:font="Wingdings" w:char="00A8"/>
            </w:r>
            <w:r>
              <w:rPr>
                <w:rFonts w:hint="eastAsia" w:ascii="宋体" w:hAnsi="宋体" w:cs="宋体"/>
                <w:color w:val="auto"/>
              </w:rPr>
              <w:t>否</w:t>
            </w:r>
          </w:p>
        </w:tc>
      </w:tr>
      <w:tr w14:paraId="3BA5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161" w:type="dxa"/>
            <w:gridSpan w:val="4"/>
            <w:vAlign w:val="center"/>
          </w:tcPr>
          <w:p w14:paraId="535A4F71">
            <w:pPr>
              <w:jc w:val="left"/>
              <w:rPr>
                <w:color w:val="auto"/>
              </w:rPr>
            </w:pPr>
            <w:r>
              <w:rPr>
                <w:rFonts w:hint="eastAsia" w:ascii="宋体" w:hAnsi="宋体" w:cs="宋体"/>
                <w:color w:val="auto"/>
              </w:rPr>
              <w:t>2、</w:t>
            </w:r>
          </w:p>
        </w:tc>
        <w:tc>
          <w:tcPr>
            <w:tcW w:w="7177" w:type="dxa"/>
            <w:gridSpan w:val="2"/>
            <w:vAlign w:val="center"/>
          </w:tcPr>
          <w:p w14:paraId="158C965D">
            <w:pPr>
              <w:ind w:firstLine="420" w:firstLineChars="200"/>
              <w:jc w:val="left"/>
              <w:rPr>
                <w:rFonts w:hint="eastAsia" w:ascii="宋体" w:hAnsi="宋体" w:cs="宋体"/>
                <w:color w:val="auto"/>
              </w:rPr>
            </w:pPr>
            <w:r>
              <w:rPr>
                <w:rFonts w:hint="eastAsia" w:ascii="宋体" w:hAnsi="宋体" w:cs="宋体"/>
                <w:color w:val="auto"/>
              </w:rPr>
              <w:sym w:font="Wingdings" w:char="00A8"/>
            </w:r>
            <w:r>
              <w:rPr>
                <w:rFonts w:hint="eastAsia" w:ascii="宋体" w:hAnsi="宋体" w:cs="宋体"/>
                <w:color w:val="auto"/>
              </w:rPr>
              <w:t xml:space="preserve">是  </w:t>
            </w:r>
            <w:r>
              <w:rPr>
                <w:rFonts w:hint="eastAsia" w:ascii="宋体" w:hAnsi="宋体" w:cs="宋体"/>
                <w:color w:val="auto"/>
              </w:rPr>
              <w:sym w:font="Wingdings" w:char="00A8"/>
            </w:r>
            <w:r>
              <w:rPr>
                <w:rFonts w:hint="eastAsia" w:ascii="宋体" w:hAnsi="宋体" w:cs="宋体"/>
                <w:color w:val="auto"/>
              </w:rPr>
              <w:t>否</w:t>
            </w:r>
          </w:p>
        </w:tc>
      </w:tr>
      <w:tr w14:paraId="1F7A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161" w:type="dxa"/>
            <w:gridSpan w:val="4"/>
            <w:vAlign w:val="center"/>
          </w:tcPr>
          <w:p w14:paraId="48A1C749">
            <w:pPr>
              <w:jc w:val="left"/>
              <w:rPr>
                <w:rFonts w:hint="eastAsia" w:ascii="宋体" w:hAnsi="宋体" w:cs="宋体"/>
                <w:color w:val="auto"/>
              </w:rPr>
            </w:pPr>
            <w:r>
              <w:rPr>
                <w:rFonts w:hint="eastAsia" w:ascii="宋体" w:hAnsi="宋体" w:cs="宋体"/>
                <w:color w:val="auto"/>
              </w:rPr>
              <w:t>3、</w:t>
            </w:r>
          </w:p>
        </w:tc>
        <w:tc>
          <w:tcPr>
            <w:tcW w:w="7177" w:type="dxa"/>
            <w:gridSpan w:val="2"/>
            <w:vAlign w:val="center"/>
          </w:tcPr>
          <w:p w14:paraId="2BF6B2F9">
            <w:pPr>
              <w:ind w:firstLine="420" w:firstLineChars="200"/>
              <w:jc w:val="left"/>
              <w:rPr>
                <w:rFonts w:hint="eastAsia" w:ascii="宋体" w:hAnsi="宋体" w:cs="宋体"/>
                <w:color w:val="auto"/>
              </w:rPr>
            </w:pPr>
            <w:r>
              <w:rPr>
                <w:rFonts w:hint="eastAsia" w:ascii="宋体" w:hAnsi="宋体" w:cs="宋体"/>
                <w:color w:val="auto"/>
              </w:rPr>
              <w:sym w:font="Wingdings" w:char="00A8"/>
            </w:r>
            <w:r>
              <w:rPr>
                <w:rFonts w:hint="eastAsia" w:ascii="宋体" w:hAnsi="宋体" w:cs="宋体"/>
                <w:color w:val="auto"/>
              </w:rPr>
              <w:t xml:space="preserve">是  </w:t>
            </w:r>
            <w:r>
              <w:rPr>
                <w:rFonts w:hint="eastAsia" w:ascii="宋体" w:hAnsi="宋体" w:cs="宋体"/>
                <w:color w:val="auto"/>
              </w:rPr>
              <w:sym w:font="Wingdings" w:char="00A8"/>
            </w:r>
            <w:r>
              <w:rPr>
                <w:rFonts w:hint="eastAsia" w:ascii="宋体" w:hAnsi="宋体" w:cs="宋体"/>
                <w:color w:val="auto"/>
              </w:rPr>
              <w:t>否</w:t>
            </w:r>
          </w:p>
        </w:tc>
      </w:tr>
      <w:tr w14:paraId="5152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161" w:type="dxa"/>
            <w:gridSpan w:val="4"/>
            <w:vAlign w:val="center"/>
          </w:tcPr>
          <w:p w14:paraId="601F3A71">
            <w:pPr>
              <w:jc w:val="left"/>
              <w:rPr>
                <w:rFonts w:hint="eastAsia" w:ascii="宋体" w:hAnsi="宋体" w:cs="宋体"/>
                <w:color w:val="auto"/>
              </w:rPr>
            </w:pPr>
            <w:r>
              <w:rPr>
                <w:rFonts w:hint="eastAsia" w:ascii="宋体" w:hAnsi="宋体" w:cs="宋体"/>
                <w:color w:val="auto"/>
              </w:rPr>
              <w:t>4、</w:t>
            </w:r>
          </w:p>
        </w:tc>
        <w:tc>
          <w:tcPr>
            <w:tcW w:w="7177" w:type="dxa"/>
            <w:gridSpan w:val="2"/>
            <w:vAlign w:val="center"/>
          </w:tcPr>
          <w:p w14:paraId="21D0F34B">
            <w:pPr>
              <w:ind w:firstLine="420" w:firstLineChars="200"/>
              <w:jc w:val="left"/>
              <w:rPr>
                <w:rFonts w:hint="eastAsia" w:ascii="宋体" w:hAnsi="宋体" w:cs="宋体"/>
                <w:color w:val="auto"/>
              </w:rPr>
            </w:pPr>
            <w:r>
              <w:rPr>
                <w:rFonts w:hint="eastAsia" w:ascii="宋体" w:hAnsi="宋体" w:cs="宋体"/>
                <w:color w:val="auto"/>
              </w:rPr>
              <w:sym w:font="Wingdings" w:char="00A8"/>
            </w:r>
            <w:r>
              <w:rPr>
                <w:rFonts w:hint="eastAsia" w:ascii="宋体" w:hAnsi="宋体" w:cs="宋体"/>
                <w:color w:val="auto"/>
              </w:rPr>
              <w:t xml:space="preserve">是  </w:t>
            </w:r>
            <w:r>
              <w:rPr>
                <w:rFonts w:hint="eastAsia" w:ascii="宋体" w:hAnsi="宋体" w:cs="宋体"/>
                <w:color w:val="auto"/>
              </w:rPr>
              <w:sym w:font="Wingdings" w:char="00A8"/>
            </w:r>
            <w:r>
              <w:rPr>
                <w:rFonts w:hint="eastAsia" w:ascii="宋体" w:hAnsi="宋体" w:cs="宋体"/>
                <w:color w:val="auto"/>
              </w:rPr>
              <w:t>否</w:t>
            </w:r>
          </w:p>
        </w:tc>
      </w:tr>
      <w:tr w14:paraId="0508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7161" w:type="dxa"/>
            <w:gridSpan w:val="4"/>
            <w:vAlign w:val="center"/>
          </w:tcPr>
          <w:p w14:paraId="37B63E02">
            <w:pPr>
              <w:jc w:val="left"/>
              <w:rPr>
                <w:rFonts w:hint="eastAsia" w:ascii="宋体" w:hAnsi="宋体" w:cs="宋体"/>
                <w:color w:val="auto"/>
              </w:rPr>
            </w:pPr>
            <w:r>
              <w:rPr>
                <w:rFonts w:hint="eastAsia" w:ascii="宋体" w:hAnsi="宋体" w:cs="宋体"/>
                <w:color w:val="auto"/>
              </w:rPr>
              <w:t>5、</w:t>
            </w:r>
          </w:p>
        </w:tc>
        <w:tc>
          <w:tcPr>
            <w:tcW w:w="7177" w:type="dxa"/>
            <w:gridSpan w:val="2"/>
            <w:vAlign w:val="center"/>
          </w:tcPr>
          <w:p w14:paraId="0BAC5418">
            <w:pPr>
              <w:ind w:firstLine="420" w:firstLineChars="200"/>
              <w:jc w:val="left"/>
              <w:rPr>
                <w:rFonts w:hint="eastAsia" w:ascii="宋体" w:hAnsi="宋体" w:cs="宋体"/>
                <w:color w:val="auto"/>
              </w:rPr>
            </w:pPr>
            <w:r>
              <w:rPr>
                <w:rFonts w:hint="eastAsia" w:ascii="宋体" w:hAnsi="宋体" w:cs="宋体"/>
                <w:color w:val="auto"/>
              </w:rPr>
              <w:sym w:font="Wingdings" w:char="00A8"/>
            </w:r>
            <w:r>
              <w:rPr>
                <w:rFonts w:hint="eastAsia" w:ascii="宋体" w:hAnsi="宋体" w:cs="宋体"/>
                <w:color w:val="auto"/>
              </w:rPr>
              <w:t xml:space="preserve">是  </w:t>
            </w:r>
            <w:r>
              <w:rPr>
                <w:rFonts w:hint="eastAsia" w:ascii="宋体" w:hAnsi="宋体" w:cs="宋体"/>
                <w:color w:val="auto"/>
              </w:rPr>
              <w:sym w:font="Wingdings" w:char="00A8"/>
            </w:r>
            <w:r>
              <w:rPr>
                <w:rFonts w:hint="eastAsia" w:ascii="宋体" w:hAnsi="宋体" w:cs="宋体"/>
                <w:color w:val="auto"/>
              </w:rPr>
              <w:t>否</w:t>
            </w:r>
          </w:p>
        </w:tc>
      </w:tr>
      <w:tr w14:paraId="5469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2601" w:type="dxa"/>
            <w:gridSpan w:val="2"/>
            <w:vAlign w:val="center"/>
          </w:tcPr>
          <w:p w14:paraId="51748BEA">
            <w:pPr>
              <w:jc w:val="center"/>
              <w:rPr>
                <w:rFonts w:hint="eastAsia" w:ascii="宋体" w:hAnsi="宋体" w:cs="宋体"/>
                <w:color w:val="auto"/>
              </w:rPr>
            </w:pPr>
            <w:r>
              <w:rPr>
                <w:rFonts w:hint="eastAsia" w:ascii="宋体" w:hAnsi="宋体" w:cs="宋体"/>
                <w:color w:val="auto"/>
              </w:rPr>
              <w:t>其他需要补充说明的情况</w:t>
            </w:r>
          </w:p>
        </w:tc>
        <w:tc>
          <w:tcPr>
            <w:tcW w:w="11737" w:type="dxa"/>
            <w:gridSpan w:val="4"/>
            <w:vAlign w:val="center"/>
          </w:tcPr>
          <w:p w14:paraId="4A697A8F">
            <w:pPr>
              <w:jc w:val="center"/>
              <w:rPr>
                <w:rFonts w:hint="eastAsia" w:ascii="宋体" w:hAnsi="宋体" w:cs="宋体"/>
                <w:color w:val="auto"/>
              </w:rPr>
            </w:pPr>
          </w:p>
        </w:tc>
      </w:tr>
      <w:tr w14:paraId="5247C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1544" w:type="dxa"/>
            <w:vAlign w:val="center"/>
          </w:tcPr>
          <w:p w14:paraId="256DE51D">
            <w:pPr>
              <w:jc w:val="center"/>
              <w:rPr>
                <w:rFonts w:hint="eastAsia" w:ascii="宋体" w:hAnsi="宋体" w:cs="宋体"/>
                <w:color w:val="auto"/>
              </w:rPr>
            </w:pPr>
            <w:r>
              <w:rPr>
                <w:rFonts w:hint="eastAsia" w:ascii="宋体" w:hAnsi="宋体" w:cs="宋体"/>
                <w:color w:val="auto"/>
              </w:rPr>
              <w:t>采购单位确认（盖章）</w:t>
            </w:r>
          </w:p>
        </w:tc>
        <w:tc>
          <w:tcPr>
            <w:tcW w:w="5617" w:type="dxa"/>
            <w:gridSpan w:val="3"/>
            <w:vAlign w:val="bottom"/>
          </w:tcPr>
          <w:p w14:paraId="7894A1DF">
            <w:pPr>
              <w:jc w:val="right"/>
              <w:rPr>
                <w:rFonts w:hint="eastAsia" w:ascii="宋体" w:hAnsi="宋体" w:cs="宋体"/>
                <w:color w:val="auto"/>
              </w:rPr>
            </w:pPr>
            <w:r>
              <w:rPr>
                <w:rFonts w:hint="eastAsia" w:ascii="宋体" w:hAnsi="宋体" w:cs="宋体"/>
                <w:color w:val="auto"/>
              </w:rPr>
              <w:t>年  月  日</w:t>
            </w:r>
          </w:p>
        </w:tc>
        <w:tc>
          <w:tcPr>
            <w:tcW w:w="1812" w:type="dxa"/>
            <w:vAlign w:val="center"/>
          </w:tcPr>
          <w:p w14:paraId="235C8158">
            <w:pPr>
              <w:jc w:val="center"/>
              <w:rPr>
                <w:rFonts w:hint="eastAsia" w:ascii="宋体" w:hAnsi="宋体" w:cs="宋体"/>
                <w:color w:val="auto"/>
              </w:rPr>
            </w:pPr>
            <w:r>
              <w:rPr>
                <w:rFonts w:hint="eastAsia" w:ascii="宋体" w:hAnsi="宋体" w:cs="宋体"/>
                <w:color w:val="auto"/>
              </w:rPr>
              <w:t>踏勘供应商签字确认</w:t>
            </w:r>
          </w:p>
        </w:tc>
        <w:tc>
          <w:tcPr>
            <w:tcW w:w="5365" w:type="dxa"/>
            <w:vAlign w:val="bottom"/>
          </w:tcPr>
          <w:p w14:paraId="794631F4">
            <w:pPr>
              <w:jc w:val="right"/>
              <w:rPr>
                <w:rFonts w:hint="eastAsia" w:ascii="宋体" w:hAnsi="宋体" w:cs="宋体"/>
                <w:color w:val="auto"/>
              </w:rPr>
            </w:pPr>
            <w:r>
              <w:rPr>
                <w:rFonts w:hint="eastAsia" w:ascii="宋体" w:hAnsi="宋体" w:cs="宋体"/>
                <w:color w:val="auto"/>
              </w:rPr>
              <w:t>年  月  日</w:t>
            </w:r>
          </w:p>
        </w:tc>
      </w:tr>
    </w:tbl>
    <w:p w14:paraId="31D11543">
      <w:pPr>
        <w:jc w:val="left"/>
        <w:rPr>
          <w:color w:val="auto"/>
        </w:rPr>
      </w:pPr>
      <w:r>
        <w:rPr>
          <w:rFonts w:hint="eastAsia" w:ascii="宋体" w:hAnsi="宋体" w:cs="宋体"/>
          <w:color w:val="auto"/>
          <w:sz w:val="24"/>
          <w:szCs w:val="24"/>
        </w:rPr>
        <w:t>注：本表一式两份，采购单位与踏勘供应商各持一份。</w:t>
      </w:r>
      <w:bookmarkEnd w:id="160"/>
      <w:bookmarkEnd w:id="161"/>
      <w:bookmarkEnd w:id="162"/>
      <w:bookmarkEnd w:id="163"/>
      <w:bookmarkEnd w:id="164"/>
    </w:p>
    <w:sectPr>
      <w:pgSz w:w="16838" w:h="11906" w:orient="landscape"/>
      <w:pgMar w:top="1366" w:right="1418" w:bottom="1588" w:left="1418"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0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8B4F31C-62C7-4785-96A1-E472BA971579}"/>
  </w:font>
  <w:font w:name="Arial">
    <w:panose1 w:val="020B0604020202020204"/>
    <w:charset w:val="01"/>
    <w:family w:val="swiss"/>
    <w:pitch w:val="default"/>
    <w:sig w:usb0="E0002EFF" w:usb1="C000785B" w:usb2="00000009" w:usb3="00000000" w:csb0="400001FF" w:csb1="FFFF0000"/>
    <w:embedRegular r:id="rId2" w:fontKey="{3E626341-4917-43B3-A0A1-16A542E26A52}"/>
  </w:font>
  <w:font w:name="黑体">
    <w:panose1 w:val="02010609060101010101"/>
    <w:charset w:val="86"/>
    <w:family w:val="auto"/>
    <w:pitch w:val="default"/>
    <w:sig w:usb0="800002BF" w:usb1="38CF7CFA" w:usb2="00000016" w:usb3="00000000" w:csb0="00040001" w:csb1="00000000"/>
    <w:embedRegular r:id="rId3" w:fontKey="{8285D4D6-B34C-4E6A-AC5E-149C51288499}"/>
  </w:font>
  <w:font w:name="Courier New">
    <w:panose1 w:val="02070309020205020404"/>
    <w:charset w:val="01"/>
    <w:family w:val="modern"/>
    <w:pitch w:val="default"/>
    <w:sig w:usb0="E0002EFF" w:usb1="C0007843" w:usb2="00000009" w:usb3="00000000" w:csb0="400001FF" w:csb1="FFFF0000"/>
    <w:embedRegular r:id="rId4" w:fontKey="{DE52B787-525F-4185-A28B-CDAA378BEDF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21048570-AA09-42E1-9F72-1DCD19399A5D}"/>
  </w:font>
  <w:font w:name="楷体_GB2312">
    <w:panose1 w:val="02010609030101010101"/>
    <w:charset w:val="86"/>
    <w:family w:val="modern"/>
    <w:pitch w:val="default"/>
    <w:sig w:usb0="00000001" w:usb1="080E0000" w:usb2="00000000" w:usb3="00000000" w:csb0="00040000" w:csb1="00000000"/>
    <w:embedRegular r:id="rId6" w:fontKey="{3B7BD803-D271-4A1B-9650-A132FBE5DC0B}"/>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rial Unicode MS">
    <w:altName w:val="Arial"/>
    <w:panose1 w:val="020B0604020202020204"/>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方正黑体_GBK">
    <w:panose1 w:val="03000509000000000000"/>
    <w:charset w:val="86"/>
    <w:family w:val="script"/>
    <w:pitch w:val="default"/>
    <w:sig w:usb0="00000001" w:usb1="080E0000" w:usb2="00000000" w:usb3="00000000" w:csb0="00040000" w:csb1="00000000"/>
    <w:embedRegular r:id="rId7" w:fontKey="{A4FE9B0B-851B-4B64-A704-8D5FB9394DAD}"/>
  </w:font>
  <w:font w:name="方正仿宋简体">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8" w:fontKey="{50293A4A-2671-42C7-8085-9760FFA77148}"/>
  </w:font>
  <w:font w:name="Helvetica Neue">
    <w:altName w:val="Times New Roman"/>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embedRegular r:id="rId9" w:fontKey="{1CEEA240-1031-4965-9673-513ADD28DA6B}"/>
  </w:font>
  <w:font w:name="Cambria">
    <w:panose1 w:val="02040503050406030204"/>
    <w:charset w:val="00"/>
    <w:family w:val="roman"/>
    <w:pitch w:val="default"/>
    <w:sig w:usb0="E00006FF" w:usb1="420024FF" w:usb2="02000000" w:usb3="00000000" w:csb0="2000019F"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10" w:fontKey="{40935089-A3CC-4B7D-A6EE-C166FC237A3B}"/>
  </w:font>
  <w:font w:name="华文楷体">
    <w:panose1 w:val="02010600040101010101"/>
    <w:charset w:val="86"/>
    <w:family w:val="auto"/>
    <w:pitch w:val="default"/>
    <w:sig w:usb0="A00002BF" w:usb1="78CF7CFB" w:usb2="00000016" w:usb3="00000000" w:csb0="6006009F" w:csb1="DFD70000"/>
    <w:embedRegular r:id="rId11" w:fontKey="{267EFDB3-9D80-4F31-BADC-E6B51E4A55FB}"/>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embedRegular r:id="rId12" w:fontKey="{D321D0A4-3AAE-4DD7-9573-59E5B1186246}"/>
  </w:font>
  <w:font w:name="华文中宋">
    <w:panose1 w:val="02010600040101010101"/>
    <w:charset w:val="86"/>
    <w:family w:val="auto"/>
    <w:pitch w:val="default"/>
    <w:sig w:usb0="00000287" w:usb1="080F0000" w:usb2="00000000" w:usb3="00000000" w:csb0="0004009F" w:csb1="DFD70000"/>
    <w:embedRegular r:id="rId13" w:fontKey="{E9B6E5D2-8F03-412A-A999-7E90BF212300}"/>
  </w:font>
  <w:font w:name="ˎ̥">
    <w:altName w:val="Times New Roman"/>
    <w:panose1 w:val="00000000000000000000"/>
    <w:charset w:val="00"/>
    <w:family w:val="roman"/>
    <w:pitch w:val="default"/>
    <w:sig w:usb0="00000000" w:usb1="00000000" w:usb2="00000000" w:usb3="00000000" w:csb0="00040001" w:csb1="00000000"/>
    <w:embedRegular r:id="rId14" w:fontKey="{4502BBD4-970B-431F-9227-85A3A510579C}"/>
  </w:font>
  <w:font w:name="WPSEMBED1">
    <w:panose1 w:val="02010609030101010101"/>
    <w:charset w:val="86"/>
    <w:family w:val="auto"/>
    <w:pitch w:val="default"/>
    <w:sig w:usb0="00000001" w:usb1="080E0000" w:usb2="00000000" w:usb3="00000000" w:csb0="00040000" w:csb1="00000000"/>
  </w:font>
  <w:font w:name="WPSEMBED2">
    <w:panose1 w:val="03000509000000000000"/>
    <w:charset w:val="86"/>
    <w:family w:val="auto"/>
    <w:pitch w:val="default"/>
    <w:sig w:usb0="00000001" w:usb1="080E0000" w:usb2="00000000" w:usb3="00000000" w:csb0="00040000" w:csb1="00000000"/>
  </w:font>
  <w:font w:name="WPSEMBED3">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8B1F5">
    <w:pPr>
      <w:pStyle w:val="2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31445"/>
              <wp:effectExtent l="0" t="0" r="0" b="0"/>
              <wp:wrapNone/>
              <wp:docPr id="472911443" name="文本框 1032"/>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5030BFAE">
                          <w:pPr>
                            <w:pStyle w:val="27"/>
                          </w:pPr>
                          <w:r>
                            <w:fldChar w:fldCharType="begin"/>
                          </w:r>
                          <w:r>
                            <w:instrText xml:space="preserve"> PAGE  \* MERGEFORMAT </w:instrText>
                          </w:r>
                          <w:r>
                            <w:fldChar w:fldCharType="separate"/>
                          </w:r>
                          <w:r>
                            <w:t>91</w:t>
                          </w:r>
                          <w:r>
                            <w:fldChar w:fldCharType="end"/>
                          </w:r>
                        </w:p>
                      </w:txbxContent>
                    </wps:txbx>
                    <wps:bodyPr rot="0" vert="horz" wrap="none" lIns="0" tIns="0" rIns="0" bIns="0" anchor="t" anchorCtr="0" upright="1">
                      <a:spAutoFit/>
                    </wps:bodyPr>
                  </wps:wsp>
                </a:graphicData>
              </a:graphic>
            </wp:anchor>
          </w:drawing>
        </mc:Choice>
        <mc:Fallback>
          <w:pict>
            <v:shape id="文本框 1032" o:spid="_x0000_s1026" o:spt="202" type="#_x0000_t202" style="position:absolute;left:0pt;margin-top:0pt;height:10.35pt;width:4.55pt;mso-position-horizontal:center;mso-position-horizontal-relative:margin;mso-wrap-style:none;z-index:251659264;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L3UTQAAAAAgEAAA8AAAAAAAAAAQAgAAAA&#10;IgAAAGRycy9kb3ducmV2LnhtbFBLAQIUABQAAAAIAIdO4kBIPf4gEwIAAAwEAAAOAAAAAAAAAAEA&#10;IAAAAB8BAABkcnMvZTJvRG9jLnhtbFBLBQYAAAAABgAGAFkBAACkBQAAAAA=&#10;">
              <v:fill on="f" focussize="0,0"/>
              <v:stroke on="f"/>
              <v:imagedata o:title=""/>
              <o:lock v:ext="edit" aspectratio="f"/>
              <v:textbox inset="0mm,0mm,0mm,0mm" style="mso-fit-shape-to-text:t;">
                <w:txbxContent>
                  <w:p w14:paraId="5030BFAE">
                    <w:pPr>
                      <w:pStyle w:val="2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407A9">
    <w:pPr>
      <w:pStyle w:val="27"/>
      <w:tabs>
        <w:tab w:val="center" w:pos="4140"/>
        <w:tab w:val="right" w:pos="8300"/>
        <w:tab w:val="clear" w:pos="4153"/>
        <w:tab w:val="clear" w:pos="8306"/>
      </w:tabs>
      <w:jc w:val="center"/>
    </w:pPr>
    <w:r>
      <w:fldChar w:fldCharType="begin"/>
    </w:r>
    <w:r>
      <w:instrText xml:space="preserve"> PAGE   \* MERGEFORMAT </w:instrText>
    </w:r>
    <w:r>
      <w:fldChar w:fldCharType="separate"/>
    </w:r>
    <w:r>
      <w:rPr>
        <w:lang w:val="zh-CN"/>
      </w:rPr>
      <w:t>106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3F0B7">
    <w:pPr>
      <w:pStyle w:val="2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0" b="0"/>
              <wp:wrapNone/>
              <wp:docPr id="1823837799" name="文本框 1033"/>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7FE6DC0F">
                          <w:pPr>
                            <w:pStyle w:val="27"/>
                            <w:jc w:val="center"/>
                          </w:pPr>
                          <w:r>
                            <w:fldChar w:fldCharType="begin"/>
                          </w:r>
                          <w:r>
                            <w:instrText xml:space="preserve"> PAGE   \* MERGEFORMAT </w:instrText>
                          </w:r>
                          <w:r>
                            <w:fldChar w:fldCharType="separate"/>
                          </w:r>
                          <w:r>
                            <w:rPr>
                              <w:lang w:val="zh-CN"/>
                            </w:rPr>
                            <w:t>104</w:t>
                          </w:r>
                          <w:r>
                            <w:fldChar w:fldCharType="end"/>
                          </w:r>
                        </w:p>
                      </w:txbxContent>
                    </wps:txbx>
                    <wps:bodyPr rot="0" vert="horz" wrap="none" lIns="0" tIns="0" rIns="0" bIns="0" anchor="t" anchorCtr="0" upright="1">
                      <a:spAutoFit/>
                    </wps:bodyPr>
                  </wps:wsp>
                </a:graphicData>
              </a:graphic>
            </wp:anchor>
          </w:drawing>
        </mc:Choice>
        <mc:Fallback>
          <w:pict>
            <v:shape id="文本框 1033"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5X5J0AAAAAMBAAAPAAAAAAAAAAEAIAAA&#10;ACIAAABkcnMvZG93bnJldi54bWxQSwECFAAUAAAACACHTuJAf8N1lBQCAAAOBAAADgAAAAAAAAAB&#10;ACAAAAAfAQAAZHJzL2Uyb0RvYy54bWxQSwUGAAAAAAYABgBZAQAApQUAAAAA&#10;">
              <v:fill on="f" focussize="0,0"/>
              <v:stroke on="f"/>
              <v:imagedata o:title=""/>
              <o:lock v:ext="edit" aspectratio="f"/>
              <v:textbox inset="0mm,0mm,0mm,0mm" style="mso-fit-shape-to-text:t;">
                <w:txbxContent>
                  <w:p w14:paraId="7FE6DC0F">
                    <w:pPr>
                      <w:pStyle w:val="27"/>
                      <w:jc w:val="center"/>
                    </w:pPr>
                    <w:r>
                      <w:fldChar w:fldCharType="begin"/>
                    </w:r>
                    <w:r>
                      <w:instrText xml:space="preserve"> PAGE   \* MERGEFORMAT </w:instrText>
                    </w:r>
                    <w:r>
                      <w:fldChar w:fldCharType="separate"/>
                    </w:r>
                    <w:r>
                      <w:rPr>
                        <w:lang w:val="zh-CN"/>
                      </w:rPr>
                      <w:t>104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84938">
    <w:pPr>
      <w:pStyle w:val="2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8075014" name="文本框 1034"/>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679DE6DE">
                          <w:pPr>
                            <w:pStyle w:val="27"/>
                            <w:jc w:val="center"/>
                          </w:pPr>
                          <w:r>
                            <w:fldChar w:fldCharType="begin"/>
                          </w:r>
                          <w:r>
                            <w:instrText xml:space="preserve"> PAGE   \* MERGEFORMAT </w:instrText>
                          </w:r>
                          <w:r>
                            <w:fldChar w:fldCharType="separate"/>
                          </w:r>
                          <w:r>
                            <w:rPr>
                              <w:lang w:val="zh-CN"/>
                            </w:rPr>
                            <w:t>39</w:t>
                          </w:r>
                          <w:r>
                            <w:fldChar w:fldCharType="end"/>
                          </w:r>
                        </w:p>
                      </w:txbxContent>
                    </wps:txbx>
                    <wps:bodyPr rot="0" vert="horz" wrap="none" lIns="0" tIns="0" rIns="0" bIns="0" anchor="t" anchorCtr="0" upright="1">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&#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pebnPAAAABQEAAA8AAAAAAAAAAQAgAAAAIgAAAGRy&#10;cy9kb3ducmV2LnhtbFBLAQIUABQAAAAIAIdO4kCZ3uKdDgIAAA8EAAAOAAAAAAAAAAEAIAAAAB4B&#10;AABkcnMvZTJvRG9jLnhtbFBLBQYAAAAABgAGAFkBAACeBQAAAAA=&#10;">
              <v:fill on="f" focussize="0,0"/>
              <v:stroke on="f"/>
              <v:imagedata o:title=""/>
              <o:lock v:ext="edit" aspectratio="f"/>
              <v:textbox inset="0mm,0mm,0mm,0mm" style="mso-fit-shape-to-text:t;">
                <w:txbxContent>
                  <w:p w14:paraId="679DE6DE">
                    <w:pPr>
                      <w:pStyle w:val="27"/>
                      <w:jc w:val="center"/>
                    </w:pPr>
                    <w:r>
                      <w:fldChar w:fldCharType="begin"/>
                    </w:r>
                    <w:r>
                      <w:instrText xml:space="preserve"> PAGE   \* MERGEFORMAT </w:instrText>
                    </w:r>
                    <w:r>
                      <w:fldChar w:fldCharType="separate"/>
                    </w:r>
                    <w:r>
                      <w:rPr>
                        <w:lang w:val="zh-CN"/>
                      </w:rP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25F64">
    <w:pPr>
      <w:pStyle w:val="27"/>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文本框 1030"/>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a:noFill/>
                      </a:ln>
                    </wps:spPr>
                    <wps:txbx>
                      <w:txbxContent>
                        <w:p w14:paraId="6C22A4D9">
                          <w:pPr>
                            <w:pStyle w:val="27"/>
                            <w:jc w:val="center"/>
                          </w:pPr>
                          <w:r>
                            <w:fldChar w:fldCharType="begin"/>
                          </w:r>
                          <w:r>
                            <w:instrText xml:space="preserve"> PAGE   \* MERGEFORMAT </w:instrText>
                          </w:r>
                          <w:r>
                            <w:fldChar w:fldCharType="separate"/>
                          </w:r>
                          <w:r>
                            <w:rPr>
                              <w:lang w:val="zh-CN"/>
                            </w:rPr>
                            <w:t>112</w:t>
                          </w:r>
                          <w:r>
                            <w:fldChar w:fldCharType="end"/>
                          </w:r>
                        </w:p>
                      </w:txbxContent>
                    </wps:txbx>
                    <wps:bodyPr vert="horz" wrap="none" lIns="0" tIns="0" rIns="0" bIns="0" anchor="t" anchorCtr="0">
                      <a:spAutoFit/>
                    </wps:bodyPr>
                  </wps:wsp>
                </a:graphicData>
              </a:graphic>
            </wp:anchor>
          </w:drawing>
        </mc:Choice>
        <mc:Fallback>
          <w:pict>
            <v:shape id="文本框 1030" o:spid="_x0000_s1026" o:spt="202" type="#_x0000_t202" style="position:absolute;left:0pt;margin-top:0pt;height:10.35pt;width:9.05pt;mso-position-horizontal:center;mso-position-horizontal-relative:margin;mso-wrap-style:none;z-index:25166131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D5X5J0AAAAAMBAAAPAAAAAAAAAAEA&#10;IAAAACIAAABkcnMvZG93bnJldi54bWxQSwECFAAUAAAACACHTuJA1P+X4N4BAACzAwAADgAAAAAA&#10;AAABACAAAAAfAQAAZHJzL2Uyb0RvYy54bWxQSwUGAAAAAAYABgBZAQAAbwUAAAAA&#10;">
              <v:fill on="f" focussize="0,0"/>
              <v:stroke on="f"/>
              <v:imagedata o:title=""/>
              <o:lock v:ext="edit" aspectratio="f"/>
              <v:textbox inset="0mm,0mm,0mm,0mm" style="mso-fit-shape-to-text:t;">
                <w:txbxContent>
                  <w:p w14:paraId="6C22A4D9">
                    <w:pPr>
                      <w:pStyle w:val="27"/>
                      <w:jc w:val="center"/>
                    </w:pPr>
                    <w:r>
                      <w:fldChar w:fldCharType="begin"/>
                    </w:r>
                    <w:r>
                      <w:instrText xml:space="preserve"> PAGE   \* MERGEFORMAT </w:instrText>
                    </w:r>
                    <w:r>
                      <w:fldChar w:fldCharType="separate"/>
                    </w:r>
                    <w:r>
                      <w:rPr>
                        <w:lang w:val="zh-CN"/>
                      </w:rPr>
                      <w:t>112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FB16D">
    <w:pPr>
      <w:pStyle w:val="2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31445"/>
              <wp:effectExtent l="0" t="0" r="0" b="0"/>
              <wp:wrapNone/>
              <wp:docPr id="2093354444" name="文本框 1031"/>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25085AC">
                          <w:pPr>
                            <w:pStyle w:val="27"/>
                            <w:jc w:val="center"/>
                          </w:pPr>
                          <w:r>
                            <w:fldChar w:fldCharType="begin"/>
                          </w:r>
                          <w:r>
                            <w:instrText xml:space="preserve"> PAGE   \* MERGEFORMAT </w:instrText>
                          </w:r>
                          <w:r>
                            <w:fldChar w:fldCharType="separate"/>
                          </w:r>
                          <w:r>
                            <w:rPr>
                              <w:lang w:val="zh-CN"/>
                            </w:rPr>
                            <w:t>147</w:t>
                          </w:r>
                          <w:r>
                            <w:fldChar w:fldCharType="end"/>
                          </w:r>
                        </w:p>
                      </w:txbxContent>
                    </wps:txbx>
                    <wps:bodyPr rot="0" vert="horz" wrap="none" lIns="0" tIns="0" rIns="0" bIns="0" anchor="t" anchorCtr="0" upright="1">
                      <a:spAutoFit/>
                    </wps:bodyPr>
                  </wps:wsp>
                </a:graphicData>
              </a:graphic>
            </wp:anchor>
          </w:drawing>
        </mc:Choice>
        <mc:Fallback>
          <w:pict>
            <v:shape id="文本框 1031" o:spid="_x0000_s1026" o:spt="202" type="#_x0000_t202" style="position:absolute;left:0pt;margin-top:0pt;height:10.35pt;width:9.05pt;mso-position-horizontal:center;mso-position-horizontal-relative:margin;mso-wrap-style:none;z-index:25166233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V+SdAAAAADAQAADwAAAAAAAAABACAAAAAi&#10;AAAAZHJzL2Rvd25yZXYueG1sUEsBAhQAFAAAAAgAh07iQBzhrRUSAgAADgQAAA4AAAAAAAAAAQAg&#10;AAAAHwEAAGRycy9lMm9Eb2MueG1sUEsFBgAAAAAGAAYAWQEAAKMFAAAAAA==&#10;">
              <v:fill on="f" focussize="0,0"/>
              <v:stroke on="f"/>
              <v:imagedata o:title=""/>
              <o:lock v:ext="edit" aspectratio="f"/>
              <v:textbox inset="0mm,0mm,0mm,0mm" style="mso-fit-shape-to-text:t;">
                <w:txbxContent>
                  <w:p w14:paraId="325085AC">
                    <w:pPr>
                      <w:pStyle w:val="27"/>
                      <w:jc w:val="center"/>
                    </w:pPr>
                    <w:r>
                      <w:fldChar w:fldCharType="begin"/>
                    </w:r>
                    <w:r>
                      <w:instrText xml:space="preserve"> PAGE   \* MERGEFORMAT </w:instrText>
                    </w:r>
                    <w:r>
                      <w:fldChar w:fldCharType="separate"/>
                    </w:r>
                    <w:r>
                      <w:rPr>
                        <w:lang w:val="zh-CN"/>
                      </w:rPr>
                      <w:t>147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9CC67">
    <w:pPr>
      <w:pStyle w:val="28"/>
      <w:pBdr>
        <w:bottom w:val="double" w:color="auto" w:sz="8" w:space="1"/>
      </w:pBdr>
      <w:jc w:val="both"/>
    </w:pPr>
    <w:r>
      <w:rPr>
        <w:rFonts w:hint="eastAsia"/>
        <w:sz w:val="21"/>
        <w:szCs w:val="21"/>
      </w:rPr>
      <w:t>巴州政务服务和公共资源交易中心                              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60966">
    <w:pPr>
      <w:pStyle w:val="28"/>
      <w:pBdr>
        <w:bottom w:val="double" w:color="auto" w:sz="8" w:space="1"/>
      </w:pBdr>
      <w:jc w:val="both"/>
    </w:pPr>
    <w:r>
      <w:rPr>
        <w:rFonts w:hint="eastAsia"/>
        <w:sz w:val="21"/>
        <w:szCs w:val="21"/>
      </w:rPr>
      <w:t>巴州政务服务和公共资源交易中心                                        竞争性招标文件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547F3">
    <w:pPr>
      <w:pStyle w:val="28"/>
      <w:rPr>
        <w:sz w:val="21"/>
        <w:szCs w:val="21"/>
      </w:rPr>
    </w:pPr>
    <w:r>
      <w:rPr>
        <w:rFonts w:hint="eastAsia"/>
        <w:sz w:val="21"/>
        <w:szCs w:val="21"/>
      </w:rPr>
      <w:t>巴州政务服务和公共资源交易中心                             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73B8E"/>
    <w:multiLevelType w:val="singleLevel"/>
    <w:tmpl w:val="80973B8E"/>
    <w:lvl w:ilvl="0" w:tentative="0">
      <w:start w:val="2"/>
      <w:numFmt w:val="decimal"/>
      <w:suff w:val="nothing"/>
      <w:lvlText w:val="%1、"/>
      <w:lvlJc w:val="left"/>
    </w:lvl>
  </w:abstractNum>
  <w:abstractNum w:abstractNumId="1">
    <w:nsid w:val="9384FF4B"/>
    <w:multiLevelType w:val="singleLevel"/>
    <w:tmpl w:val="9384FF4B"/>
    <w:lvl w:ilvl="0" w:tentative="0">
      <w:start w:val="11"/>
      <w:numFmt w:val="chineseCounting"/>
      <w:suff w:val="nothing"/>
      <w:lvlText w:val="%1、"/>
      <w:lvlJc w:val="left"/>
      <w:rPr>
        <w:rFonts w:hint="eastAsia"/>
      </w:rPr>
    </w:lvl>
  </w:abstractNum>
  <w:abstractNum w:abstractNumId="2">
    <w:nsid w:val="A7F62FEB"/>
    <w:multiLevelType w:val="singleLevel"/>
    <w:tmpl w:val="A7F62FEB"/>
    <w:lvl w:ilvl="0" w:tentative="0">
      <w:start w:val="1"/>
      <w:numFmt w:val="chineseCounting"/>
      <w:suff w:val="nothing"/>
      <w:lvlText w:val="%1、"/>
      <w:lvlJc w:val="left"/>
      <w:rPr>
        <w:rFonts w:hint="eastAsia"/>
      </w:r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D652196B"/>
    <w:multiLevelType w:val="singleLevel"/>
    <w:tmpl w:val="D652196B"/>
    <w:lvl w:ilvl="0" w:tentative="0">
      <w:start w:val="1"/>
      <w:numFmt w:val="chineseCounting"/>
      <w:lvlText w:val="%1."/>
      <w:lvlJc w:val="left"/>
      <w:pPr>
        <w:tabs>
          <w:tab w:val="left" w:pos="312"/>
        </w:tabs>
      </w:pPr>
      <w:rPr>
        <w:rFonts w:hint="eastAsia"/>
      </w:r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025927B0"/>
    <w:multiLevelType w:val="singleLevel"/>
    <w:tmpl w:val="025927B0"/>
    <w:lvl w:ilvl="0" w:tentative="0">
      <w:start w:val="28"/>
      <w:numFmt w:val="decimal"/>
      <w:lvlText w:val="%1."/>
      <w:lvlJc w:val="left"/>
      <w:pPr>
        <w:tabs>
          <w:tab w:val="left" w:pos="312"/>
        </w:tabs>
      </w:pPr>
    </w:lvl>
  </w:abstractNum>
  <w:abstractNum w:abstractNumId="9">
    <w:nsid w:val="06784D56"/>
    <w:multiLevelType w:val="singleLevel"/>
    <w:tmpl w:val="06784D56"/>
    <w:lvl w:ilvl="0" w:tentative="0">
      <w:start w:val="1"/>
      <w:numFmt w:val="upperLetter"/>
      <w:pStyle w:val="117"/>
      <w:lvlText w:val="附录%1."/>
      <w:lvlJc w:val="left"/>
      <w:pPr>
        <w:tabs>
          <w:tab w:val="left" w:pos="907"/>
        </w:tabs>
        <w:ind w:left="907" w:hanging="907"/>
      </w:pPr>
      <w:rPr>
        <w:rFonts w:hint="eastAsia"/>
      </w:rPr>
    </w:lvl>
  </w:abstractNum>
  <w:abstractNum w:abstractNumId="10">
    <w:nsid w:val="403A4245"/>
    <w:multiLevelType w:val="singleLevel"/>
    <w:tmpl w:val="403A4245"/>
    <w:lvl w:ilvl="0" w:tentative="0">
      <w:start w:val="2"/>
      <w:numFmt w:val="chineseCounting"/>
      <w:suff w:val="nothing"/>
      <w:lvlText w:val="%1、"/>
      <w:lvlJc w:val="left"/>
      <w:rPr>
        <w:rFonts w:hint="eastAsia"/>
      </w:rPr>
    </w:lvl>
  </w:abstractNum>
  <w:abstractNum w:abstractNumId="11">
    <w:nsid w:val="420C153B"/>
    <w:multiLevelType w:val="multilevel"/>
    <w:tmpl w:val="420C153B"/>
    <w:lvl w:ilvl="0" w:tentative="0">
      <w:start w:val="1"/>
      <w:numFmt w:val="decimal"/>
      <w:pStyle w:val="113"/>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4C0C1BFB"/>
    <w:multiLevelType w:val="singleLevel"/>
    <w:tmpl w:val="4C0C1BFB"/>
    <w:lvl w:ilvl="0" w:tentative="0">
      <w:start w:val="1"/>
      <w:numFmt w:val="decimal"/>
      <w:pStyle w:val="116"/>
      <w:lvlText w:val="（%1）"/>
      <w:lvlJc w:val="left"/>
      <w:pPr>
        <w:tabs>
          <w:tab w:val="left" w:pos="810"/>
        </w:tabs>
        <w:ind w:left="810" w:hanging="810"/>
      </w:pPr>
      <w:rPr>
        <w:rFonts w:hint="eastAsia"/>
      </w:rPr>
    </w:lvl>
  </w:abstractNum>
  <w:abstractNum w:abstractNumId="13">
    <w:nsid w:val="54CE886D"/>
    <w:multiLevelType w:val="singleLevel"/>
    <w:tmpl w:val="54CE886D"/>
    <w:lvl w:ilvl="0" w:tentative="0">
      <w:start w:val="1"/>
      <w:numFmt w:val="decimal"/>
      <w:suff w:val="nothing"/>
      <w:lvlText w:val="%1、"/>
      <w:lvlJc w:val="left"/>
    </w:lvl>
  </w:abstractNum>
  <w:abstractNum w:abstractNumId="14">
    <w:nsid w:val="5C7E0EE5"/>
    <w:multiLevelType w:val="multilevel"/>
    <w:tmpl w:val="5C7E0EE5"/>
    <w:lvl w:ilvl="0" w:tentative="0">
      <w:start w:val="1"/>
      <w:numFmt w:val="chineseCountingThousand"/>
      <w:suff w:val="nothing"/>
      <w:lvlText w:val="第%1章 "/>
      <w:lvlJc w:val="left"/>
      <w:pPr>
        <w:ind w:left="0" w:firstLine="0"/>
      </w:pPr>
      <w:rPr>
        <w:rFonts w:hint="eastAsia"/>
      </w:rPr>
    </w:lvl>
    <w:lvl w:ilvl="1" w:tentative="0">
      <w:start w:val="1"/>
      <w:numFmt w:val="decimal"/>
      <w:suff w:val="nothing"/>
      <w:lvlText w:val="%2、"/>
      <w:lvlJc w:val="left"/>
      <w:pPr>
        <w:ind w:left="0" w:firstLine="0"/>
      </w:pPr>
      <w:rPr>
        <w:rFonts w:hint="eastAsia"/>
      </w:rPr>
    </w:lvl>
    <w:lvl w:ilvl="2" w:tentative="0">
      <w:start w:val="1"/>
      <w:numFmt w:val="decimal"/>
      <w:suff w:val="nothing"/>
      <w:lvlText w:val="%2.%3 "/>
      <w:lvlJc w:val="left"/>
      <w:pPr>
        <w:ind w:left="0" w:firstLine="0"/>
      </w:pPr>
      <w:rPr>
        <w:rFonts w:hint="eastAsia"/>
      </w:rPr>
    </w:lvl>
    <w:lvl w:ilvl="3" w:tentative="0">
      <w:start w:val="1"/>
      <w:numFmt w:val="decimal"/>
      <w:suff w:val="nothing"/>
      <w:lvlText w:val="%2.%3.%4 "/>
      <w:lvlJc w:val="left"/>
      <w:pPr>
        <w:ind w:left="0" w:firstLine="0"/>
      </w:pPr>
      <w:rPr>
        <w:rFonts w:hint="eastAsia"/>
      </w:rPr>
    </w:lvl>
    <w:lvl w:ilvl="4" w:tentative="0">
      <w:start w:val="1"/>
      <w:numFmt w:val="decimal"/>
      <w:suff w:val="nothing"/>
      <w:lvlText w:val="%2.%3.%4.%5 "/>
      <w:lvlJc w:val="left"/>
      <w:pPr>
        <w:ind w:left="0" w:firstLine="0"/>
      </w:pPr>
      <w:rPr>
        <w:rFonts w:hint="eastAsia"/>
      </w:rPr>
    </w:lvl>
    <w:lvl w:ilvl="5" w:tentative="0">
      <w:start w:val="1"/>
      <w:numFmt w:val="none"/>
      <w:pStyle w:val="10"/>
      <w:suff w:val="nothing"/>
      <w:lvlText w:val=""/>
      <w:lvlJc w:val="left"/>
      <w:pPr>
        <w:ind w:left="0" w:firstLine="0"/>
      </w:pPr>
      <w:rPr>
        <w:rFonts w:hint="eastAsia"/>
      </w:rPr>
    </w:lvl>
    <w:lvl w:ilvl="6" w:tentative="0">
      <w:start w:val="1"/>
      <w:numFmt w:val="none"/>
      <w:pStyle w:val="11"/>
      <w:suff w:val="nothing"/>
      <w:lvlText w:val=""/>
      <w:lvlJc w:val="left"/>
      <w:pPr>
        <w:ind w:left="0" w:firstLine="0"/>
      </w:pPr>
      <w:rPr>
        <w:rFonts w:hint="eastAsia"/>
      </w:rPr>
    </w:lvl>
    <w:lvl w:ilvl="7" w:tentative="0">
      <w:start w:val="1"/>
      <w:numFmt w:val="none"/>
      <w:pStyle w:val="12"/>
      <w:suff w:val="nothing"/>
      <w:lvlText w:val=""/>
      <w:lvlJc w:val="left"/>
      <w:pPr>
        <w:ind w:left="0" w:firstLine="0"/>
      </w:pPr>
      <w:rPr>
        <w:rFonts w:hint="eastAsia"/>
      </w:rPr>
    </w:lvl>
    <w:lvl w:ilvl="8" w:tentative="0">
      <w:start w:val="1"/>
      <w:numFmt w:val="none"/>
      <w:pStyle w:val="13"/>
      <w:suff w:val="nothing"/>
      <w:lvlText w:val=""/>
      <w:lvlJc w:val="left"/>
      <w:pPr>
        <w:ind w:left="0" w:firstLine="0"/>
      </w:pPr>
      <w:rPr>
        <w:rFonts w:hint="eastAsia"/>
      </w:rPr>
    </w:lvl>
  </w:abstractNum>
  <w:abstractNum w:abstractNumId="15">
    <w:nsid w:val="5D5D9164"/>
    <w:multiLevelType w:val="singleLevel"/>
    <w:tmpl w:val="5D5D9164"/>
    <w:lvl w:ilvl="0" w:tentative="0">
      <w:start w:val="4"/>
      <w:numFmt w:val="chineseCounting"/>
      <w:suff w:val="space"/>
      <w:lvlText w:val="第%1章"/>
      <w:lvlJc w:val="left"/>
      <w:rPr>
        <w:rFonts w:hint="eastAsia"/>
      </w:rPr>
    </w:lvl>
  </w:abstractNum>
  <w:abstractNum w:abstractNumId="16">
    <w:nsid w:val="6CEC69C1"/>
    <w:multiLevelType w:val="multilevel"/>
    <w:tmpl w:val="6CEC69C1"/>
    <w:lvl w:ilvl="0" w:tentative="0">
      <w:start w:val="1"/>
      <w:numFmt w:val="japaneseCounting"/>
      <w:lvlText w:val="%1、"/>
      <w:lvlJc w:val="left"/>
      <w:pPr>
        <w:ind w:left="432" w:hanging="432"/>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78EF8427"/>
    <w:multiLevelType w:val="singleLevel"/>
    <w:tmpl w:val="78EF8427"/>
    <w:lvl w:ilvl="0" w:tentative="0">
      <w:start w:val="1"/>
      <w:numFmt w:val="decimal"/>
      <w:suff w:val="nothing"/>
      <w:lvlText w:val="（%1）"/>
      <w:lvlJc w:val="left"/>
    </w:lvl>
  </w:abstractNum>
  <w:num w:numId="1">
    <w:abstractNumId w:val="14"/>
  </w:num>
  <w:num w:numId="2">
    <w:abstractNumId w:val="11"/>
  </w:num>
  <w:num w:numId="3">
    <w:abstractNumId w:val="12"/>
  </w:num>
  <w:num w:numId="4">
    <w:abstractNumId w:val="9"/>
  </w:num>
  <w:num w:numId="5">
    <w:abstractNumId w:val="17"/>
  </w:num>
  <w:num w:numId="6">
    <w:abstractNumId w:val="10"/>
  </w:num>
  <w:num w:numId="7">
    <w:abstractNumId w:val="8"/>
  </w:num>
  <w:num w:numId="8">
    <w:abstractNumId w:val="16"/>
  </w:num>
  <w:num w:numId="9">
    <w:abstractNumId w:val="4"/>
  </w:num>
  <w:num w:numId="10">
    <w:abstractNumId w:val="2"/>
  </w:num>
  <w:num w:numId="11">
    <w:abstractNumId w:val="15"/>
  </w:num>
  <w:num w:numId="12">
    <w:abstractNumId w:val="13"/>
  </w:num>
  <w:num w:numId="13">
    <w:abstractNumId w:val="1"/>
  </w:num>
  <w:num w:numId="14">
    <w:abstractNumId w:val="0"/>
  </w:num>
  <w:num w:numId="15">
    <w:abstractNumId w:val="6"/>
  </w:num>
  <w:num w:numId="16">
    <w:abstractNumId w:val="5"/>
  </w:num>
  <w:num w:numId="17">
    <w:abstractNumId w:val="3"/>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49"/>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2ZTUxMTY1YmM4YTY3MmI2MDM0MGU1NjU0OTdjMmYifQ=="/>
  </w:docVars>
  <w:rsids>
    <w:rsidRoot w:val="00D37234"/>
    <w:rsid w:val="00000B50"/>
    <w:rsid w:val="000012AD"/>
    <w:rsid w:val="00002023"/>
    <w:rsid w:val="000021C3"/>
    <w:rsid w:val="00002A41"/>
    <w:rsid w:val="00003038"/>
    <w:rsid w:val="000036FB"/>
    <w:rsid w:val="00003E3B"/>
    <w:rsid w:val="000040E6"/>
    <w:rsid w:val="0000553F"/>
    <w:rsid w:val="00006327"/>
    <w:rsid w:val="00006E32"/>
    <w:rsid w:val="00007678"/>
    <w:rsid w:val="00010521"/>
    <w:rsid w:val="00010E39"/>
    <w:rsid w:val="00010EC6"/>
    <w:rsid w:val="00011619"/>
    <w:rsid w:val="00011FF2"/>
    <w:rsid w:val="00012BC2"/>
    <w:rsid w:val="0001340E"/>
    <w:rsid w:val="000134F1"/>
    <w:rsid w:val="000144A3"/>
    <w:rsid w:val="00015CBB"/>
    <w:rsid w:val="000178E0"/>
    <w:rsid w:val="00017D33"/>
    <w:rsid w:val="00020624"/>
    <w:rsid w:val="000214BA"/>
    <w:rsid w:val="000217F4"/>
    <w:rsid w:val="00023805"/>
    <w:rsid w:val="000254B1"/>
    <w:rsid w:val="0002607A"/>
    <w:rsid w:val="00026720"/>
    <w:rsid w:val="000269AE"/>
    <w:rsid w:val="0002771F"/>
    <w:rsid w:val="000300C7"/>
    <w:rsid w:val="00031135"/>
    <w:rsid w:val="000313D5"/>
    <w:rsid w:val="00031400"/>
    <w:rsid w:val="00033D51"/>
    <w:rsid w:val="00034EE1"/>
    <w:rsid w:val="00035B84"/>
    <w:rsid w:val="00035DB5"/>
    <w:rsid w:val="00035FD3"/>
    <w:rsid w:val="00036464"/>
    <w:rsid w:val="000368D5"/>
    <w:rsid w:val="00041C0C"/>
    <w:rsid w:val="00045FCC"/>
    <w:rsid w:val="0004682D"/>
    <w:rsid w:val="0004737D"/>
    <w:rsid w:val="00050598"/>
    <w:rsid w:val="00051346"/>
    <w:rsid w:val="000527CA"/>
    <w:rsid w:val="00052F6E"/>
    <w:rsid w:val="000533AB"/>
    <w:rsid w:val="00054001"/>
    <w:rsid w:val="00055613"/>
    <w:rsid w:val="00055942"/>
    <w:rsid w:val="00055E74"/>
    <w:rsid w:val="0006136C"/>
    <w:rsid w:val="00063CEE"/>
    <w:rsid w:val="00063F19"/>
    <w:rsid w:val="00064391"/>
    <w:rsid w:val="0006639D"/>
    <w:rsid w:val="000664B9"/>
    <w:rsid w:val="0006714F"/>
    <w:rsid w:val="00071811"/>
    <w:rsid w:val="00071CEE"/>
    <w:rsid w:val="0007307E"/>
    <w:rsid w:val="00073596"/>
    <w:rsid w:val="00075DBF"/>
    <w:rsid w:val="000760C9"/>
    <w:rsid w:val="00076D7B"/>
    <w:rsid w:val="00076DB5"/>
    <w:rsid w:val="0007732F"/>
    <w:rsid w:val="00077725"/>
    <w:rsid w:val="00083A9A"/>
    <w:rsid w:val="00083F9C"/>
    <w:rsid w:val="00084F92"/>
    <w:rsid w:val="00087583"/>
    <w:rsid w:val="00091368"/>
    <w:rsid w:val="00091374"/>
    <w:rsid w:val="0009190E"/>
    <w:rsid w:val="000920C7"/>
    <w:rsid w:val="00094CF9"/>
    <w:rsid w:val="0009585A"/>
    <w:rsid w:val="00095E05"/>
    <w:rsid w:val="00097697"/>
    <w:rsid w:val="000A437C"/>
    <w:rsid w:val="000B09F2"/>
    <w:rsid w:val="000B0F3D"/>
    <w:rsid w:val="000B111A"/>
    <w:rsid w:val="000B1318"/>
    <w:rsid w:val="000B2104"/>
    <w:rsid w:val="000C05D7"/>
    <w:rsid w:val="000C095E"/>
    <w:rsid w:val="000C0CB7"/>
    <w:rsid w:val="000C26EA"/>
    <w:rsid w:val="000C33FA"/>
    <w:rsid w:val="000C4195"/>
    <w:rsid w:val="000C42B7"/>
    <w:rsid w:val="000C5411"/>
    <w:rsid w:val="000C54F2"/>
    <w:rsid w:val="000C676C"/>
    <w:rsid w:val="000C77A1"/>
    <w:rsid w:val="000D0BBA"/>
    <w:rsid w:val="000D2400"/>
    <w:rsid w:val="000D26C1"/>
    <w:rsid w:val="000D26D8"/>
    <w:rsid w:val="000D301E"/>
    <w:rsid w:val="000D3EE4"/>
    <w:rsid w:val="000D4D2B"/>
    <w:rsid w:val="000E0173"/>
    <w:rsid w:val="000E0F51"/>
    <w:rsid w:val="000E157E"/>
    <w:rsid w:val="000E1A22"/>
    <w:rsid w:val="000E321A"/>
    <w:rsid w:val="000E5078"/>
    <w:rsid w:val="000F0EB5"/>
    <w:rsid w:val="000F1316"/>
    <w:rsid w:val="000F3580"/>
    <w:rsid w:val="000F3923"/>
    <w:rsid w:val="000F4D9E"/>
    <w:rsid w:val="000F5CDE"/>
    <w:rsid w:val="000F5E8A"/>
    <w:rsid w:val="000F7537"/>
    <w:rsid w:val="000F79EE"/>
    <w:rsid w:val="00100053"/>
    <w:rsid w:val="00100A5E"/>
    <w:rsid w:val="00101DB7"/>
    <w:rsid w:val="00102619"/>
    <w:rsid w:val="00102D5E"/>
    <w:rsid w:val="00103454"/>
    <w:rsid w:val="00105903"/>
    <w:rsid w:val="001061A4"/>
    <w:rsid w:val="00107440"/>
    <w:rsid w:val="00107CDA"/>
    <w:rsid w:val="001101E9"/>
    <w:rsid w:val="00111226"/>
    <w:rsid w:val="00111F3D"/>
    <w:rsid w:val="00114CA6"/>
    <w:rsid w:val="001160D7"/>
    <w:rsid w:val="00120A69"/>
    <w:rsid w:val="00121CC9"/>
    <w:rsid w:val="00124CD5"/>
    <w:rsid w:val="001252B0"/>
    <w:rsid w:val="001256AE"/>
    <w:rsid w:val="00127A72"/>
    <w:rsid w:val="00127C63"/>
    <w:rsid w:val="00131277"/>
    <w:rsid w:val="00131881"/>
    <w:rsid w:val="00131A58"/>
    <w:rsid w:val="001333E9"/>
    <w:rsid w:val="0013433C"/>
    <w:rsid w:val="0013477E"/>
    <w:rsid w:val="00134831"/>
    <w:rsid w:val="001372D8"/>
    <w:rsid w:val="00140DFA"/>
    <w:rsid w:val="00141F88"/>
    <w:rsid w:val="0014204A"/>
    <w:rsid w:val="0014483C"/>
    <w:rsid w:val="00146F7C"/>
    <w:rsid w:val="0014735C"/>
    <w:rsid w:val="001477FB"/>
    <w:rsid w:val="001510B7"/>
    <w:rsid w:val="0015158B"/>
    <w:rsid w:val="00152FA5"/>
    <w:rsid w:val="001541B9"/>
    <w:rsid w:val="001544A4"/>
    <w:rsid w:val="0015497E"/>
    <w:rsid w:val="00154CA1"/>
    <w:rsid w:val="00154E1B"/>
    <w:rsid w:val="001551BF"/>
    <w:rsid w:val="00157E5B"/>
    <w:rsid w:val="00160AE5"/>
    <w:rsid w:val="001613A6"/>
    <w:rsid w:val="001637D2"/>
    <w:rsid w:val="0016437E"/>
    <w:rsid w:val="00164C69"/>
    <w:rsid w:val="00166EFF"/>
    <w:rsid w:val="00170A2D"/>
    <w:rsid w:val="00171360"/>
    <w:rsid w:val="00171D87"/>
    <w:rsid w:val="001749B6"/>
    <w:rsid w:val="00174A31"/>
    <w:rsid w:val="0017505E"/>
    <w:rsid w:val="00176950"/>
    <w:rsid w:val="0018156A"/>
    <w:rsid w:val="00182E37"/>
    <w:rsid w:val="00183EB5"/>
    <w:rsid w:val="00187B49"/>
    <w:rsid w:val="00187C1F"/>
    <w:rsid w:val="00187DC4"/>
    <w:rsid w:val="0019076F"/>
    <w:rsid w:val="0019231F"/>
    <w:rsid w:val="00193274"/>
    <w:rsid w:val="00193DAC"/>
    <w:rsid w:val="00194202"/>
    <w:rsid w:val="001946FF"/>
    <w:rsid w:val="00194F22"/>
    <w:rsid w:val="001953B0"/>
    <w:rsid w:val="00195808"/>
    <w:rsid w:val="00195A83"/>
    <w:rsid w:val="001A07C4"/>
    <w:rsid w:val="001A1033"/>
    <w:rsid w:val="001A187D"/>
    <w:rsid w:val="001A18C0"/>
    <w:rsid w:val="001A1D99"/>
    <w:rsid w:val="001A26B5"/>
    <w:rsid w:val="001A304A"/>
    <w:rsid w:val="001A3BFA"/>
    <w:rsid w:val="001A57FF"/>
    <w:rsid w:val="001A6C7F"/>
    <w:rsid w:val="001A7BA0"/>
    <w:rsid w:val="001A7F3C"/>
    <w:rsid w:val="001B2822"/>
    <w:rsid w:val="001B34C4"/>
    <w:rsid w:val="001B37C7"/>
    <w:rsid w:val="001B4172"/>
    <w:rsid w:val="001B52A8"/>
    <w:rsid w:val="001B5378"/>
    <w:rsid w:val="001B6B93"/>
    <w:rsid w:val="001B79B5"/>
    <w:rsid w:val="001C0231"/>
    <w:rsid w:val="001C02D6"/>
    <w:rsid w:val="001C1947"/>
    <w:rsid w:val="001C21EF"/>
    <w:rsid w:val="001C2404"/>
    <w:rsid w:val="001C2454"/>
    <w:rsid w:val="001C29F7"/>
    <w:rsid w:val="001C3136"/>
    <w:rsid w:val="001C37D3"/>
    <w:rsid w:val="001C6670"/>
    <w:rsid w:val="001C69AD"/>
    <w:rsid w:val="001D03CD"/>
    <w:rsid w:val="001D0B04"/>
    <w:rsid w:val="001D0EA3"/>
    <w:rsid w:val="001D1087"/>
    <w:rsid w:val="001D1E13"/>
    <w:rsid w:val="001D3DF4"/>
    <w:rsid w:val="001D4B6D"/>
    <w:rsid w:val="001D4C79"/>
    <w:rsid w:val="001D5588"/>
    <w:rsid w:val="001D6F14"/>
    <w:rsid w:val="001E1785"/>
    <w:rsid w:val="001E19C0"/>
    <w:rsid w:val="001E2A27"/>
    <w:rsid w:val="001E482F"/>
    <w:rsid w:val="001E48AF"/>
    <w:rsid w:val="001E6CFD"/>
    <w:rsid w:val="001F2054"/>
    <w:rsid w:val="001F35A1"/>
    <w:rsid w:val="001F3FDE"/>
    <w:rsid w:val="001F4946"/>
    <w:rsid w:val="001F4B41"/>
    <w:rsid w:val="001F58DB"/>
    <w:rsid w:val="001F6423"/>
    <w:rsid w:val="001F64B1"/>
    <w:rsid w:val="001F6652"/>
    <w:rsid w:val="001F66B6"/>
    <w:rsid w:val="00200726"/>
    <w:rsid w:val="00201570"/>
    <w:rsid w:val="00201AAD"/>
    <w:rsid w:val="002026FD"/>
    <w:rsid w:val="002029A0"/>
    <w:rsid w:val="00203E20"/>
    <w:rsid w:val="00203FDB"/>
    <w:rsid w:val="00204B0E"/>
    <w:rsid w:val="00207854"/>
    <w:rsid w:val="00211160"/>
    <w:rsid w:val="002114C5"/>
    <w:rsid w:val="0021150E"/>
    <w:rsid w:val="00211D84"/>
    <w:rsid w:val="002129B4"/>
    <w:rsid w:val="00213305"/>
    <w:rsid w:val="00213554"/>
    <w:rsid w:val="002135F1"/>
    <w:rsid w:val="00213952"/>
    <w:rsid w:val="0021413E"/>
    <w:rsid w:val="002150AA"/>
    <w:rsid w:val="00215D7A"/>
    <w:rsid w:val="0021681C"/>
    <w:rsid w:val="00216D78"/>
    <w:rsid w:val="002170D0"/>
    <w:rsid w:val="0022068B"/>
    <w:rsid w:val="00224BF6"/>
    <w:rsid w:val="00224D56"/>
    <w:rsid w:val="002250E1"/>
    <w:rsid w:val="0022514B"/>
    <w:rsid w:val="002251B2"/>
    <w:rsid w:val="00225592"/>
    <w:rsid w:val="00227982"/>
    <w:rsid w:val="00227BB6"/>
    <w:rsid w:val="00227C43"/>
    <w:rsid w:val="0023202D"/>
    <w:rsid w:val="00232077"/>
    <w:rsid w:val="002320C3"/>
    <w:rsid w:val="002331F2"/>
    <w:rsid w:val="00235603"/>
    <w:rsid w:val="002369AF"/>
    <w:rsid w:val="00241187"/>
    <w:rsid w:val="00241203"/>
    <w:rsid w:val="00241671"/>
    <w:rsid w:val="00243079"/>
    <w:rsid w:val="00243975"/>
    <w:rsid w:val="002447BD"/>
    <w:rsid w:val="00245666"/>
    <w:rsid w:val="00246130"/>
    <w:rsid w:val="00246C19"/>
    <w:rsid w:val="002479CA"/>
    <w:rsid w:val="00250987"/>
    <w:rsid w:val="00252722"/>
    <w:rsid w:val="002537B2"/>
    <w:rsid w:val="00253E7E"/>
    <w:rsid w:val="00254207"/>
    <w:rsid w:val="00255C8D"/>
    <w:rsid w:val="00255FEB"/>
    <w:rsid w:val="00256E1E"/>
    <w:rsid w:val="00261A7E"/>
    <w:rsid w:val="00263A4F"/>
    <w:rsid w:val="002640B2"/>
    <w:rsid w:val="00264902"/>
    <w:rsid w:val="00264FAC"/>
    <w:rsid w:val="002657FF"/>
    <w:rsid w:val="00267D06"/>
    <w:rsid w:val="00267D13"/>
    <w:rsid w:val="002702B6"/>
    <w:rsid w:val="00270609"/>
    <w:rsid w:val="00270858"/>
    <w:rsid w:val="00270E78"/>
    <w:rsid w:val="00270EEE"/>
    <w:rsid w:val="00270F7A"/>
    <w:rsid w:val="0027159B"/>
    <w:rsid w:val="002750C2"/>
    <w:rsid w:val="00275F24"/>
    <w:rsid w:val="0027611E"/>
    <w:rsid w:val="00276467"/>
    <w:rsid w:val="002767AF"/>
    <w:rsid w:val="00276C85"/>
    <w:rsid w:val="002773BE"/>
    <w:rsid w:val="00280CC5"/>
    <w:rsid w:val="00280F98"/>
    <w:rsid w:val="00280F9F"/>
    <w:rsid w:val="00281B22"/>
    <w:rsid w:val="00281D37"/>
    <w:rsid w:val="00282FDE"/>
    <w:rsid w:val="0028368D"/>
    <w:rsid w:val="00284F56"/>
    <w:rsid w:val="0028524A"/>
    <w:rsid w:val="0028532D"/>
    <w:rsid w:val="00286E46"/>
    <w:rsid w:val="00287A23"/>
    <w:rsid w:val="0029224A"/>
    <w:rsid w:val="0029269B"/>
    <w:rsid w:val="002933BE"/>
    <w:rsid w:val="00293ED7"/>
    <w:rsid w:val="002949F7"/>
    <w:rsid w:val="00296412"/>
    <w:rsid w:val="00296520"/>
    <w:rsid w:val="00296EE7"/>
    <w:rsid w:val="00297C93"/>
    <w:rsid w:val="002A1B0C"/>
    <w:rsid w:val="002A35C8"/>
    <w:rsid w:val="002A67A6"/>
    <w:rsid w:val="002A693A"/>
    <w:rsid w:val="002A7962"/>
    <w:rsid w:val="002B084C"/>
    <w:rsid w:val="002B11E6"/>
    <w:rsid w:val="002B1B75"/>
    <w:rsid w:val="002B2BAF"/>
    <w:rsid w:val="002B3E53"/>
    <w:rsid w:val="002B4B7C"/>
    <w:rsid w:val="002B6716"/>
    <w:rsid w:val="002B70EF"/>
    <w:rsid w:val="002C00C1"/>
    <w:rsid w:val="002C067B"/>
    <w:rsid w:val="002C2466"/>
    <w:rsid w:val="002C29A7"/>
    <w:rsid w:val="002C37EC"/>
    <w:rsid w:val="002C3863"/>
    <w:rsid w:val="002C4418"/>
    <w:rsid w:val="002C5E7E"/>
    <w:rsid w:val="002C75A7"/>
    <w:rsid w:val="002D046F"/>
    <w:rsid w:val="002D15D0"/>
    <w:rsid w:val="002D1CDD"/>
    <w:rsid w:val="002D3E1D"/>
    <w:rsid w:val="002D4138"/>
    <w:rsid w:val="002D4492"/>
    <w:rsid w:val="002D44AA"/>
    <w:rsid w:val="002D703B"/>
    <w:rsid w:val="002D78A6"/>
    <w:rsid w:val="002D7B1C"/>
    <w:rsid w:val="002D7F6F"/>
    <w:rsid w:val="002E0200"/>
    <w:rsid w:val="002E0576"/>
    <w:rsid w:val="002E1397"/>
    <w:rsid w:val="002E192A"/>
    <w:rsid w:val="002E2B69"/>
    <w:rsid w:val="002E3028"/>
    <w:rsid w:val="002E4A67"/>
    <w:rsid w:val="002E4B77"/>
    <w:rsid w:val="002E4D8D"/>
    <w:rsid w:val="002E4E73"/>
    <w:rsid w:val="002E761A"/>
    <w:rsid w:val="002E7638"/>
    <w:rsid w:val="002E7FEC"/>
    <w:rsid w:val="002F080F"/>
    <w:rsid w:val="002F0B59"/>
    <w:rsid w:val="002F0E29"/>
    <w:rsid w:val="002F2018"/>
    <w:rsid w:val="002F3C42"/>
    <w:rsid w:val="002F3DAA"/>
    <w:rsid w:val="002F45B0"/>
    <w:rsid w:val="002F4C80"/>
    <w:rsid w:val="002F56BB"/>
    <w:rsid w:val="002F5748"/>
    <w:rsid w:val="002F57C5"/>
    <w:rsid w:val="002F5A9D"/>
    <w:rsid w:val="002F7C78"/>
    <w:rsid w:val="002F7F15"/>
    <w:rsid w:val="00300F2D"/>
    <w:rsid w:val="00301D55"/>
    <w:rsid w:val="00302002"/>
    <w:rsid w:val="00303AB3"/>
    <w:rsid w:val="00303E18"/>
    <w:rsid w:val="003062C7"/>
    <w:rsid w:val="003065CE"/>
    <w:rsid w:val="003077D7"/>
    <w:rsid w:val="00310052"/>
    <w:rsid w:val="00310924"/>
    <w:rsid w:val="003119DF"/>
    <w:rsid w:val="00315D25"/>
    <w:rsid w:val="00316838"/>
    <w:rsid w:val="00316C0E"/>
    <w:rsid w:val="0031724C"/>
    <w:rsid w:val="003176F0"/>
    <w:rsid w:val="00317A43"/>
    <w:rsid w:val="00317CA3"/>
    <w:rsid w:val="00320A43"/>
    <w:rsid w:val="00320F55"/>
    <w:rsid w:val="00321DA1"/>
    <w:rsid w:val="003238EE"/>
    <w:rsid w:val="003306B9"/>
    <w:rsid w:val="003320F3"/>
    <w:rsid w:val="0033584E"/>
    <w:rsid w:val="00336151"/>
    <w:rsid w:val="0033681E"/>
    <w:rsid w:val="003375A1"/>
    <w:rsid w:val="0034142F"/>
    <w:rsid w:val="00341757"/>
    <w:rsid w:val="00342DCC"/>
    <w:rsid w:val="00343BB6"/>
    <w:rsid w:val="00344805"/>
    <w:rsid w:val="00344B6D"/>
    <w:rsid w:val="0034542F"/>
    <w:rsid w:val="003458F9"/>
    <w:rsid w:val="0034648C"/>
    <w:rsid w:val="0034699A"/>
    <w:rsid w:val="00346D70"/>
    <w:rsid w:val="00347AB6"/>
    <w:rsid w:val="00350189"/>
    <w:rsid w:val="003508CE"/>
    <w:rsid w:val="00351988"/>
    <w:rsid w:val="00351C56"/>
    <w:rsid w:val="00352EFB"/>
    <w:rsid w:val="003543A9"/>
    <w:rsid w:val="00356239"/>
    <w:rsid w:val="003570D2"/>
    <w:rsid w:val="00357549"/>
    <w:rsid w:val="00357F4D"/>
    <w:rsid w:val="00361201"/>
    <w:rsid w:val="00362C38"/>
    <w:rsid w:val="00363EC7"/>
    <w:rsid w:val="003646CC"/>
    <w:rsid w:val="00364EDB"/>
    <w:rsid w:val="0036776C"/>
    <w:rsid w:val="003715B6"/>
    <w:rsid w:val="00372D3E"/>
    <w:rsid w:val="00373601"/>
    <w:rsid w:val="00373708"/>
    <w:rsid w:val="00373911"/>
    <w:rsid w:val="00375F18"/>
    <w:rsid w:val="0037721C"/>
    <w:rsid w:val="00377CC7"/>
    <w:rsid w:val="00381306"/>
    <w:rsid w:val="0038282F"/>
    <w:rsid w:val="00382FB7"/>
    <w:rsid w:val="00384933"/>
    <w:rsid w:val="003849D4"/>
    <w:rsid w:val="00385B86"/>
    <w:rsid w:val="00386179"/>
    <w:rsid w:val="00386ACE"/>
    <w:rsid w:val="00387097"/>
    <w:rsid w:val="003872C9"/>
    <w:rsid w:val="003919D8"/>
    <w:rsid w:val="00391DF3"/>
    <w:rsid w:val="003931D2"/>
    <w:rsid w:val="00393A1F"/>
    <w:rsid w:val="00394D4B"/>
    <w:rsid w:val="0039611D"/>
    <w:rsid w:val="00396C2C"/>
    <w:rsid w:val="003A0F75"/>
    <w:rsid w:val="003A201F"/>
    <w:rsid w:val="003A2A26"/>
    <w:rsid w:val="003A359F"/>
    <w:rsid w:val="003A3E40"/>
    <w:rsid w:val="003A543B"/>
    <w:rsid w:val="003A6696"/>
    <w:rsid w:val="003A787B"/>
    <w:rsid w:val="003B1B8D"/>
    <w:rsid w:val="003B2DBA"/>
    <w:rsid w:val="003B3157"/>
    <w:rsid w:val="003B4334"/>
    <w:rsid w:val="003B43AD"/>
    <w:rsid w:val="003B515E"/>
    <w:rsid w:val="003B529D"/>
    <w:rsid w:val="003B5AD2"/>
    <w:rsid w:val="003B5EF0"/>
    <w:rsid w:val="003B7727"/>
    <w:rsid w:val="003C0167"/>
    <w:rsid w:val="003C1167"/>
    <w:rsid w:val="003C1CD0"/>
    <w:rsid w:val="003C2871"/>
    <w:rsid w:val="003C2A6D"/>
    <w:rsid w:val="003C351A"/>
    <w:rsid w:val="003C3C93"/>
    <w:rsid w:val="003C45FD"/>
    <w:rsid w:val="003C4D5A"/>
    <w:rsid w:val="003C56E8"/>
    <w:rsid w:val="003C5C27"/>
    <w:rsid w:val="003C70E2"/>
    <w:rsid w:val="003D2469"/>
    <w:rsid w:val="003D3B66"/>
    <w:rsid w:val="003E1622"/>
    <w:rsid w:val="003E18FC"/>
    <w:rsid w:val="003E1E7B"/>
    <w:rsid w:val="003E2237"/>
    <w:rsid w:val="003E264C"/>
    <w:rsid w:val="003E2E2E"/>
    <w:rsid w:val="003E3E53"/>
    <w:rsid w:val="003E4E2B"/>
    <w:rsid w:val="003F0211"/>
    <w:rsid w:val="003F121A"/>
    <w:rsid w:val="003F4303"/>
    <w:rsid w:val="003F4C69"/>
    <w:rsid w:val="003F518D"/>
    <w:rsid w:val="003F55F6"/>
    <w:rsid w:val="003F5F28"/>
    <w:rsid w:val="003F7404"/>
    <w:rsid w:val="00401CB7"/>
    <w:rsid w:val="00401E65"/>
    <w:rsid w:val="0040243C"/>
    <w:rsid w:val="00402F1F"/>
    <w:rsid w:val="00407C08"/>
    <w:rsid w:val="00411EE8"/>
    <w:rsid w:val="004132F7"/>
    <w:rsid w:val="00413748"/>
    <w:rsid w:val="004152A0"/>
    <w:rsid w:val="00415F1B"/>
    <w:rsid w:val="004177AB"/>
    <w:rsid w:val="00417D89"/>
    <w:rsid w:val="00417DE5"/>
    <w:rsid w:val="00420F30"/>
    <w:rsid w:val="0042107D"/>
    <w:rsid w:val="004222A6"/>
    <w:rsid w:val="00422896"/>
    <w:rsid w:val="00423863"/>
    <w:rsid w:val="0042394B"/>
    <w:rsid w:val="00424246"/>
    <w:rsid w:val="0042442B"/>
    <w:rsid w:val="00425878"/>
    <w:rsid w:val="00425AED"/>
    <w:rsid w:val="00426093"/>
    <w:rsid w:val="004263B3"/>
    <w:rsid w:val="004266DB"/>
    <w:rsid w:val="00426987"/>
    <w:rsid w:val="0043085D"/>
    <w:rsid w:val="00430CEA"/>
    <w:rsid w:val="0043137F"/>
    <w:rsid w:val="00432B25"/>
    <w:rsid w:val="00433E58"/>
    <w:rsid w:val="004342CE"/>
    <w:rsid w:val="004365F0"/>
    <w:rsid w:val="004372D1"/>
    <w:rsid w:val="00440B79"/>
    <w:rsid w:val="00441C99"/>
    <w:rsid w:val="00442013"/>
    <w:rsid w:val="0044504A"/>
    <w:rsid w:val="00445DD0"/>
    <w:rsid w:val="0044618B"/>
    <w:rsid w:val="00446944"/>
    <w:rsid w:val="004472F6"/>
    <w:rsid w:val="004474F1"/>
    <w:rsid w:val="0044786A"/>
    <w:rsid w:val="00451285"/>
    <w:rsid w:val="00451C2C"/>
    <w:rsid w:val="00455551"/>
    <w:rsid w:val="0046004A"/>
    <w:rsid w:val="00460782"/>
    <w:rsid w:val="00461077"/>
    <w:rsid w:val="004613FD"/>
    <w:rsid w:val="00461967"/>
    <w:rsid w:val="00461A67"/>
    <w:rsid w:val="00461A96"/>
    <w:rsid w:val="004629B0"/>
    <w:rsid w:val="004639B1"/>
    <w:rsid w:val="00463AFA"/>
    <w:rsid w:val="00463B8A"/>
    <w:rsid w:val="00466DBF"/>
    <w:rsid w:val="004710C4"/>
    <w:rsid w:val="0047189B"/>
    <w:rsid w:val="0047253D"/>
    <w:rsid w:val="00472CBE"/>
    <w:rsid w:val="00473367"/>
    <w:rsid w:val="0047381F"/>
    <w:rsid w:val="00473C95"/>
    <w:rsid w:val="00475B12"/>
    <w:rsid w:val="00476ACD"/>
    <w:rsid w:val="0047734E"/>
    <w:rsid w:val="00477ADD"/>
    <w:rsid w:val="00480325"/>
    <w:rsid w:val="004803B5"/>
    <w:rsid w:val="00480999"/>
    <w:rsid w:val="00480DC5"/>
    <w:rsid w:val="00482632"/>
    <w:rsid w:val="00482709"/>
    <w:rsid w:val="00482710"/>
    <w:rsid w:val="00482774"/>
    <w:rsid w:val="004839E9"/>
    <w:rsid w:val="00484112"/>
    <w:rsid w:val="00484166"/>
    <w:rsid w:val="00484277"/>
    <w:rsid w:val="0048538E"/>
    <w:rsid w:val="00486582"/>
    <w:rsid w:val="00486E6C"/>
    <w:rsid w:val="00486FDA"/>
    <w:rsid w:val="00487BD0"/>
    <w:rsid w:val="00487C85"/>
    <w:rsid w:val="00490194"/>
    <w:rsid w:val="00491209"/>
    <w:rsid w:val="004917D5"/>
    <w:rsid w:val="00491927"/>
    <w:rsid w:val="0049277B"/>
    <w:rsid w:val="00492C84"/>
    <w:rsid w:val="0049420D"/>
    <w:rsid w:val="00495FD5"/>
    <w:rsid w:val="004A00A9"/>
    <w:rsid w:val="004A147C"/>
    <w:rsid w:val="004A1507"/>
    <w:rsid w:val="004A16D9"/>
    <w:rsid w:val="004A1865"/>
    <w:rsid w:val="004A21EF"/>
    <w:rsid w:val="004A2DA5"/>
    <w:rsid w:val="004A3762"/>
    <w:rsid w:val="004A5DFE"/>
    <w:rsid w:val="004B0E7B"/>
    <w:rsid w:val="004B19C1"/>
    <w:rsid w:val="004B246E"/>
    <w:rsid w:val="004B4AF9"/>
    <w:rsid w:val="004B4CC3"/>
    <w:rsid w:val="004B6D38"/>
    <w:rsid w:val="004B6DC9"/>
    <w:rsid w:val="004B6FBF"/>
    <w:rsid w:val="004C35DD"/>
    <w:rsid w:val="004C44BC"/>
    <w:rsid w:val="004C64CB"/>
    <w:rsid w:val="004C6900"/>
    <w:rsid w:val="004C6B7A"/>
    <w:rsid w:val="004C70CE"/>
    <w:rsid w:val="004C774A"/>
    <w:rsid w:val="004D10CE"/>
    <w:rsid w:val="004D1DAE"/>
    <w:rsid w:val="004D20D8"/>
    <w:rsid w:val="004D3D3B"/>
    <w:rsid w:val="004D4416"/>
    <w:rsid w:val="004D5A75"/>
    <w:rsid w:val="004D5D62"/>
    <w:rsid w:val="004E1641"/>
    <w:rsid w:val="004E1780"/>
    <w:rsid w:val="004E2B96"/>
    <w:rsid w:val="004E4069"/>
    <w:rsid w:val="004E42B6"/>
    <w:rsid w:val="004E59D5"/>
    <w:rsid w:val="004F02F0"/>
    <w:rsid w:val="004F05EC"/>
    <w:rsid w:val="004F0B8C"/>
    <w:rsid w:val="004F1130"/>
    <w:rsid w:val="004F2D73"/>
    <w:rsid w:val="004F2FEF"/>
    <w:rsid w:val="004F3277"/>
    <w:rsid w:val="004F42B2"/>
    <w:rsid w:val="004F543A"/>
    <w:rsid w:val="004F5614"/>
    <w:rsid w:val="004F5FE8"/>
    <w:rsid w:val="004F6692"/>
    <w:rsid w:val="005000AE"/>
    <w:rsid w:val="00500F24"/>
    <w:rsid w:val="0050144C"/>
    <w:rsid w:val="00502618"/>
    <w:rsid w:val="00503D2C"/>
    <w:rsid w:val="00504875"/>
    <w:rsid w:val="005056C0"/>
    <w:rsid w:val="005069E2"/>
    <w:rsid w:val="00506DCB"/>
    <w:rsid w:val="005109EA"/>
    <w:rsid w:val="00512587"/>
    <w:rsid w:val="005130CC"/>
    <w:rsid w:val="00513312"/>
    <w:rsid w:val="005140BE"/>
    <w:rsid w:val="0051457B"/>
    <w:rsid w:val="0051588C"/>
    <w:rsid w:val="00516F0A"/>
    <w:rsid w:val="00517791"/>
    <w:rsid w:val="0052372F"/>
    <w:rsid w:val="005241ED"/>
    <w:rsid w:val="00524999"/>
    <w:rsid w:val="00524D32"/>
    <w:rsid w:val="00525ABC"/>
    <w:rsid w:val="005274DB"/>
    <w:rsid w:val="0052786A"/>
    <w:rsid w:val="00531126"/>
    <w:rsid w:val="00531461"/>
    <w:rsid w:val="00532144"/>
    <w:rsid w:val="00532583"/>
    <w:rsid w:val="005329C7"/>
    <w:rsid w:val="00533C4E"/>
    <w:rsid w:val="0053652A"/>
    <w:rsid w:val="005370DA"/>
    <w:rsid w:val="00541234"/>
    <w:rsid w:val="005413F9"/>
    <w:rsid w:val="00541D72"/>
    <w:rsid w:val="00542948"/>
    <w:rsid w:val="00544C26"/>
    <w:rsid w:val="0054560C"/>
    <w:rsid w:val="0054695F"/>
    <w:rsid w:val="00550E5A"/>
    <w:rsid w:val="00551CC7"/>
    <w:rsid w:val="00551FA0"/>
    <w:rsid w:val="0055360D"/>
    <w:rsid w:val="00555955"/>
    <w:rsid w:val="00557558"/>
    <w:rsid w:val="0056019B"/>
    <w:rsid w:val="00560D0C"/>
    <w:rsid w:val="00561076"/>
    <w:rsid w:val="0056140C"/>
    <w:rsid w:val="00562990"/>
    <w:rsid w:val="00562D2C"/>
    <w:rsid w:val="00563224"/>
    <w:rsid w:val="0056324E"/>
    <w:rsid w:val="005644FD"/>
    <w:rsid w:val="00564883"/>
    <w:rsid w:val="00564F7B"/>
    <w:rsid w:val="00564F9A"/>
    <w:rsid w:val="00566D37"/>
    <w:rsid w:val="00570226"/>
    <w:rsid w:val="0057056F"/>
    <w:rsid w:val="00571918"/>
    <w:rsid w:val="0057213D"/>
    <w:rsid w:val="00573D5C"/>
    <w:rsid w:val="00574032"/>
    <w:rsid w:val="0057530D"/>
    <w:rsid w:val="00576232"/>
    <w:rsid w:val="0057660D"/>
    <w:rsid w:val="00580612"/>
    <w:rsid w:val="00580814"/>
    <w:rsid w:val="005815BE"/>
    <w:rsid w:val="00581985"/>
    <w:rsid w:val="00581A36"/>
    <w:rsid w:val="00581CC3"/>
    <w:rsid w:val="00583D3B"/>
    <w:rsid w:val="00584298"/>
    <w:rsid w:val="005862F7"/>
    <w:rsid w:val="00587127"/>
    <w:rsid w:val="005879B9"/>
    <w:rsid w:val="00587EC6"/>
    <w:rsid w:val="00590EE1"/>
    <w:rsid w:val="00594C98"/>
    <w:rsid w:val="005957FD"/>
    <w:rsid w:val="00595D5A"/>
    <w:rsid w:val="00597277"/>
    <w:rsid w:val="005A1802"/>
    <w:rsid w:val="005A1FD8"/>
    <w:rsid w:val="005A4622"/>
    <w:rsid w:val="005A4DAF"/>
    <w:rsid w:val="005B0562"/>
    <w:rsid w:val="005B0D40"/>
    <w:rsid w:val="005B0D5A"/>
    <w:rsid w:val="005B1A8B"/>
    <w:rsid w:val="005B20EB"/>
    <w:rsid w:val="005B2186"/>
    <w:rsid w:val="005B2208"/>
    <w:rsid w:val="005B25E7"/>
    <w:rsid w:val="005B284F"/>
    <w:rsid w:val="005B3EE0"/>
    <w:rsid w:val="005B3F4A"/>
    <w:rsid w:val="005B41AD"/>
    <w:rsid w:val="005B520E"/>
    <w:rsid w:val="005B7AAD"/>
    <w:rsid w:val="005C2806"/>
    <w:rsid w:val="005C2941"/>
    <w:rsid w:val="005C3EAF"/>
    <w:rsid w:val="005C6801"/>
    <w:rsid w:val="005C7620"/>
    <w:rsid w:val="005D0135"/>
    <w:rsid w:val="005D197A"/>
    <w:rsid w:val="005D27E4"/>
    <w:rsid w:val="005D34D5"/>
    <w:rsid w:val="005D452A"/>
    <w:rsid w:val="005D59C2"/>
    <w:rsid w:val="005D6C2B"/>
    <w:rsid w:val="005D7200"/>
    <w:rsid w:val="005D76DA"/>
    <w:rsid w:val="005E22B7"/>
    <w:rsid w:val="005E232E"/>
    <w:rsid w:val="005E30F4"/>
    <w:rsid w:val="005E42AF"/>
    <w:rsid w:val="005E6055"/>
    <w:rsid w:val="005E79EF"/>
    <w:rsid w:val="005E7D55"/>
    <w:rsid w:val="005F0CA7"/>
    <w:rsid w:val="005F2B86"/>
    <w:rsid w:val="005F34E4"/>
    <w:rsid w:val="005F4E1F"/>
    <w:rsid w:val="005F50AA"/>
    <w:rsid w:val="005F5C57"/>
    <w:rsid w:val="005F6E74"/>
    <w:rsid w:val="005F7393"/>
    <w:rsid w:val="00601800"/>
    <w:rsid w:val="006026CF"/>
    <w:rsid w:val="006037E7"/>
    <w:rsid w:val="00604122"/>
    <w:rsid w:val="00604EE1"/>
    <w:rsid w:val="0060514E"/>
    <w:rsid w:val="00605499"/>
    <w:rsid w:val="00606153"/>
    <w:rsid w:val="00607BDE"/>
    <w:rsid w:val="00610478"/>
    <w:rsid w:val="00611B7B"/>
    <w:rsid w:val="006125F6"/>
    <w:rsid w:val="00612E09"/>
    <w:rsid w:val="00613BD4"/>
    <w:rsid w:val="00613EC9"/>
    <w:rsid w:val="00615C60"/>
    <w:rsid w:val="00616B9A"/>
    <w:rsid w:val="00620798"/>
    <w:rsid w:val="00620A02"/>
    <w:rsid w:val="00620B10"/>
    <w:rsid w:val="00620FB8"/>
    <w:rsid w:val="0062161E"/>
    <w:rsid w:val="00622100"/>
    <w:rsid w:val="00622BBE"/>
    <w:rsid w:val="006233F1"/>
    <w:rsid w:val="006235A4"/>
    <w:rsid w:val="0063168A"/>
    <w:rsid w:val="006327CA"/>
    <w:rsid w:val="006334DB"/>
    <w:rsid w:val="0063359A"/>
    <w:rsid w:val="0063389F"/>
    <w:rsid w:val="0063484A"/>
    <w:rsid w:val="006366D3"/>
    <w:rsid w:val="00636D68"/>
    <w:rsid w:val="0063764D"/>
    <w:rsid w:val="00637F29"/>
    <w:rsid w:val="00640A52"/>
    <w:rsid w:val="006414AE"/>
    <w:rsid w:val="00641D5B"/>
    <w:rsid w:val="00642C5D"/>
    <w:rsid w:val="00643113"/>
    <w:rsid w:val="00643235"/>
    <w:rsid w:val="006444FB"/>
    <w:rsid w:val="00644F9E"/>
    <w:rsid w:val="00645A43"/>
    <w:rsid w:val="00646E6B"/>
    <w:rsid w:val="006470D3"/>
    <w:rsid w:val="00647B5F"/>
    <w:rsid w:val="00647FFD"/>
    <w:rsid w:val="00652D1E"/>
    <w:rsid w:val="0065333B"/>
    <w:rsid w:val="00656E91"/>
    <w:rsid w:val="00660595"/>
    <w:rsid w:val="006625D5"/>
    <w:rsid w:val="00663AA2"/>
    <w:rsid w:val="006666E7"/>
    <w:rsid w:val="006669B9"/>
    <w:rsid w:val="00666D45"/>
    <w:rsid w:val="0067155D"/>
    <w:rsid w:val="00671D55"/>
    <w:rsid w:val="00672174"/>
    <w:rsid w:val="00672511"/>
    <w:rsid w:val="006727DB"/>
    <w:rsid w:val="00672AC0"/>
    <w:rsid w:val="0067457D"/>
    <w:rsid w:val="006751C3"/>
    <w:rsid w:val="00677215"/>
    <w:rsid w:val="00677931"/>
    <w:rsid w:val="00677D3C"/>
    <w:rsid w:val="006806A0"/>
    <w:rsid w:val="00680FBF"/>
    <w:rsid w:val="00680FD5"/>
    <w:rsid w:val="00681E02"/>
    <w:rsid w:val="00681F60"/>
    <w:rsid w:val="006821F1"/>
    <w:rsid w:val="0068231F"/>
    <w:rsid w:val="00683881"/>
    <w:rsid w:val="00684443"/>
    <w:rsid w:val="0068608D"/>
    <w:rsid w:val="00686C3E"/>
    <w:rsid w:val="00691CBA"/>
    <w:rsid w:val="00691E5A"/>
    <w:rsid w:val="00692790"/>
    <w:rsid w:val="006932A6"/>
    <w:rsid w:val="006952FE"/>
    <w:rsid w:val="0069530B"/>
    <w:rsid w:val="006965B4"/>
    <w:rsid w:val="00697F18"/>
    <w:rsid w:val="006A0DFB"/>
    <w:rsid w:val="006A2053"/>
    <w:rsid w:val="006A20A7"/>
    <w:rsid w:val="006A2213"/>
    <w:rsid w:val="006A3B05"/>
    <w:rsid w:val="006A530E"/>
    <w:rsid w:val="006A7659"/>
    <w:rsid w:val="006A7E1D"/>
    <w:rsid w:val="006B014A"/>
    <w:rsid w:val="006B2E16"/>
    <w:rsid w:val="006B301E"/>
    <w:rsid w:val="006B39DB"/>
    <w:rsid w:val="006C010E"/>
    <w:rsid w:val="006C24A6"/>
    <w:rsid w:val="006C29A8"/>
    <w:rsid w:val="006C3D35"/>
    <w:rsid w:val="006C6406"/>
    <w:rsid w:val="006D1BFF"/>
    <w:rsid w:val="006D2BBC"/>
    <w:rsid w:val="006D2E1F"/>
    <w:rsid w:val="006D2F88"/>
    <w:rsid w:val="006D2FBF"/>
    <w:rsid w:val="006D3A19"/>
    <w:rsid w:val="006D577B"/>
    <w:rsid w:val="006D5D29"/>
    <w:rsid w:val="006D5E0C"/>
    <w:rsid w:val="006D6BB0"/>
    <w:rsid w:val="006D6D4D"/>
    <w:rsid w:val="006E1B1C"/>
    <w:rsid w:val="006E1E98"/>
    <w:rsid w:val="006E2AB6"/>
    <w:rsid w:val="006E311E"/>
    <w:rsid w:val="006E48D6"/>
    <w:rsid w:val="006E62B8"/>
    <w:rsid w:val="006E74AB"/>
    <w:rsid w:val="006F0737"/>
    <w:rsid w:val="006F0BB9"/>
    <w:rsid w:val="006F109E"/>
    <w:rsid w:val="006F2BF0"/>
    <w:rsid w:val="006F4417"/>
    <w:rsid w:val="006F4A43"/>
    <w:rsid w:val="006F60F7"/>
    <w:rsid w:val="006F7BDC"/>
    <w:rsid w:val="006F7E5D"/>
    <w:rsid w:val="007000A4"/>
    <w:rsid w:val="00702618"/>
    <w:rsid w:val="00703E9E"/>
    <w:rsid w:val="00704E67"/>
    <w:rsid w:val="00705115"/>
    <w:rsid w:val="0070651C"/>
    <w:rsid w:val="0071001B"/>
    <w:rsid w:val="00711C3B"/>
    <w:rsid w:val="00711E18"/>
    <w:rsid w:val="00713FFA"/>
    <w:rsid w:val="0071427C"/>
    <w:rsid w:val="007146F7"/>
    <w:rsid w:val="00714BDF"/>
    <w:rsid w:val="0071631E"/>
    <w:rsid w:val="00716632"/>
    <w:rsid w:val="00716702"/>
    <w:rsid w:val="00720115"/>
    <w:rsid w:val="00721665"/>
    <w:rsid w:val="00721700"/>
    <w:rsid w:val="00722A7B"/>
    <w:rsid w:val="00725A32"/>
    <w:rsid w:val="00726C14"/>
    <w:rsid w:val="007277F0"/>
    <w:rsid w:val="00727A7D"/>
    <w:rsid w:val="00727D39"/>
    <w:rsid w:val="00730977"/>
    <w:rsid w:val="00733908"/>
    <w:rsid w:val="00734542"/>
    <w:rsid w:val="00734AA6"/>
    <w:rsid w:val="00735288"/>
    <w:rsid w:val="00737EBA"/>
    <w:rsid w:val="00740C8C"/>
    <w:rsid w:val="0074531B"/>
    <w:rsid w:val="0074572F"/>
    <w:rsid w:val="00747662"/>
    <w:rsid w:val="007501AF"/>
    <w:rsid w:val="00751574"/>
    <w:rsid w:val="007515CC"/>
    <w:rsid w:val="0075297E"/>
    <w:rsid w:val="00752B83"/>
    <w:rsid w:val="00753568"/>
    <w:rsid w:val="00753D56"/>
    <w:rsid w:val="00755371"/>
    <w:rsid w:val="00760F7A"/>
    <w:rsid w:val="00761783"/>
    <w:rsid w:val="00761DEC"/>
    <w:rsid w:val="00762CE9"/>
    <w:rsid w:val="007638CF"/>
    <w:rsid w:val="0076480E"/>
    <w:rsid w:val="00766A0D"/>
    <w:rsid w:val="0076701E"/>
    <w:rsid w:val="00767FBB"/>
    <w:rsid w:val="007721EB"/>
    <w:rsid w:val="007727D8"/>
    <w:rsid w:val="00774164"/>
    <w:rsid w:val="00775A41"/>
    <w:rsid w:val="00777D52"/>
    <w:rsid w:val="00780CDB"/>
    <w:rsid w:val="0078474D"/>
    <w:rsid w:val="00785A40"/>
    <w:rsid w:val="007902B4"/>
    <w:rsid w:val="00790661"/>
    <w:rsid w:val="00791230"/>
    <w:rsid w:val="00791649"/>
    <w:rsid w:val="00794260"/>
    <w:rsid w:val="00794C51"/>
    <w:rsid w:val="007952DF"/>
    <w:rsid w:val="00795557"/>
    <w:rsid w:val="00795A57"/>
    <w:rsid w:val="007A08E7"/>
    <w:rsid w:val="007A383E"/>
    <w:rsid w:val="007A7A18"/>
    <w:rsid w:val="007B0DCE"/>
    <w:rsid w:val="007B14B1"/>
    <w:rsid w:val="007B16DD"/>
    <w:rsid w:val="007B7ABF"/>
    <w:rsid w:val="007C1569"/>
    <w:rsid w:val="007C7A5D"/>
    <w:rsid w:val="007D1506"/>
    <w:rsid w:val="007D1FCC"/>
    <w:rsid w:val="007D3F39"/>
    <w:rsid w:val="007D40E2"/>
    <w:rsid w:val="007D490C"/>
    <w:rsid w:val="007D512D"/>
    <w:rsid w:val="007D5132"/>
    <w:rsid w:val="007D5221"/>
    <w:rsid w:val="007D6351"/>
    <w:rsid w:val="007D68FB"/>
    <w:rsid w:val="007E1466"/>
    <w:rsid w:val="007E2571"/>
    <w:rsid w:val="007E475A"/>
    <w:rsid w:val="007E4A08"/>
    <w:rsid w:val="007E4FAB"/>
    <w:rsid w:val="007E5A1C"/>
    <w:rsid w:val="007E5CFD"/>
    <w:rsid w:val="007E6AD2"/>
    <w:rsid w:val="007E7CC0"/>
    <w:rsid w:val="007E7E9F"/>
    <w:rsid w:val="007F2020"/>
    <w:rsid w:val="007F4C3B"/>
    <w:rsid w:val="007F53E2"/>
    <w:rsid w:val="007F561B"/>
    <w:rsid w:val="007F5749"/>
    <w:rsid w:val="007F6F33"/>
    <w:rsid w:val="00800BAC"/>
    <w:rsid w:val="00801272"/>
    <w:rsid w:val="0080467D"/>
    <w:rsid w:val="00804EF2"/>
    <w:rsid w:val="00805C95"/>
    <w:rsid w:val="00806153"/>
    <w:rsid w:val="008063C6"/>
    <w:rsid w:val="008063CB"/>
    <w:rsid w:val="00810100"/>
    <w:rsid w:val="008109B0"/>
    <w:rsid w:val="00810C91"/>
    <w:rsid w:val="008125CA"/>
    <w:rsid w:val="00815852"/>
    <w:rsid w:val="008158EF"/>
    <w:rsid w:val="00816EE6"/>
    <w:rsid w:val="00817A74"/>
    <w:rsid w:val="008205C9"/>
    <w:rsid w:val="00820D79"/>
    <w:rsid w:val="00821091"/>
    <w:rsid w:val="008210D4"/>
    <w:rsid w:val="00821AEF"/>
    <w:rsid w:val="00821FA6"/>
    <w:rsid w:val="00822573"/>
    <w:rsid w:val="00822AC8"/>
    <w:rsid w:val="00822B35"/>
    <w:rsid w:val="00823272"/>
    <w:rsid w:val="008232BD"/>
    <w:rsid w:val="00826134"/>
    <w:rsid w:val="008263E2"/>
    <w:rsid w:val="0082688C"/>
    <w:rsid w:val="00831B06"/>
    <w:rsid w:val="00832016"/>
    <w:rsid w:val="00832E5D"/>
    <w:rsid w:val="00833452"/>
    <w:rsid w:val="0083356B"/>
    <w:rsid w:val="008338D8"/>
    <w:rsid w:val="008355D4"/>
    <w:rsid w:val="008370C1"/>
    <w:rsid w:val="008378BE"/>
    <w:rsid w:val="008407E2"/>
    <w:rsid w:val="00840E99"/>
    <w:rsid w:val="00843EED"/>
    <w:rsid w:val="0084407C"/>
    <w:rsid w:val="00845A4C"/>
    <w:rsid w:val="0084647B"/>
    <w:rsid w:val="0084796E"/>
    <w:rsid w:val="00850B80"/>
    <w:rsid w:val="008516E1"/>
    <w:rsid w:val="00851E51"/>
    <w:rsid w:val="008520C9"/>
    <w:rsid w:val="00852B78"/>
    <w:rsid w:val="008539C7"/>
    <w:rsid w:val="00853F4B"/>
    <w:rsid w:val="008547DC"/>
    <w:rsid w:val="00854976"/>
    <w:rsid w:val="00854A2D"/>
    <w:rsid w:val="00855555"/>
    <w:rsid w:val="008568AC"/>
    <w:rsid w:val="00860742"/>
    <w:rsid w:val="00861F00"/>
    <w:rsid w:val="008621BC"/>
    <w:rsid w:val="0086232B"/>
    <w:rsid w:val="00863D85"/>
    <w:rsid w:val="0086712E"/>
    <w:rsid w:val="00867241"/>
    <w:rsid w:val="00870AAD"/>
    <w:rsid w:val="008715E0"/>
    <w:rsid w:val="008742ED"/>
    <w:rsid w:val="00875931"/>
    <w:rsid w:val="00876248"/>
    <w:rsid w:val="0087713C"/>
    <w:rsid w:val="0087740E"/>
    <w:rsid w:val="00880A8D"/>
    <w:rsid w:val="00885FC4"/>
    <w:rsid w:val="00887E94"/>
    <w:rsid w:val="00891D64"/>
    <w:rsid w:val="00892DC1"/>
    <w:rsid w:val="00894558"/>
    <w:rsid w:val="00897341"/>
    <w:rsid w:val="008A067E"/>
    <w:rsid w:val="008A0C4A"/>
    <w:rsid w:val="008A1810"/>
    <w:rsid w:val="008A212F"/>
    <w:rsid w:val="008A21EC"/>
    <w:rsid w:val="008A291B"/>
    <w:rsid w:val="008A318E"/>
    <w:rsid w:val="008A5B65"/>
    <w:rsid w:val="008A70C8"/>
    <w:rsid w:val="008A793D"/>
    <w:rsid w:val="008A7B56"/>
    <w:rsid w:val="008B0885"/>
    <w:rsid w:val="008B383A"/>
    <w:rsid w:val="008B4097"/>
    <w:rsid w:val="008B45DD"/>
    <w:rsid w:val="008C0EFC"/>
    <w:rsid w:val="008C2A57"/>
    <w:rsid w:val="008C399B"/>
    <w:rsid w:val="008C4171"/>
    <w:rsid w:val="008C675A"/>
    <w:rsid w:val="008C70A7"/>
    <w:rsid w:val="008C7766"/>
    <w:rsid w:val="008D0021"/>
    <w:rsid w:val="008D199A"/>
    <w:rsid w:val="008D29E2"/>
    <w:rsid w:val="008D4366"/>
    <w:rsid w:val="008D7C24"/>
    <w:rsid w:val="008E206E"/>
    <w:rsid w:val="008E22E9"/>
    <w:rsid w:val="008E296A"/>
    <w:rsid w:val="008E35A7"/>
    <w:rsid w:val="008E3E12"/>
    <w:rsid w:val="008E4BC0"/>
    <w:rsid w:val="008E538F"/>
    <w:rsid w:val="008E5B0E"/>
    <w:rsid w:val="008E5E3A"/>
    <w:rsid w:val="008E72FC"/>
    <w:rsid w:val="008F00AF"/>
    <w:rsid w:val="008F01A8"/>
    <w:rsid w:val="008F1CB9"/>
    <w:rsid w:val="008F2197"/>
    <w:rsid w:val="008F3B99"/>
    <w:rsid w:val="008F445F"/>
    <w:rsid w:val="008F5128"/>
    <w:rsid w:val="008F5184"/>
    <w:rsid w:val="008F5D65"/>
    <w:rsid w:val="008F628A"/>
    <w:rsid w:val="008F67D0"/>
    <w:rsid w:val="008F6BC2"/>
    <w:rsid w:val="008F6F05"/>
    <w:rsid w:val="00902139"/>
    <w:rsid w:val="00902860"/>
    <w:rsid w:val="00902D61"/>
    <w:rsid w:val="00903460"/>
    <w:rsid w:val="00910D58"/>
    <w:rsid w:val="00912C3E"/>
    <w:rsid w:val="0091343D"/>
    <w:rsid w:val="00914FB1"/>
    <w:rsid w:val="009155AA"/>
    <w:rsid w:val="00917A79"/>
    <w:rsid w:val="0092024E"/>
    <w:rsid w:val="00920842"/>
    <w:rsid w:val="00921D77"/>
    <w:rsid w:val="0092428A"/>
    <w:rsid w:val="009249B4"/>
    <w:rsid w:val="0092501C"/>
    <w:rsid w:val="009250E0"/>
    <w:rsid w:val="00926627"/>
    <w:rsid w:val="00927FE6"/>
    <w:rsid w:val="009316D2"/>
    <w:rsid w:val="009319C3"/>
    <w:rsid w:val="00931CE7"/>
    <w:rsid w:val="009334EE"/>
    <w:rsid w:val="00935971"/>
    <w:rsid w:val="009364DE"/>
    <w:rsid w:val="00937108"/>
    <w:rsid w:val="00937114"/>
    <w:rsid w:val="00937B24"/>
    <w:rsid w:val="00941790"/>
    <w:rsid w:val="009438EB"/>
    <w:rsid w:val="00943A59"/>
    <w:rsid w:val="00943F44"/>
    <w:rsid w:val="00945114"/>
    <w:rsid w:val="00945370"/>
    <w:rsid w:val="00945D69"/>
    <w:rsid w:val="00946ABA"/>
    <w:rsid w:val="00946C15"/>
    <w:rsid w:val="00947663"/>
    <w:rsid w:val="00947E99"/>
    <w:rsid w:val="00950FB3"/>
    <w:rsid w:val="0095174A"/>
    <w:rsid w:val="009525C3"/>
    <w:rsid w:val="00953BBB"/>
    <w:rsid w:val="00954BFE"/>
    <w:rsid w:val="00954E69"/>
    <w:rsid w:val="00955155"/>
    <w:rsid w:val="00956694"/>
    <w:rsid w:val="009625D4"/>
    <w:rsid w:val="009628BD"/>
    <w:rsid w:val="0096362C"/>
    <w:rsid w:val="009668C2"/>
    <w:rsid w:val="00971E52"/>
    <w:rsid w:val="00971FF7"/>
    <w:rsid w:val="00972AF9"/>
    <w:rsid w:val="00973F66"/>
    <w:rsid w:val="00975A18"/>
    <w:rsid w:val="00976359"/>
    <w:rsid w:val="009800AA"/>
    <w:rsid w:val="009803F5"/>
    <w:rsid w:val="0098223A"/>
    <w:rsid w:val="00982397"/>
    <w:rsid w:val="009824A4"/>
    <w:rsid w:val="009828F8"/>
    <w:rsid w:val="009835BB"/>
    <w:rsid w:val="00983904"/>
    <w:rsid w:val="00983B24"/>
    <w:rsid w:val="0098642B"/>
    <w:rsid w:val="00987117"/>
    <w:rsid w:val="00987188"/>
    <w:rsid w:val="00987369"/>
    <w:rsid w:val="00987EEB"/>
    <w:rsid w:val="00990672"/>
    <w:rsid w:val="00992680"/>
    <w:rsid w:val="009928B8"/>
    <w:rsid w:val="00992D59"/>
    <w:rsid w:val="00993503"/>
    <w:rsid w:val="00994812"/>
    <w:rsid w:val="009948ED"/>
    <w:rsid w:val="00995AF3"/>
    <w:rsid w:val="00995B1C"/>
    <w:rsid w:val="009A0DED"/>
    <w:rsid w:val="009A0FE1"/>
    <w:rsid w:val="009A1207"/>
    <w:rsid w:val="009A12CC"/>
    <w:rsid w:val="009A1E6A"/>
    <w:rsid w:val="009A2E1F"/>
    <w:rsid w:val="009A322D"/>
    <w:rsid w:val="009A4021"/>
    <w:rsid w:val="009A5A12"/>
    <w:rsid w:val="009A5E63"/>
    <w:rsid w:val="009A6718"/>
    <w:rsid w:val="009A6D5C"/>
    <w:rsid w:val="009B00F8"/>
    <w:rsid w:val="009B0EBA"/>
    <w:rsid w:val="009B2512"/>
    <w:rsid w:val="009B3EF7"/>
    <w:rsid w:val="009B4072"/>
    <w:rsid w:val="009B4657"/>
    <w:rsid w:val="009B5096"/>
    <w:rsid w:val="009B79E5"/>
    <w:rsid w:val="009B7E34"/>
    <w:rsid w:val="009B7FEF"/>
    <w:rsid w:val="009C2B21"/>
    <w:rsid w:val="009C3CC4"/>
    <w:rsid w:val="009C57D2"/>
    <w:rsid w:val="009C6D07"/>
    <w:rsid w:val="009C7CC2"/>
    <w:rsid w:val="009D4EA6"/>
    <w:rsid w:val="009D4EB3"/>
    <w:rsid w:val="009D6298"/>
    <w:rsid w:val="009D7D5C"/>
    <w:rsid w:val="009D7F85"/>
    <w:rsid w:val="009E1A2F"/>
    <w:rsid w:val="009E3FC8"/>
    <w:rsid w:val="009E50F7"/>
    <w:rsid w:val="009E5726"/>
    <w:rsid w:val="009E7800"/>
    <w:rsid w:val="009F3B3B"/>
    <w:rsid w:val="009F512E"/>
    <w:rsid w:val="009F7CB7"/>
    <w:rsid w:val="00A019F4"/>
    <w:rsid w:val="00A01BA0"/>
    <w:rsid w:val="00A02040"/>
    <w:rsid w:val="00A0357B"/>
    <w:rsid w:val="00A037B8"/>
    <w:rsid w:val="00A03C0A"/>
    <w:rsid w:val="00A03DE2"/>
    <w:rsid w:val="00A045F4"/>
    <w:rsid w:val="00A05F20"/>
    <w:rsid w:val="00A11095"/>
    <w:rsid w:val="00A122DF"/>
    <w:rsid w:val="00A12542"/>
    <w:rsid w:val="00A12B59"/>
    <w:rsid w:val="00A13BEA"/>
    <w:rsid w:val="00A14171"/>
    <w:rsid w:val="00A15232"/>
    <w:rsid w:val="00A15EDE"/>
    <w:rsid w:val="00A16B79"/>
    <w:rsid w:val="00A16E24"/>
    <w:rsid w:val="00A22BA9"/>
    <w:rsid w:val="00A22C11"/>
    <w:rsid w:val="00A25378"/>
    <w:rsid w:val="00A269BE"/>
    <w:rsid w:val="00A26F02"/>
    <w:rsid w:val="00A27013"/>
    <w:rsid w:val="00A2716D"/>
    <w:rsid w:val="00A27EDD"/>
    <w:rsid w:val="00A31625"/>
    <w:rsid w:val="00A33A76"/>
    <w:rsid w:val="00A33BAB"/>
    <w:rsid w:val="00A34A44"/>
    <w:rsid w:val="00A35926"/>
    <w:rsid w:val="00A35BA2"/>
    <w:rsid w:val="00A35C68"/>
    <w:rsid w:val="00A37278"/>
    <w:rsid w:val="00A37D8B"/>
    <w:rsid w:val="00A40BCD"/>
    <w:rsid w:val="00A411A3"/>
    <w:rsid w:val="00A42DA7"/>
    <w:rsid w:val="00A438A7"/>
    <w:rsid w:val="00A447C7"/>
    <w:rsid w:val="00A467C8"/>
    <w:rsid w:val="00A51444"/>
    <w:rsid w:val="00A51E42"/>
    <w:rsid w:val="00A52F13"/>
    <w:rsid w:val="00A5322E"/>
    <w:rsid w:val="00A53677"/>
    <w:rsid w:val="00A548B5"/>
    <w:rsid w:val="00A56003"/>
    <w:rsid w:val="00A56D55"/>
    <w:rsid w:val="00A57F20"/>
    <w:rsid w:val="00A60262"/>
    <w:rsid w:val="00A60265"/>
    <w:rsid w:val="00A60532"/>
    <w:rsid w:val="00A6109B"/>
    <w:rsid w:val="00A63987"/>
    <w:rsid w:val="00A70CA8"/>
    <w:rsid w:val="00A71E75"/>
    <w:rsid w:val="00A73799"/>
    <w:rsid w:val="00A74DBB"/>
    <w:rsid w:val="00A765DF"/>
    <w:rsid w:val="00A77FB3"/>
    <w:rsid w:val="00A808DD"/>
    <w:rsid w:val="00A820A8"/>
    <w:rsid w:val="00A821B5"/>
    <w:rsid w:val="00A869AC"/>
    <w:rsid w:val="00A86C3B"/>
    <w:rsid w:val="00A90235"/>
    <w:rsid w:val="00A902F6"/>
    <w:rsid w:val="00A90CBF"/>
    <w:rsid w:val="00A90E4D"/>
    <w:rsid w:val="00A91B7E"/>
    <w:rsid w:val="00A954C6"/>
    <w:rsid w:val="00AA0091"/>
    <w:rsid w:val="00AA00AD"/>
    <w:rsid w:val="00AA04CD"/>
    <w:rsid w:val="00AA0888"/>
    <w:rsid w:val="00AA12D7"/>
    <w:rsid w:val="00AA1BDD"/>
    <w:rsid w:val="00AA45A7"/>
    <w:rsid w:val="00AA46B9"/>
    <w:rsid w:val="00AA4F80"/>
    <w:rsid w:val="00AA575E"/>
    <w:rsid w:val="00AA5ADD"/>
    <w:rsid w:val="00AA5D39"/>
    <w:rsid w:val="00AA7BD7"/>
    <w:rsid w:val="00AB0265"/>
    <w:rsid w:val="00AB03C2"/>
    <w:rsid w:val="00AB1105"/>
    <w:rsid w:val="00AB2564"/>
    <w:rsid w:val="00AB3BA3"/>
    <w:rsid w:val="00AB490F"/>
    <w:rsid w:val="00AB547D"/>
    <w:rsid w:val="00AC0042"/>
    <w:rsid w:val="00AC01B5"/>
    <w:rsid w:val="00AC0CA1"/>
    <w:rsid w:val="00AC13F4"/>
    <w:rsid w:val="00AC25D1"/>
    <w:rsid w:val="00AC3044"/>
    <w:rsid w:val="00AC3EAF"/>
    <w:rsid w:val="00AC613F"/>
    <w:rsid w:val="00AC6560"/>
    <w:rsid w:val="00AC7A12"/>
    <w:rsid w:val="00AD0C26"/>
    <w:rsid w:val="00AD107E"/>
    <w:rsid w:val="00AD1611"/>
    <w:rsid w:val="00AD26BE"/>
    <w:rsid w:val="00AD3297"/>
    <w:rsid w:val="00AD3405"/>
    <w:rsid w:val="00AD394E"/>
    <w:rsid w:val="00AD5653"/>
    <w:rsid w:val="00AE24D0"/>
    <w:rsid w:val="00AE666E"/>
    <w:rsid w:val="00AE6D69"/>
    <w:rsid w:val="00AE705F"/>
    <w:rsid w:val="00AE71A1"/>
    <w:rsid w:val="00AF1D8B"/>
    <w:rsid w:val="00AF2825"/>
    <w:rsid w:val="00AF2E9A"/>
    <w:rsid w:val="00AF3FB7"/>
    <w:rsid w:val="00AF4183"/>
    <w:rsid w:val="00AF4DC6"/>
    <w:rsid w:val="00AF4DEC"/>
    <w:rsid w:val="00AF4FF8"/>
    <w:rsid w:val="00AF50B7"/>
    <w:rsid w:val="00AF6367"/>
    <w:rsid w:val="00B00498"/>
    <w:rsid w:val="00B00823"/>
    <w:rsid w:val="00B01606"/>
    <w:rsid w:val="00B04275"/>
    <w:rsid w:val="00B0452E"/>
    <w:rsid w:val="00B0458E"/>
    <w:rsid w:val="00B05012"/>
    <w:rsid w:val="00B05BB3"/>
    <w:rsid w:val="00B05C68"/>
    <w:rsid w:val="00B06A14"/>
    <w:rsid w:val="00B10DDB"/>
    <w:rsid w:val="00B10F04"/>
    <w:rsid w:val="00B1130A"/>
    <w:rsid w:val="00B11DC0"/>
    <w:rsid w:val="00B12AF7"/>
    <w:rsid w:val="00B12BDA"/>
    <w:rsid w:val="00B13827"/>
    <w:rsid w:val="00B150B3"/>
    <w:rsid w:val="00B15380"/>
    <w:rsid w:val="00B175A0"/>
    <w:rsid w:val="00B214D3"/>
    <w:rsid w:val="00B23BD4"/>
    <w:rsid w:val="00B2406E"/>
    <w:rsid w:val="00B24D5F"/>
    <w:rsid w:val="00B25B24"/>
    <w:rsid w:val="00B27108"/>
    <w:rsid w:val="00B27D46"/>
    <w:rsid w:val="00B3037F"/>
    <w:rsid w:val="00B30769"/>
    <w:rsid w:val="00B319DD"/>
    <w:rsid w:val="00B329B6"/>
    <w:rsid w:val="00B3349F"/>
    <w:rsid w:val="00B33DCE"/>
    <w:rsid w:val="00B34013"/>
    <w:rsid w:val="00B34F8F"/>
    <w:rsid w:val="00B353E9"/>
    <w:rsid w:val="00B37542"/>
    <w:rsid w:val="00B4071D"/>
    <w:rsid w:val="00B41D59"/>
    <w:rsid w:val="00B42AC5"/>
    <w:rsid w:val="00B43284"/>
    <w:rsid w:val="00B43C1B"/>
    <w:rsid w:val="00B444B6"/>
    <w:rsid w:val="00B44752"/>
    <w:rsid w:val="00B447B4"/>
    <w:rsid w:val="00B45596"/>
    <w:rsid w:val="00B45AEE"/>
    <w:rsid w:val="00B465BD"/>
    <w:rsid w:val="00B469E5"/>
    <w:rsid w:val="00B471A4"/>
    <w:rsid w:val="00B47BD3"/>
    <w:rsid w:val="00B500DB"/>
    <w:rsid w:val="00B5089C"/>
    <w:rsid w:val="00B51AA4"/>
    <w:rsid w:val="00B54EFD"/>
    <w:rsid w:val="00B555CE"/>
    <w:rsid w:val="00B55836"/>
    <w:rsid w:val="00B55870"/>
    <w:rsid w:val="00B5651F"/>
    <w:rsid w:val="00B56C7F"/>
    <w:rsid w:val="00B579E5"/>
    <w:rsid w:val="00B60ECC"/>
    <w:rsid w:val="00B62EA8"/>
    <w:rsid w:val="00B63002"/>
    <w:rsid w:val="00B6479C"/>
    <w:rsid w:val="00B64F87"/>
    <w:rsid w:val="00B64FE3"/>
    <w:rsid w:val="00B653BB"/>
    <w:rsid w:val="00B65AD5"/>
    <w:rsid w:val="00B66533"/>
    <w:rsid w:val="00B66B50"/>
    <w:rsid w:val="00B6704D"/>
    <w:rsid w:val="00B71427"/>
    <w:rsid w:val="00B71AD4"/>
    <w:rsid w:val="00B72829"/>
    <w:rsid w:val="00B72948"/>
    <w:rsid w:val="00B73520"/>
    <w:rsid w:val="00B7368F"/>
    <w:rsid w:val="00B745FB"/>
    <w:rsid w:val="00B76488"/>
    <w:rsid w:val="00B764B0"/>
    <w:rsid w:val="00B77D12"/>
    <w:rsid w:val="00B8043E"/>
    <w:rsid w:val="00B80864"/>
    <w:rsid w:val="00B817CF"/>
    <w:rsid w:val="00B8269F"/>
    <w:rsid w:val="00B83201"/>
    <w:rsid w:val="00B8338B"/>
    <w:rsid w:val="00B83C43"/>
    <w:rsid w:val="00B83E72"/>
    <w:rsid w:val="00B851FB"/>
    <w:rsid w:val="00B908E7"/>
    <w:rsid w:val="00B92181"/>
    <w:rsid w:val="00B9262D"/>
    <w:rsid w:val="00B93186"/>
    <w:rsid w:val="00B9472A"/>
    <w:rsid w:val="00B94780"/>
    <w:rsid w:val="00B974E5"/>
    <w:rsid w:val="00BA0A43"/>
    <w:rsid w:val="00BA1DC6"/>
    <w:rsid w:val="00BA2102"/>
    <w:rsid w:val="00BA4D63"/>
    <w:rsid w:val="00BB0257"/>
    <w:rsid w:val="00BB02DB"/>
    <w:rsid w:val="00BB19B7"/>
    <w:rsid w:val="00BB32B8"/>
    <w:rsid w:val="00BB4322"/>
    <w:rsid w:val="00BB5B80"/>
    <w:rsid w:val="00BB60B8"/>
    <w:rsid w:val="00BC039A"/>
    <w:rsid w:val="00BC085E"/>
    <w:rsid w:val="00BC5FDF"/>
    <w:rsid w:val="00BC634D"/>
    <w:rsid w:val="00BC7FE9"/>
    <w:rsid w:val="00BD02F5"/>
    <w:rsid w:val="00BD20CF"/>
    <w:rsid w:val="00BD3E0D"/>
    <w:rsid w:val="00BD4529"/>
    <w:rsid w:val="00BD4CA2"/>
    <w:rsid w:val="00BD4E96"/>
    <w:rsid w:val="00BD589C"/>
    <w:rsid w:val="00BD7706"/>
    <w:rsid w:val="00BD77B5"/>
    <w:rsid w:val="00BE095B"/>
    <w:rsid w:val="00BE22B6"/>
    <w:rsid w:val="00BE4C09"/>
    <w:rsid w:val="00BE4D08"/>
    <w:rsid w:val="00BE4FC8"/>
    <w:rsid w:val="00BE5551"/>
    <w:rsid w:val="00BE560B"/>
    <w:rsid w:val="00BE5DB0"/>
    <w:rsid w:val="00BE7F6A"/>
    <w:rsid w:val="00BF063B"/>
    <w:rsid w:val="00BF08F0"/>
    <w:rsid w:val="00BF195B"/>
    <w:rsid w:val="00BF22AD"/>
    <w:rsid w:val="00BF2B03"/>
    <w:rsid w:val="00BF2D29"/>
    <w:rsid w:val="00BF32B7"/>
    <w:rsid w:val="00BF3DA2"/>
    <w:rsid w:val="00BF4F27"/>
    <w:rsid w:val="00BF6C8C"/>
    <w:rsid w:val="00BF6D0B"/>
    <w:rsid w:val="00BF7E18"/>
    <w:rsid w:val="00C00C3B"/>
    <w:rsid w:val="00C0268E"/>
    <w:rsid w:val="00C0358B"/>
    <w:rsid w:val="00C0449D"/>
    <w:rsid w:val="00C04B13"/>
    <w:rsid w:val="00C064A7"/>
    <w:rsid w:val="00C06C87"/>
    <w:rsid w:val="00C07E6C"/>
    <w:rsid w:val="00C102D6"/>
    <w:rsid w:val="00C103E2"/>
    <w:rsid w:val="00C110AA"/>
    <w:rsid w:val="00C11385"/>
    <w:rsid w:val="00C11843"/>
    <w:rsid w:val="00C11AF0"/>
    <w:rsid w:val="00C11EC4"/>
    <w:rsid w:val="00C1217A"/>
    <w:rsid w:val="00C12ED0"/>
    <w:rsid w:val="00C13613"/>
    <w:rsid w:val="00C16CA0"/>
    <w:rsid w:val="00C2149B"/>
    <w:rsid w:val="00C22419"/>
    <w:rsid w:val="00C245D1"/>
    <w:rsid w:val="00C262BA"/>
    <w:rsid w:val="00C2791D"/>
    <w:rsid w:val="00C27D64"/>
    <w:rsid w:val="00C30E16"/>
    <w:rsid w:val="00C35E83"/>
    <w:rsid w:val="00C36115"/>
    <w:rsid w:val="00C410A8"/>
    <w:rsid w:val="00C41C1F"/>
    <w:rsid w:val="00C4245A"/>
    <w:rsid w:val="00C42A53"/>
    <w:rsid w:val="00C448E0"/>
    <w:rsid w:val="00C44C80"/>
    <w:rsid w:val="00C45335"/>
    <w:rsid w:val="00C52130"/>
    <w:rsid w:val="00C52361"/>
    <w:rsid w:val="00C524ED"/>
    <w:rsid w:val="00C52A0B"/>
    <w:rsid w:val="00C57489"/>
    <w:rsid w:val="00C604BD"/>
    <w:rsid w:val="00C61872"/>
    <w:rsid w:val="00C631D2"/>
    <w:rsid w:val="00C636EC"/>
    <w:rsid w:val="00C63E2A"/>
    <w:rsid w:val="00C6614D"/>
    <w:rsid w:val="00C66FE8"/>
    <w:rsid w:val="00C67F47"/>
    <w:rsid w:val="00C70B7F"/>
    <w:rsid w:val="00C71983"/>
    <w:rsid w:val="00C721B6"/>
    <w:rsid w:val="00C7234D"/>
    <w:rsid w:val="00C737A6"/>
    <w:rsid w:val="00C74171"/>
    <w:rsid w:val="00C74338"/>
    <w:rsid w:val="00C74C4D"/>
    <w:rsid w:val="00C77337"/>
    <w:rsid w:val="00C801A7"/>
    <w:rsid w:val="00C8036D"/>
    <w:rsid w:val="00C80A33"/>
    <w:rsid w:val="00C80DCA"/>
    <w:rsid w:val="00C81771"/>
    <w:rsid w:val="00C8411E"/>
    <w:rsid w:val="00C84E9B"/>
    <w:rsid w:val="00C86851"/>
    <w:rsid w:val="00C86BF0"/>
    <w:rsid w:val="00C926A4"/>
    <w:rsid w:val="00C92B56"/>
    <w:rsid w:val="00C930DF"/>
    <w:rsid w:val="00C9461A"/>
    <w:rsid w:val="00C94F87"/>
    <w:rsid w:val="00C969D1"/>
    <w:rsid w:val="00C97927"/>
    <w:rsid w:val="00C97A9F"/>
    <w:rsid w:val="00CA0D6F"/>
    <w:rsid w:val="00CA1D21"/>
    <w:rsid w:val="00CA3342"/>
    <w:rsid w:val="00CA33F8"/>
    <w:rsid w:val="00CA3A65"/>
    <w:rsid w:val="00CA735A"/>
    <w:rsid w:val="00CB04A4"/>
    <w:rsid w:val="00CB2002"/>
    <w:rsid w:val="00CB28E7"/>
    <w:rsid w:val="00CB2B77"/>
    <w:rsid w:val="00CB2DEE"/>
    <w:rsid w:val="00CB5475"/>
    <w:rsid w:val="00CB54F4"/>
    <w:rsid w:val="00CB649B"/>
    <w:rsid w:val="00CB6718"/>
    <w:rsid w:val="00CB6BBB"/>
    <w:rsid w:val="00CC0807"/>
    <w:rsid w:val="00CC0852"/>
    <w:rsid w:val="00CC09C8"/>
    <w:rsid w:val="00CC0DF1"/>
    <w:rsid w:val="00CC1E5D"/>
    <w:rsid w:val="00CC257A"/>
    <w:rsid w:val="00CC3662"/>
    <w:rsid w:val="00CC48AC"/>
    <w:rsid w:val="00CC4CA4"/>
    <w:rsid w:val="00CC513F"/>
    <w:rsid w:val="00CC6809"/>
    <w:rsid w:val="00CD17D5"/>
    <w:rsid w:val="00CD3B53"/>
    <w:rsid w:val="00CD5B08"/>
    <w:rsid w:val="00CD76A5"/>
    <w:rsid w:val="00CE08E1"/>
    <w:rsid w:val="00CE114E"/>
    <w:rsid w:val="00CE3355"/>
    <w:rsid w:val="00CE4370"/>
    <w:rsid w:val="00CE43FB"/>
    <w:rsid w:val="00CE55F3"/>
    <w:rsid w:val="00CE660C"/>
    <w:rsid w:val="00CE66EA"/>
    <w:rsid w:val="00CE720B"/>
    <w:rsid w:val="00CE7445"/>
    <w:rsid w:val="00CE7AA9"/>
    <w:rsid w:val="00CE7C56"/>
    <w:rsid w:val="00CE7E94"/>
    <w:rsid w:val="00CE7ED3"/>
    <w:rsid w:val="00CF170D"/>
    <w:rsid w:val="00CF2BB7"/>
    <w:rsid w:val="00CF3F63"/>
    <w:rsid w:val="00CF60E0"/>
    <w:rsid w:val="00CF716B"/>
    <w:rsid w:val="00D00673"/>
    <w:rsid w:val="00D00AA2"/>
    <w:rsid w:val="00D018AD"/>
    <w:rsid w:val="00D0198A"/>
    <w:rsid w:val="00D03AF1"/>
    <w:rsid w:val="00D04237"/>
    <w:rsid w:val="00D0437F"/>
    <w:rsid w:val="00D06750"/>
    <w:rsid w:val="00D06C89"/>
    <w:rsid w:val="00D06FC1"/>
    <w:rsid w:val="00D106B9"/>
    <w:rsid w:val="00D14B38"/>
    <w:rsid w:val="00D14C64"/>
    <w:rsid w:val="00D16B57"/>
    <w:rsid w:val="00D16B59"/>
    <w:rsid w:val="00D21203"/>
    <w:rsid w:val="00D224A3"/>
    <w:rsid w:val="00D226E5"/>
    <w:rsid w:val="00D23717"/>
    <w:rsid w:val="00D23D3B"/>
    <w:rsid w:val="00D25C8B"/>
    <w:rsid w:val="00D25D12"/>
    <w:rsid w:val="00D27188"/>
    <w:rsid w:val="00D27859"/>
    <w:rsid w:val="00D30EF4"/>
    <w:rsid w:val="00D31430"/>
    <w:rsid w:val="00D3376E"/>
    <w:rsid w:val="00D33ACB"/>
    <w:rsid w:val="00D363FD"/>
    <w:rsid w:val="00D37234"/>
    <w:rsid w:val="00D37FE6"/>
    <w:rsid w:val="00D4096C"/>
    <w:rsid w:val="00D40EB1"/>
    <w:rsid w:val="00D416E3"/>
    <w:rsid w:val="00D41EDC"/>
    <w:rsid w:val="00D41F7E"/>
    <w:rsid w:val="00D428A0"/>
    <w:rsid w:val="00D43564"/>
    <w:rsid w:val="00D43750"/>
    <w:rsid w:val="00D43C45"/>
    <w:rsid w:val="00D44AF3"/>
    <w:rsid w:val="00D45870"/>
    <w:rsid w:val="00D46BB4"/>
    <w:rsid w:val="00D47001"/>
    <w:rsid w:val="00D5001E"/>
    <w:rsid w:val="00D504EE"/>
    <w:rsid w:val="00D51894"/>
    <w:rsid w:val="00D51AFA"/>
    <w:rsid w:val="00D51B3B"/>
    <w:rsid w:val="00D52153"/>
    <w:rsid w:val="00D5327B"/>
    <w:rsid w:val="00D5379A"/>
    <w:rsid w:val="00D55BDB"/>
    <w:rsid w:val="00D565C9"/>
    <w:rsid w:val="00D57629"/>
    <w:rsid w:val="00D60878"/>
    <w:rsid w:val="00D60ECA"/>
    <w:rsid w:val="00D64531"/>
    <w:rsid w:val="00D647E8"/>
    <w:rsid w:val="00D64944"/>
    <w:rsid w:val="00D67710"/>
    <w:rsid w:val="00D72FEF"/>
    <w:rsid w:val="00D74984"/>
    <w:rsid w:val="00D76582"/>
    <w:rsid w:val="00D775DD"/>
    <w:rsid w:val="00D775EF"/>
    <w:rsid w:val="00D77E69"/>
    <w:rsid w:val="00D803E8"/>
    <w:rsid w:val="00D805DB"/>
    <w:rsid w:val="00D819E2"/>
    <w:rsid w:val="00D822F1"/>
    <w:rsid w:val="00D824F4"/>
    <w:rsid w:val="00D828DB"/>
    <w:rsid w:val="00D8372F"/>
    <w:rsid w:val="00D83A31"/>
    <w:rsid w:val="00D90332"/>
    <w:rsid w:val="00D9073B"/>
    <w:rsid w:val="00D90A41"/>
    <w:rsid w:val="00D92988"/>
    <w:rsid w:val="00D9377B"/>
    <w:rsid w:val="00D94EAB"/>
    <w:rsid w:val="00D96031"/>
    <w:rsid w:val="00D96ABC"/>
    <w:rsid w:val="00D97067"/>
    <w:rsid w:val="00D9727A"/>
    <w:rsid w:val="00D97622"/>
    <w:rsid w:val="00D97E12"/>
    <w:rsid w:val="00DA003A"/>
    <w:rsid w:val="00DA2415"/>
    <w:rsid w:val="00DA27AF"/>
    <w:rsid w:val="00DA3A59"/>
    <w:rsid w:val="00DA3CED"/>
    <w:rsid w:val="00DA421F"/>
    <w:rsid w:val="00DA5D20"/>
    <w:rsid w:val="00DA615F"/>
    <w:rsid w:val="00DA6586"/>
    <w:rsid w:val="00DA66CE"/>
    <w:rsid w:val="00DA6B93"/>
    <w:rsid w:val="00DB3AA4"/>
    <w:rsid w:val="00DB50FF"/>
    <w:rsid w:val="00DB5495"/>
    <w:rsid w:val="00DB5C36"/>
    <w:rsid w:val="00DB7367"/>
    <w:rsid w:val="00DC0208"/>
    <w:rsid w:val="00DC09F8"/>
    <w:rsid w:val="00DC195D"/>
    <w:rsid w:val="00DC25D6"/>
    <w:rsid w:val="00DC2612"/>
    <w:rsid w:val="00DC3351"/>
    <w:rsid w:val="00DC3C3D"/>
    <w:rsid w:val="00DC4761"/>
    <w:rsid w:val="00DC4E10"/>
    <w:rsid w:val="00DC54A5"/>
    <w:rsid w:val="00DC55B3"/>
    <w:rsid w:val="00DC5853"/>
    <w:rsid w:val="00DC5DCA"/>
    <w:rsid w:val="00DC79F4"/>
    <w:rsid w:val="00DD16BB"/>
    <w:rsid w:val="00DD32B0"/>
    <w:rsid w:val="00DD341D"/>
    <w:rsid w:val="00DD45D1"/>
    <w:rsid w:val="00DD4895"/>
    <w:rsid w:val="00DE106B"/>
    <w:rsid w:val="00DE2F57"/>
    <w:rsid w:val="00DE496D"/>
    <w:rsid w:val="00DE4D98"/>
    <w:rsid w:val="00DE515C"/>
    <w:rsid w:val="00DE5BB1"/>
    <w:rsid w:val="00DE60C5"/>
    <w:rsid w:val="00DF073F"/>
    <w:rsid w:val="00DF28B5"/>
    <w:rsid w:val="00DF2D4B"/>
    <w:rsid w:val="00DF3107"/>
    <w:rsid w:val="00DF3E3C"/>
    <w:rsid w:val="00DF3E6E"/>
    <w:rsid w:val="00DF47D8"/>
    <w:rsid w:val="00DF4C89"/>
    <w:rsid w:val="00DF617D"/>
    <w:rsid w:val="00E0089B"/>
    <w:rsid w:val="00E01093"/>
    <w:rsid w:val="00E0185C"/>
    <w:rsid w:val="00E02A6B"/>
    <w:rsid w:val="00E02E0E"/>
    <w:rsid w:val="00E030E1"/>
    <w:rsid w:val="00E033BE"/>
    <w:rsid w:val="00E042A2"/>
    <w:rsid w:val="00E04CB5"/>
    <w:rsid w:val="00E06D95"/>
    <w:rsid w:val="00E075CF"/>
    <w:rsid w:val="00E10563"/>
    <w:rsid w:val="00E10819"/>
    <w:rsid w:val="00E10FD4"/>
    <w:rsid w:val="00E118A4"/>
    <w:rsid w:val="00E11C4A"/>
    <w:rsid w:val="00E12F28"/>
    <w:rsid w:val="00E13183"/>
    <w:rsid w:val="00E132EE"/>
    <w:rsid w:val="00E1445A"/>
    <w:rsid w:val="00E1696F"/>
    <w:rsid w:val="00E17F27"/>
    <w:rsid w:val="00E20A8B"/>
    <w:rsid w:val="00E2125F"/>
    <w:rsid w:val="00E21D8C"/>
    <w:rsid w:val="00E22B48"/>
    <w:rsid w:val="00E233FF"/>
    <w:rsid w:val="00E25019"/>
    <w:rsid w:val="00E2511A"/>
    <w:rsid w:val="00E27092"/>
    <w:rsid w:val="00E30101"/>
    <w:rsid w:val="00E32577"/>
    <w:rsid w:val="00E33FBD"/>
    <w:rsid w:val="00E35C21"/>
    <w:rsid w:val="00E360F0"/>
    <w:rsid w:val="00E36B2F"/>
    <w:rsid w:val="00E370FB"/>
    <w:rsid w:val="00E37845"/>
    <w:rsid w:val="00E37BDE"/>
    <w:rsid w:val="00E42A0C"/>
    <w:rsid w:val="00E4613C"/>
    <w:rsid w:val="00E4629B"/>
    <w:rsid w:val="00E46AC4"/>
    <w:rsid w:val="00E478EE"/>
    <w:rsid w:val="00E51CE6"/>
    <w:rsid w:val="00E5230E"/>
    <w:rsid w:val="00E52D43"/>
    <w:rsid w:val="00E5526A"/>
    <w:rsid w:val="00E5551B"/>
    <w:rsid w:val="00E55610"/>
    <w:rsid w:val="00E562AB"/>
    <w:rsid w:val="00E56C8B"/>
    <w:rsid w:val="00E601A3"/>
    <w:rsid w:val="00E60794"/>
    <w:rsid w:val="00E60E34"/>
    <w:rsid w:val="00E613FD"/>
    <w:rsid w:val="00E61B17"/>
    <w:rsid w:val="00E6227E"/>
    <w:rsid w:val="00E62669"/>
    <w:rsid w:val="00E638F7"/>
    <w:rsid w:val="00E65370"/>
    <w:rsid w:val="00E65BF4"/>
    <w:rsid w:val="00E663BB"/>
    <w:rsid w:val="00E664A2"/>
    <w:rsid w:val="00E669BF"/>
    <w:rsid w:val="00E72582"/>
    <w:rsid w:val="00E72F5C"/>
    <w:rsid w:val="00E738D5"/>
    <w:rsid w:val="00E747B3"/>
    <w:rsid w:val="00E74A51"/>
    <w:rsid w:val="00E75210"/>
    <w:rsid w:val="00E800B0"/>
    <w:rsid w:val="00E81067"/>
    <w:rsid w:val="00E82405"/>
    <w:rsid w:val="00E83644"/>
    <w:rsid w:val="00E83C7C"/>
    <w:rsid w:val="00E83CC4"/>
    <w:rsid w:val="00E84EF4"/>
    <w:rsid w:val="00E86820"/>
    <w:rsid w:val="00E87244"/>
    <w:rsid w:val="00E873DB"/>
    <w:rsid w:val="00E875C5"/>
    <w:rsid w:val="00E9045F"/>
    <w:rsid w:val="00E90599"/>
    <w:rsid w:val="00E906F2"/>
    <w:rsid w:val="00E911E7"/>
    <w:rsid w:val="00E91CB2"/>
    <w:rsid w:val="00E93979"/>
    <w:rsid w:val="00E94FF5"/>
    <w:rsid w:val="00E96E22"/>
    <w:rsid w:val="00E97752"/>
    <w:rsid w:val="00E97C51"/>
    <w:rsid w:val="00E97D4D"/>
    <w:rsid w:val="00EA0150"/>
    <w:rsid w:val="00EA1743"/>
    <w:rsid w:val="00EA3015"/>
    <w:rsid w:val="00EA33D9"/>
    <w:rsid w:val="00EA3579"/>
    <w:rsid w:val="00EA3B91"/>
    <w:rsid w:val="00EA3FFB"/>
    <w:rsid w:val="00EA49EF"/>
    <w:rsid w:val="00EA4A0F"/>
    <w:rsid w:val="00EA6769"/>
    <w:rsid w:val="00EA6BFD"/>
    <w:rsid w:val="00EB18C1"/>
    <w:rsid w:val="00EB3D0A"/>
    <w:rsid w:val="00EB3DA1"/>
    <w:rsid w:val="00EB3ED3"/>
    <w:rsid w:val="00EB44E2"/>
    <w:rsid w:val="00EB514D"/>
    <w:rsid w:val="00EB6AB1"/>
    <w:rsid w:val="00EB6E10"/>
    <w:rsid w:val="00EC021F"/>
    <w:rsid w:val="00EC0C4E"/>
    <w:rsid w:val="00EC21F9"/>
    <w:rsid w:val="00EC44AB"/>
    <w:rsid w:val="00EC4A1F"/>
    <w:rsid w:val="00EC4CA9"/>
    <w:rsid w:val="00EC6204"/>
    <w:rsid w:val="00EC720C"/>
    <w:rsid w:val="00EC7C03"/>
    <w:rsid w:val="00ED0230"/>
    <w:rsid w:val="00ED2C73"/>
    <w:rsid w:val="00ED2D71"/>
    <w:rsid w:val="00ED3DCD"/>
    <w:rsid w:val="00ED58B2"/>
    <w:rsid w:val="00ED5A1C"/>
    <w:rsid w:val="00ED6A6E"/>
    <w:rsid w:val="00ED7FA7"/>
    <w:rsid w:val="00EE0555"/>
    <w:rsid w:val="00EE3ED6"/>
    <w:rsid w:val="00EE5504"/>
    <w:rsid w:val="00EE5BE5"/>
    <w:rsid w:val="00EE6C71"/>
    <w:rsid w:val="00EE7B20"/>
    <w:rsid w:val="00EF0017"/>
    <w:rsid w:val="00EF2464"/>
    <w:rsid w:val="00EF2999"/>
    <w:rsid w:val="00EF4A01"/>
    <w:rsid w:val="00EF6956"/>
    <w:rsid w:val="00F02034"/>
    <w:rsid w:val="00F02CAC"/>
    <w:rsid w:val="00F044BE"/>
    <w:rsid w:val="00F05B56"/>
    <w:rsid w:val="00F0624B"/>
    <w:rsid w:val="00F0711A"/>
    <w:rsid w:val="00F10334"/>
    <w:rsid w:val="00F1056F"/>
    <w:rsid w:val="00F11686"/>
    <w:rsid w:val="00F11EC8"/>
    <w:rsid w:val="00F12B32"/>
    <w:rsid w:val="00F1330A"/>
    <w:rsid w:val="00F14F0B"/>
    <w:rsid w:val="00F150FA"/>
    <w:rsid w:val="00F15826"/>
    <w:rsid w:val="00F160C7"/>
    <w:rsid w:val="00F20A51"/>
    <w:rsid w:val="00F2131E"/>
    <w:rsid w:val="00F23C3B"/>
    <w:rsid w:val="00F2406B"/>
    <w:rsid w:val="00F24DD2"/>
    <w:rsid w:val="00F26400"/>
    <w:rsid w:val="00F30066"/>
    <w:rsid w:val="00F31969"/>
    <w:rsid w:val="00F32880"/>
    <w:rsid w:val="00F334FF"/>
    <w:rsid w:val="00F33A69"/>
    <w:rsid w:val="00F370C1"/>
    <w:rsid w:val="00F40D6E"/>
    <w:rsid w:val="00F41914"/>
    <w:rsid w:val="00F41AF6"/>
    <w:rsid w:val="00F42CDE"/>
    <w:rsid w:val="00F4475E"/>
    <w:rsid w:val="00F44C48"/>
    <w:rsid w:val="00F44C84"/>
    <w:rsid w:val="00F44EF3"/>
    <w:rsid w:val="00F4581C"/>
    <w:rsid w:val="00F524CD"/>
    <w:rsid w:val="00F53CA2"/>
    <w:rsid w:val="00F5401C"/>
    <w:rsid w:val="00F542CA"/>
    <w:rsid w:val="00F5466F"/>
    <w:rsid w:val="00F54DCB"/>
    <w:rsid w:val="00F56116"/>
    <w:rsid w:val="00F56661"/>
    <w:rsid w:val="00F60457"/>
    <w:rsid w:val="00F60F9B"/>
    <w:rsid w:val="00F61917"/>
    <w:rsid w:val="00F61E5E"/>
    <w:rsid w:val="00F62167"/>
    <w:rsid w:val="00F6234C"/>
    <w:rsid w:val="00F62CC1"/>
    <w:rsid w:val="00F6339C"/>
    <w:rsid w:val="00F636A8"/>
    <w:rsid w:val="00F63B77"/>
    <w:rsid w:val="00F64DDC"/>
    <w:rsid w:val="00F653D7"/>
    <w:rsid w:val="00F6609A"/>
    <w:rsid w:val="00F66557"/>
    <w:rsid w:val="00F665EB"/>
    <w:rsid w:val="00F71770"/>
    <w:rsid w:val="00F717A5"/>
    <w:rsid w:val="00F7304D"/>
    <w:rsid w:val="00F73C1D"/>
    <w:rsid w:val="00F748DD"/>
    <w:rsid w:val="00F75380"/>
    <w:rsid w:val="00F753A9"/>
    <w:rsid w:val="00F75E96"/>
    <w:rsid w:val="00F766B8"/>
    <w:rsid w:val="00F77FA4"/>
    <w:rsid w:val="00F829A0"/>
    <w:rsid w:val="00F830BF"/>
    <w:rsid w:val="00F8496D"/>
    <w:rsid w:val="00F855DC"/>
    <w:rsid w:val="00F90B9C"/>
    <w:rsid w:val="00F91316"/>
    <w:rsid w:val="00F91828"/>
    <w:rsid w:val="00F91D71"/>
    <w:rsid w:val="00F91DD2"/>
    <w:rsid w:val="00F93137"/>
    <w:rsid w:val="00F94F34"/>
    <w:rsid w:val="00F94F3F"/>
    <w:rsid w:val="00F9567C"/>
    <w:rsid w:val="00F95967"/>
    <w:rsid w:val="00F9605D"/>
    <w:rsid w:val="00F96BC7"/>
    <w:rsid w:val="00FA09E1"/>
    <w:rsid w:val="00FA15BA"/>
    <w:rsid w:val="00FA2C0E"/>
    <w:rsid w:val="00FA3E08"/>
    <w:rsid w:val="00FA4D54"/>
    <w:rsid w:val="00FA5745"/>
    <w:rsid w:val="00FA67C1"/>
    <w:rsid w:val="00FA7FE2"/>
    <w:rsid w:val="00FB1683"/>
    <w:rsid w:val="00FB391B"/>
    <w:rsid w:val="00FB402B"/>
    <w:rsid w:val="00FB40CB"/>
    <w:rsid w:val="00FB457A"/>
    <w:rsid w:val="00FB4E25"/>
    <w:rsid w:val="00FB6E24"/>
    <w:rsid w:val="00FB772E"/>
    <w:rsid w:val="00FB7D25"/>
    <w:rsid w:val="00FC0F2D"/>
    <w:rsid w:val="00FC0F9E"/>
    <w:rsid w:val="00FC188D"/>
    <w:rsid w:val="00FC3D7F"/>
    <w:rsid w:val="00FC4BB2"/>
    <w:rsid w:val="00FC796E"/>
    <w:rsid w:val="00FD104A"/>
    <w:rsid w:val="00FD207C"/>
    <w:rsid w:val="00FD2B77"/>
    <w:rsid w:val="00FD3E2A"/>
    <w:rsid w:val="00FD5311"/>
    <w:rsid w:val="00FD54C6"/>
    <w:rsid w:val="00FD7A24"/>
    <w:rsid w:val="00FF03A7"/>
    <w:rsid w:val="00FF2FAE"/>
    <w:rsid w:val="00FF38FA"/>
    <w:rsid w:val="00FF5B2A"/>
    <w:rsid w:val="00FF60DA"/>
    <w:rsid w:val="00FF74FF"/>
    <w:rsid w:val="00FF76BA"/>
    <w:rsid w:val="018C23CB"/>
    <w:rsid w:val="01A821C6"/>
    <w:rsid w:val="023B2668"/>
    <w:rsid w:val="02402EC0"/>
    <w:rsid w:val="02492E08"/>
    <w:rsid w:val="027E3A68"/>
    <w:rsid w:val="028736CF"/>
    <w:rsid w:val="02AE7397"/>
    <w:rsid w:val="02C512F9"/>
    <w:rsid w:val="03926FEA"/>
    <w:rsid w:val="03BD7644"/>
    <w:rsid w:val="03E1063E"/>
    <w:rsid w:val="03E80CD8"/>
    <w:rsid w:val="03F52568"/>
    <w:rsid w:val="040D3583"/>
    <w:rsid w:val="042F016D"/>
    <w:rsid w:val="04B403C6"/>
    <w:rsid w:val="04FA5F43"/>
    <w:rsid w:val="052C09EC"/>
    <w:rsid w:val="056F1847"/>
    <w:rsid w:val="05831998"/>
    <w:rsid w:val="059A0103"/>
    <w:rsid w:val="05A212BC"/>
    <w:rsid w:val="05AF5900"/>
    <w:rsid w:val="05E27F4C"/>
    <w:rsid w:val="060D0017"/>
    <w:rsid w:val="06274119"/>
    <w:rsid w:val="06813F88"/>
    <w:rsid w:val="069F6C6D"/>
    <w:rsid w:val="06B20F9B"/>
    <w:rsid w:val="06B50E10"/>
    <w:rsid w:val="06BF202B"/>
    <w:rsid w:val="06D85C9B"/>
    <w:rsid w:val="07157C39"/>
    <w:rsid w:val="07210DA5"/>
    <w:rsid w:val="073935E8"/>
    <w:rsid w:val="073D4269"/>
    <w:rsid w:val="074B094A"/>
    <w:rsid w:val="07A1557D"/>
    <w:rsid w:val="07D103A0"/>
    <w:rsid w:val="0828314D"/>
    <w:rsid w:val="087D7CAA"/>
    <w:rsid w:val="0886622F"/>
    <w:rsid w:val="08950044"/>
    <w:rsid w:val="08C43471"/>
    <w:rsid w:val="08FB55FD"/>
    <w:rsid w:val="08FF54D2"/>
    <w:rsid w:val="091805FA"/>
    <w:rsid w:val="0934708E"/>
    <w:rsid w:val="09630EDC"/>
    <w:rsid w:val="09F33C46"/>
    <w:rsid w:val="09FA3203"/>
    <w:rsid w:val="0A3D295B"/>
    <w:rsid w:val="0A3F005D"/>
    <w:rsid w:val="0A9341BE"/>
    <w:rsid w:val="0A934B74"/>
    <w:rsid w:val="0AB12F85"/>
    <w:rsid w:val="0AE83ED5"/>
    <w:rsid w:val="0AF5210A"/>
    <w:rsid w:val="0B1F4BB6"/>
    <w:rsid w:val="0B3A5A02"/>
    <w:rsid w:val="0B4E7969"/>
    <w:rsid w:val="0B5E7667"/>
    <w:rsid w:val="0BDD56FD"/>
    <w:rsid w:val="0BDE776B"/>
    <w:rsid w:val="0BEB203B"/>
    <w:rsid w:val="0C0C32FB"/>
    <w:rsid w:val="0C445779"/>
    <w:rsid w:val="0C457FCA"/>
    <w:rsid w:val="0C980DCD"/>
    <w:rsid w:val="0CBC03F1"/>
    <w:rsid w:val="0CCB5BAD"/>
    <w:rsid w:val="0CD447D9"/>
    <w:rsid w:val="0D117CD7"/>
    <w:rsid w:val="0D237F01"/>
    <w:rsid w:val="0D3B2D0E"/>
    <w:rsid w:val="0D781E29"/>
    <w:rsid w:val="0E7A4ECE"/>
    <w:rsid w:val="0E7F3589"/>
    <w:rsid w:val="0E81735D"/>
    <w:rsid w:val="0EA24254"/>
    <w:rsid w:val="0EA832F5"/>
    <w:rsid w:val="0EF54800"/>
    <w:rsid w:val="0F40581B"/>
    <w:rsid w:val="0F460677"/>
    <w:rsid w:val="0F851DD5"/>
    <w:rsid w:val="0F94164E"/>
    <w:rsid w:val="0F9A13CF"/>
    <w:rsid w:val="0FA95CA4"/>
    <w:rsid w:val="0FB471A8"/>
    <w:rsid w:val="10083054"/>
    <w:rsid w:val="10253855"/>
    <w:rsid w:val="104D284B"/>
    <w:rsid w:val="10526DE3"/>
    <w:rsid w:val="10573A8F"/>
    <w:rsid w:val="10681410"/>
    <w:rsid w:val="10BC0900"/>
    <w:rsid w:val="10E37230"/>
    <w:rsid w:val="111D76A0"/>
    <w:rsid w:val="119C142F"/>
    <w:rsid w:val="122172CE"/>
    <w:rsid w:val="12255CD4"/>
    <w:rsid w:val="12355860"/>
    <w:rsid w:val="124D2729"/>
    <w:rsid w:val="126A5144"/>
    <w:rsid w:val="127A7296"/>
    <w:rsid w:val="128E78C9"/>
    <w:rsid w:val="12B638EE"/>
    <w:rsid w:val="12E03995"/>
    <w:rsid w:val="12F26B7A"/>
    <w:rsid w:val="12F279EC"/>
    <w:rsid w:val="13314543"/>
    <w:rsid w:val="13390EFF"/>
    <w:rsid w:val="137173E4"/>
    <w:rsid w:val="13A24CF6"/>
    <w:rsid w:val="13B126CE"/>
    <w:rsid w:val="13DF5603"/>
    <w:rsid w:val="1441502F"/>
    <w:rsid w:val="144162BD"/>
    <w:rsid w:val="14462ED1"/>
    <w:rsid w:val="1470631C"/>
    <w:rsid w:val="14CB50CA"/>
    <w:rsid w:val="1518152A"/>
    <w:rsid w:val="15405C26"/>
    <w:rsid w:val="154532F3"/>
    <w:rsid w:val="155F3BF4"/>
    <w:rsid w:val="156F0C08"/>
    <w:rsid w:val="157E77BD"/>
    <w:rsid w:val="15BA7088"/>
    <w:rsid w:val="15D0564E"/>
    <w:rsid w:val="15F27A06"/>
    <w:rsid w:val="16194692"/>
    <w:rsid w:val="16292E15"/>
    <w:rsid w:val="163559AE"/>
    <w:rsid w:val="16531828"/>
    <w:rsid w:val="168E098E"/>
    <w:rsid w:val="16C5620B"/>
    <w:rsid w:val="16E15B36"/>
    <w:rsid w:val="17213AFE"/>
    <w:rsid w:val="1722157F"/>
    <w:rsid w:val="17240B96"/>
    <w:rsid w:val="1735378C"/>
    <w:rsid w:val="175E43D3"/>
    <w:rsid w:val="177A0705"/>
    <w:rsid w:val="17BD6337"/>
    <w:rsid w:val="18542BF6"/>
    <w:rsid w:val="18586FB1"/>
    <w:rsid w:val="18B9619D"/>
    <w:rsid w:val="18E12580"/>
    <w:rsid w:val="190258C2"/>
    <w:rsid w:val="190A3122"/>
    <w:rsid w:val="190D4605"/>
    <w:rsid w:val="190F5864"/>
    <w:rsid w:val="19443A11"/>
    <w:rsid w:val="194D6993"/>
    <w:rsid w:val="19884D68"/>
    <w:rsid w:val="19AE4336"/>
    <w:rsid w:val="19C561C9"/>
    <w:rsid w:val="19D21AEC"/>
    <w:rsid w:val="1A024CD3"/>
    <w:rsid w:val="1A240213"/>
    <w:rsid w:val="1A9A1348"/>
    <w:rsid w:val="1AA17AB6"/>
    <w:rsid w:val="1AE16617"/>
    <w:rsid w:val="1AF30046"/>
    <w:rsid w:val="1B03267A"/>
    <w:rsid w:val="1B065B6B"/>
    <w:rsid w:val="1B1532F3"/>
    <w:rsid w:val="1B354543"/>
    <w:rsid w:val="1B4C3F58"/>
    <w:rsid w:val="1B722C0B"/>
    <w:rsid w:val="1BF530EC"/>
    <w:rsid w:val="1C555234"/>
    <w:rsid w:val="1C604813"/>
    <w:rsid w:val="1C790771"/>
    <w:rsid w:val="1CF6760F"/>
    <w:rsid w:val="1DA457C4"/>
    <w:rsid w:val="1DB8698F"/>
    <w:rsid w:val="1DCF53AD"/>
    <w:rsid w:val="1E0D7DCE"/>
    <w:rsid w:val="1E5673D3"/>
    <w:rsid w:val="1EB1403F"/>
    <w:rsid w:val="1EBA1BB5"/>
    <w:rsid w:val="1EBA3BE7"/>
    <w:rsid w:val="1EC91389"/>
    <w:rsid w:val="1EDA17E8"/>
    <w:rsid w:val="1EDE34C6"/>
    <w:rsid w:val="1EF5664A"/>
    <w:rsid w:val="1F66463E"/>
    <w:rsid w:val="1FA23E91"/>
    <w:rsid w:val="1FED028C"/>
    <w:rsid w:val="203E1903"/>
    <w:rsid w:val="20577E1E"/>
    <w:rsid w:val="20672C08"/>
    <w:rsid w:val="206802AF"/>
    <w:rsid w:val="20887022"/>
    <w:rsid w:val="20DB1848"/>
    <w:rsid w:val="20E02300"/>
    <w:rsid w:val="21185C10"/>
    <w:rsid w:val="212107B4"/>
    <w:rsid w:val="213F4EAB"/>
    <w:rsid w:val="214B1BFC"/>
    <w:rsid w:val="21676C37"/>
    <w:rsid w:val="21CD07B3"/>
    <w:rsid w:val="22051085"/>
    <w:rsid w:val="223F79BA"/>
    <w:rsid w:val="229C0B63"/>
    <w:rsid w:val="22BE4F7D"/>
    <w:rsid w:val="23192159"/>
    <w:rsid w:val="2346325B"/>
    <w:rsid w:val="2349723E"/>
    <w:rsid w:val="23A2562F"/>
    <w:rsid w:val="23AB5501"/>
    <w:rsid w:val="24021436"/>
    <w:rsid w:val="242859CE"/>
    <w:rsid w:val="24792289"/>
    <w:rsid w:val="249E3FA8"/>
    <w:rsid w:val="24F77329"/>
    <w:rsid w:val="25017B07"/>
    <w:rsid w:val="254440C5"/>
    <w:rsid w:val="257E7BA2"/>
    <w:rsid w:val="25A319FE"/>
    <w:rsid w:val="25EE315B"/>
    <w:rsid w:val="25F604C2"/>
    <w:rsid w:val="26315635"/>
    <w:rsid w:val="26577C40"/>
    <w:rsid w:val="265C4D63"/>
    <w:rsid w:val="26932E8C"/>
    <w:rsid w:val="26AD2A00"/>
    <w:rsid w:val="26AD4DB5"/>
    <w:rsid w:val="26C23938"/>
    <w:rsid w:val="26CF4E63"/>
    <w:rsid w:val="27541A0C"/>
    <w:rsid w:val="2758525B"/>
    <w:rsid w:val="276227A2"/>
    <w:rsid w:val="27702706"/>
    <w:rsid w:val="277E30D9"/>
    <w:rsid w:val="279938C3"/>
    <w:rsid w:val="279D1605"/>
    <w:rsid w:val="280C6E6A"/>
    <w:rsid w:val="282E5A37"/>
    <w:rsid w:val="28490223"/>
    <w:rsid w:val="28D1189C"/>
    <w:rsid w:val="28D70B46"/>
    <w:rsid w:val="2938592D"/>
    <w:rsid w:val="294E3354"/>
    <w:rsid w:val="29657051"/>
    <w:rsid w:val="2980420F"/>
    <w:rsid w:val="29A51644"/>
    <w:rsid w:val="29AA23E9"/>
    <w:rsid w:val="29BE75DE"/>
    <w:rsid w:val="2A5C6FDD"/>
    <w:rsid w:val="2A68414C"/>
    <w:rsid w:val="2A7228D5"/>
    <w:rsid w:val="2A7D5FC4"/>
    <w:rsid w:val="2AC84BEB"/>
    <w:rsid w:val="2AD22322"/>
    <w:rsid w:val="2ADF3CE2"/>
    <w:rsid w:val="2AE97FC9"/>
    <w:rsid w:val="2AEB72EB"/>
    <w:rsid w:val="2B2649E5"/>
    <w:rsid w:val="2B4D1886"/>
    <w:rsid w:val="2B4F5ADE"/>
    <w:rsid w:val="2BEA13CF"/>
    <w:rsid w:val="2C293CC8"/>
    <w:rsid w:val="2C2F02B9"/>
    <w:rsid w:val="2C6336CD"/>
    <w:rsid w:val="2C682583"/>
    <w:rsid w:val="2C691586"/>
    <w:rsid w:val="2C6C79EE"/>
    <w:rsid w:val="2CDC497D"/>
    <w:rsid w:val="2D1F50CF"/>
    <w:rsid w:val="2D274F0B"/>
    <w:rsid w:val="2D276489"/>
    <w:rsid w:val="2D2D77E4"/>
    <w:rsid w:val="2D311D35"/>
    <w:rsid w:val="2D510F8C"/>
    <w:rsid w:val="2E797ACE"/>
    <w:rsid w:val="2E9238C2"/>
    <w:rsid w:val="2EC610AD"/>
    <w:rsid w:val="2EC63F29"/>
    <w:rsid w:val="2F862DF3"/>
    <w:rsid w:val="2FAA0F75"/>
    <w:rsid w:val="2FBA2072"/>
    <w:rsid w:val="2FE33748"/>
    <w:rsid w:val="30A457B2"/>
    <w:rsid w:val="30FC6374"/>
    <w:rsid w:val="310F243B"/>
    <w:rsid w:val="311B7998"/>
    <w:rsid w:val="312D2862"/>
    <w:rsid w:val="314B2D31"/>
    <w:rsid w:val="3161109D"/>
    <w:rsid w:val="316A07AA"/>
    <w:rsid w:val="317E67AE"/>
    <w:rsid w:val="31CC4642"/>
    <w:rsid w:val="31EB454A"/>
    <w:rsid w:val="320876B2"/>
    <w:rsid w:val="3225037A"/>
    <w:rsid w:val="32635E3A"/>
    <w:rsid w:val="32870E28"/>
    <w:rsid w:val="32C5561F"/>
    <w:rsid w:val="32F90AEB"/>
    <w:rsid w:val="33B54162"/>
    <w:rsid w:val="33E22CDE"/>
    <w:rsid w:val="34060532"/>
    <w:rsid w:val="34356098"/>
    <w:rsid w:val="34746839"/>
    <w:rsid w:val="34853B4C"/>
    <w:rsid w:val="349440DF"/>
    <w:rsid w:val="34E34BD5"/>
    <w:rsid w:val="34E97A94"/>
    <w:rsid w:val="34EB7F3D"/>
    <w:rsid w:val="3501109D"/>
    <w:rsid w:val="35280DC0"/>
    <w:rsid w:val="355D2576"/>
    <w:rsid w:val="356D4400"/>
    <w:rsid w:val="357566C2"/>
    <w:rsid w:val="35B55FB4"/>
    <w:rsid w:val="35C36672"/>
    <w:rsid w:val="35C57746"/>
    <w:rsid w:val="35C96A03"/>
    <w:rsid w:val="35CA5CBB"/>
    <w:rsid w:val="35CC34D0"/>
    <w:rsid w:val="35EF4E1B"/>
    <w:rsid w:val="35FE2DA3"/>
    <w:rsid w:val="36111187"/>
    <w:rsid w:val="363A1903"/>
    <w:rsid w:val="36452CCA"/>
    <w:rsid w:val="3687346B"/>
    <w:rsid w:val="36DF3D38"/>
    <w:rsid w:val="371B5911"/>
    <w:rsid w:val="37944472"/>
    <w:rsid w:val="37A159D2"/>
    <w:rsid w:val="37A65552"/>
    <w:rsid w:val="37EF1884"/>
    <w:rsid w:val="37F214F9"/>
    <w:rsid w:val="383C5BD0"/>
    <w:rsid w:val="38545FFB"/>
    <w:rsid w:val="38802E42"/>
    <w:rsid w:val="389E58B4"/>
    <w:rsid w:val="38AC78FA"/>
    <w:rsid w:val="38B06E8F"/>
    <w:rsid w:val="38CB5299"/>
    <w:rsid w:val="38CC6302"/>
    <w:rsid w:val="3921693D"/>
    <w:rsid w:val="3925145A"/>
    <w:rsid w:val="392910BE"/>
    <w:rsid w:val="39355B41"/>
    <w:rsid w:val="39542F57"/>
    <w:rsid w:val="396761A8"/>
    <w:rsid w:val="397F0B6A"/>
    <w:rsid w:val="398443D3"/>
    <w:rsid w:val="39BC417D"/>
    <w:rsid w:val="39C40C73"/>
    <w:rsid w:val="39CC5062"/>
    <w:rsid w:val="39F90F1B"/>
    <w:rsid w:val="3A1546EF"/>
    <w:rsid w:val="3A250F74"/>
    <w:rsid w:val="3A5E6B4F"/>
    <w:rsid w:val="3A716E97"/>
    <w:rsid w:val="3AF93340"/>
    <w:rsid w:val="3B00555E"/>
    <w:rsid w:val="3B590E0A"/>
    <w:rsid w:val="3B602E8C"/>
    <w:rsid w:val="3BB13F7E"/>
    <w:rsid w:val="3BCE3174"/>
    <w:rsid w:val="3BF3026A"/>
    <w:rsid w:val="3BFE06FA"/>
    <w:rsid w:val="3C4515BA"/>
    <w:rsid w:val="3C505A61"/>
    <w:rsid w:val="3C81062C"/>
    <w:rsid w:val="3CB32F60"/>
    <w:rsid w:val="3CB62A41"/>
    <w:rsid w:val="3CC350C0"/>
    <w:rsid w:val="3CC920E4"/>
    <w:rsid w:val="3CFC0724"/>
    <w:rsid w:val="3D522A89"/>
    <w:rsid w:val="3D6720FF"/>
    <w:rsid w:val="3DB3244A"/>
    <w:rsid w:val="3DB4204B"/>
    <w:rsid w:val="3DBD74D6"/>
    <w:rsid w:val="3DF022AF"/>
    <w:rsid w:val="3DF64CF7"/>
    <w:rsid w:val="3E4660FB"/>
    <w:rsid w:val="3E71771E"/>
    <w:rsid w:val="3EA03A5D"/>
    <w:rsid w:val="3EEB7EA3"/>
    <w:rsid w:val="3EF64E6C"/>
    <w:rsid w:val="3F193E51"/>
    <w:rsid w:val="3F261607"/>
    <w:rsid w:val="3F395C5F"/>
    <w:rsid w:val="3F593C0C"/>
    <w:rsid w:val="3FA26098"/>
    <w:rsid w:val="3FA353DB"/>
    <w:rsid w:val="3FA9675D"/>
    <w:rsid w:val="401A4F12"/>
    <w:rsid w:val="402E3BE0"/>
    <w:rsid w:val="40300E10"/>
    <w:rsid w:val="403C77B5"/>
    <w:rsid w:val="407654D0"/>
    <w:rsid w:val="40912574"/>
    <w:rsid w:val="40A435AC"/>
    <w:rsid w:val="40A50FEA"/>
    <w:rsid w:val="40EB2F11"/>
    <w:rsid w:val="412D419C"/>
    <w:rsid w:val="4134048C"/>
    <w:rsid w:val="41762ACE"/>
    <w:rsid w:val="41CD352D"/>
    <w:rsid w:val="41F92F28"/>
    <w:rsid w:val="42042555"/>
    <w:rsid w:val="42416E40"/>
    <w:rsid w:val="428761B5"/>
    <w:rsid w:val="43065E58"/>
    <w:rsid w:val="43235158"/>
    <w:rsid w:val="435116AE"/>
    <w:rsid w:val="43572B58"/>
    <w:rsid w:val="43696E36"/>
    <w:rsid w:val="439E597D"/>
    <w:rsid w:val="43AF124E"/>
    <w:rsid w:val="43D47E13"/>
    <w:rsid w:val="43EC292D"/>
    <w:rsid w:val="444668A4"/>
    <w:rsid w:val="444C48AF"/>
    <w:rsid w:val="4484172B"/>
    <w:rsid w:val="449057FB"/>
    <w:rsid w:val="44A3507E"/>
    <w:rsid w:val="44B26298"/>
    <w:rsid w:val="44B64904"/>
    <w:rsid w:val="44CF7374"/>
    <w:rsid w:val="44DC2DC4"/>
    <w:rsid w:val="44EB7B9D"/>
    <w:rsid w:val="4511435A"/>
    <w:rsid w:val="451D4B80"/>
    <w:rsid w:val="4524487F"/>
    <w:rsid w:val="4550258F"/>
    <w:rsid w:val="456B2E28"/>
    <w:rsid w:val="45B93656"/>
    <w:rsid w:val="45BB49F3"/>
    <w:rsid w:val="45E32240"/>
    <w:rsid w:val="45E510BA"/>
    <w:rsid w:val="45E66A2A"/>
    <w:rsid w:val="45F0744B"/>
    <w:rsid w:val="45F428E0"/>
    <w:rsid w:val="462F04B2"/>
    <w:rsid w:val="463333B8"/>
    <w:rsid w:val="464E1FF0"/>
    <w:rsid w:val="464E440E"/>
    <w:rsid w:val="46636C83"/>
    <w:rsid w:val="46712740"/>
    <w:rsid w:val="46773C9E"/>
    <w:rsid w:val="46833448"/>
    <w:rsid w:val="46A17875"/>
    <w:rsid w:val="46F34946"/>
    <w:rsid w:val="47055F97"/>
    <w:rsid w:val="47145C24"/>
    <w:rsid w:val="471B24E8"/>
    <w:rsid w:val="473A0F7B"/>
    <w:rsid w:val="47DC535D"/>
    <w:rsid w:val="48172BDB"/>
    <w:rsid w:val="484A25F0"/>
    <w:rsid w:val="48914210"/>
    <w:rsid w:val="489906A4"/>
    <w:rsid w:val="489B34E7"/>
    <w:rsid w:val="48AA7564"/>
    <w:rsid w:val="48EB3931"/>
    <w:rsid w:val="48F86243"/>
    <w:rsid w:val="490C29F9"/>
    <w:rsid w:val="492822E2"/>
    <w:rsid w:val="4966327A"/>
    <w:rsid w:val="49825129"/>
    <w:rsid w:val="49BD10D7"/>
    <w:rsid w:val="49E901FF"/>
    <w:rsid w:val="4A436D67"/>
    <w:rsid w:val="4A5B1180"/>
    <w:rsid w:val="4A631F37"/>
    <w:rsid w:val="4A7843BC"/>
    <w:rsid w:val="4AA53BCD"/>
    <w:rsid w:val="4AC53546"/>
    <w:rsid w:val="4AEF24ED"/>
    <w:rsid w:val="4B8D668D"/>
    <w:rsid w:val="4B92297F"/>
    <w:rsid w:val="4C373527"/>
    <w:rsid w:val="4C5956F7"/>
    <w:rsid w:val="4C754265"/>
    <w:rsid w:val="4CF237CB"/>
    <w:rsid w:val="4D3B1641"/>
    <w:rsid w:val="4D742AA0"/>
    <w:rsid w:val="4D9F0A53"/>
    <w:rsid w:val="4DAC7022"/>
    <w:rsid w:val="4DB26136"/>
    <w:rsid w:val="4DCF795B"/>
    <w:rsid w:val="4DDA41E6"/>
    <w:rsid w:val="4DE230D4"/>
    <w:rsid w:val="4E05458D"/>
    <w:rsid w:val="4E34712A"/>
    <w:rsid w:val="4E4168DE"/>
    <w:rsid w:val="4E4A79D2"/>
    <w:rsid w:val="4E5F0217"/>
    <w:rsid w:val="4EAC6D51"/>
    <w:rsid w:val="4EF850BF"/>
    <w:rsid w:val="4F316279"/>
    <w:rsid w:val="4F5B1526"/>
    <w:rsid w:val="4F5E4005"/>
    <w:rsid w:val="4F9A19C9"/>
    <w:rsid w:val="4F9B48E0"/>
    <w:rsid w:val="4FB777D7"/>
    <w:rsid w:val="4FB90C67"/>
    <w:rsid w:val="4FC135BB"/>
    <w:rsid w:val="50356984"/>
    <w:rsid w:val="508D1967"/>
    <w:rsid w:val="50B013A9"/>
    <w:rsid w:val="50CF3631"/>
    <w:rsid w:val="50D2558F"/>
    <w:rsid w:val="5103623F"/>
    <w:rsid w:val="5107796B"/>
    <w:rsid w:val="5114609D"/>
    <w:rsid w:val="51413A5A"/>
    <w:rsid w:val="517A013D"/>
    <w:rsid w:val="51827D47"/>
    <w:rsid w:val="521907DD"/>
    <w:rsid w:val="5266213F"/>
    <w:rsid w:val="533B38FC"/>
    <w:rsid w:val="539A28EE"/>
    <w:rsid w:val="53B813F1"/>
    <w:rsid w:val="53BD7793"/>
    <w:rsid w:val="53C208DB"/>
    <w:rsid w:val="53D67E2D"/>
    <w:rsid w:val="53E06252"/>
    <w:rsid w:val="541E2313"/>
    <w:rsid w:val="542B3971"/>
    <w:rsid w:val="543D221B"/>
    <w:rsid w:val="5479292E"/>
    <w:rsid w:val="54C87412"/>
    <w:rsid w:val="54CC6106"/>
    <w:rsid w:val="54EB1422"/>
    <w:rsid w:val="54FE256C"/>
    <w:rsid w:val="557032EB"/>
    <w:rsid w:val="55750CE7"/>
    <w:rsid w:val="55F4140B"/>
    <w:rsid w:val="562C1EBD"/>
    <w:rsid w:val="5652729B"/>
    <w:rsid w:val="568021E9"/>
    <w:rsid w:val="56A26631"/>
    <w:rsid w:val="56B12501"/>
    <w:rsid w:val="56C0141E"/>
    <w:rsid w:val="56C02E94"/>
    <w:rsid w:val="56DD7700"/>
    <w:rsid w:val="57347C1D"/>
    <w:rsid w:val="578F2F08"/>
    <w:rsid w:val="579E4449"/>
    <w:rsid w:val="57CC59F2"/>
    <w:rsid w:val="57F25496"/>
    <w:rsid w:val="581D1911"/>
    <w:rsid w:val="584B2C69"/>
    <w:rsid w:val="586B6A32"/>
    <w:rsid w:val="587D6EA9"/>
    <w:rsid w:val="58BA51F8"/>
    <w:rsid w:val="58E16CF4"/>
    <w:rsid w:val="590A0EB4"/>
    <w:rsid w:val="59260BAB"/>
    <w:rsid w:val="59292A0E"/>
    <w:rsid w:val="59603AB5"/>
    <w:rsid w:val="59C008B0"/>
    <w:rsid w:val="59D95C1D"/>
    <w:rsid w:val="59E05740"/>
    <w:rsid w:val="5A0B7E14"/>
    <w:rsid w:val="5A301B84"/>
    <w:rsid w:val="5A431E0D"/>
    <w:rsid w:val="5AEB3B93"/>
    <w:rsid w:val="5AEE78EA"/>
    <w:rsid w:val="5B045DFF"/>
    <w:rsid w:val="5B435A44"/>
    <w:rsid w:val="5BA74225"/>
    <w:rsid w:val="5BED775E"/>
    <w:rsid w:val="5BF949F3"/>
    <w:rsid w:val="5C375C56"/>
    <w:rsid w:val="5C473312"/>
    <w:rsid w:val="5C755ED4"/>
    <w:rsid w:val="5C87555C"/>
    <w:rsid w:val="5C965957"/>
    <w:rsid w:val="5C9764DA"/>
    <w:rsid w:val="5CFA0C68"/>
    <w:rsid w:val="5CFD57CC"/>
    <w:rsid w:val="5D1A1EB1"/>
    <w:rsid w:val="5D361E7D"/>
    <w:rsid w:val="5D392419"/>
    <w:rsid w:val="5D790367"/>
    <w:rsid w:val="5DA77BB2"/>
    <w:rsid w:val="5DD50C52"/>
    <w:rsid w:val="5DF272AD"/>
    <w:rsid w:val="5E4B0A93"/>
    <w:rsid w:val="5E937EB8"/>
    <w:rsid w:val="5ED602A4"/>
    <w:rsid w:val="5F196D9D"/>
    <w:rsid w:val="5F5106CC"/>
    <w:rsid w:val="5F527BDE"/>
    <w:rsid w:val="5FB5B2C3"/>
    <w:rsid w:val="5FB73F3B"/>
    <w:rsid w:val="5FD92450"/>
    <w:rsid w:val="5FFA2B9E"/>
    <w:rsid w:val="5FFA4B54"/>
    <w:rsid w:val="60060528"/>
    <w:rsid w:val="602120CC"/>
    <w:rsid w:val="60490185"/>
    <w:rsid w:val="607313A1"/>
    <w:rsid w:val="60A76A75"/>
    <w:rsid w:val="60D732D1"/>
    <w:rsid w:val="60E20D3C"/>
    <w:rsid w:val="61320D00"/>
    <w:rsid w:val="61413A18"/>
    <w:rsid w:val="616E10ED"/>
    <w:rsid w:val="617E4166"/>
    <w:rsid w:val="61A67302"/>
    <w:rsid w:val="61EE40B9"/>
    <w:rsid w:val="62E23D94"/>
    <w:rsid w:val="6303092A"/>
    <w:rsid w:val="635C4C57"/>
    <w:rsid w:val="63D61AC1"/>
    <w:rsid w:val="63F97611"/>
    <w:rsid w:val="64026854"/>
    <w:rsid w:val="64801AB7"/>
    <w:rsid w:val="648839FD"/>
    <w:rsid w:val="64A20355"/>
    <w:rsid w:val="64A977B5"/>
    <w:rsid w:val="64DB54C5"/>
    <w:rsid w:val="65693C94"/>
    <w:rsid w:val="65A41D82"/>
    <w:rsid w:val="65B46F2A"/>
    <w:rsid w:val="65E917A5"/>
    <w:rsid w:val="65EB5843"/>
    <w:rsid w:val="660B3B79"/>
    <w:rsid w:val="661108C1"/>
    <w:rsid w:val="6651518C"/>
    <w:rsid w:val="66B425E6"/>
    <w:rsid w:val="66BC5F1C"/>
    <w:rsid w:val="66D1483C"/>
    <w:rsid w:val="66D37137"/>
    <w:rsid w:val="66F0766F"/>
    <w:rsid w:val="672D1422"/>
    <w:rsid w:val="67301980"/>
    <w:rsid w:val="6734525E"/>
    <w:rsid w:val="6750388A"/>
    <w:rsid w:val="67577CF2"/>
    <w:rsid w:val="675B04F2"/>
    <w:rsid w:val="677C0558"/>
    <w:rsid w:val="67826BC6"/>
    <w:rsid w:val="679D4604"/>
    <w:rsid w:val="67D5557E"/>
    <w:rsid w:val="67EA3DB6"/>
    <w:rsid w:val="68035830"/>
    <w:rsid w:val="68061AC5"/>
    <w:rsid w:val="68460ACC"/>
    <w:rsid w:val="68752A81"/>
    <w:rsid w:val="691E5706"/>
    <w:rsid w:val="69381C7D"/>
    <w:rsid w:val="69924DA4"/>
    <w:rsid w:val="69946030"/>
    <w:rsid w:val="69B00E16"/>
    <w:rsid w:val="69D117D1"/>
    <w:rsid w:val="69EC374B"/>
    <w:rsid w:val="6A062180"/>
    <w:rsid w:val="6A086555"/>
    <w:rsid w:val="6A222AE4"/>
    <w:rsid w:val="6A28351F"/>
    <w:rsid w:val="6A2D540B"/>
    <w:rsid w:val="6A716F64"/>
    <w:rsid w:val="6AB37DE7"/>
    <w:rsid w:val="6AB704B5"/>
    <w:rsid w:val="6AF96C79"/>
    <w:rsid w:val="6B015A74"/>
    <w:rsid w:val="6B410883"/>
    <w:rsid w:val="6B433D86"/>
    <w:rsid w:val="6B60244A"/>
    <w:rsid w:val="6B674B73"/>
    <w:rsid w:val="6B755FBF"/>
    <w:rsid w:val="6BC14183"/>
    <w:rsid w:val="6BEC7A32"/>
    <w:rsid w:val="6C056342"/>
    <w:rsid w:val="6C4B5DA8"/>
    <w:rsid w:val="6C75571D"/>
    <w:rsid w:val="6CE10C19"/>
    <w:rsid w:val="6CFA2E05"/>
    <w:rsid w:val="6D19409E"/>
    <w:rsid w:val="6D512EAF"/>
    <w:rsid w:val="6D552BD7"/>
    <w:rsid w:val="6D6F26C8"/>
    <w:rsid w:val="6D857B23"/>
    <w:rsid w:val="6DC8062D"/>
    <w:rsid w:val="6DCC37B0"/>
    <w:rsid w:val="6DE77253"/>
    <w:rsid w:val="6DE80ACB"/>
    <w:rsid w:val="6DF40E20"/>
    <w:rsid w:val="6DFF3A4C"/>
    <w:rsid w:val="6E227CFA"/>
    <w:rsid w:val="6E26547D"/>
    <w:rsid w:val="6E2A7B7D"/>
    <w:rsid w:val="6E816EBD"/>
    <w:rsid w:val="6EDA7810"/>
    <w:rsid w:val="6F881695"/>
    <w:rsid w:val="6FA25934"/>
    <w:rsid w:val="6FE242E8"/>
    <w:rsid w:val="6FE82E39"/>
    <w:rsid w:val="6FE83720"/>
    <w:rsid w:val="70173375"/>
    <w:rsid w:val="704E0141"/>
    <w:rsid w:val="704E12B2"/>
    <w:rsid w:val="70693808"/>
    <w:rsid w:val="709B21B4"/>
    <w:rsid w:val="70B565C3"/>
    <w:rsid w:val="70BB3E83"/>
    <w:rsid w:val="70C76E3D"/>
    <w:rsid w:val="70E25AD6"/>
    <w:rsid w:val="71262A0A"/>
    <w:rsid w:val="71593474"/>
    <w:rsid w:val="715A3458"/>
    <w:rsid w:val="71631174"/>
    <w:rsid w:val="71802540"/>
    <w:rsid w:val="71E108E6"/>
    <w:rsid w:val="7244598E"/>
    <w:rsid w:val="72503520"/>
    <w:rsid w:val="72C30AE4"/>
    <w:rsid w:val="72DA6862"/>
    <w:rsid w:val="72E21289"/>
    <w:rsid w:val="731D44F3"/>
    <w:rsid w:val="734168B5"/>
    <w:rsid w:val="7346212D"/>
    <w:rsid w:val="737C20FA"/>
    <w:rsid w:val="73B13A3B"/>
    <w:rsid w:val="73B9469D"/>
    <w:rsid w:val="73CC5B9E"/>
    <w:rsid w:val="73D02943"/>
    <w:rsid w:val="73FB7576"/>
    <w:rsid w:val="741B1685"/>
    <w:rsid w:val="74273CFD"/>
    <w:rsid w:val="74CA551D"/>
    <w:rsid w:val="74EB4E4A"/>
    <w:rsid w:val="74FB69C7"/>
    <w:rsid w:val="75182355"/>
    <w:rsid w:val="75213EE6"/>
    <w:rsid w:val="752949C6"/>
    <w:rsid w:val="7538258E"/>
    <w:rsid w:val="7540397C"/>
    <w:rsid w:val="75500C74"/>
    <w:rsid w:val="755328D0"/>
    <w:rsid w:val="75697F9B"/>
    <w:rsid w:val="75AB2E57"/>
    <w:rsid w:val="75C70519"/>
    <w:rsid w:val="75E55A9E"/>
    <w:rsid w:val="76264C4A"/>
    <w:rsid w:val="76554E0C"/>
    <w:rsid w:val="76B64EC4"/>
    <w:rsid w:val="76E229D6"/>
    <w:rsid w:val="76EF03D6"/>
    <w:rsid w:val="7738497C"/>
    <w:rsid w:val="77601172"/>
    <w:rsid w:val="78153E6C"/>
    <w:rsid w:val="78941008"/>
    <w:rsid w:val="789E2D74"/>
    <w:rsid w:val="78C16937"/>
    <w:rsid w:val="78C70112"/>
    <w:rsid w:val="78D21BB9"/>
    <w:rsid w:val="78FD65D5"/>
    <w:rsid w:val="79723E84"/>
    <w:rsid w:val="79881FD6"/>
    <w:rsid w:val="79BD4A21"/>
    <w:rsid w:val="79BE1024"/>
    <w:rsid w:val="79C46AFA"/>
    <w:rsid w:val="79C63670"/>
    <w:rsid w:val="79CE4C1B"/>
    <w:rsid w:val="79D510B7"/>
    <w:rsid w:val="79DE5763"/>
    <w:rsid w:val="79DE7621"/>
    <w:rsid w:val="7A415F3C"/>
    <w:rsid w:val="7A4F063F"/>
    <w:rsid w:val="7A5F73DE"/>
    <w:rsid w:val="7A712C6F"/>
    <w:rsid w:val="7A7D0D77"/>
    <w:rsid w:val="7AD27EC2"/>
    <w:rsid w:val="7AE76982"/>
    <w:rsid w:val="7AED7C05"/>
    <w:rsid w:val="7B193C74"/>
    <w:rsid w:val="7B3665D4"/>
    <w:rsid w:val="7B555756"/>
    <w:rsid w:val="7B800415"/>
    <w:rsid w:val="7B8C12C0"/>
    <w:rsid w:val="7BAC177D"/>
    <w:rsid w:val="7BBE70D0"/>
    <w:rsid w:val="7BCC7877"/>
    <w:rsid w:val="7BF165E3"/>
    <w:rsid w:val="7BF40907"/>
    <w:rsid w:val="7C031D81"/>
    <w:rsid w:val="7C332226"/>
    <w:rsid w:val="7CFF6166"/>
    <w:rsid w:val="7D081DD0"/>
    <w:rsid w:val="7D6E1BBE"/>
    <w:rsid w:val="7D893156"/>
    <w:rsid w:val="7D9521CC"/>
    <w:rsid w:val="7DAD3FC0"/>
    <w:rsid w:val="7DF30332"/>
    <w:rsid w:val="7DF75577"/>
    <w:rsid w:val="7E046E0B"/>
    <w:rsid w:val="7E3742C9"/>
    <w:rsid w:val="7E7A7AD0"/>
    <w:rsid w:val="7EEDB6B1"/>
    <w:rsid w:val="7F2350C1"/>
    <w:rsid w:val="7F2F22B8"/>
    <w:rsid w:val="7F727385"/>
    <w:rsid w:val="7F841194"/>
    <w:rsid w:val="7F937F7C"/>
    <w:rsid w:val="7FFB603E"/>
    <w:rsid w:val="B01E98C2"/>
    <w:rsid w:val="B77F19D3"/>
    <w:rsid w:val="DF6E69CF"/>
    <w:rsid w:val="ED7C43D2"/>
    <w:rsid w:val="F7EB0086"/>
    <w:rsid w:val="FD5FC4D6"/>
    <w:rsid w:val="FFE72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99"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5"/>
    <w:next w:val="1"/>
    <w:link w:val="53"/>
    <w:qFormat/>
    <w:uiPriority w:val="0"/>
    <w:pPr>
      <w:jc w:val="center"/>
      <w:outlineLvl w:val="0"/>
    </w:pPr>
    <w:rPr>
      <w:rFonts w:ascii="楷体_GB2312" w:eastAsia="楷体_GB2312"/>
      <w:sz w:val="28"/>
      <w:szCs w:val="28"/>
    </w:rPr>
  </w:style>
  <w:style w:type="paragraph" w:styleId="7">
    <w:name w:val="heading 2"/>
    <w:basedOn w:val="1"/>
    <w:next w:val="1"/>
    <w:link w:val="54"/>
    <w:qFormat/>
    <w:uiPriority w:val="0"/>
    <w:pPr>
      <w:keepNext/>
      <w:keepLines/>
      <w:spacing w:before="260" w:after="260" w:line="416" w:lineRule="auto"/>
      <w:jc w:val="center"/>
      <w:outlineLvl w:val="1"/>
    </w:pPr>
    <w:rPr>
      <w:rFonts w:ascii="Arial" w:hAnsi="Arial" w:eastAsia="黑体" w:cs="Arial"/>
      <w:b/>
      <w:bCs/>
      <w:sz w:val="44"/>
      <w:szCs w:val="44"/>
    </w:rPr>
  </w:style>
  <w:style w:type="paragraph" w:styleId="5">
    <w:name w:val="heading 3"/>
    <w:basedOn w:val="6"/>
    <w:next w:val="1"/>
    <w:link w:val="52"/>
    <w:qFormat/>
    <w:uiPriority w:val="0"/>
    <w:pPr>
      <w:spacing w:before="260" w:after="260" w:line="416" w:lineRule="auto"/>
      <w:outlineLvl w:val="2"/>
    </w:pPr>
    <w:rPr>
      <w:b w:val="0"/>
      <w:bCs/>
      <w:sz w:val="32"/>
      <w:szCs w:val="32"/>
    </w:rPr>
  </w:style>
  <w:style w:type="paragraph" w:styleId="6">
    <w:name w:val="heading 4"/>
    <w:basedOn w:val="1"/>
    <w:next w:val="1"/>
    <w:link w:val="51"/>
    <w:qFormat/>
    <w:uiPriority w:val="0"/>
    <w:pPr>
      <w:keepNext/>
      <w:keepLines/>
      <w:ind w:firstLine="420" w:firstLineChars="150"/>
      <w:outlineLvl w:val="3"/>
    </w:pPr>
    <w:rPr>
      <w:rFonts w:ascii="Arial" w:hAnsi="Arial" w:cs="Arial"/>
      <w:b/>
      <w:sz w:val="28"/>
      <w:szCs w:val="28"/>
    </w:rPr>
  </w:style>
  <w:style w:type="paragraph" w:styleId="8">
    <w:name w:val="heading 5"/>
    <w:basedOn w:val="1"/>
    <w:next w:val="9"/>
    <w:link w:val="55"/>
    <w:qFormat/>
    <w:uiPriority w:val="0"/>
    <w:pPr>
      <w:keepNext/>
      <w:autoSpaceDE w:val="0"/>
      <w:autoSpaceDN w:val="0"/>
      <w:adjustRightInd w:val="0"/>
      <w:outlineLvl w:val="4"/>
    </w:pPr>
    <w:rPr>
      <w:rFonts w:ascii="宋体"/>
      <w:color w:val="000000"/>
      <w:kern w:val="0"/>
      <w:sz w:val="28"/>
      <w:szCs w:val="28"/>
    </w:rPr>
  </w:style>
  <w:style w:type="paragraph" w:styleId="10">
    <w:name w:val="heading 6"/>
    <w:basedOn w:val="1"/>
    <w:next w:val="1"/>
    <w:link w:val="57"/>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11">
    <w:name w:val="heading 7"/>
    <w:basedOn w:val="1"/>
    <w:next w:val="1"/>
    <w:link w:val="58"/>
    <w:qFormat/>
    <w:uiPriority w:val="0"/>
    <w:pPr>
      <w:keepNext/>
      <w:keepLines/>
      <w:numPr>
        <w:ilvl w:val="6"/>
        <w:numId w:val="1"/>
      </w:numPr>
      <w:spacing w:before="240" w:after="64" w:line="320" w:lineRule="auto"/>
      <w:outlineLvl w:val="6"/>
    </w:pPr>
    <w:rPr>
      <w:b/>
      <w:bCs/>
      <w:sz w:val="24"/>
      <w:szCs w:val="24"/>
    </w:rPr>
  </w:style>
  <w:style w:type="paragraph" w:styleId="12">
    <w:name w:val="heading 8"/>
    <w:basedOn w:val="1"/>
    <w:next w:val="1"/>
    <w:link w:val="59"/>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styleId="13">
    <w:name w:val="heading 9"/>
    <w:basedOn w:val="1"/>
    <w:next w:val="1"/>
    <w:link w:val="60"/>
    <w:qFormat/>
    <w:uiPriority w:val="0"/>
    <w:pPr>
      <w:keepNext/>
      <w:keepLines/>
      <w:numPr>
        <w:ilvl w:val="8"/>
        <w:numId w:val="1"/>
      </w:numPr>
      <w:spacing w:before="240" w:after="64" w:line="320"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0"/>
    <w:qFormat/>
    <w:uiPriority w:val="0"/>
    <w:rPr>
      <w:rFonts w:ascii="楷体_GB2312" w:hAnsi="Arial" w:eastAsia="楷体_GB2312"/>
      <w:sz w:val="28"/>
      <w:szCs w:val="28"/>
    </w:rPr>
  </w:style>
  <w:style w:type="paragraph" w:customStyle="1" w:styleId="3">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styleId="9">
    <w:name w:val="Normal Indent"/>
    <w:basedOn w:val="1"/>
    <w:next w:val="1"/>
    <w:link w:val="56"/>
    <w:qFormat/>
    <w:uiPriority w:val="0"/>
    <w:pPr>
      <w:ind w:firstLine="420"/>
    </w:pPr>
  </w:style>
  <w:style w:type="paragraph" w:styleId="14">
    <w:name w:val="List 3"/>
    <w:basedOn w:val="1"/>
    <w:qFormat/>
    <w:uiPriority w:val="0"/>
    <w:pPr>
      <w:ind w:left="100" w:leftChars="400" w:hanging="200" w:hangingChars="200"/>
    </w:pPr>
  </w:style>
  <w:style w:type="paragraph" w:styleId="15">
    <w:name w:val="Document Map"/>
    <w:basedOn w:val="1"/>
    <w:link w:val="61"/>
    <w:qFormat/>
    <w:uiPriority w:val="0"/>
    <w:pPr>
      <w:shd w:val="clear" w:color="auto" w:fill="000080"/>
    </w:pPr>
  </w:style>
  <w:style w:type="paragraph" w:styleId="16">
    <w:name w:val="annotation text"/>
    <w:basedOn w:val="1"/>
    <w:link w:val="62"/>
    <w:qFormat/>
    <w:uiPriority w:val="0"/>
    <w:pPr>
      <w:jc w:val="left"/>
    </w:pPr>
  </w:style>
  <w:style w:type="paragraph" w:styleId="17">
    <w:name w:val="index 6"/>
    <w:basedOn w:val="1"/>
    <w:next w:val="1"/>
    <w:qFormat/>
    <w:uiPriority w:val="99"/>
    <w:pPr>
      <w:ind w:left="2100"/>
    </w:pPr>
  </w:style>
  <w:style w:type="paragraph" w:styleId="18">
    <w:name w:val="Body Text 3"/>
    <w:basedOn w:val="1"/>
    <w:link w:val="63"/>
    <w:qFormat/>
    <w:uiPriority w:val="0"/>
    <w:rPr>
      <w:rFonts w:ascii="仿宋_GB2312" w:hAnsi="Arial" w:eastAsia="仿宋_GB2312"/>
      <w:sz w:val="32"/>
      <w:szCs w:val="32"/>
    </w:rPr>
  </w:style>
  <w:style w:type="paragraph" w:styleId="19">
    <w:name w:val="Body Text Indent"/>
    <w:basedOn w:val="1"/>
    <w:next w:val="6"/>
    <w:link w:val="64"/>
    <w:qFormat/>
    <w:uiPriority w:val="0"/>
    <w:pPr>
      <w:ind w:firstLine="645"/>
    </w:pPr>
    <w:rPr>
      <w:rFonts w:ascii="楷体_GB2312" w:eastAsia="楷体_GB2312"/>
      <w:sz w:val="32"/>
      <w:szCs w:val="32"/>
    </w:rPr>
  </w:style>
  <w:style w:type="paragraph" w:styleId="20">
    <w:name w:val="List 2"/>
    <w:basedOn w:val="1"/>
    <w:qFormat/>
    <w:uiPriority w:val="0"/>
    <w:pPr>
      <w:ind w:left="100" w:leftChars="200" w:hanging="200" w:hangingChars="200"/>
    </w:pPr>
  </w:style>
  <w:style w:type="paragraph" w:styleId="21">
    <w:name w:val="Block Text"/>
    <w:basedOn w:val="1"/>
    <w:qFormat/>
    <w:uiPriority w:val="0"/>
    <w:pPr>
      <w:spacing w:after="120"/>
      <w:ind w:left="1440" w:leftChars="700" w:right="700" w:rightChars="700"/>
    </w:pPr>
  </w:style>
  <w:style w:type="paragraph" w:styleId="22">
    <w:name w:val="toc 3"/>
    <w:basedOn w:val="1"/>
    <w:next w:val="1"/>
    <w:qFormat/>
    <w:uiPriority w:val="39"/>
    <w:pPr>
      <w:ind w:left="840" w:leftChars="400"/>
    </w:pPr>
  </w:style>
  <w:style w:type="paragraph" w:styleId="23">
    <w:name w:val="Plain Text"/>
    <w:basedOn w:val="1"/>
    <w:link w:val="65"/>
    <w:qFormat/>
    <w:uiPriority w:val="0"/>
    <w:rPr>
      <w:rFonts w:ascii="宋体" w:hAnsi="Courier New" w:cs="Courier New"/>
    </w:rPr>
  </w:style>
  <w:style w:type="paragraph" w:styleId="24">
    <w:name w:val="Date"/>
    <w:basedOn w:val="1"/>
    <w:next w:val="1"/>
    <w:link w:val="66"/>
    <w:qFormat/>
    <w:uiPriority w:val="0"/>
    <w:rPr>
      <w:sz w:val="24"/>
      <w:szCs w:val="24"/>
    </w:rPr>
  </w:style>
  <w:style w:type="paragraph" w:styleId="25">
    <w:name w:val="Body Text Indent 2"/>
    <w:basedOn w:val="1"/>
    <w:link w:val="67"/>
    <w:qFormat/>
    <w:uiPriority w:val="0"/>
    <w:pPr>
      <w:ind w:left="630" w:firstLine="645"/>
    </w:pPr>
    <w:rPr>
      <w:rFonts w:ascii="Arial" w:hAnsi="Arial" w:eastAsia="仿宋_GB2312" w:cs="Arial"/>
      <w:sz w:val="32"/>
      <w:szCs w:val="32"/>
    </w:rPr>
  </w:style>
  <w:style w:type="paragraph" w:styleId="26">
    <w:name w:val="Balloon Text"/>
    <w:basedOn w:val="1"/>
    <w:link w:val="68"/>
    <w:qFormat/>
    <w:uiPriority w:val="0"/>
    <w:rPr>
      <w:sz w:val="18"/>
      <w:szCs w:val="18"/>
    </w:rPr>
  </w:style>
  <w:style w:type="paragraph" w:styleId="27">
    <w:name w:val="footer"/>
    <w:basedOn w:val="1"/>
    <w:link w:val="69"/>
    <w:qFormat/>
    <w:uiPriority w:val="99"/>
    <w:pPr>
      <w:tabs>
        <w:tab w:val="center" w:pos="4153"/>
        <w:tab w:val="right" w:pos="8306"/>
      </w:tabs>
      <w:snapToGrid w:val="0"/>
      <w:jc w:val="left"/>
    </w:pPr>
    <w:rPr>
      <w:sz w:val="18"/>
      <w:szCs w:val="18"/>
    </w:rPr>
  </w:style>
  <w:style w:type="paragraph" w:styleId="28">
    <w:name w:val="header"/>
    <w:basedOn w:val="1"/>
    <w:link w:val="70"/>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39"/>
    <w:pPr>
      <w:widowControl/>
      <w:spacing w:after="100" w:line="259" w:lineRule="auto"/>
      <w:jc w:val="left"/>
    </w:pPr>
    <w:rPr>
      <w:rFonts w:ascii="Calibri" w:hAnsi="Calibri"/>
      <w:kern w:val="0"/>
      <w:sz w:val="22"/>
      <w:szCs w:val="22"/>
    </w:rPr>
  </w:style>
  <w:style w:type="paragraph" w:styleId="30">
    <w:name w:val="Subtitle"/>
    <w:basedOn w:val="1"/>
    <w:next w:val="1"/>
    <w:link w:val="71"/>
    <w:qFormat/>
    <w:uiPriority w:val="11"/>
    <w:pPr>
      <w:spacing w:after="160"/>
      <w:jc w:val="center"/>
    </w:pPr>
    <w:rPr>
      <w:rFonts w:ascii="等线 Light" w:hAnsi="等线 Light" w:eastAsia="等线 Light"/>
      <w:color w:val="595959"/>
      <w:spacing w:val="15"/>
      <w:sz w:val="28"/>
      <w:szCs w:val="28"/>
    </w:rPr>
  </w:style>
  <w:style w:type="paragraph" w:styleId="31">
    <w:name w:val="List"/>
    <w:basedOn w:val="1"/>
    <w:qFormat/>
    <w:uiPriority w:val="0"/>
    <w:pPr>
      <w:ind w:left="200" w:hanging="200" w:hangingChars="200"/>
    </w:pPr>
  </w:style>
  <w:style w:type="paragraph" w:styleId="32">
    <w:name w:val="footnote text"/>
    <w:basedOn w:val="1"/>
    <w:link w:val="72"/>
    <w:qFormat/>
    <w:uiPriority w:val="0"/>
    <w:pPr>
      <w:snapToGrid w:val="0"/>
      <w:jc w:val="left"/>
    </w:pPr>
    <w:rPr>
      <w:sz w:val="18"/>
    </w:rPr>
  </w:style>
  <w:style w:type="paragraph" w:styleId="33">
    <w:name w:val="Body Text Indent 3"/>
    <w:basedOn w:val="1"/>
    <w:link w:val="73"/>
    <w:qFormat/>
    <w:uiPriority w:val="0"/>
    <w:pPr>
      <w:ind w:left="645" w:firstLine="645"/>
    </w:pPr>
    <w:rPr>
      <w:rFonts w:ascii="Arial" w:hAnsi="Arial" w:eastAsia="仿宋_GB2312" w:cs="Arial"/>
      <w:color w:val="FFFF00"/>
      <w:sz w:val="32"/>
      <w:szCs w:val="32"/>
    </w:rPr>
  </w:style>
  <w:style w:type="paragraph" w:styleId="34">
    <w:name w:val="toc 2"/>
    <w:basedOn w:val="1"/>
    <w:next w:val="1"/>
    <w:qFormat/>
    <w:uiPriority w:val="39"/>
    <w:pPr>
      <w:ind w:left="210"/>
      <w:jc w:val="left"/>
    </w:pPr>
    <w:rPr>
      <w:smallCaps/>
      <w:szCs w:val="24"/>
    </w:rPr>
  </w:style>
  <w:style w:type="paragraph" w:styleId="35">
    <w:name w:val="Body Text 2"/>
    <w:basedOn w:val="1"/>
    <w:link w:val="74"/>
    <w:qFormat/>
    <w:uiPriority w:val="0"/>
    <w:pPr>
      <w:widowControl/>
      <w:jc w:val="center"/>
    </w:pPr>
    <w:rPr>
      <w:rFonts w:ascii="楷体_GB2312" w:eastAsia="楷体_GB2312"/>
      <w:sz w:val="28"/>
      <w:szCs w:val="28"/>
    </w:rPr>
  </w:style>
  <w:style w:type="paragraph" w:styleId="36">
    <w:name w:val="Message Header"/>
    <w:basedOn w:val="1"/>
    <w:link w:val="75"/>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Cs w:val="24"/>
    </w:rPr>
  </w:style>
  <w:style w:type="paragraph" w:styleId="3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38">
    <w:name w:val="Title"/>
    <w:basedOn w:val="1"/>
    <w:next w:val="1"/>
    <w:link w:val="76"/>
    <w:qFormat/>
    <w:uiPriority w:val="10"/>
    <w:pPr>
      <w:spacing w:after="80"/>
      <w:contextualSpacing/>
      <w:jc w:val="center"/>
    </w:pPr>
    <w:rPr>
      <w:rFonts w:ascii="等线 Light" w:hAnsi="等线 Light" w:eastAsia="等线 Light"/>
      <w:spacing w:val="-10"/>
      <w:kern w:val="28"/>
      <w:sz w:val="56"/>
      <w:szCs w:val="56"/>
    </w:rPr>
  </w:style>
  <w:style w:type="paragraph" w:styleId="39">
    <w:name w:val="annotation subject"/>
    <w:basedOn w:val="16"/>
    <w:next w:val="16"/>
    <w:link w:val="77"/>
    <w:qFormat/>
    <w:uiPriority w:val="0"/>
    <w:rPr>
      <w:b/>
      <w:bCs/>
    </w:rPr>
  </w:style>
  <w:style w:type="paragraph" w:styleId="40">
    <w:name w:val="Body Text First Indent"/>
    <w:basedOn w:val="2"/>
    <w:link w:val="78"/>
    <w:qFormat/>
    <w:uiPriority w:val="0"/>
    <w:pPr>
      <w:spacing w:line="360" w:lineRule="auto"/>
      <w:ind w:firstLine="200" w:firstLineChars="200"/>
    </w:pPr>
    <w:rPr>
      <w:rFonts w:ascii="仿宋_GB2312" w:eastAsia="仿宋_GB2312"/>
      <w:sz w:val="30"/>
      <w:szCs w:val="30"/>
    </w:rPr>
  </w:style>
  <w:style w:type="paragraph" w:styleId="41">
    <w:name w:val="Body Text First Indent 2"/>
    <w:basedOn w:val="19"/>
    <w:next w:val="1"/>
    <w:link w:val="79"/>
    <w:qFormat/>
    <w:uiPriority w:val="0"/>
    <w:pPr>
      <w:spacing w:line="360" w:lineRule="auto"/>
      <w:ind w:firstLine="420" w:firstLineChars="200"/>
    </w:pPr>
    <w:rPr>
      <w:rFonts w:ascii="宋体" w:hAnsi="宋体" w:eastAsia="宋体"/>
      <w:sz w:val="21"/>
      <w:szCs w:val="20"/>
    </w:r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qFormat/>
    <w:uiPriority w:val="0"/>
  </w:style>
  <w:style w:type="character" w:styleId="47">
    <w:name w:val="FollowedHyperlink"/>
    <w:qFormat/>
    <w:uiPriority w:val="99"/>
    <w:rPr>
      <w:color w:val="800080"/>
      <w:u w:val="single"/>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customStyle="1" w:styleId="50">
    <w:name w:val="正文文本 字符"/>
    <w:link w:val="2"/>
    <w:qFormat/>
    <w:uiPriority w:val="0"/>
    <w:rPr>
      <w:rFonts w:ascii="楷体_GB2312" w:hAnsi="Arial" w:eastAsia="楷体_GB2312"/>
      <w:kern w:val="2"/>
      <w:sz w:val="28"/>
      <w:szCs w:val="28"/>
      <w:lang w:val="en-US" w:eastAsia="zh-CN" w:bidi="ar-SA"/>
    </w:rPr>
  </w:style>
  <w:style w:type="character" w:customStyle="1" w:styleId="51">
    <w:name w:val="标题 4 字符"/>
    <w:link w:val="6"/>
    <w:qFormat/>
    <w:uiPriority w:val="0"/>
    <w:rPr>
      <w:rFonts w:ascii="Arial" w:hAnsi="Arial" w:eastAsia="宋体" w:cs="Arial"/>
      <w:b/>
      <w:kern w:val="2"/>
      <w:sz w:val="28"/>
      <w:szCs w:val="28"/>
      <w:lang w:val="en-US" w:eastAsia="zh-CN" w:bidi="ar-SA"/>
    </w:rPr>
  </w:style>
  <w:style w:type="character" w:customStyle="1" w:styleId="52">
    <w:name w:val="标题 3 字符"/>
    <w:link w:val="5"/>
    <w:qFormat/>
    <w:uiPriority w:val="0"/>
    <w:rPr>
      <w:rFonts w:eastAsia="宋体"/>
      <w:b/>
      <w:bCs/>
      <w:kern w:val="2"/>
      <w:sz w:val="32"/>
      <w:szCs w:val="32"/>
      <w:lang w:val="en-US" w:eastAsia="zh-CN" w:bidi="ar-SA"/>
    </w:rPr>
  </w:style>
  <w:style w:type="character" w:customStyle="1" w:styleId="53">
    <w:name w:val="标题 1 字符"/>
    <w:link w:val="4"/>
    <w:qFormat/>
    <w:uiPriority w:val="0"/>
    <w:rPr>
      <w:rFonts w:ascii="楷体_GB2312" w:eastAsia="楷体_GB2312"/>
      <w:kern w:val="2"/>
      <w:sz w:val="28"/>
      <w:szCs w:val="28"/>
      <w:lang w:val="en-US" w:eastAsia="zh-CN" w:bidi="ar-SA"/>
    </w:rPr>
  </w:style>
  <w:style w:type="character" w:customStyle="1" w:styleId="54">
    <w:name w:val="标题 2 字符"/>
    <w:link w:val="7"/>
    <w:qFormat/>
    <w:uiPriority w:val="0"/>
    <w:rPr>
      <w:rFonts w:ascii="Arial" w:hAnsi="Arial" w:eastAsia="黑体" w:cs="Arial"/>
      <w:b/>
      <w:bCs/>
      <w:kern w:val="2"/>
      <w:sz w:val="44"/>
      <w:szCs w:val="44"/>
      <w:lang w:val="en-US" w:eastAsia="zh-CN" w:bidi="ar-SA"/>
    </w:rPr>
  </w:style>
  <w:style w:type="character" w:customStyle="1" w:styleId="55">
    <w:name w:val="标题 5 字符"/>
    <w:link w:val="8"/>
    <w:qFormat/>
    <w:uiPriority w:val="0"/>
    <w:rPr>
      <w:rFonts w:ascii="宋体" w:eastAsia="宋体"/>
      <w:color w:val="000000"/>
      <w:sz w:val="28"/>
      <w:szCs w:val="28"/>
      <w:lang w:val="en-US" w:eastAsia="zh-CN" w:bidi="ar-SA"/>
    </w:rPr>
  </w:style>
  <w:style w:type="character" w:customStyle="1" w:styleId="56">
    <w:name w:val="正文缩进 字符"/>
    <w:link w:val="9"/>
    <w:qFormat/>
    <w:uiPriority w:val="0"/>
    <w:rPr>
      <w:rFonts w:eastAsia="宋体"/>
      <w:kern w:val="2"/>
      <w:sz w:val="21"/>
      <w:szCs w:val="21"/>
      <w:lang w:bidi="ar-SA"/>
    </w:rPr>
  </w:style>
  <w:style w:type="character" w:customStyle="1" w:styleId="57">
    <w:name w:val="标题 6 字符"/>
    <w:link w:val="10"/>
    <w:qFormat/>
    <w:uiPriority w:val="0"/>
    <w:rPr>
      <w:rFonts w:ascii="Arial" w:hAnsi="Arial" w:eastAsia="黑体"/>
      <w:b/>
      <w:bCs/>
      <w:kern w:val="2"/>
      <w:sz w:val="24"/>
      <w:szCs w:val="24"/>
      <w:lang w:val="en-US" w:eastAsia="zh-CN" w:bidi="ar-SA"/>
    </w:rPr>
  </w:style>
  <w:style w:type="character" w:customStyle="1" w:styleId="58">
    <w:name w:val="标题 7 字符"/>
    <w:link w:val="11"/>
    <w:qFormat/>
    <w:uiPriority w:val="0"/>
    <w:rPr>
      <w:rFonts w:eastAsia="宋体"/>
      <w:b/>
      <w:bCs/>
      <w:kern w:val="2"/>
      <w:sz w:val="24"/>
      <w:szCs w:val="24"/>
      <w:lang w:val="en-US" w:eastAsia="zh-CN" w:bidi="ar-SA"/>
    </w:rPr>
  </w:style>
  <w:style w:type="character" w:customStyle="1" w:styleId="59">
    <w:name w:val="标题 8 字符"/>
    <w:link w:val="12"/>
    <w:qFormat/>
    <w:uiPriority w:val="0"/>
    <w:rPr>
      <w:rFonts w:ascii="Arial" w:hAnsi="Arial" w:eastAsia="黑体"/>
      <w:kern w:val="2"/>
      <w:sz w:val="24"/>
      <w:szCs w:val="24"/>
      <w:lang w:val="en-US" w:eastAsia="zh-CN" w:bidi="ar-SA"/>
    </w:rPr>
  </w:style>
  <w:style w:type="character" w:customStyle="1" w:styleId="60">
    <w:name w:val="标题 9 字符"/>
    <w:link w:val="13"/>
    <w:qFormat/>
    <w:uiPriority w:val="0"/>
    <w:rPr>
      <w:rFonts w:ascii="Arial" w:hAnsi="Arial" w:eastAsia="黑体"/>
      <w:kern w:val="2"/>
      <w:sz w:val="21"/>
      <w:szCs w:val="21"/>
      <w:lang w:val="en-US" w:eastAsia="zh-CN" w:bidi="ar-SA"/>
    </w:rPr>
  </w:style>
  <w:style w:type="character" w:customStyle="1" w:styleId="61">
    <w:name w:val="文档结构图 字符"/>
    <w:link w:val="15"/>
    <w:qFormat/>
    <w:uiPriority w:val="0"/>
    <w:rPr>
      <w:rFonts w:eastAsia="宋体"/>
      <w:kern w:val="2"/>
      <w:sz w:val="21"/>
      <w:szCs w:val="21"/>
      <w:lang w:bidi="ar-SA"/>
    </w:rPr>
  </w:style>
  <w:style w:type="character" w:customStyle="1" w:styleId="62">
    <w:name w:val="批注文字 字符"/>
    <w:link w:val="16"/>
    <w:qFormat/>
    <w:uiPriority w:val="0"/>
    <w:rPr>
      <w:kern w:val="2"/>
      <w:sz w:val="21"/>
      <w:szCs w:val="21"/>
    </w:rPr>
  </w:style>
  <w:style w:type="character" w:customStyle="1" w:styleId="63">
    <w:name w:val="正文文本 3 字符"/>
    <w:link w:val="18"/>
    <w:qFormat/>
    <w:uiPriority w:val="0"/>
    <w:rPr>
      <w:rFonts w:ascii="仿宋_GB2312" w:hAnsi="Arial" w:eastAsia="仿宋_GB2312"/>
      <w:kern w:val="2"/>
      <w:sz w:val="32"/>
      <w:szCs w:val="32"/>
      <w:lang w:val="en-US" w:eastAsia="zh-CN" w:bidi="ar-SA"/>
    </w:rPr>
  </w:style>
  <w:style w:type="character" w:customStyle="1" w:styleId="64">
    <w:name w:val="正文文本缩进 字符"/>
    <w:link w:val="19"/>
    <w:qFormat/>
    <w:uiPriority w:val="0"/>
    <w:rPr>
      <w:rFonts w:ascii="楷体_GB2312" w:eastAsia="楷体_GB2312"/>
      <w:kern w:val="2"/>
      <w:sz w:val="32"/>
      <w:szCs w:val="32"/>
      <w:lang w:val="en-US" w:eastAsia="zh-CN" w:bidi="ar-SA"/>
    </w:rPr>
  </w:style>
  <w:style w:type="character" w:customStyle="1" w:styleId="65">
    <w:name w:val="纯文本 字符"/>
    <w:link w:val="23"/>
    <w:qFormat/>
    <w:uiPriority w:val="0"/>
    <w:rPr>
      <w:rFonts w:ascii="宋体" w:hAnsi="Courier New" w:eastAsia="宋体" w:cs="Courier New"/>
      <w:kern w:val="2"/>
      <w:sz w:val="21"/>
      <w:szCs w:val="21"/>
      <w:lang w:val="en-US" w:eastAsia="zh-CN" w:bidi="ar-SA"/>
    </w:rPr>
  </w:style>
  <w:style w:type="character" w:customStyle="1" w:styleId="66">
    <w:name w:val="日期 字符"/>
    <w:link w:val="24"/>
    <w:qFormat/>
    <w:uiPriority w:val="0"/>
    <w:rPr>
      <w:rFonts w:eastAsia="宋体"/>
      <w:kern w:val="2"/>
      <w:sz w:val="24"/>
      <w:szCs w:val="24"/>
      <w:lang w:val="en-US" w:eastAsia="zh-CN" w:bidi="ar-SA"/>
    </w:rPr>
  </w:style>
  <w:style w:type="character" w:customStyle="1" w:styleId="67">
    <w:name w:val="正文文本缩进 2 字符"/>
    <w:link w:val="25"/>
    <w:qFormat/>
    <w:uiPriority w:val="0"/>
    <w:rPr>
      <w:rFonts w:ascii="Arial" w:hAnsi="Arial" w:eastAsia="仿宋_GB2312" w:cs="Arial"/>
      <w:kern w:val="2"/>
      <w:sz w:val="32"/>
      <w:szCs w:val="32"/>
      <w:lang w:val="en-US" w:eastAsia="zh-CN" w:bidi="ar-SA"/>
    </w:rPr>
  </w:style>
  <w:style w:type="character" w:customStyle="1" w:styleId="68">
    <w:name w:val="批注框文本 字符"/>
    <w:link w:val="26"/>
    <w:qFormat/>
    <w:uiPriority w:val="0"/>
    <w:rPr>
      <w:rFonts w:eastAsia="宋体"/>
      <w:kern w:val="2"/>
      <w:sz w:val="18"/>
      <w:szCs w:val="18"/>
      <w:lang w:val="en-US" w:eastAsia="zh-CN" w:bidi="ar-SA"/>
    </w:rPr>
  </w:style>
  <w:style w:type="character" w:customStyle="1" w:styleId="69">
    <w:name w:val="页脚 字符"/>
    <w:link w:val="27"/>
    <w:qFormat/>
    <w:uiPriority w:val="99"/>
    <w:rPr>
      <w:rFonts w:eastAsia="宋体"/>
      <w:kern w:val="2"/>
      <w:sz w:val="18"/>
      <w:szCs w:val="18"/>
      <w:lang w:bidi="ar-SA"/>
    </w:rPr>
  </w:style>
  <w:style w:type="character" w:customStyle="1" w:styleId="70">
    <w:name w:val="页眉 字符"/>
    <w:link w:val="28"/>
    <w:qFormat/>
    <w:uiPriority w:val="0"/>
    <w:rPr>
      <w:rFonts w:eastAsia="宋体"/>
      <w:kern w:val="2"/>
      <w:sz w:val="18"/>
      <w:szCs w:val="18"/>
      <w:lang w:val="en-US" w:eastAsia="zh-CN" w:bidi="ar-SA"/>
    </w:rPr>
  </w:style>
  <w:style w:type="character" w:customStyle="1" w:styleId="71">
    <w:name w:val="副标题 字符"/>
    <w:link w:val="30"/>
    <w:qFormat/>
    <w:uiPriority w:val="11"/>
    <w:rPr>
      <w:rFonts w:ascii="等线 Light" w:hAnsi="等线 Light" w:eastAsia="等线 Light"/>
      <w:color w:val="595959"/>
      <w:spacing w:val="15"/>
      <w:kern w:val="2"/>
      <w:sz w:val="28"/>
      <w:szCs w:val="28"/>
    </w:rPr>
  </w:style>
  <w:style w:type="character" w:customStyle="1" w:styleId="72">
    <w:name w:val="脚注文本 字符"/>
    <w:link w:val="32"/>
    <w:qFormat/>
    <w:uiPriority w:val="0"/>
    <w:rPr>
      <w:kern w:val="2"/>
      <w:sz w:val="18"/>
      <w:szCs w:val="21"/>
    </w:rPr>
  </w:style>
  <w:style w:type="character" w:customStyle="1" w:styleId="73">
    <w:name w:val="正文文本缩进 3 字符"/>
    <w:link w:val="33"/>
    <w:qFormat/>
    <w:uiPriority w:val="0"/>
    <w:rPr>
      <w:rFonts w:ascii="Arial" w:hAnsi="Arial" w:eastAsia="仿宋_GB2312" w:cs="Arial"/>
      <w:color w:val="FFFF00"/>
      <w:kern w:val="2"/>
      <w:sz w:val="32"/>
      <w:szCs w:val="32"/>
      <w:lang w:val="en-US" w:eastAsia="zh-CN" w:bidi="ar-SA"/>
    </w:rPr>
  </w:style>
  <w:style w:type="character" w:customStyle="1" w:styleId="74">
    <w:name w:val="正文文本 2 字符"/>
    <w:link w:val="35"/>
    <w:qFormat/>
    <w:uiPriority w:val="0"/>
    <w:rPr>
      <w:rFonts w:ascii="楷体_GB2312" w:eastAsia="楷体_GB2312"/>
      <w:kern w:val="2"/>
      <w:sz w:val="28"/>
      <w:szCs w:val="28"/>
      <w:lang w:val="en-US" w:eastAsia="zh-CN" w:bidi="ar-SA"/>
    </w:rPr>
  </w:style>
  <w:style w:type="character" w:customStyle="1" w:styleId="75">
    <w:name w:val="信息标题 字符"/>
    <w:link w:val="36"/>
    <w:qFormat/>
    <w:uiPriority w:val="0"/>
    <w:rPr>
      <w:rFonts w:ascii="Arial" w:hAnsi="Arial" w:cs="Arial"/>
      <w:kern w:val="2"/>
      <w:sz w:val="21"/>
      <w:szCs w:val="24"/>
      <w:shd w:val="pct20" w:color="auto" w:fill="auto"/>
    </w:rPr>
  </w:style>
  <w:style w:type="character" w:customStyle="1" w:styleId="76">
    <w:name w:val="标题 字符"/>
    <w:link w:val="38"/>
    <w:qFormat/>
    <w:uiPriority w:val="10"/>
    <w:rPr>
      <w:rFonts w:ascii="等线 Light" w:hAnsi="等线 Light" w:eastAsia="等线 Light"/>
      <w:spacing w:val="-10"/>
      <w:kern w:val="28"/>
      <w:sz w:val="56"/>
      <w:szCs w:val="56"/>
    </w:rPr>
  </w:style>
  <w:style w:type="character" w:customStyle="1" w:styleId="77">
    <w:name w:val="批注主题 字符"/>
    <w:link w:val="39"/>
    <w:qFormat/>
    <w:uiPriority w:val="0"/>
    <w:rPr>
      <w:rFonts w:eastAsia="宋体"/>
      <w:b/>
      <w:bCs/>
      <w:kern w:val="2"/>
      <w:sz w:val="21"/>
      <w:szCs w:val="21"/>
      <w:lang w:val="en-US" w:eastAsia="zh-CN" w:bidi="ar-SA"/>
    </w:rPr>
  </w:style>
  <w:style w:type="character" w:customStyle="1" w:styleId="78">
    <w:name w:val="正文文本首行缩进 字符"/>
    <w:link w:val="40"/>
    <w:qFormat/>
    <w:uiPriority w:val="0"/>
    <w:rPr>
      <w:rFonts w:ascii="仿宋_GB2312" w:eastAsia="仿宋_GB2312"/>
      <w:kern w:val="2"/>
      <w:sz w:val="30"/>
      <w:szCs w:val="30"/>
      <w:lang w:val="en-US" w:eastAsia="zh-CN" w:bidi="ar-SA"/>
    </w:rPr>
  </w:style>
  <w:style w:type="character" w:customStyle="1" w:styleId="79">
    <w:name w:val="正文文本首行缩进 2 字符"/>
    <w:link w:val="41"/>
    <w:qFormat/>
    <w:uiPriority w:val="0"/>
    <w:rPr>
      <w:rFonts w:ascii="宋体" w:hAnsi="宋体" w:eastAsia="宋体"/>
      <w:kern w:val="2"/>
      <w:sz w:val="21"/>
      <w:lang w:val="en-US" w:eastAsia="zh-CN" w:bidi="ar-SA"/>
    </w:rPr>
  </w:style>
  <w:style w:type="character" w:customStyle="1" w:styleId="80">
    <w:name w:val="正文缩进 Char"/>
    <w:qFormat/>
    <w:uiPriority w:val="0"/>
    <w:rPr>
      <w:kern w:val="2"/>
      <w:sz w:val="21"/>
      <w:szCs w:val="21"/>
    </w:rPr>
  </w:style>
  <w:style w:type="character" w:customStyle="1" w:styleId="81">
    <w:name w:val="Char Char6"/>
    <w:qFormat/>
    <w:uiPriority w:val="0"/>
    <w:rPr>
      <w:rFonts w:ascii="Times New Roman" w:hAnsi="Times New Roman" w:eastAsia="宋体" w:cs="Times New Roman"/>
      <w:sz w:val="18"/>
      <w:szCs w:val="18"/>
    </w:rPr>
  </w:style>
  <w:style w:type="character" w:customStyle="1" w:styleId="82">
    <w:name w:val="二级目录 Char"/>
    <w:link w:val="83"/>
    <w:qFormat/>
    <w:uiPriority w:val="0"/>
    <w:rPr>
      <w:rFonts w:eastAsia="Times New Roman"/>
      <w:b/>
      <w:kern w:val="2"/>
      <w:sz w:val="30"/>
      <w:szCs w:val="28"/>
      <w:lang w:val="en-US" w:eastAsia="zh-CN" w:bidi="ar-SA"/>
    </w:rPr>
  </w:style>
  <w:style w:type="paragraph" w:customStyle="1" w:styleId="83">
    <w:name w:val="二级目录"/>
    <w:next w:val="1"/>
    <w:link w:val="82"/>
    <w:qFormat/>
    <w:uiPriority w:val="0"/>
    <w:pPr>
      <w:tabs>
        <w:tab w:val="left" w:pos="907"/>
        <w:tab w:val="left" w:pos="1145"/>
      </w:tabs>
      <w:ind w:left="907" w:hanging="907"/>
      <w:outlineLvl w:val="1"/>
    </w:pPr>
    <w:rPr>
      <w:rFonts w:ascii="Times New Roman" w:hAnsi="Times New Roman" w:eastAsia="Times New Roman" w:cs="Times New Roman"/>
      <w:b/>
      <w:kern w:val="2"/>
      <w:sz w:val="30"/>
      <w:szCs w:val="28"/>
      <w:lang w:val="en-US" w:eastAsia="zh-CN" w:bidi="ar-SA"/>
    </w:rPr>
  </w:style>
  <w:style w:type="character" w:customStyle="1" w:styleId="84">
    <w:name w:val="正文首行缩进 Char"/>
    <w:qFormat/>
    <w:uiPriority w:val="0"/>
    <w:rPr>
      <w:rFonts w:ascii="仿宋_GB2312" w:hAnsi="Times New Roman" w:eastAsia="仿宋_GB2312" w:cs="Times New Roman"/>
      <w:kern w:val="2"/>
      <w:sz w:val="30"/>
      <w:szCs w:val="30"/>
    </w:rPr>
  </w:style>
  <w:style w:type="character" w:customStyle="1" w:styleId="85">
    <w:name w:val="列出段落 Char"/>
    <w:link w:val="86"/>
    <w:qFormat/>
    <w:locked/>
    <w:uiPriority w:val="0"/>
    <w:rPr>
      <w:rFonts w:ascii="Calibri" w:hAnsi="Calibri"/>
      <w:sz w:val="24"/>
      <w:szCs w:val="24"/>
      <w:lang w:eastAsia="en-US" w:bidi="en-US"/>
    </w:rPr>
  </w:style>
  <w:style w:type="paragraph" w:customStyle="1" w:styleId="86">
    <w:name w:val="列出段落1"/>
    <w:basedOn w:val="1"/>
    <w:link w:val="85"/>
    <w:qFormat/>
    <w:uiPriority w:val="0"/>
    <w:pPr>
      <w:widowControl/>
      <w:ind w:left="720"/>
      <w:contextualSpacing/>
      <w:jc w:val="left"/>
    </w:pPr>
    <w:rPr>
      <w:kern w:val="0"/>
      <w:sz w:val="24"/>
      <w:szCs w:val="24"/>
      <w:lang w:eastAsia="en-US" w:bidi="en-US"/>
    </w:rPr>
  </w:style>
  <w:style w:type="character" w:customStyle="1" w:styleId="87">
    <w:name w:val="正文格式 Char"/>
    <w:link w:val="88"/>
    <w:qFormat/>
    <w:uiPriority w:val="0"/>
    <w:rPr>
      <w:rFonts w:eastAsia="仿宋_GB2312"/>
      <w:sz w:val="28"/>
      <w:lang w:bidi="ar-SA"/>
    </w:rPr>
  </w:style>
  <w:style w:type="paragraph" w:customStyle="1" w:styleId="88">
    <w:name w:val="正文格式"/>
    <w:basedOn w:val="1"/>
    <w:link w:val="87"/>
    <w:qFormat/>
    <w:uiPriority w:val="0"/>
    <w:pPr>
      <w:widowControl/>
      <w:adjustRightInd w:val="0"/>
      <w:snapToGrid w:val="0"/>
      <w:spacing w:before="100" w:beforeAutospacing="1" w:line="360" w:lineRule="auto"/>
      <w:ind w:firstLine="200" w:firstLineChars="200"/>
      <w:textAlignment w:val="baseline"/>
    </w:pPr>
    <w:rPr>
      <w:rFonts w:eastAsia="仿宋_GB2312"/>
      <w:kern w:val="0"/>
      <w:sz w:val="28"/>
      <w:szCs w:val="20"/>
    </w:rPr>
  </w:style>
  <w:style w:type="character" w:customStyle="1" w:styleId="89">
    <w:name w:val="Char Char2"/>
    <w:qFormat/>
    <w:uiPriority w:val="0"/>
    <w:rPr>
      <w:rFonts w:ascii="Times New Roman" w:hAnsi="Times New Roman" w:eastAsia="宋体" w:cs="Times New Roman"/>
      <w:szCs w:val="21"/>
    </w:rPr>
  </w:style>
  <w:style w:type="character" w:customStyle="1" w:styleId="90">
    <w:name w:val="font5 Char"/>
    <w:qFormat/>
    <w:uiPriority w:val="0"/>
    <w:rPr>
      <w:rFonts w:ascii="宋体" w:hAnsi="宋体" w:eastAsia="宋体"/>
      <w:sz w:val="28"/>
      <w:szCs w:val="28"/>
      <w:lang w:val="en-US" w:eastAsia="zh-CN" w:bidi="ar-SA"/>
    </w:rPr>
  </w:style>
  <w:style w:type="character" w:customStyle="1" w:styleId="91">
    <w:name w:val="正文首行缩进（qhb） Char"/>
    <w:link w:val="92"/>
    <w:qFormat/>
    <w:uiPriority w:val="0"/>
    <w:rPr>
      <w:rFonts w:ascii="Arial" w:hAnsi="Arial"/>
      <w:sz w:val="24"/>
      <w:szCs w:val="21"/>
    </w:rPr>
  </w:style>
  <w:style w:type="paragraph" w:customStyle="1" w:styleId="92">
    <w:name w:val="正文首行缩进（qhb）"/>
    <w:basedOn w:val="1"/>
    <w:link w:val="91"/>
    <w:qFormat/>
    <w:uiPriority w:val="0"/>
    <w:pPr>
      <w:widowControl/>
      <w:spacing w:after="50" w:line="360" w:lineRule="auto"/>
      <w:ind w:firstLine="200" w:firstLineChars="200"/>
      <w:jc w:val="left"/>
    </w:pPr>
    <w:rPr>
      <w:rFonts w:ascii="Arial" w:hAnsi="Arial"/>
      <w:kern w:val="0"/>
      <w:sz w:val="24"/>
    </w:rPr>
  </w:style>
  <w:style w:type="paragraph" w:customStyle="1" w:styleId="93">
    <w:name w:val="正文 A"/>
    <w:qFormat/>
    <w:uiPriority w:val="0"/>
    <w:pPr>
      <w:widowControl w:val="0"/>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94">
    <w:name w:val="附录1"/>
    <w:qFormat/>
    <w:uiPriority w:val="0"/>
    <w:pPr>
      <w:tabs>
        <w:tab w:val="left" w:pos="907"/>
      </w:tabs>
      <w:snapToGrid w:val="0"/>
      <w:spacing w:before="240" w:line="600" w:lineRule="atLeast"/>
      <w:ind w:left="907" w:hanging="907"/>
    </w:pPr>
    <w:rPr>
      <w:rFonts w:ascii="Times New Roman" w:hAnsi="Times New Roman" w:eastAsia="宋体" w:cs="Times New Roman"/>
      <w:b/>
      <w:i/>
      <w:sz w:val="28"/>
      <w:lang w:val="en-US" w:eastAsia="zh-CN" w:bidi="ar-SA"/>
    </w:rPr>
  </w:style>
  <w:style w:type="paragraph" w:customStyle="1" w:styleId="95">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kern w:val="0"/>
      <w:sz w:val="24"/>
      <w:szCs w:val="24"/>
    </w:rPr>
  </w:style>
  <w:style w:type="paragraph" w:customStyle="1" w:styleId="96">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7">
    <w:name w:val="xl2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98">
    <w:name w:val="xl25"/>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9">
    <w:name w:val="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00">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01">
    <w:name w:val="标题3"/>
    <w:basedOn w:val="1"/>
    <w:next w:val="1"/>
    <w:qFormat/>
    <w:uiPriority w:val="0"/>
    <w:pPr>
      <w:autoSpaceDE w:val="0"/>
      <w:autoSpaceDN w:val="0"/>
      <w:snapToGrid w:val="0"/>
      <w:spacing w:line="590" w:lineRule="atLeast"/>
      <w:ind w:firstLine="624"/>
    </w:pPr>
    <w:rPr>
      <w:rFonts w:ascii="方正黑体_GBK" w:eastAsia="方正黑体_GBK"/>
      <w:snapToGrid w:val="0"/>
      <w:kern w:val="0"/>
      <w:sz w:val="32"/>
      <w:szCs w:val="32"/>
    </w:rPr>
  </w:style>
  <w:style w:type="paragraph" w:customStyle="1" w:styleId="102">
    <w:name w:val="table_1stline"/>
    <w:basedOn w:val="1"/>
    <w:qFormat/>
    <w:uiPriority w:val="0"/>
    <w:pPr>
      <w:widowControl/>
      <w:spacing w:before="120"/>
      <w:jc w:val="left"/>
    </w:pPr>
    <w:rPr>
      <w:bCs/>
      <w:kern w:val="0"/>
      <w:sz w:val="20"/>
      <w:szCs w:val="20"/>
      <w:lang w:val="de-DE" w:eastAsia="de-DE"/>
    </w:rPr>
  </w:style>
  <w:style w:type="paragraph" w:customStyle="1" w:styleId="103">
    <w:name w:val="普通 (Web)"/>
    <w:basedOn w:val="1"/>
    <w:qFormat/>
    <w:uiPriority w:val="0"/>
    <w:pPr>
      <w:widowControl/>
      <w:spacing w:before="100" w:beforeAutospacing="1" w:after="100" w:afterAutospacing="1"/>
      <w:jc w:val="left"/>
    </w:pPr>
    <w:rPr>
      <w:rFonts w:ascii="宋体" w:hAnsi="宋体"/>
      <w:kern w:val="0"/>
      <w:sz w:val="24"/>
      <w:szCs w:val="24"/>
    </w:rPr>
  </w:style>
  <w:style w:type="paragraph" w:customStyle="1" w:styleId="104">
    <w:name w:val="Char2 Char1 Char"/>
    <w:basedOn w:val="1"/>
    <w:qFormat/>
    <w:uiPriority w:val="0"/>
    <w:pPr>
      <w:tabs>
        <w:tab w:val="left" w:pos="360"/>
      </w:tabs>
    </w:pPr>
    <w:rPr>
      <w:rFonts w:eastAsia="方正仿宋简体"/>
      <w:sz w:val="24"/>
      <w:szCs w:val="32"/>
    </w:rPr>
  </w:style>
  <w:style w:type="paragraph" w:customStyle="1" w:styleId="105">
    <w:name w:val="p1"/>
    <w:basedOn w:val="1"/>
    <w:qFormat/>
    <w:uiPriority w:val="0"/>
    <w:pPr>
      <w:spacing w:line="380" w:lineRule="atLeast"/>
      <w:jc w:val="left"/>
    </w:pPr>
    <w:rPr>
      <w:rFonts w:ascii="Helvetica Neue" w:hAnsi="Helvetica Neue" w:eastAsia="Helvetica Neue"/>
      <w:kern w:val="0"/>
      <w:sz w:val="26"/>
      <w:szCs w:val="26"/>
    </w:rPr>
  </w:style>
  <w:style w:type="paragraph" w:customStyle="1" w:styleId="106">
    <w:name w:val="Char Char Char Char"/>
    <w:basedOn w:val="15"/>
    <w:qFormat/>
    <w:uiPriority w:val="0"/>
    <w:pPr>
      <w:adjustRightInd w:val="0"/>
      <w:snapToGrid w:val="0"/>
      <w:spacing w:line="360" w:lineRule="auto"/>
    </w:pPr>
    <w:rPr>
      <w:rFonts w:ascii="Tahoma" w:hAnsi="Tahoma"/>
      <w:sz w:val="24"/>
      <w:szCs w:val="24"/>
    </w:rPr>
  </w:style>
  <w:style w:type="paragraph" w:customStyle="1" w:styleId="107">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108">
    <w:name w:val="4"/>
    <w:basedOn w:val="1"/>
    <w:next w:val="33"/>
    <w:qFormat/>
    <w:uiPriority w:val="0"/>
    <w:pPr>
      <w:spacing w:line="360" w:lineRule="auto"/>
      <w:ind w:firstLine="420"/>
    </w:pPr>
    <w:rPr>
      <w:color w:val="FF0000"/>
      <w:sz w:val="24"/>
      <w:szCs w:val="24"/>
    </w:rPr>
  </w:style>
  <w:style w:type="paragraph" w:styleId="109">
    <w:name w:val="List Paragraph"/>
    <w:basedOn w:val="1"/>
    <w:qFormat/>
    <w:uiPriority w:val="34"/>
    <w:pPr>
      <w:widowControl/>
      <w:ind w:left="720"/>
      <w:contextualSpacing/>
      <w:jc w:val="left"/>
    </w:pPr>
    <w:rPr>
      <w:rFonts w:ascii="Calibri" w:hAnsi="Calibri"/>
      <w:kern w:val="0"/>
      <w:sz w:val="24"/>
      <w:szCs w:val="24"/>
      <w:lang w:eastAsia="en-US" w:bidi="en-US"/>
    </w:rPr>
  </w:style>
  <w:style w:type="paragraph" w:customStyle="1" w:styleId="110">
    <w:name w:val="Char Char Char Char Char Char Char Char2"/>
    <w:basedOn w:val="1"/>
    <w:qFormat/>
    <w:uiPriority w:val="0"/>
    <w:pPr>
      <w:widowControl/>
      <w:spacing w:after="160" w:line="240" w:lineRule="exact"/>
      <w:jc w:val="left"/>
    </w:pPr>
    <w:rPr>
      <w:rFonts w:ascii="Verdana" w:hAnsi="Verdana"/>
      <w:kern w:val="0"/>
      <w:sz w:val="20"/>
      <w:szCs w:val="20"/>
      <w:lang w:eastAsia="en-US"/>
    </w:rPr>
  </w:style>
  <w:style w:type="paragraph" w:customStyle="1" w:styleId="111">
    <w:name w:val="font6"/>
    <w:basedOn w:val="1"/>
    <w:qFormat/>
    <w:uiPriority w:val="0"/>
    <w:pPr>
      <w:widowControl/>
      <w:spacing w:before="100" w:beforeAutospacing="1" w:after="100" w:afterAutospacing="1"/>
      <w:jc w:val="left"/>
    </w:pPr>
    <w:rPr>
      <w:rFonts w:hint="eastAsia" w:ascii="宋体" w:hAnsi="宋体"/>
      <w:kern w:val="0"/>
      <w:sz w:val="28"/>
      <w:szCs w:val="28"/>
      <w:u w:val="single"/>
    </w:rPr>
  </w:style>
  <w:style w:type="paragraph" w:customStyle="1" w:styleId="112">
    <w:name w:val="样式1"/>
    <w:basedOn w:val="1"/>
    <w:qFormat/>
    <w:uiPriority w:val="0"/>
    <w:pPr>
      <w:tabs>
        <w:tab w:val="left" w:pos="709"/>
      </w:tabs>
      <w:adjustRightInd w:val="0"/>
      <w:ind w:left="709" w:hanging="709"/>
      <w:textAlignment w:val="baseline"/>
    </w:pPr>
    <w:rPr>
      <w:rFonts w:ascii="宋体" w:hAnsi="宋体"/>
      <w:kern w:val="0"/>
    </w:rPr>
  </w:style>
  <w:style w:type="paragraph" w:customStyle="1" w:styleId="113">
    <w:name w:val="font7"/>
    <w:basedOn w:val="1"/>
    <w:qFormat/>
    <w:uiPriority w:val="0"/>
    <w:pPr>
      <w:widowControl/>
      <w:numPr>
        <w:ilvl w:val="0"/>
        <w:numId w:val="2"/>
      </w:numPr>
      <w:tabs>
        <w:tab w:val="clear" w:pos="709"/>
      </w:tabs>
      <w:spacing w:before="100" w:beforeAutospacing="1" w:after="100" w:afterAutospacing="1"/>
      <w:ind w:left="0" w:firstLine="0"/>
      <w:jc w:val="left"/>
    </w:pPr>
    <w:rPr>
      <w:rFonts w:hint="eastAsia" w:ascii="宋体" w:hAnsi="宋体"/>
      <w:kern w:val="0"/>
      <w:sz w:val="18"/>
      <w:szCs w:val="18"/>
    </w:rPr>
  </w:style>
  <w:style w:type="paragraph" w:customStyle="1" w:styleId="114">
    <w:name w:val="Char"/>
    <w:basedOn w:val="15"/>
    <w:qFormat/>
    <w:uiPriority w:val="0"/>
    <w:rPr>
      <w:rFonts w:ascii="Tahoma" w:hAnsi="Tahoma"/>
      <w:sz w:val="24"/>
      <w:szCs w:val="24"/>
    </w:rPr>
  </w:style>
  <w:style w:type="paragraph" w:customStyle="1" w:styleId="115">
    <w:name w:val="Char Char Char Char1"/>
    <w:basedOn w:val="15"/>
    <w:qFormat/>
    <w:uiPriority w:val="0"/>
    <w:pPr>
      <w:adjustRightInd w:val="0"/>
      <w:snapToGrid w:val="0"/>
      <w:spacing w:line="360" w:lineRule="auto"/>
    </w:pPr>
    <w:rPr>
      <w:rFonts w:ascii="Tahoma" w:hAnsi="Tahoma"/>
      <w:kern w:val="0"/>
      <w:sz w:val="24"/>
      <w:szCs w:val="24"/>
    </w:rPr>
  </w:style>
  <w:style w:type="paragraph" w:customStyle="1" w:styleId="116">
    <w:name w:val="列表内容"/>
    <w:basedOn w:val="1"/>
    <w:next w:val="1"/>
    <w:qFormat/>
    <w:uiPriority w:val="0"/>
    <w:pPr>
      <w:widowControl/>
      <w:numPr>
        <w:ilvl w:val="0"/>
        <w:numId w:val="3"/>
      </w:numPr>
      <w:tabs>
        <w:tab w:val="left" w:pos="840"/>
      </w:tabs>
      <w:jc w:val="left"/>
    </w:pPr>
    <w:rPr>
      <w:kern w:val="0"/>
      <w:sz w:val="18"/>
      <w:szCs w:val="24"/>
    </w:rPr>
  </w:style>
  <w:style w:type="paragraph" w:customStyle="1" w:styleId="117">
    <w:name w:val="font5"/>
    <w:basedOn w:val="1"/>
    <w:qFormat/>
    <w:uiPriority w:val="0"/>
    <w:pPr>
      <w:widowControl/>
      <w:numPr>
        <w:ilvl w:val="0"/>
        <w:numId w:val="4"/>
      </w:numPr>
      <w:tabs>
        <w:tab w:val="clear" w:pos="907"/>
      </w:tabs>
      <w:spacing w:before="100" w:beforeAutospacing="1" w:after="100" w:afterAutospacing="1"/>
      <w:ind w:left="0" w:firstLine="0"/>
      <w:jc w:val="left"/>
    </w:pPr>
    <w:rPr>
      <w:rFonts w:hint="eastAsia" w:ascii="宋体" w:hAnsi="宋体"/>
      <w:kern w:val="0"/>
      <w:sz w:val="28"/>
      <w:szCs w:val="28"/>
    </w:rPr>
  </w:style>
  <w:style w:type="paragraph" w:customStyle="1" w:styleId="118">
    <w:name w:val="列表段落1"/>
    <w:basedOn w:val="1"/>
    <w:qFormat/>
    <w:uiPriority w:val="99"/>
    <w:pPr>
      <w:ind w:firstLine="420" w:firstLineChars="200"/>
    </w:pPr>
  </w:style>
  <w:style w:type="paragraph" w:customStyle="1" w:styleId="119">
    <w:name w:val="Char1"/>
    <w:basedOn w:val="1"/>
    <w:qFormat/>
    <w:uiPriority w:val="0"/>
    <w:pPr>
      <w:tabs>
        <w:tab w:val="left" w:pos="360"/>
      </w:tabs>
      <w:ind w:firstLine="200" w:firstLineChars="200"/>
    </w:pPr>
    <w:rPr>
      <w:sz w:val="28"/>
      <w:szCs w:val="30"/>
    </w:rPr>
  </w:style>
  <w:style w:type="paragraph" w:customStyle="1" w:styleId="120">
    <w:name w:val="TOC Heading"/>
    <w:basedOn w:val="4"/>
    <w:next w:val="1"/>
    <w:qFormat/>
    <w:uiPriority w:val="39"/>
    <w:pPr>
      <w:widowControl/>
      <w:spacing w:before="480" w:line="276" w:lineRule="auto"/>
      <w:jc w:val="left"/>
      <w:outlineLvl w:val="9"/>
    </w:pPr>
    <w:rPr>
      <w:rFonts w:ascii="Cambria" w:hAnsi="Cambria" w:eastAsia="宋体"/>
      <w:b/>
      <w:bCs w:val="0"/>
      <w:color w:val="365F91"/>
      <w:kern w:val="0"/>
    </w:rPr>
  </w:style>
  <w:style w:type="paragraph" w:customStyle="1" w:styleId="121">
    <w:name w:val="table_lines"/>
    <w:basedOn w:val="1"/>
    <w:qFormat/>
    <w:uiPriority w:val="0"/>
    <w:pPr>
      <w:widowControl/>
      <w:jc w:val="left"/>
    </w:pPr>
    <w:rPr>
      <w:kern w:val="0"/>
      <w:sz w:val="20"/>
      <w:szCs w:val="20"/>
      <w:lang w:val="de-DE" w:eastAsia="de-DE"/>
    </w:rPr>
  </w:style>
  <w:style w:type="paragraph" w:customStyle="1" w:styleId="122">
    <w:name w:val="xl30"/>
    <w:basedOn w:val="1"/>
    <w:qFormat/>
    <w:uiPriority w:val="0"/>
    <w:pPr>
      <w:widowControl/>
      <w:spacing w:before="100" w:beforeAutospacing="1" w:after="100" w:afterAutospacing="1"/>
      <w:jc w:val="center"/>
    </w:pPr>
    <w:rPr>
      <w:rFonts w:ascii="宋体" w:hAnsi="宋体"/>
      <w:b/>
      <w:bCs/>
      <w:kern w:val="0"/>
      <w:sz w:val="36"/>
      <w:szCs w:val="36"/>
    </w:rPr>
  </w:style>
  <w:style w:type="paragraph" w:customStyle="1" w:styleId="123">
    <w:name w:val="_Style 4"/>
    <w:basedOn w:val="15"/>
    <w:qFormat/>
    <w:uiPriority w:val="0"/>
    <w:pPr>
      <w:shd w:val="clear" w:color="auto" w:fill="auto"/>
      <w:spacing w:line="360" w:lineRule="auto"/>
      <w:jc w:val="left"/>
    </w:pPr>
    <w:rPr>
      <w:kern w:val="0"/>
      <w:sz w:val="20"/>
      <w:szCs w:val="20"/>
    </w:rPr>
  </w:style>
  <w:style w:type="paragraph" w:customStyle="1" w:styleId="124">
    <w:name w:val="Char Char Char Char2"/>
    <w:basedOn w:val="15"/>
    <w:qFormat/>
    <w:uiPriority w:val="0"/>
    <w:pPr>
      <w:adjustRightInd w:val="0"/>
      <w:snapToGrid w:val="0"/>
      <w:spacing w:line="360" w:lineRule="auto"/>
    </w:pPr>
    <w:rPr>
      <w:rFonts w:ascii="Tahoma" w:hAnsi="Tahoma"/>
      <w:sz w:val="24"/>
      <w:szCs w:val="24"/>
    </w:rPr>
  </w:style>
  <w:style w:type="paragraph" w:customStyle="1" w:styleId="125">
    <w:name w:val="Char Char Char Char Char Char Char Char Char Char"/>
    <w:basedOn w:val="1"/>
    <w:qFormat/>
    <w:uiPriority w:val="0"/>
    <w:pPr>
      <w:adjustRightInd w:val="0"/>
      <w:spacing w:line="360" w:lineRule="auto"/>
    </w:pPr>
    <w:rPr>
      <w:kern w:val="0"/>
      <w:sz w:val="24"/>
      <w:szCs w:val="20"/>
    </w:rPr>
  </w:style>
  <w:style w:type="paragraph" w:customStyle="1" w:styleId="126">
    <w:name w:val="xl29"/>
    <w:basedOn w:val="1"/>
    <w:qFormat/>
    <w:uiPriority w:val="0"/>
    <w:pPr>
      <w:widowControl/>
      <w:pBdr>
        <w:left w:val="single" w:color="auto" w:sz="4" w:space="0"/>
        <w:bottom w:val="single" w:color="auto" w:sz="4" w:space="0"/>
      </w:pBdr>
      <w:spacing w:before="100" w:beforeAutospacing="1" w:after="100" w:afterAutospacing="1"/>
      <w:jc w:val="left"/>
    </w:pPr>
    <w:rPr>
      <w:rFonts w:ascii="宋体" w:hAnsi="宋体"/>
      <w:kern w:val="0"/>
      <w:sz w:val="24"/>
      <w:szCs w:val="24"/>
    </w:rPr>
  </w:style>
  <w:style w:type="paragraph" w:customStyle="1" w:styleId="127">
    <w:name w:val="Body Text(ch)"/>
    <w:basedOn w:val="1"/>
    <w:next w:val="2"/>
    <w:qFormat/>
    <w:uiPriority w:val="0"/>
    <w:pPr>
      <w:spacing w:after="120"/>
    </w:pPr>
    <w:rPr>
      <w:rFonts w:ascii="宋体" w:hAnsi="Arial"/>
      <w:bCs/>
      <w:iCs/>
      <w:szCs w:val="24"/>
    </w:rPr>
  </w:style>
  <w:style w:type="paragraph" w:customStyle="1" w:styleId="128">
    <w:name w:val="_Style 30"/>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2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13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szCs w:val="24"/>
    </w:rPr>
  </w:style>
  <w:style w:type="paragraph" w:customStyle="1" w:styleId="131">
    <w:name w:val="Char2"/>
    <w:basedOn w:val="1"/>
    <w:qFormat/>
    <w:uiPriority w:val="0"/>
    <w:pPr>
      <w:tabs>
        <w:tab w:val="left" w:pos="360"/>
      </w:tabs>
      <w:ind w:firstLine="200" w:firstLineChars="200"/>
    </w:pPr>
    <w:rPr>
      <w:sz w:val="28"/>
      <w:szCs w:val="30"/>
    </w:rPr>
  </w:style>
  <w:style w:type="paragraph" w:customStyle="1" w:styleId="132">
    <w:name w:val="图标"/>
    <w:basedOn w:val="1"/>
    <w:next w:val="1"/>
    <w:qFormat/>
    <w:uiPriority w:val="0"/>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character" w:customStyle="1" w:styleId="133">
    <w:name w:val="bookmark-item"/>
    <w:qFormat/>
    <w:uiPriority w:val="0"/>
  </w:style>
  <w:style w:type="paragraph" w:customStyle="1" w:styleId="134">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35">
    <w:name w:val="Table Paragraph"/>
    <w:basedOn w:val="1"/>
    <w:qFormat/>
    <w:uiPriority w:val="1"/>
    <w:rPr>
      <w:rFonts w:ascii="宋体" w:hAnsi="宋体" w:cs="宋体"/>
      <w:lang w:val="zh-CN" w:bidi="zh-CN"/>
    </w:rPr>
  </w:style>
  <w:style w:type="paragraph" w:customStyle="1" w:styleId="136">
    <w:name w:val="正文缩进21"/>
    <w:basedOn w:val="1"/>
    <w:qFormat/>
    <w:uiPriority w:val="0"/>
    <w:rPr>
      <w:rFonts w:ascii="Calibri" w:hAnsi="Calibri"/>
    </w:rPr>
  </w:style>
  <w:style w:type="paragraph" w:customStyle="1" w:styleId="137">
    <w:name w:val="Normal Indent1"/>
    <w:basedOn w:val="1"/>
    <w:qFormat/>
    <w:uiPriority w:val="0"/>
    <w:rPr>
      <w:rFonts w:ascii="Calibri" w:hAnsi="Calibri"/>
    </w:rPr>
  </w:style>
  <w:style w:type="paragraph" w:customStyle="1" w:styleId="13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39">
    <w:name w:val="List Paragraph1"/>
    <w:basedOn w:val="1"/>
    <w:qFormat/>
    <w:uiPriority w:val="99"/>
    <w:pPr>
      <w:ind w:firstLine="420" w:firstLineChars="200"/>
    </w:pPr>
  </w:style>
  <w:style w:type="paragraph" w:customStyle="1" w:styleId="140">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41">
    <w:name w:val="mini-outputtext1"/>
    <w:qFormat/>
    <w:uiPriority w:val="0"/>
  </w:style>
  <w:style w:type="paragraph" w:customStyle="1" w:styleId="142">
    <w:name w:val="_Style 1"/>
    <w:basedOn w:val="1"/>
    <w:next w:val="1"/>
    <w:qFormat/>
    <w:uiPriority w:val="99"/>
    <w:pPr>
      <w:ind w:firstLine="420" w:firstLineChars="200"/>
    </w:pPr>
  </w:style>
  <w:style w:type="paragraph" w:customStyle="1" w:styleId="14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144">
    <w:name w:val="font51"/>
    <w:qFormat/>
    <w:uiPriority w:val="0"/>
    <w:rPr>
      <w:rFonts w:hint="eastAsia" w:ascii="宋体" w:hAnsi="宋体" w:eastAsia="宋体" w:cs="宋体"/>
      <w:color w:val="000000"/>
      <w:sz w:val="18"/>
      <w:szCs w:val="18"/>
      <w:u w:val="none"/>
    </w:rPr>
  </w:style>
  <w:style w:type="character" w:customStyle="1" w:styleId="145">
    <w:name w:val="font21"/>
    <w:qFormat/>
    <w:uiPriority w:val="0"/>
    <w:rPr>
      <w:rFonts w:hint="eastAsia" w:ascii="宋体" w:hAnsi="宋体" w:eastAsia="宋体" w:cs="宋体"/>
      <w:color w:val="000000"/>
      <w:sz w:val="18"/>
      <w:szCs w:val="18"/>
      <w:u w:val="none"/>
    </w:rPr>
  </w:style>
  <w:style w:type="character" w:customStyle="1" w:styleId="146">
    <w:name w:val="font11"/>
    <w:qFormat/>
    <w:uiPriority w:val="0"/>
    <w:rPr>
      <w:rFonts w:hint="eastAsia" w:ascii="宋体" w:hAnsi="宋体" w:eastAsia="宋体" w:cs="宋体"/>
      <w:color w:val="000000"/>
      <w:sz w:val="18"/>
      <w:szCs w:val="18"/>
      <w:u w:val="none"/>
    </w:rPr>
  </w:style>
  <w:style w:type="character" w:customStyle="1" w:styleId="147">
    <w:name w:val="font41"/>
    <w:qFormat/>
    <w:uiPriority w:val="0"/>
    <w:rPr>
      <w:rFonts w:hint="eastAsia" w:ascii="宋体" w:hAnsi="宋体" w:eastAsia="宋体" w:cs="宋体"/>
      <w:color w:val="000000"/>
      <w:sz w:val="18"/>
      <w:szCs w:val="18"/>
      <w:u w:val="none"/>
    </w:rPr>
  </w:style>
  <w:style w:type="character" w:customStyle="1" w:styleId="148">
    <w:name w:val="font31"/>
    <w:qFormat/>
    <w:uiPriority w:val="0"/>
    <w:rPr>
      <w:rFonts w:hint="eastAsia" w:ascii="宋体" w:hAnsi="宋体" w:eastAsia="宋体" w:cs="宋体"/>
      <w:color w:val="000000"/>
      <w:sz w:val="18"/>
      <w:szCs w:val="18"/>
      <w:u w:val="none"/>
    </w:rPr>
  </w:style>
  <w:style w:type="paragraph" w:customStyle="1" w:styleId="149">
    <w:name w:val="Table Text"/>
    <w:basedOn w:val="1"/>
    <w:semiHidden/>
    <w:qFormat/>
    <w:uiPriority w:val="0"/>
    <w:rPr>
      <w:rFonts w:ascii="宋体" w:hAnsi="宋体" w:cs="宋体"/>
      <w:sz w:val="23"/>
      <w:szCs w:val="23"/>
      <w:lang w:eastAsia="en-US"/>
    </w:rPr>
  </w:style>
  <w:style w:type="character" w:customStyle="1" w:styleId="150">
    <w:name w:val="未处理的提及1"/>
    <w:unhideWhenUsed/>
    <w:qFormat/>
    <w:uiPriority w:val="99"/>
    <w:rPr>
      <w:color w:val="605E5C"/>
      <w:shd w:val="clear" w:color="auto" w:fill="E1DFDD"/>
    </w:rPr>
  </w:style>
  <w:style w:type="paragraph" w:customStyle="1" w:styleId="151">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52">
    <w:name w:val="font8"/>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53">
    <w:name w:val="font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54">
    <w:name w:val="font10"/>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55">
    <w:name w:val="font12"/>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56">
    <w:name w:val="font13"/>
    <w:basedOn w:val="1"/>
    <w:qFormat/>
    <w:uiPriority w:val="0"/>
    <w:pPr>
      <w:widowControl/>
      <w:spacing w:before="100" w:beforeAutospacing="1" w:after="100" w:afterAutospacing="1"/>
      <w:jc w:val="left"/>
    </w:pPr>
    <w:rPr>
      <w:kern w:val="0"/>
      <w:sz w:val="20"/>
      <w:szCs w:val="20"/>
    </w:rPr>
  </w:style>
  <w:style w:type="paragraph" w:customStyle="1" w:styleId="157">
    <w:name w:val="font14"/>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58">
    <w:name w:val="font15"/>
    <w:basedOn w:val="1"/>
    <w:qFormat/>
    <w:uiPriority w:val="0"/>
    <w:pPr>
      <w:widowControl/>
      <w:spacing w:before="100" w:beforeAutospacing="1" w:after="100" w:afterAutospacing="1"/>
      <w:jc w:val="left"/>
    </w:pPr>
    <w:rPr>
      <w:kern w:val="0"/>
      <w:sz w:val="22"/>
      <w:szCs w:val="22"/>
    </w:rPr>
  </w:style>
  <w:style w:type="paragraph" w:customStyle="1" w:styleId="159">
    <w:name w:val="font16"/>
    <w:basedOn w:val="1"/>
    <w:qFormat/>
    <w:uiPriority w:val="0"/>
    <w:pPr>
      <w:widowControl/>
      <w:spacing w:before="100" w:beforeAutospacing="1" w:after="100" w:afterAutospacing="1"/>
      <w:jc w:val="left"/>
    </w:pPr>
    <w:rPr>
      <w:rFonts w:ascii="等线" w:hAnsi="等线" w:eastAsia="等线" w:cs="宋体"/>
      <w:kern w:val="0"/>
      <w:sz w:val="20"/>
      <w:szCs w:val="20"/>
    </w:rPr>
  </w:style>
  <w:style w:type="paragraph" w:customStyle="1" w:styleId="160">
    <w:name w:val="font17"/>
    <w:basedOn w:val="1"/>
    <w:qFormat/>
    <w:uiPriority w:val="0"/>
    <w:pPr>
      <w:widowControl/>
      <w:spacing w:before="100" w:beforeAutospacing="1" w:after="100" w:afterAutospacing="1"/>
      <w:jc w:val="left"/>
    </w:pPr>
    <w:rPr>
      <w:rFonts w:ascii="等线" w:hAnsi="等线" w:eastAsia="等线" w:cs="宋体"/>
      <w:b/>
      <w:bCs/>
      <w:kern w:val="0"/>
      <w:sz w:val="20"/>
      <w:szCs w:val="20"/>
    </w:rPr>
  </w:style>
  <w:style w:type="paragraph" w:customStyle="1" w:styleId="161">
    <w:name w:val="font18"/>
    <w:basedOn w:val="1"/>
    <w:qFormat/>
    <w:uiPriority w:val="0"/>
    <w:pPr>
      <w:widowControl/>
      <w:spacing w:before="100" w:beforeAutospacing="1" w:after="100" w:afterAutospacing="1"/>
      <w:jc w:val="left"/>
    </w:pPr>
    <w:rPr>
      <w:rFonts w:ascii="Calibri" w:hAnsi="Calibri" w:cs="Calibri"/>
      <w:kern w:val="0"/>
      <w:sz w:val="20"/>
      <w:szCs w:val="20"/>
    </w:rPr>
  </w:style>
  <w:style w:type="paragraph" w:customStyle="1" w:styleId="162">
    <w:name w:val="font19"/>
    <w:basedOn w:val="1"/>
    <w:qFormat/>
    <w:uiPriority w:val="0"/>
    <w:pPr>
      <w:widowControl/>
      <w:spacing w:before="100" w:beforeAutospacing="1" w:after="100" w:afterAutospacing="1"/>
      <w:jc w:val="left"/>
    </w:pPr>
    <w:rPr>
      <w:rFonts w:ascii="Calibri" w:hAnsi="Calibri" w:cs="Calibri"/>
      <w:kern w:val="0"/>
      <w:sz w:val="22"/>
      <w:szCs w:val="22"/>
    </w:rPr>
  </w:style>
  <w:style w:type="paragraph" w:customStyle="1" w:styleId="163">
    <w:name w:val="xl72"/>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4">
    <w:name w:val="xl7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65">
    <w:name w:val="xl7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6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6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16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9">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70">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71">
    <w:name w:val="xl80"/>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20"/>
      <w:szCs w:val="20"/>
    </w:rPr>
  </w:style>
  <w:style w:type="paragraph" w:customStyle="1" w:styleId="172">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73">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74">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5">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76">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77">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78">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79">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szCs w:val="24"/>
    </w:rPr>
  </w:style>
  <w:style w:type="paragraph" w:customStyle="1" w:styleId="180">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81">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8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183">
    <w:name w:val="xl9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4"/>
      <w:szCs w:val="24"/>
    </w:rPr>
  </w:style>
  <w:style w:type="paragraph" w:customStyle="1" w:styleId="184">
    <w:name w:val="xl93"/>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szCs w:val="24"/>
    </w:rPr>
  </w:style>
  <w:style w:type="paragraph" w:customStyle="1" w:styleId="185">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86">
    <w:name w:val="xl95"/>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87">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88">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89">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90">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91">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92">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9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top"/>
    </w:pPr>
    <w:rPr>
      <w:rFonts w:ascii="宋体" w:hAnsi="宋体" w:cs="宋体"/>
      <w:kern w:val="0"/>
      <w:sz w:val="24"/>
      <w:szCs w:val="24"/>
    </w:rPr>
  </w:style>
  <w:style w:type="paragraph" w:customStyle="1" w:styleId="19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95">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196">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97">
    <w:name w:val="xl106"/>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98">
    <w:name w:val="xl10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99">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0">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201">
    <w:name w:val="xl11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202">
    <w:name w:val="xl111"/>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203">
    <w:name w:val="xl1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04">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05">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06">
    <w:name w:val="xl11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207">
    <w:name w:val="xl116"/>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208">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09">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10">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11">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212">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13">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214">
    <w:name w:val="xl12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15">
    <w:name w:val="xl12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4"/>
      <w:szCs w:val="24"/>
    </w:rPr>
  </w:style>
  <w:style w:type="paragraph" w:customStyle="1" w:styleId="216">
    <w:name w:val="xl12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24"/>
      <w:szCs w:val="24"/>
    </w:rPr>
  </w:style>
  <w:style w:type="paragraph" w:customStyle="1" w:styleId="217">
    <w:name w:val="xl1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18">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19">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szCs w:val="24"/>
    </w:rPr>
  </w:style>
  <w:style w:type="character" w:customStyle="1" w:styleId="220">
    <w:name w:val="批注文字 Char1"/>
    <w:qFormat/>
    <w:uiPriority w:val="0"/>
    <w:rPr>
      <w:rFonts w:ascii="Calibri" w:hAnsi="Calibri" w:eastAsia="宋体" w:cs="Times New Roman"/>
      <w:kern w:val="2"/>
      <w:sz w:val="21"/>
      <w:szCs w:val="24"/>
    </w:rPr>
  </w:style>
  <w:style w:type="character" w:customStyle="1" w:styleId="221">
    <w:name w:val="Char Char61"/>
    <w:qFormat/>
    <w:uiPriority w:val="0"/>
    <w:rPr>
      <w:rFonts w:ascii="Times New Roman" w:hAnsi="Times New Roman" w:eastAsia="宋体" w:cs="Times New Roman"/>
      <w:sz w:val="18"/>
      <w:szCs w:val="18"/>
    </w:rPr>
  </w:style>
  <w:style w:type="character" w:customStyle="1" w:styleId="222">
    <w:name w:val="Char Char21"/>
    <w:qFormat/>
    <w:uiPriority w:val="0"/>
    <w:rPr>
      <w:rFonts w:ascii="Times New Roman" w:hAnsi="Times New Roman" w:eastAsia="宋体" w:cs="Times New Roman"/>
      <w:szCs w:val="21"/>
    </w:rPr>
  </w:style>
  <w:style w:type="paragraph" w:customStyle="1" w:styleId="223">
    <w:name w:val="列出段落2"/>
    <w:basedOn w:val="1"/>
    <w:qFormat/>
    <w:uiPriority w:val="99"/>
    <w:pPr>
      <w:ind w:firstLine="420" w:firstLineChars="200"/>
    </w:pPr>
  </w:style>
  <w:style w:type="paragraph" w:styleId="224">
    <w:name w:val="Quote"/>
    <w:basedOn w:val="1"/>
    <w:next w:val="1"/>
    <w:link w:val="225"/>
    <w:qFormat/>
    <w:uiPriority w:val="29"/>
    <w:pPr>
      <w:spacing w:before="160" w:after="160"/>
      <w:jc w:val="center"/>
    </w:pPr>
    <w:rPr>
      <w:i/>
      <w:iCs/>
      <w:color w:val="404040"/>
    </w:rPr>
  </w:style>
  <w:style w:type="character" w:customStyle="1" w:styleId="225">
    <w:name w:val="引用 字符"/>
    <w:link w:val="224"/>
    <w:qFormat/>
    <w:uiPriority w:val="29"/>
    <w:rPr>
      <w:i/>
      <w:iCs/>
      <w:color w:val="404040"/>
      <w:kern w:val="2"/>
      <w:sz w:val="21"/>
      <w:szCs w:val="21"/>
    </w:rPr>
  </w:style>
  <w:style w:type="character" w:customStyle="1" w:styleId="226">
    <w:name w:val="Intense Emphasis"/>
    <w:qFormat/>
    <w:uiPriority w:val="21"/>
    <w:rPr>
      <w:i/>
      <w:iCs/>
      <w:color w:val="2E74B5"/>
    </w:rPr>
  </w:style>
  <w:style w:type="paragraph" w:styleId="227">
    <w:name w:val="Intense Quote"/>
    <w:basedOn w:val="1"/>
    <w:next w:val="1"/>
    <w:link w:val="228"/>
    <w:qFormat/>
    <w:uiPriority w:val="30"/>
    <w:pPr>
      <w:pBdr>
        <w:top w:val="single" w:color="2E74B5" w:sz="4" w:space="10"/>
        <w:bottom w:val="single" w:color="2E74B5" w:sz="4" w:space="10"/>
      </w:pBdr>
      <w:spacing w:before="360" w:after="360"/>
      <w:ind w:left="864" w:right="864"/>
      <w:jc w:val="center"/>
    </w:pPr>
    <w:rPr>
      <w:i/>
      <w:iCs/>
      <w:color w:val="2E74B5"/>
    </w:rPr>
  </w:style>
  <w:style w:type="character" w:customStyle="1" w:styleId="228">
    <w:name w:val="明显引用 字符"/>
    <w:link w:val="227"/>
    <w:qFormat/>
    <w:uiPriority w:val="30"/>
    <w:rPr>
      <w:i/>
      <w:iCs/>
      <w:color w:val="2E74B5"/>
      <w:kern w:val="2"/>
      <w:sz w:val="21"/>
      <w:szCs w:val="21"/>
    </w:rPr>
  </w:style>
  <w:style w:type="character" w:customStyle="1" w:styleId="229">
    <w:name w:val="Intense Reference"/>
    <w:qFormat/>
    <w:uiPriority w:val="32"/>
    <w:rPr>
      <w:b/>
      <w:bCs/>
      <w:smallCaps/>
      <w:color w:val="2E74B5"/>
      <w:spacing w:val="5"/>
    </w:rPr>
  </w:style>
  <w:style w:type="paragraph" w:customStyle="1" w:styleId="230">
    <w:name w:val="正文缩进1"/>
    <w:basedOn w:val="1"/>
    <w:next w:val="1"/>
    <w:qFormat/>
    <w:uiPriority w:val="0"/>
    <w:pPr>
      <w:ind w:firstLine="42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136</Pages>
  <Words>1715</Words>
  <Characters>1767</Characters>
  <Lines>897</Lines>
  <Paragraphs>252</Paragraphs>
  <TotalTime>5</TotalTime>
  <ScaleCrop>false</ScaleCrop>
  <LinksUpToDate>false</LinksUpToDate>
  <CharactersWithSpaces>1845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2026-03-30T17:29:00Z</dcterms:created>
  <dc:creator>yinjian</dc:creator>
  <cp:lastModifiedBy>容我三思一下下</cp:lastModifiedBy>
  <cp:lastPrinted>2026-04-16T03:05:00Z</cp:lastPrinted>
  <dcterms:modified xsi:type="dcterms:W3CDTF">2026-05-15T05:53:35Z</dcterms:modified>
  <dc:title>招　标　文　件</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F7FC46E2BEFD4C8C87BFCD7D4F1F785A_13</vt:lpwstr>
  </property>
  <property fmtid="{D5CDD505-2E9C-101B-9397-08002B2CF9AE}" pid="4" name="KSOTemplateDocerSaveRecord">
    <vt:lpwstr>eyJoZGlkIjoiMWZiNzU5YTQzM2E2YjZjZTkxMmQ1ZTk5MDAwZTUwYjUiLCJ1c2VySWQiOiIzMzkwMzk5MjgifQ==</vt:lpwstr>
  </property>
</Properties>
</file>