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ECFDD1">
      <w:pPr>
        <w:pStyle w:val="244"/>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bCs/>
          <w:color w:val="000000" w:themeColor="text1"/>
          <w:sz w:val="84"/>
          <w:highlight w:val="none"/>
          <w14:textFill>
            <w14:solidFill>
              <w14:schemeClr w14:val="tx1"/>
            </w14:solidFill>
          </w14:textFill>
        </w:rPr>
      </w:pPr>
    </w:p>
    <w:p w14:paraId="00C91183">
      <w:pPr>
        <w:pStyle w:val="244"/>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bCs/>
          <w:color w:val="000000" w:themeColor="text1"/>
          <w:sz w:val="88"/>
          <w:highlight w:val="none"/>
          <w14:textFill>
            <w14:solidFill>
              <w14:schemeClr w14:val="tx1"/>
            </w14:solidFill>
          </w14:textFill>
        </w:rPr>
      </w:pPr>
      <w:r>
        <w:rPr>
          <w:rFonts w:hint="eastAsia" w:ascii="宋体" w:hAnsi="宋体" w:eastAsia="宋体" w:cs="宋体"/>
          <w:b/>
          <w:bCs/>
          <w:color w:val="000000" w:themeColor="text1"/>
          <w:sz w:val="84"/>
          <w:highlight w:val="none"/>
          <w14:textFill>
            <w14:solidFill>
              <w14:schemeClr w14:val="tx1"/>
            </w14:solidFill>
          </w14:textFill>
        </w:rPr>
        <w:t>竞争性磋商文件</w:t>
      </w:r>
    </w:p>
    <w:p w14:paraId="6ACD6BF3">
      <w:pPr>
        <w:pStyle w:val="244"/>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bCs/>
          <w:color w:val="000000" w:themeColor="text1"/>
          <w:sz w:val="30"/>
          <w:szCs w:val="30"/>
          <w:highlight w:val="none"/>
          <w14:textFill>
            <w14:solidFill>
              <w14:schemeClr w14:val="tx1"/>
            </w14:solidFill>
          </w14:textFill>
        </w:rPr>
      </w:pPr>
    </w:p>
    <w:p w14:paraId="181743EA">
      <w:pPr>
        <w:pStyle w:val="244"/>
        <w:keepNext w:val="0"/>
        <w:keepLines w:val="0"/>
        <w:pageBreakBefore w:val="0"/>
        <w:widowControl w:val="0"/>
        <w:kinsoku/>
        <w:wordWrap/>
        <w:overflowPunct/>
        <w:topLinePunct w:val="0"/>
        <w:autoSpaceDE/>
        <w:autoSpaceDN/>
        <w:bidi w:val="0"/>
        <w:adjustRightInd w:val="0"/>
        <w:snapToGrid/>
        <w:ind w:left="0" w:leftChars="0" w:firstLine="0" w:firstLineChars="0"/>
        <w:jc w:val="both"/>
        <w:textAlignment w:val="baseline"/>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项目名称：地质大数据与智能计算云服务平台基础设施整合与升级项目</w:t>
      </w:r>
    </w:p>
    <w:p w14:paraId="016F4A15">
      <w:pPr>
        <w:pStyle w:val="244"/>
        <w:keepNext w:val="0"/>
        <w:keepLines w:val="0"/>
        <w:pageBreakBefore w:val="0"/>
        <w:widowControl w:val="0"/>
        <w:kinsoku/>
        <w:wordWrap/>
        <w:overflowPunct/>
        <w:topLinePunct w:val="0"/>
        <w:autoSpaceDE/>
        <w:autoSpaceDN/>
        <w:bidi w:val="0"/>
        <w:adjustRightInd w:val="0"/>
        <w:snapToGrid/>
        <w:ind w:left="0" w:leftChars="0" w:firstLine="0" w:firstLineChars="0"/>
        <w:jc w:val="both"/>
        <w:textAlignment w:val="baseline"/>
        <w:rPr>
          <w:rFonts w:hint="default" w:ascii="宋体" w:hAnsi="宋体" w:eastAsia="宋体" w:cs="宋体"/>
          <w:b/>
          <w:bCs/>
          <w:color w:val="000000" w:themeColor="text1"/>
          <w:sz w:val="30"/>
          <w:szCs w:val="30"/>
          <w:highlight w:val="none"/>
          <w:lang w:val="en-US"/>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项目</w:t>
      </w:r>
      <w:r>
        <w:rPr>
          <w:rFonts w:hint="eastAsia" w:ascii="宋体" w:hAnsi="宋体" w:eastAsia="宋体" w:cs="宋体"/>
          <w:b/>
          <w:bCs/>
          <w:color w:val="000000" w:themeColor="text1"/>
          <w:sz w:val="30"/>
          <w:szCs w:val="30"/>
          <w:highlight w:val="none"/>
          <w14:textFill>
            <w14:solidFill>
              <w14:schemeClr w14:val="tx1"/>
            </w14:solidFill>
          </w14:textFill>
        </w:rPr>
        <w:t>编号：</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CS202</w:t>
      </w:r>
      <w:r>
        <w:rPr>
          <w:rFonts w:hint="eastAsia" w:ascii="宋体" w:hAnsi="宋体" w:cs="宋体"/>
          <w:b/>
          <w:bCs/>
          <w:color w:val="000000" w:themeColor="text1"/>
          <w:sz w:val="30"/>
          <w:szCs w:val="30"/>
          <w:highlight w:val="none"/>
          <w:lang w:val="en-US" w:eastAsia="zh-CN"/>
          <w14:textFill>
            <w14:solidFill>
              <w14:schemeClr w14:val="tx1"/>
            </w14:solidFill>
          </w14:textFill>
        </w:rPr>
        <w:t>6</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w:t>
      </w:r>
      <w:r>
        <w:rPr>
          <w:rFonts w:hint="eastAsia" w:ascii="宋体" w:hAnsi="宋体" w:cs="宋体"/>
          <w:b/>
          <w:bCs/>
          <w:color w:val="000000" w:themeColor="text1"/>
          <w:sz w:val="30"/>
          <w:szCs w:val="30"/>
          <w:highlight w:val="none"/>
          <w:lang w:val="en-US" w:eastAsia="zh-CN"/>
          <w14:textFill>
            <w14:solidFill>
              <w14:schemeClr w14:val="tx1"/>
            </w14:solidFill>
          </w14:textFill>
        </w:rPr>
        <w:t>021</w:t>
      </w:r>
    </w:p>
    <w:p w14:paraId="46B59ADB">
      <w:pPr>
        <w:pStyle w:val="244"/>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ascii="宋体" w:hAnsi="宋体" w:eastAsia="宋体" w:cs="宋体"/>
          <w:b/>
          <w:bCs/>
          <w:color w:val="000000" w:themeColor="text1"/>
          <w:sz w:val="30"/>
          <w:szCs w:val="30"/>
          <w:highlight w:val="none"/>
          <w14:textFill>
            <w14:solidFill>
              <w14:schemeClr w14:val="tx1"/>
            </w14:solidFill>
          </w14:textFill>
        </w:rPr>
      </w:pPr>
    </w:p>
    <w:tbl>
      <w:tblPr>
        <w:tblStyle w:val="5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6806"/>
      </w:tblGrid>
      <w:tr w14:paraId="680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993" w:type="pct"/>
            <w:noWrap w:val="0"/>
            <w:vAlign w:val="center"/>
          </w:tcPr>
          <w:p w14:paraId="2E281413">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w:t>
            </w:r>
          </w:p>
          <w:p w14:paraId="1A10C03B">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审核意见</w:t>
            </w:r>
          </w:p>
        </w:tc>
        <w:tc>
          <w:tcPr>
            <w:tcW w:w="4006" w:type="pct"/>
            <w:noWrap w:val="0"/>
            <w:vAlign w:val="top"/>
          </w:tcPr>
          <w:p w14:paraId="6F6D4ADD">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w:t>
            </w:r>
          </w:p>
          <w:p w14:paraId="626E6EE1">
            <w:pPr>
              <w:rPr>
                <w:rFonts w:hint="eastAsia" w:ascii="宋体" w:hAnsi="宋体" w:eastAsia="宋体" w:cs="宋体"/>
                <w:color w:val="000000" w:themeColor="text1"/>
                <w:sz w:val="28"/>
                <w:szCs w:val="28"/>
                <w:highlight w:val="none"/>
                <w14:textFill>
                  <w14:solidFill>
                    <w14:schemeClr w14:val="tx1"/>
                  </w14:solidFill>
                </w14:textFill>
              </w:rPr>
            </w:pPr>
          </w:p>
          <w:p w14:paraId="2EEAC3C4">
            <w:pPr>
              <w:ind w:firstLine="4200" w:firstLineChars="15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采购人签章：</w:t>
            </w:r>
          </w:p>
          <w:p w14:paraId="28C73820">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年  月  日</w:t>
            </w:r>
          </w:p>
        </w:tc>
      </w:tr>
      <w:tr w14:paraId="1857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993" w:type="pct"/>
            <w:noWrap w:val="0"/>
            <w:vAlign w:val="center"/>
          </w:tcPr>
          <w:p w14:paraId="51A0835F">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内控监督</w:t>
            </w:r>
            <w:r>
              <w:rPr>
                <w:rFonts w:hint="eastAsia" w:ascii="宋体" w:hAnsi="宋体" w:eastAsia="宋体" w:cs="宋体"/>
                <w:color w:val="000000" w:themeColor="text1"/>
                <w:sz w:val="28"/>
                <w:szCs w:val="28"/>
                <w:highlight w:val="none"/>
                <w14:textFill>
                  <w14:solidFill>
                    <w14:schemeClr w14:val="tx1"/>
                  </w14:solidFill>
                </w14:textFill>
              </w:rPr>
              <w:t>部</w:t>
            </w:r>
          </w:p>
          <w:p w14:paraId="6BA512A8">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审核意见</w:t>
            </w:r>
          </w:p>
        </w:tc>
        <w:tc>
          <w:tcPr>
            <w:tcW w:w="4006" w:type="pct"/>
            <w:noWrap w:val="0"/>
            <w:vAlign w:val="top"/>
          </w:tcPr>
          <w:p w14:paraId="171A6159">
            <w:pPr>
              <w:ind w:firstLine="4620" w:firstLineChars="1650"/>
              <w:rPr>
                <w:rFonts w:hint="eastAsia" w:ascii="宋体" w:hAnsi="宋体" w:eastAsia="宋体" w:cs="宋体"/>
                <w:color w:val="000000" w:themeColor="text1"/>
                <w:sz w:val="28"/>
                <w:szCs w:val="28"/>
                <w:highlight w:val="none"/>
                <w14:textFill>
                  <w14:solidFill>
                    <w14:schemeClr w14:val="tx1"/>
                  </w14:solidFill>
                </w14:textFill>
              </w:rPr>
            </w:pPr>
          </w:p>
          <w:p w14:paraId="1A533A73">
            <w:pPr>
              <w:ind w:firstLine="4200" w:firstLineChars="15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审核人签章：</w:t>
            </w:r>
          </w:p>
          <w:p w14:paraId="7ADB8679">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  月  日</w:t>
            </w:r>
          </w:p>
        </w:tc>
      </w:tr>
    </w:tbl>
    <w:p w14:paraId="65483FC7">
      <w:pPr>
        <w:pStyle w:val="244"/>
        <w:keepNext w:val="0"/>
        <w:keepLines w:val="0"/>
        <w:pageBreakBefore w:val="0"/>
        <w:widowControl w:val="0"/>
        <w:kinsoku/>
        <w:wordWrap/>
        <w:overflowPunct/>
        <w:topLinePunct w:val="0"/>
        <w:autoSpaceDE/>
        <w:autoSpaceDN/>
        <w:bidi w:val="0"/>
        <w:adjustRightInd w:val="0"/>
        <w:snapToGrid/>
        <w:ind w:firstLine="0"/>
        <w:jc w:val="center"/>
        <w:textAlignment w:val="baseline"/>
        <w:rPr>
          <w:rFonts w:hint="eastAsia" w:ascii="宋体" w:hAnsi="宋体" w:eastAsia="宋体" w:cs="宋体"/>
          <w:b/>
          <w:bCs/>
          <w:color w:val="000000" w:themeColor="text1"/>
          <w:sz w:val="32"/>
          <w:highlight w:val="none"/>
          <w14:textFill>
            <w14:solidFill>
              <w14:schemeClr w14:val="tx1"/>
            </w14:solidFill>
          </w14:textFill>
        </w:rPr>
      </w:pPr>
    </w:p>
    <w:p w14:paraId="1C2B17C8">
      <w:pPr>
        <w:pStyle w:val="244"/>
        <w:keepNext w:val="0"/>
        <w:keepLines w:val="0"/>
        <w:pageBreakBefore w:val="0"/>
        <w:widowControl w:val="0"/>
        <w:kinsoku/>
        <w:wordWrap/>
        <w:overflowPunct/>
        <w:topLinePunct w:val="0"/>
        <w:autoSpaceDE/>
        <w:autoSpaceDN/>
        <w:bidi w:val="0"/>
        <w:adjustRightInd w:val="0"/>
        <w:snapToGrid/>
        <w:ind w:firstLine="0"/>
        <w:jc w:val="center"/>
        <w:textAlignment w:val="baseline"/>
        <w:rPr>
          <w:rFonts w:hint="eastAsia" w:ascii="宋体" w:hAnsi="宋体" w:eastAsia="宋体" w:cs="宋体"/>
          <w:b/>
          <w:bCs/>
          <w:color w:val="000000" w:themeColor="text1"/>
          <w:sz w:val="32"/>
          <w:highlight w:val="none"/>
          <w14:textFill>
            <w14:solidFill>
              <w14:schemeClr w14:val="tx1"/>
            </w14:solidFill>
          </w14:textFill>
        </w:rPr>
      </w:pPr>
    </w:p>
    <w:p w14:paraId="2FC4D7D9">
      <w:pPr>
        <w:pStyle w:val="244"/>
        <w:keepNext w:val="0"/>
        <w:keepLines w:val="0"/>
        <w:pageBreakBefore w:val="0"/>
        <w:widowControl w:val="0"/>
        <w:kinsoku/>
        <w:wordWrap/>
        <w:overflowPunct/>
        <w:topLinePunct w:val="0"/>
        <w:autoSpaceDE/>
        <w:autoSpaceDN/>
        <w:bidi w:val="0"/>
        <w:adjustRightInd w:val="0"/>
        <w:snapToGrid/>
        <w:ind w:firstLine="0"/>
        <w:jc w:val="center"/>
        <w:textAlignment w:val="baseline"/>
        <w:rPr>
          <w:rFonts w:hint="eastAsia" w:ascii="宋体" w:hAnsi="宋体" w:eastAsia="宋体" w:cs="宋体"/>
          <w:b/>
          <w:bCs/>
          <w:color w:val="000000" w:themeColor="text1"/>
          <w:sz w:val="32"/>
          <w:highlight w:val="none"/>
          <w:lang w:eastAsia="zh-CN"/>
          <w14:textFill>
            <w14:solidFill>
              <w14:schemeClr w14:val="tx1"/>
            </w14:solidFill>
          </w14:textFill>
        </w:rPr>
      </w:pPr>
      <w:r>
        <w:rPr>
          <w:rFonts w:hint="eastAsia" w:ascii="宋体" w:hAnsi="宋体" w:eastAsia="宋体" w:cs="宋体"/>
          <w:b/>
          <w:bCs/>
          <w:color w:val="000000" w:themeColor="text1"/>
          <w:sz w:val="32"/>
          <w:highlight w:val="none"/>
          <w:lang w:eastAsia="zh-CN"/>
          <w14:textFill>
            <w14:solidFill>
              <w14:schemeClr w14:val="tx1"/>
            </w14:solidFill>
          </w14:textFill>
        </w:rPr>
        <w:t>新疆维吾尔自治区公共资源交易中心</w:t>
      </w:r>
    </w:p>
    <w:p w14:paraId="1FC454A4">
      <w:pPr>
        <w:pStyle w:val="244"/>
        <w:keepNext w:val="0"/>
        <w:keepLines w:val="0"/>
        <w:pageBreakBefore w:val="0"/>
        <w:widowControl w:val="0"/>
        <w:kinsoku/>
        <w:wordWrap/>
        <w:overflowPunct/>
        <w:topLinePunct w:val="0"/>
        <w:autoSpaceDE/>
        <w:autoSpaceDN/>
        <w:bidi w:val="0"/>
        <w:adjustRightInd w:val="0"/>
        <w:snapToGrid/>
        <w:ind w:firstLine="0"/>
        <w:jc w:val="center"/>
        <w:textAlignment w:val="baseline"/>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highlight w:val="none"/>
          <w:lang w:eastAsia="zh-CN"/>
          <w14:textFill>
            <w14:solidFill>
              <w14:schemeClr w14:val="tx1"/>
            </w14:solidFill>
          </w14:textFill>
        </w:rPr>
        <w:t>202</w:t>
      </w:r>
      <w:r>
        <w:rPr>
          <w:rFonts w:hint="eastAsia" w:ascii="宋体" w:hAnsi="宋体" w:eastAsia="宋体" w:cs="宋体"/>
          <w:b/>
          <w:bCs/>
          <w:color w:val="000000" w:themeColor="text1"/>
          <w:sz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highlight w:val="none"/>
          <w14:textFill>
            <w14:solidFill>
              <w14:schemeClr w14:val="tx1"/>
            </w14:solidFill>
          </w14:textFill>
        </w:rPr>
        <w:t>年</w:t>
      </w:r>
      <w:r>
        <w:rPr>
          <w:rFonts w:hint="eastAsia" w:ascii="宋体" w:hAnsi="宋体" w:eastAsia="宋体" w:cs="宋体"/>
          <w:b/>
          <w:bCs/>
          <w:color w:val="000000" w:themeColor="text1"/>
          <w:sz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highlight w:val="none"/>
          <w14:textFill>
            <w14:solidFill>
              <w14:schemeClr w14:val="tx1"/>
            </w14:solidFill>
          </w14:textFill>
        </w:rPr>
        <w:t>月</w:t>
      </w:r>
      <w:r>
        <w:rPr>
          <w:rFonts w:hint="eastAsia" w:ascii="宋体" w:hAnsi="宋体" w:cs="宋体"/>
          <w:b/>
          <w:bCs/>
          <w:color w:val="000000" w:themeColor="text1"/>
          <w:sz w:val="32"/>
          <w:highlight w:val="none"/>
          <w:lang w:val="en-US" w:eastAsia="zh-CN"/>
          <w14:textFill>
            <w14:solidFill>
              <w14:schemeClr w14:val="tx1"/>
            </w14:solidFill>
          </w14:textFill>
        </w:rPr>
        <w:t>24</w:t>
      </w:r>
      <w:r>
        <w:rPr>
          <w:rFonts w:hint="eastAsia" w:ascii="宋体" w:hAnsi="宋体" w:eastAsia="宋体" w:cs="宋体"/>
          <w:b/>
          <w:bCs/>
          <w:color w:val="000000" w:themeColor="text1"/>
          <w:sz w:val="32"/>
          <w:highlight w:val="none"/>
          <w14:textFill>
            <w14:solidFill>
              <w14:schemeClr w14:val="tx1"/>
            </w14:solidFill>
          </w14:textFill>
        </w:rPr>
        <w:t>日</w:t>
      </w:r>
    </w:p>
    <w:p w14:paraId="2CE2CB67">
      <w:pPr>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highlight w:val="none"/>
          <w14:textFill>
            <w14:solidFill>
              <w14:schemeClr w14:val="tx1"/>
            </w14:solidFill>
          </w14:textFill>
        </w:rPr>
        <w:br w:type="page"/>
      </w:r>
    </w:p>
    <w:p w14:paraId="786F25C0">
      <w:pPr>
        <w:spacing w:line="480" w:lineRule="auto"/>
        <w:jc w:val="center"/>
        <w:outlineLvl w:val="0"/>
        <w:rPr>
          <w:rFonts w:hint="eastAsia" w:ascii="宋体" w:hAnsi="宋体" w:eastAsia="宋体" w:cs="宋体"/>
          <w:b/>
          <w:color w:val="000000" w:themeColor="text1"/>
          <w:sz w:val="44"/>
          <w:highlight w:val="none"/>
          <w14:textFill>
            <w14:solidFill>
              <w14:schemeClr w14:val="tx1"/>
            </w14:solidFill>
          </w14:textFill>
        </w:rPr>
      </w:pPr>
      <w:bookmarkStart w:id="0" w:name="_Toc16928"/>
      <w:bookmarkStart w:id="1" w:name="_Toc120614210"/>
      <w:bookmarkStart w:id="2" w:name="_Toc20823272"/>
      <w:bookmarkStart w:id="3" w:name="_Toc523127445"/>
      <w:bookmarkStart w:id="4" w:name="_Toc479757206"/>
      <w:bookmarkStart w:id="5" w:name="_Toc16938516"/>
      <w:bookmarkStart w:id="6" w:name="_Toc513029200"/>
      <w:r>
        <w:rPr>
          <w:rFonts w:hint="eastAsia" w:ascii="宋体" w:hAnsi="宋体" w:eastAsia="宋体" w:cs="宋体"/>
          <w:b/>
          <w:color w:val="000000" w:themeColor="text1"/>
          <w:sz w:val="44"/>
          <w:highlight w:val="none"/>
          <w14:textFill>
            <w14:solidFill>
              <w14:schemeClr w14:val="tx1"/>
            </w14:solidFill>
          </w14:textFill>
        </w:rPr>
        <w:t>总  目  录</w:t>
      </w:r>
      <w:bookmarkEnd w:id="0"/>
    </w:p>
    <w:p w14:paraId="793DA5F1">
      <w:pPr>
        <w:spacing w:line="480" w:lineRule="auto"/>
        <w:rPr>
          <w:rFonts w:hint="eastAsia" w:ascii="宋体" w:hAnsi="宋体" w:eastAsia="宋体" w:cs="宋体"/>
          <w:b/>
          <w:color w:val="000000" w:themeColor="text1"/>
          <w:sz w:val="28"/>
          <w:highlight w:val="none"/>
          <w14:textFill>
            <w14:solidFill>
              <w14:schemeClr w14:val="tx1"/>
            </w14:solidFill>
          </w14:textFill>
        </w:rPr>
      </w:pPr>
    </w:p>
    <w:p w14:paraId="11036EA2">
      <w:pPr>
        <w:pStyle w:val="33"/>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TOC \o "1-1" \h \z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begin"/>
      </w:r>
      <w:r>
        <w:rPr>
          <w:rFonts w:hint="eastAsia" w:ascii="宋体" w:hAnsi="宋体" w:eastAsia="宋体" w:cs="宋体"/>
          <w:caps/>
          <w:color w:val="000000" w:themeColor="text1"/>
          <w:szCs w:val="44"/>
          <w:highlight w:val="none"/>
          <w:lang w:val="en-US" w:eastAsia="zh-CN"/>
          <w14:textFill>
            <w14:solidFill>
              <w14:schemeClr w14:val="tx1"/>
            </w14:solidFill>
          </w14:textFill>
        </w:rPr>
        <w:instrText xml:space="preserve"> HYPERLINK \l _Toc16928 </w:instrText>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separate"/>
      </w:r>
      <w:r>
        <w:rPr>
          <w:rFonts w:hint="eastAsia" w:ascii="宋体" w:hAnsi="宋体" w:eastAsia="宋体" w:cs="宋体"/>
          <w:caps/>
          <w:color w:val="000000" w:themeColor="text1"/>
          <w:szCs w:val="44"/>
          <w:highlight w:val="none"/>
          <w:lang w:val="en-US" w:eastAsia="zh-CN"/>
          <w14:textFill>
            <w14:solidFill>
              <w14:schemeClr w14:val="tx1"/>
            </w14:solidFill>
          </w14:textFill>
        </w:rPr>
        <w:t>总  目  录</w:t>
      </w:r>
      <w:r>
        <w:rPr>
          <w:rFonts w:hint="eastAsia" w:ascii="宋体" w:hAnsi="宋体" w:eastAsia="宋体" w:cs="宋体"/>
          <w:caps/>
          <w:color w:val="000000" w:themeColor="text1"/>
          <w:szCs w:val="44"/>
          <w:highlight w:val="none"/>
          <w:lang w:val="en-US" w:eastAsia="zh-CN"/>
          <w14:textFill>
            <w14:solidFill>
              <w14:schemeClr w14:val="tx1"/>
            </w14:solidFill>
          </w14:textFill>
        </w:rPr>
        <w:tab/>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begin"/>
      </w:r>
      <w:r>
        <w:rPr>
          <w:rFonts w:hint="eastAsia" w:ascii="宋体" w:hAnsi="宋体" w:eastAsia="宋体" w:cs="宋体"/>
          <w:caps/>
          <w:color w:val="000000" w:themeColor="text1"/>
          <w:szCs w:val="44"/>
          <w:highlight w:val="none"/>
          <w:lang w:val="en-US" w:eastAsia="zh-CN"/>
          <w14:textFill>
            <w14:solidFill>
              <w14:schemeClr w14:val="tx1"/>
            </w14:solidFill>
          </w14:textFill>
        </w:rPr>
        <w:instrText xml:space="preserve"> PAGEREF _Toc16928 </w:instrText>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separate"/>
      </w:r>
      <w:r>
        <w:rPr>
          <w:rFonts w:hint="eastAsia" w:ascii="宋体" w:hAnsi="宋体" w:eastAsia="宋体" w:cs="宋体"/>
          <w:caps/>
          <w:color w:val="000000" w:themeColor="text1"/>
          <w:szCs w:val="44"/>
          <w:highlight w:val="none"/>
          <w:lang w:val="en-US" w:eastAsia="zh-CN"/>
          <w14:textFill>
            <w14:solidFill>
              <w14:schemeClr w14:val="tx1"/>
            </w14:solidFill>
          </w14:textFill>
        </w:rPr>
        <w:t>1</w:t>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end"/>
      </w:r>
      <w:r>
        <w:rPr>
          <w:rFonts w:hint="eastAsia" w:ascii="宋体" w:hAnsi="宋体" w:eastAsia="宋体" w:cs="宋体"/>
          <w:caps/>
          <w:color w:val="000000" w:themeColor="text1"/>
          <w:szCs w:val="44"/>
          <w:highlight w:val="none"/>
          <w:lang w:val="en-US" w:eastAsia="zh-CN"/>
          <w14:textFill>
            <w14:solidFill>
              <w14:schemeClr w14:val="tx1"/>
            </w14:solidFill>
          </w14:textFill>
        </w:rPr>
        <w:fldChar w:fldCharType="end"/>
      </w:r>
    </w:p>
    <w:p w14:paraId="6B4EA67B">
      <w:pPr>
        <w:pStyle w:val="33"/>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_Toc20817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44"/>
          <w:highlight w:val="none"/>
          <w14:textFill>
            <w14:solidFill>
              <w14:schemeClr w14:val="tx1"/>
            </w14:solidFill>
          </w14:textFill>
        </w:rPr>
        <w:t>第一章  采购邀请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_Toc20817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4A8ABF7">
      <w:pPr>
        <w:pStyle w:val="33"/>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_Toc23171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44"/>
          <w:highlight w:val="none"/>
          <w14:textFill>
            <w14:solidFill>
              <w14:schemeClr w14:val="tx1"/>
            </w14:solidFill>
          </w14:textFill>
        </w:rPr>
        <w:t>第二章  磋商须知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_Toc23171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BB2F6FA">
      <w:pPr>
        <w:pStyle w:val="33"/>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_Toc10955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aps/>
          <w:color w:val="000000" w:themeColor="text1"/>
          <w:szCs w:val="44"/>
          <w:highlight w:val="none"/>
          <w:lang w:val="en-US" w:eastAsia="zh-CN"/>
          <w14:textFill>
            <w14:solidFill>
              <w14:schemeClr w14:val="tx1"/>
            </w14:solidFill>
          </w14:textFill>
        </w:rPr>
        <w:t>第三章  合同条款及格式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_Toc10955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3D97602">
      <w:pPr>
        <w:pStyle w:val="33"/>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 xml:space="preserve">第四章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项目需求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7048AFA">
      <w:pPr>
        <w:pStyle w:val="33"/>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_Toc8943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第五章  评审方法与评审标准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_Toc8943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CBC3959">
      <w:pPr>
        <w:pStyle w:val="33"/>
        <w:tabs>
          <w:tab w:val="right" w:leader="dot" w:pos="9451"/>
          <w:tab w:val="clear" w:pos="87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_Toc19460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第六章  响应文件的组成和格式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_Toc19460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DB7D18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p w14:paraId="79254260">
      <w:pPr>
        <w:rPr>
          <w:rFonts w:hint="eastAsia" w:ascii="宋体" w:hAnsi="宋体" w:eastAsia="宋体" w:cs="宋体"/>
          <w:color w:val="000000" w:themeColor="text1"/>
          <w:highlight w:val="none"/>
          <w14:textFill>
            <w14:solidFill>
              <w14:schemeClr w14:val="tx1"/>
            </w14:solidFill>
          </w14:textFill>
        </w:rPr>
      </w:pPr>
    </w:p>
    <w:p w14:paraId="20B5FE8E">
      <w:pPr>
        <w:rPr>
          <w:rFonts w:hint="eastAsia" w:ascii="宋体" w:hAnsi="宋体" w:eastAsia="宋体" w:cs="宋体"/>
          <w:color w:val="000000" w:themeColor="text1"/>
          <w:highlight w:val="none"/>
          <w14:textFill>
            <w14:solidFill>
              <w14:schemeClr w14:val="tx1"/>
            </w14:solidFill>
          </w14:textFill>
        </w:rPr>
      </w:pPr>
    </w:p>
    <w:p w14:paraId="5F426434">
      <w:pPr>
        <w:rPr>
          <w:rFonts w:hint="eastAsia" w:ascii="宋体" w:hAnsi="宋体" w:eastAsia="宋体" w:cs="宋体"/>
          <w:color w:val="000000" w:themeColor="text1"/>
          <w:highlight w:val="none"/>
          <w14:textFill>
            <w14:solidFill>
              <w14:schemeClr w14:val="tx1"/>
            </w14:solidFill>
          </w14:textFill>
        </w:rPr>
      </w:pPr>
    </w:p>
    <w:p w14:paraId="7A85CBE5">
      <w:pPr>
        <w:rPr>
          <w:rFonts w:hint="eastAsia" w:ascii="宋体" w:hAnsi="宋体" w:eastAsia="宋体" w:cs="宋体"/>
          <w:color w:val="000000" w:themeColor="text1"/>
          <w:highlight w:val="none"/>
          <w14:textFill>
            <w14:solidFill>
              <w14:schemeClr w14:val="tx1"/>
            </w14:solidFill>
          </w14:textFill>
        </w:rPr>
      </w:pPr>
    </w:p>
    <w:p w14:paraId="4AF40A4E">
      <w:pPr>
        <w:rPr>
          <w:rFonts w:hint="eastAsia" w:ascii="宋体" w:hAnsi="宋体" w:eastAsia="宋体" w:cs="宋体"/>
          <w:color w:val="000000" w:themeColor="text1"/>
          <w:highlight w:val="none"/>
          <w14:textFill>
            <w14:solidFill>
              <w14:schemeClr w14:val="tx1"/>
            </w14:solidFill>
          </w14:textFill>
        </w:rPr>
      </w:pPr>
    </w:p>
    <w:p w14:paraId="4C4ABD31">
      <w:pPr>
        <w:rPr>
          <w:rFonts w:hint="eastAsia" w:ascii="宋体" w:hAnsi="宋体" w:eastAsia="宋体" w:cs="宋体"/>
          <w:color w:val="000000" w:themeColor="text1"/>
          <w:highlight w:val="none"/>
          <w14:textFill>
            <w14:solidFill>
              <w14:schemeClr w14:val="tx1"/>
            </w14:solidFill>
          </w14:textFill>
        </w:rPr>
      </w:pPr>
    </w:p>
    <w:p w14:paraId="19C5B62E">
      <w:pPr>
        <w:rPr>
          <w:rFonts w:hint="eastAsia" w:ascii="宋体" w:hAnsi="宋体" w:eastAsia="宋体" w:cs="宋体"/>
          <w:color w:val="000000" w:themeColor="text1"/>
          <w:highlight w:val="none"/>
          <w14:textFill>
            <w14:solidFill>
              <w14:schemeClr w14:val="tx1"/>
            </w14:solidFill>
          </w14:textFill>
        </w:rPr>
      </w:pPr>
    </w:p>
    <w:p w14:paraId="0AC8C90F">
      <w:pPr>
        <w:rPr>
          <w:rFonts w:hint="eastAsia" w:ascii="宋体" w:hAnsi="宋体" w:eastAsia="宋体" w:cs="宋体"/>
          <w:color w:val="000000" w:themeColor="text1"/>
          <w:highlight w:val="none"/>
          <w14:textFill>
            <w14:solidFill>
              <w14:schemeClr w14:val="tx1"/>
            </w14:solidFill>
          </w14:textFill>
        </w:rPr>
      </w:pPr>
    </w:p>
    <w:p w14:paraId="30CE38E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38809AE">
      <w:pPr>
        <w:pStyle w:val="3"/>
        <w:numPr>
          <w:ilvl w:val="0"/>
          <w:numId w:val="10"/>
        </w:numPr>
        <w:rPr>
          <w:rFonts w:hint="eastAsia" w:ascii="宋体" w:hAnsi="宋体" w:eastAsia="宋体" w:cs="宋体"/>
          <w:b/>
          <w:bCs/>
          <w:color w:val="000000" w:themeColor="text1"/>
          <w:sz w:val="44"/>
          <w:szCs w:val="44"/>
          <w:highlight w:val="none"/>
          <w14:textFill>
            <w14:solidFill>
              <w14:schemeClr w14:val="tx1"/>
            </w14:solidFill>
          </w14:textFill>
        </w:rPr>
      </w:pPr>
      <w:bookmarkStart w:id="7" w:name="_Toc20817"/>
      <w:r>
        <w:rPr>
          <w:rFonts w:hint="eastAsia" w:ascii="宋体" w:hAnsi="宋体" w:eastAsia="宋体" w:cs="宋体"/>
          <w:b/>
          <w:bCs/>
          <w:color w:val="000000" w:themeColor="text1"/>
          <w:sz w:val="44"/>
          <w:szCs w:val="44"/>
          <w:highlight w:val="none"/>
          <w14:textFill>
            <w14:solidFill>
              <w14:schemeClr w14:val="tx1"/>
            </w14:solidFill>
          </w14:textFill>
        </w:rPr>
        <w:t xml:space="preserve"> </w:t>
      </w:r>
      <w:bookmarkEnd w:id="1"/>
      <w:r>
        <w:rPr>
          <w:rFonts w:hint="eastAsia" w:ascii="宋体" w:hAnsi="宋体" w:eastAsia="宋体" w:cs="宋体"/>
          <w:b/>
          <w:bCs/>
          <w:color w:val="000000" w:themeColor="text1"/>
          <w:sz w:val="44"/>
          <w:szCs w:val="44"/>
          <w:highlight w:val="none"/>
          <w:lang w:val="en-US" w:eastAsia="zh-CN"/>
          <w14:textFill>
            <w14:solidFill>
              <w14:schemeClr w14:val="tx1"/>
            </w14:solidFill>
          </w14:textFill>
        </w:rPr>
        <w:t>磋商</w:t>
      </w:r>
      <w:r>
        <w:rPr>
          <w:rFonts w:hint="eastAsia" w:ascii="宋体" w:hAnsi="宋体" w:eastAsia="宋体" w:cs="宋体"/>
          <w:b/>
          <w:bCs/>
          <w:color w:val="000000" w:themeColor="text1"/>
          <w:sz w:val="44"/>
          <w:szCs w:val="44"/>
          <w:highlight w:val="none"/>
          <w14:textFill>
            <w14:solidFill>
              <w14:schemeClr w14:val="tx1"/>
            </w14:solidFill>
          </w14:textFill>
        </w:rPr>
        <w:t>邀请</w:t>
      </w:r>
      <w:bookmarkEnd w:id="7"/>
    </w:p>
    <w:p w14:paraId="63EDE5D1">
      <w:pPr>
        <w:numPr>
          <w:ilvl w:val="0"/>
          <w:numId w:val="0"/>
        </w:numPr>
        <w:rPr>
          <w:rFonts w:hint="eastAsia"/>
          <w:color w:val="000000" w:themeColor="text1"/>
          <w:highlight w:val="none"/>
          <w14:textFill>
            <w14:solidFill>
              <w14:schemeClr w14:val="tx1"/>
            </w14:solidFill>
          </w14:textFill>
        </w:rPr>
      </w:pPr>
    </w:p>
    <w:p w14:paraId="7F36ACD0">
      <w:pPr>
        <w:tabs>
          <w:tab w:val="right" w:pos="8252"/>
        </w:tabs>
        <w:ind w:firstLine="480"/>
        <w:rPr>
          <w:rFonts w:hint="eastAsia" w:ascii="宋体" w:hAnsi="宋体" w:eastAsia="宋体" w:cs="宋体"/>
          <w:color w:val="000000" w:themeColor="text1"/>
          <w:szCs w:val="24"/>
          <w:highlight w:val="none"/>
          <w14:textFill>
            <w14:solidFill>
              <w14:schemeClr w14:val="tx1"/>
            </w14:solidFill>
          </w14:textFill>
        </w:rPr>
      </w:pPr>
      <w:bookmarkStart w:id="8" w:name="_Toc10343"/>
      <w:bookmarkStart w:id="9" w:name="_Toc485207343"/>
      <w:bookmarkStart w:id="10" w:name="_Toc11558"/>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szCs w:val="24"/>
          <w:highlight w:val="none"/>
          <w14:textFill>
            <w14:solidFill>
              <w14:schemeClr w14:val="tx1"/>
            </w14:solidFill>
          </w14:textFill>
        </w:rPr>
        <w:t>受</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新疆维吾尔自治区地质局数字地质中心 </w:t>
      </w:r>
      <w:r>
        <w:rPr>
          <w:rFonts w:hint="eastAsia" w:ascii="宋体" w:hAnsi="宋体" w:eastAsia="宋体" w:cs="宋体"/>
          <w:color w:val="000000" w:themeColor="text1"/>
          <w:szCs w:val="24"/>
          <w:highlight w:val="none"/>
          <w14:textFill>
            <w14:solidFill>
              <w14:schemeClr w14:val="tx1"/>
            </w14:solidFill>
          </w14:textFill>
        </w:rPr>
        <w:t>的委托，决定就该单位所需的</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地质大数据与智能计算云服务平台基础设施整合与升级项目 </w:t>
      </w:r>
      <w:r>
        <w:rPr>
          <w:rFonts w:hint="eastAsia" w:ascii="宋体" w:hAnsi="宋体" w:eastAsia="宋体" w:cs="宋体"/>
          <w:color w:val="000000" w:themeColor="text1"/>
          <w:szCs w:val="24"/>
          <w:highlight w:val="none"/>
          <w14:textFill>
            <w14:solidFill>
              <w14:schemeClr w14:val="tx1"/>
            </w14:solidFill>
          </w14:textFill>
        </w:rPr>
        <w:t>实施竞争性磋商采购，欢迎符合相关条件的合格供应商参加磋商。</w:t>
      </w:r>
    </w:p>
    <w:bookmarkEnd w:id="8"/>
    <w:bookmarkEnd w:id="9"/>
    <w:bookmarkEnd w:id="10"/>
    <w:p w14:paraId="60897D89">
      <w:pPr>
        <w:pStyle w:val="5"/>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bookmarkStart w:id="11" w:name="_Toc485207345"/>
      <w:bookmarkStart w:id="12" w:name="_Toc25750"/>
      <w:bookmarkStart w:id="13" w:name="_Toc12926"/>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一、项目基本情况</w:t>
      </w:r>
    </w:p>
    <w:p w14:paraId="111779DD">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1.项目名称：地质大数据与智能计算云服务平台基础设施整合与升级项目</w:t>
      </w:r>
    </w:p>
    <w:p w14:paraId="40C7649C">
      <w:pPr>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2.项目编号：</w:t>
      </w:r>
      <w:r>
        <w:rPr>
          <w:rFonts w:hint="eastAsia" w:ascii="宋体" w:hAnsi="宋体" w:eastAsia="宋体" w:cs="宋体"/>
          <w:color w:val="000000" w:themeColor="text1"/>
          <w:highlight w:val="none"/>
          <w:lang w:val="en-US" w:eastAsia="zh-CN"/>
          <w14:textFill>
            <w14:solidFill>
              <w14:schemeClr w14:val="tx1"/>
            </w14:solidFill>
          </w14:textFill>
        </w:rPr>
        <w:t>CS</w:t>
      </w:r>
      <w:r>
        <w:rPr>
          <w:rFonts w:hint="eastAsia" w:ascii="宋体" w:hAnsi="宋体" w:eastAsia="宋体" w:cs="宋体"/>
          <w:color w:val="000000" w:themeColor="text1"/>
          <w:highlight w:val="none"/>
          <w:lang w:eastAsia="zh-CN"/>
          <w14:textFill>
            <w14:solidFill>
              <w14:schemeClr w14:val="tx1"/>
            </w14:solidFill>
          </w14:textFill>
        </w:rPr>
        <w:t>202</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021</w:t>
      </w:r>
    </w:p>
    <w:p w14:paraId="02C48602">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3.预算金额：</w:t>
      </w:r>
      <w:r>
        <w:rPr>
          <w:rFonts w:hint="eastAsia" w:ascii="宋体" w:hAnsi="宋体" w:cs="宋体"/>
          <w:color w:val="000000" w:themeColor="text1"/>
          <w:highlight w:val="none"/>
          <w:lang w:val="en-US" w:eastAsia="zh-CN"/>
          <w14:textFill>
            <w14:solidFill>
              <w14:schemeClr w14:val="tx1"/>
            </w14:solidFill>
          </w14:textFill>
        </w:rPr>
        <w:t>85.5</w:t>
      </w:r>
      <w:r>
        <w:rPr>
          <w:rFonts w:hint="eastAsia" w:ascii="宋体" w:hAnsi="宋体" w:eastAsia="宋体" w:cs="宋体"/>
          <w:color w:val="000000" w:themeColor="text1"/>
          <w:highlight w:val="none"/>
          <w:lang w:val="en-US" w:eastAsia="zh-CN"/>
          <w14:textFill>
            <w14:solidFill>
              <w14:schemeClr w14:val="tx1"/>
            </w14:solidFill>
          </w14:textFill>
        </w:rPr>
        <w:t>万</w:t>
      </w:r>
      <w:r>
        <w:rPr>
          <w:rFonts w:hint="eastAsia" w:ascii="宋体" w:hAnsi="宋体" w:eastAsia="宋体" w:cs="宋体"/>
          <w:color w:val="000000" w:themeColor="text1"/>
          <w:highlight w:val="none"/>
          <w14:textFill>
            <w14:solidFill>
              <w14:schemeClr w14:val="tx1"/>
            </w14:solidFill>
          </w14:textFill>
        </w:rPr>
        <w:t>元</w:t>
      </w:r>
    </w:p>
    <w:p w14:paraId="01601AC7">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4.本项目设定最高限价，最高限价为</w:t>
      </w:r>
      <w:r>
        <w:rPr>
          <w:rFonts w:hint="eastAsia" w:ascii="宋体" w:hAnsi="宋体" w:cs="宋体"/>
          <w:color w:val="000000" w:themeColor="text1"/>
          <w:highlight w:val="none"/>
          <w:u w:val="single"/>
          <w:lang w:val="en-US" w:eastAsia="zh-CN"/>
          <w14:textFill>
            <w14:solidFill>
              <w14:schemeClr w14:val="tx1"/>
            </w14:solidFill>
          </w14:textFill>
        </w:rPr>
        <w:t>85.5</w:t>
      </w:r>
      <w:r>
        <w:rPr>
          <w:rFonts w:hint="eastAsia" w:ascii="宋体" w:hAnsi="宋体" w:eastAsia="宋体" w:cs="宋体"/>
          <w:color w:val="000000" w:themeColor="text1"/>
          <w:highlight w:val="none"/>
          <w:u w:val="single"/>
          <w:lang w:val="en-US" w:eastAsia="zh-CN"/>
          <w14:textFill>
            <w14:solidFill>
              <w14:schemeClr w14:val="tx1"/>
            </w14:solidFill>
          </w14:textFill>
        </w:rPr>
        <w:t>万</w:t>
      </w:r>
      <w:r>
        <w:rPr>
          <w:rFonts w:hint="eastAsia" w:ascii="宋体" w:hAnsi="宋体" w:eastAsia="宋体" w:cs="宋体"/>
          <w:color w:val="000000" w:themeColor="text1"/>
          <w:highlight w:val="none"/>
          <w14:textFill>
            <w14:solidFill>
              <w14:schemeClr w14:val="tx1"/>
            </w14:solidFill>
          </w14:textFill>
        </w:rPr>
        <w:t>元。</w:t>
      </w:r>
    </w:p>
    <w:p w14:paraId="028DA7F0">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5.采购需求：</w:t>
      </w:r>
    </w:p>
    <w:p w14:paraId="6D8720E6">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地质大数据与智能计算云服务平台基础设施整合与升级</w:t>
      </w:r>
    </w:p>
    <w:p w14:paraId="6DBBAE5F">
      <w:pPr>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6.合同履行期限：</w:t>
      </w:r>
      <w:r>
        <w:rPr>
          <w:rFonts w:hint="eastAsia" w:ascii="宋体" w:hAnsi="宋体" w:eastAsia="宋体" w:cs="宋体"/>
          <w:color w:val="000000" w:themeColor="text1"/>
          <w:highlight w:val="none"/>
          <w:lang w:val="en-US" w:eastAsia="zh-CN"/>
          <w14:textFill>
            <w14:solidFill>
              <w14:schemeClr w14:val="tx1"/>
            </w14:solidFill>
          </w14:textFill>
        </w:rPr>
        <w:t>自合同签订之日起至验收合格</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30 </w:t>
      </w:r>
      <w:r>
        <w:rPr>
          <w:rFonts w:hint="eastAsia" w:ascii="宋体" w:hAnsi="宋体" w:eastAsia="宋体" w:cs="宋体"/>
          <w:color w:val="000000" w:themeColor="text1"/>
          <w:highlight w:val="none"/>
          <w:lang w:val="en-US" w:eastAsia="zh-CN"/>
          <w14:textFill>
            <w14:solidFill>
              <w14:schemeClr w14:val="tx1"/>
            </w14:solidFill>
          </w14:textFill>
        </w:rPr>
        <w:t>个日历日</w:t>
      </w:r>
    </w:p>
    <w:p w14:paraId="215B7063">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7.本项目不接受联合体</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w:t>
      </w:r>
    </w:p>
    <w:p w14:paraId="79E788B7">
      <w:pPr>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8.本项目不接受进口产品</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w:t>
      </w:r>
    </w:p>
    <w:p w14:paraId="3AFCFBB1">
      <w:pPr>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本项目属于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服务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类</w:t>
      </w:r>
    </w:p>
    <w:p w14:paraId="23569997">
      <w:pPr>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10.本项目采购标的对应的中小企业划分标准所属行业为“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软件和信息技术服务 </w:t>
      </w:r>
      <w:r>
        <w:rPr>
          <w:rFonts w:hint="eastAsia" w:ascii="宋体" w:hAnsi="宋体" w:eastAsia="宋体" w:cs="宋体"/>
          <w:color w:val="000000" w:themeColor="text1"/>
          <w:highlight w:val="none"/>
          <w:lang w:val="en-US" w:eastAsia="zh-CN"/>
          <w14:textFill>
            <w14:solidFill>
              <w14:schemeClr w14:val="tx1"/>
            </w14:solidFill>
          </w14:textFill>
        </w:rPr>
        <w:t>业”。行业划分标准按《国民经济行业分类》执行。中小企业划分标准按《中小企业划型标准规定》（工信部联企业〔2011〕300号）文件规定执行。</w:t>
      </w:r>
    </w:p>
    <w:p w14:paraId="215737D6">
      <w:pPr>
        <w:pStyle w:val="5"/>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二、合格磋商供应商资格要求</w:t>
      </w:r>
      <w:bookmarkEnd w:id="11"/>
      <w:bookmarkEnd w:id="12"/>
      <w:bookmarkEnd w:id="13"/>
    </w:p>
    <w:p w14:paraId="0B1F59A6">
      <w:pPr>
        <w:keepNext w:val="0"/>
        <w:keepLines w:val="0"/>
        <w:pageBreakBefore w:val="0"/>
        <w:widowControl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（一）符合政府采购法第二十二条第一款规定的条件，并提供下列材料：</w:t>
      </w:r>
    </w:p>
    <w:p w14:paraId="5236B55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法人或者其他组织的营业执照等证明文件，自然人的身份证明；</w:t>
      </w:r>
    </w:p>
    <w:p w14:paraId="58E84A5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最近一个年度的财务状况报告（成立不满一年不需提供）；</w:t>
      </w:r>
    </w:p>
    <w:p w14:paraId="767BDE3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依法缴纳税收和社会保障资金的相关材料（提供提交</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截止时间前一年内至少一个月依法缴纳税收及缴纳社会保障资金的证明材料。</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依法享受缓缴、免缴税收、社会保障资金的提供证明材料。）；</w:t>
      </w:r>
    </w:p>
    <w:p w14:paraId="19C45C9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具备履行合同所必需的设备和专业技术能力的证明材料；</w:t>
      </w:r>
    </w:p>
    <w:p w14:paraId="0AE0FFF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参加政府采购活动前3年内在经营活动中没有重大违法记录的书面声明；</w:t>
      </w:r>
    </w:p>
    <w:p w14:paraId="1BB533A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未被“信用中国”网站（www.creditchina.gov.cn）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t>、“中国政府采购网”(www.ccgp.gov.cn）</w:t>
      </w:r>
      <w:r>
        <w:rPr>
          <w:rFonts w:hint="eastAsia" w:ascii="宋体" w:hAnsi="宋体" w:eastAsia="宋体" w:cs="宋体"/>
          <w:color w:val="000000" w:themeColor="text1"/>
          <w:sz w:val="24"/>
          <w:szCs w:val="24"/>
          <w:highlight w:val="none"/>
          <w14:textFill>
            <w14:solidFill>
              <w14:schemeClr w14:val="tx1"/>
            </w14:solidFill>
          </w14:textFill>
        </w:rPr>
        <w:t>列入失信被执行人、重大税收违法案件当事人名单、政府采购严重失信行为记录名单。（提供网页截图</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或承诺函</w:t>
      </w:r>
      <w:r>
        <w:rPr>
          <w:rFonts w:hint="eastAsia" w:ascii="宋体" w:hAnsi="宋体" w:eastAsia="宋体" w:cs="宋体"/>
          <w:color w:val="000000" w:themeColor="text1"/>
          <w:sz w:val="24"/>
          <w:szCs w:val="24"/>
          <w:highlight w:val="none"/>
          <w14:textFill>
            <w14:solidFill>
              <w14:schemeClr w14:val="tx1"/>
            </w14:solidFill>
          </w14:textFill>
        </w:rPr>
        <w:t>）</w:t>
      </w:r>
    </w:p>
    <w:p w14:paraId="63A041D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Cs w:val="20"/>
          <w:highlight w:val="none"/>
          <w:lang w:val="en-US" w:eastAsia="zh-CN"/>
          <w14:textFill>
            <w14:solidFill>
              <w14:schemeClr w14:val="tx1"/>
            </w14:solidFill>
          </w14:textFill>
        </w:rPr>
      </w:pPr>
      <w:r>
        <w:rPr>
          <w:rFonts w:hint="eastAsia" w:ascii="宋体" w:hAnsi="宋体" w:eastAsia="宋体" w:cs="宋体"/>
          <w:color w:val="000000" w:themeColor="text1"/>
          <w:szCs w:val="20"/>
          <w:highlight w:val="none"/>
          <w:lang w:val="en-US" w:eastAsia="zh-CN"/>
          <w14:textFill>
            <w14:solidFill>
              <w14:schemeClr w14:val="tx1"/>
            </w14:solidFill>
          </w14:textFill>
        </w:rPr>
        <w:t>（二）落实政府采购政策需满足的资格要求：</w:t>
      </w:r>
      <w:r>
        <w:rPr>
          <w:rFonts w:hint="eastAsia" w:ascii="宋体" w:hAnsi="宋体" w:cs="宋体"/>
          <w:color w:val="000000" w:themeColor="text1"/>
          <w:szCs w:val="20"/>
          <w:highlight w:val="none"/>
          <w:lang w:val="en-US" w:eastAsia="zh-CN"/>
          <w14:textFill>
            <w14:solidFill>
              <w14:schemeClr w14:val="tx1"/>
            </w14:solidFill>
          </w14:textFill>
        </w:rPr>
        <w:t>本项目不专门面向中小企业预留采购份额。</w:t>
      </w:r>
    </w:p>
    <w:p w14:paraId="21B65A6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Cs w:val="20"/>
          <w:highlight w:val="none"/>
          <w:lang w:val="en-US" w:eastAsia="zh-CN"/>
          <w14:textFill>
            <w14:solidFill>
              <w14:schemeClr w14:val="tx1"/>
            </w14:solidFill>
          </w14:textFill>
        </w:rPr>
        <w:t>（三</w:t>
      </w:r>
      <w:r>
        <w:rPr>
          <w:rFonts w:hint="eastAsia" w:ascii="宋体" w:hAnsi="宋体" w:eastAsia="宋体" w:cs="宋体"/>
          <w:color w:val="000000" w:themeColor="text1"/>
          <w:szCs w:val="20"/>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本项目的特定资格要求：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无。</w:t>
      </w:r>
    </w:p>
    <w:p w14:paraId="1104F9E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Cs w:val="20"/>
          <w:highlight w:val="none"/>
          <w:lang w:val="en-US" w:eastAsia="zh-CN"/>
          <w14:textFill>
            <w14:solidFill>
              <w14:schemeClr w14:val="tx1"/>
            </w14:solidFill>
          </w14:textFill>
        </w:rPr>
        <w:t>四</w:t>
      </w:r>
      <w:r>
        <w:rPr>
          <w:rFonts w:hint="eastAsia" w:ascii="宋体" w:hAnsi="宋体" w:eastAsia="宋体" w:cs="宋体"/>
          <w:color w:val="000000" w:themeColor="text1"/>
          <w:szCs w:val="20"/>
          <w:highlight w:val="none"/>
          <w14:textFill>
            <w14:solidFill>
              <w14:schemeClr w14:val="tx1"/>
            </w14:solidFill>
          </w14:textFill>
        </w:rPr>
        <w:t>）本项目</w:t>
      </w:r>
      <w:r>
        <w:rPr>
          <w:rFonts w:hint="eastAsia" w:ascii="宋体" w:hAnsi="宋体" w:eastAsia="宋体" w:cs="宋体"/>
          <w:color w:val="000000" w:themeColor="text1"/>
          <w:szCs w:val="20"/>
          <w:highlight w:val="none"/>
          <w:u w:val="single"/>
          <w14:textFill>
            <w14:solidFill>
              <w14:schemeClr w14:val="tx1"/>
            </w14:solidFill>
          </w14:textFill>
        </w:rPr>
        <w:t>不接受</w:t>
      </w:r>
      <w:r>
        <w:rPr>
          <w:rFonts w:hint="eastAsia" w:ascii="宋体" w:hAnsi="宋体" w:eastAsia="宋体" w:cs="宋体"/>
          <w:color w:val="000000" w:themeColor="text1"/>
          <w:szCs w:val="20"/>
          <w:highlight w:val="none"/>
          <w14:textFill>
            <w14:solidFill>
              <w14:schemeClr w14:val="tx1"/>
            </w14:solidFill>
          </w14:textFill>
        </w:rPr>
        <w:t>联合体参与磋商</w:t>
      </w:r>
      <w:r>
        <w:rPr>
          <w:rFonts w:hint="eastAsia" w:ascii="宋体" w:hAnsi="宋体" w:eastAsia="宋体" w:cs="宋体"/>
          <w:color w:val="000000" w:themeColor="text1"/>
          <w:highlight w:val="none"/>
          <w14:textFill>
            <w14:solidFill>
              <w14:schemeClr w14:val="tx1"/>
            </w14:solidFill>
          </w14:textFill>
        </w:rPr>
        <w:t>。</w:t>
      </w:r>
    </w:p>
    <w:p w14:paraId="11B39F0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）拒绝下述供应商参加本次采购活动：</w:t>
      </w:r>
    </w:p>
    <w:p w14:paraId="25E52AB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供应商单位负责人为同一人或者存在直接控股、管理关系的不同供应商，不得参加同一合同项下的政府采购活动。</w:t>
      </w:r>
    </w:p>
    <w:p w14:paraId="6F4C336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供应商处于被责令停业、财产被接管、冻结和破产状态，以及</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资格被取消或者被暂停且在暂停期内</w:t>
      </w:r>
      <w:r>
        <w:rPr>
          <w:rFonts w:hint="eastAsia" w:ascii="宋体" w:hAnsi="宋体" w:eastAsia="宋体" w:cs="宋体"/>
          <w:color w:val="000000" w:themeColor="text1"/>
          <w:highlight w:val="none"/>
          <w:lang w:eastAsia="zh-CN"/>
          <w14:textFill>
            <w14:solidFill>
              <w14:schemeClr w14:val="tx1"/>
            </w14:solidFill>
          </w14:textFill>
        </w:rPr>
        <w:t>。</w:t>
      </w:r>
    </w:p>
    <w:p w14:paraId="32BF3365">
      <w:pPr>
        <w:pStyle w:val="5"/>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三、获取磋商文件时间及方式</w:t>
      </w:r>
    </w:p>
    <w:p w14:paraId="7BA90534">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1.时间：自</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公告发布之日起5个工作日。</w:t>
      </w:r>
    </w:p>
    <w:p w14:paraId="3A4F4E78">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2.方式：在</w:t>
      </w:r>
      <w:r>
        <w:rPr>
          <w:rFonts w:hint="eastAsia" w:ascii="宋体" w:hAnsi="宋体" w:eastAsia="宋体" w:cs="宋体"/>
          <w:color w:val="000000" w:themeColor="text1"/>
          <w:sz w:val="24"/>
          <w:szCs w:val="24"/>
          <w:highlight w:val="none"/>
          <w:u w:val="single"/>
          <w14:textFill>
            <w14:solidFill>
              <w14:schemeClr w14:val="tx1"/>
            </w14:solidFill>
          </w14:textFill>
        </w:rPr>
        <w:t>“新疆公共资源交易网”或“新疆政府采购网”</w:t>
      </w:r>
      <w:r>
        <w:rPr>
          <w:rFonts w:hint="eastAsia" w:ascii="宋体" w:hAnsi="宋体" w:eastAsia="宋体" w:cs="宋体"/>
          <w:color w:val="000000" w:themeColor="text1"/>
          <w:sz w:val="24"/>
          <w:szCs w:val="24"/>
          <w:highlight w:val="none"/>
          <w14:textFill>
            <w14:solidFill>
              <w14:schemeClr w14:val="tx1"/>
            </w14:solidFill>
          </w14:textFill>
        </w:rPr>
        <w:t>自行免费下载</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w:t>
      </w:r>
    </w:p>
    <w:p w14:paraId="110317C3">
      <w:pPr>
        <w:pStyle w:val="5"/>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四、提交磋商响应文件截止时间和地点</w:t>
      </w:r>
    </w:p>
    <w:p w14:paraId="23543CDD">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（一）提交响应文件截止时间：2026年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日11:00</w:t>
      </w:r>
      <w:r>
        <w:rPr>
          <w:rFonts w:hint="eastAsia" w:ascii="宋体" w:hAnsi="宋体" w:cs="宋体"/>
          <w:color w:val="000000" w:themeColor="text1"/>
          <w:sz w:val="24"/>
          <w:szCs w:val="24"/>
          <w:highlight w:val="none"/>
          <w:lang w:val="en-US" w:eastAsia="zh-CN"/>
          <w14:textFill>
            <w14:solidFill>
              <w14:schemeClr w14:val="tx1"/>
            </w14:solidFill>
          </w14:textFill>
        </w:rPr>
        <w:t>（北京时间）。</w:t>
      </w:r>
    </w:p>
    <w:p w14:paraId="2026CFF5">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（二）提交响应文件地点：</w:t>
      </w:r>
      <w:r>
        <w:rPr>
          <w:rFonts w:hint="eastAsia" w:ascii="宋体" w:hAnsi="宋体" w:eastAsia="宋体" w:cs="宋体"/>
          <w:color w:val="000000" w:themeColor="text1"/>
          <w:highlight w:val="none"/>
          <w:lang w:val="en-US" w:eastAsia="zh-CN"/>
          <w14:textFill>
            <w14:solidFill>
              <w14:schemeClr w14:val="tx1"/>
            </w14:solidFill>
          </w14:textFill>
        </w:rPr>
        <w:t>新疆政府采购云平台</w:t>
      </w: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HYPERLINK "http://www.ccgp-xinjiang.gov.cn/。"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Style w:val="59"/>
          <w:rFonts w:hint="eastAsia" w:ascii="宋体" w:hAnsi="宋体" w:eastAsia="宋体" w:cs="宋体"/>
          <w:color w:val="000000" w:themeColor="text1"/>
          <w:highlight w:val="none"/>
          <w:lang w:val="en-US" w:eastAsia="zh-CN"/>
          <w14:textFill>
            <w14:solidFill>
              <w14:schemeClr w14:val="tx1"/>
            </w14:solidFill>
          </w14:textFill>
        </w:rPr>
        <w:t>http://www.ccgp-xinjiang.gov.cn/</w:t>
      </w:r>
      <w:r>
        <w:rPr>
          <w:rStyle w:val="59"/>
          <w:rFonts w:hint="eastAsia" w:ascii="宋体" w:hAnsi="宋体" w:eastAsia="宋体" w:cs="宋体"/>
          <w:color w:val="000000" w:themeColor="text1"/>
          <w:sz w:val="24"/>
          <w:szCs w:val="24"/>
          <w:highlight w:val="none"/>
          <w:lang w:val="en-US" w:eastAsia="zh-CN"/>
          <w14:textFill>
            <w14:solidFill>
              <w14:schemeClr w14:val="tx1"/>
            </w14:solidFill>
          </w14:textFill>
        </w:rPr>
        <w:t>。</w:t>
      </w:r>
      <w:bookmarkStart w:id="14" w:name="_Toc28359084"/>
      <w:bookmarkStart w:id="15" w:name="_Toc35393625"/>
      <w:bookmarkStart w:id="16" w:name="_Toc35393794"/>
      <w:bookmarkStart w:id="17" w:name="_Toc38985267"/>
      <w:bookmarkStart w:id="18" w:name="_Toc28359007"/>
      <w:r>
        <w:rPr>
          <w:rFonts w:hint="eastAsia" w:ascii="宋体" w:hAnsi="宋体" w:eastAsia="宋体" w:cs="宋体"/>
          <w:color w:val="000000" w:themeColor="text1"/>
          <w:highlight w:val="none"/>
          <w:lang w:val="en-US" w:eastAsia="zh-CN"/>
          <w14:textFill>
            <w14:solidFill>
              <w14:schemeClr w14:val="tx1"/>
            </w14:solidFill>
          </w14:textFill>
        </w:rPr>
        <w:fldChar w:fldCharType="end"/>
      </w:r>
      <w:bookmarkStart w:id="504" w:name="_GoBack"/>
      <w:bookmarkEnd w:id="504"/>
    </w:p>
    <w:p w14:paraId="7ADAAF65">
      <w:pPr>
        <w:pStyle w:val="5"/>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五、公告期限</w:t>
      </w:r>
      <w:bookmarkEnd w:id="14"/>
      <w:bookmarkEnd w:id="15"/>
      <w:bookmarkEnd w:id="16"/>
      <w:bookmarkEnd w:id="17"/>
      <w:bookmarkEnd w:id="18"/>
    </w:p>
    <w:p w14:paraId="71D75906">
      <w:pPr>
        <w:pageBreakBefore w:val="0"/>
        <w:widowControl w:val="0"/>
        <w:kinsoku/>
        <w:overflowPunct/>
        <w:topLinePunct w:val="0"/>
        <w:autoSpaceDE/>
        <w:autoSpaceDN/>
        <w:bidi w:val="0"/>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个工作日。</w:t>
      </w:r>
    </w:p>
    <w:p w14:paraId="421715EC">
      <w:pPr>
        <w:pStyle w:val="5"/>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六、其他补充事宜</w:t>
      </w:r>
    </w:p>
    <w:p w14:paraId="641C3BBB">
      <w:pPr>
        <w:pageBreakBefore w:val="0"/>
        <w:widowControl w:val="0"/>
        <w:numPr>
          <w:ilvl w:val="0"/>
          <w:numId w:val="11"/>
        </w:numPr>
        <w:kinsoku/>
        <w:overflowPunct/>
        <w:topLinePunct w:val="0"/>
        <w:autoSpaceDE/>
        <w:autoSpaceDN/>
        <w:bidi w:val="0"/>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kern w:val="0"/>
          <w:sz w:val="24"/>
          <w:szCs w:val="24"/>
          <w:highlight w:val="none"/>
          <w14:textFill>
            <w14:solidFill>
              <w14:schemeClr w14:val="tx1"/>
            </w14:solidFill>
          </w14:textFill>
        </w:rPr>
        <w:t>如要求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对</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kern w:val="0"/>
          <w:sz w:val="24"/>
          <w:szCs w:val="24"/>
          <w:highlight w:val="none"/>
          <w14:textFill>
            <w14:solidFill>
              <w14:schemeClr w14:val="tx1"/>
            </w14:solidFill>
          </w14:textFill>
        </w:rPr>
        <w:t>内容进行澄清，将通过腾讯视频会议方式进行，请各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在开标前做好人员、网络、设备准备工作，视频会议房间信息将适时告知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授权代表，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代表务必于开标当日保持手机联系畅通。</w:t>
      </w:r>
      <w:bookmarkStart w:id="19" w:name="_Toc35393796"/>
      <w:bookmarkStart w:id="20" w:name="_Toc35393627"/>
      <w:bookmarkStart w:id="21" w:name="_Toc38985269"/>
      <w:bookmarkStart w:id="22" w:name="_Toc28359085"/>
      <w:bookmarkStart w:id="23" w:name="_Toc28359008"/>
    </w:p>
    <w:p w14:paraId="0241367D">
      <w:pPr>
        <w:pStyle w:val="5"/>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七、联系</w:t>
      </w:r>
      <w:bookmarkEnd w:id="19"/>
      <w:bookmarkEnd w:id="20"/>
      <w:bookmarkEnd w:id="21"/>
      <w:bookmarkEnd w:id="22"/>
      <w:bookmarkEnd w:id="23"/>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事项</w:t>
      </w:r>
    </w:p>
    <w:p w14:paraId="4D631342">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7B7CE4D">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p>
    <w:p w14:paraId="6A95F43C">
      <w:pPr>
        <w:keepNext w:val="0"/>
        <w:keepLines w:val="0"/>
        <w:pageBreakBefore w:val="0"/>
        <w:widowControl w:val="0"/>
        <w:kinsoku/>
        <w:wordWrap w:val="0"/>
        <w:overflowPunct/>
        <w:topLinePunct w:val="0"/>
        <w:autoSpaceDE/>
        <w:autoSpaceDN/>
        <w:bidi w:val="0"/>
        <w:snapToGrid w:val="0"/>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Cs w:val="24"/>
          <w:highlight w:val="none"/>
          <w:u w:val="none"/>
          <w:lang w:val="en-US" w:eastAsia="zh-CN"/>
          <w14:textFill>
            <w14:solidFill>
              <w14:schemeClr w14:val="tx1"/>
            </w14:solidFill>
          </w14:textFill>
        </w:rPr>
        <w:t>新疆维吾尔自治区地质局数字地质中心</w:t>
      </w:r>
    </w:p>
    <w:p w14:paraId="6142BED8">
      <w:pPr>
        <w:keepNext w:val="0"/>
        <w:keepLines w:val="0"/>
        <w:pageBreakBefore w:val="0"/>
        <w:widowControl w:val="0"/>
        <w:kinsoku/>
        <w:wordWrap w:val="0"/>
        <w:overflowPunct/>
        <w:topLinePunct w:val="0"/>
        <w:autoSpaceDE/>
        <w:autoSpaceDN/>
        <w:bidi w:val="0"/>
        <w:snapToGrid w:val="0"/>
        <w:spacing w:line="48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地址：乌鲁木齐市克拉玛依东街388号深圳城大厦</w:t>
      </w:r>
    </w:p>
    <w:p w14:paraId="1C3AD5E4">
      <w:pPr>
        <w:keepNext w:val="0"/>
        <w:keepLines w:val="0"/>
        <w:pageBreakBefore w:val="0"/>
        <w:widowControl w:val="0"/>
        <w:kinsoku/>
        <w:wordWrap w:val="0"/>
        <w:overflowPunct/>
        <w:topLinePunct w:val="0"/>
        <w:autoSpaceDE/>
        <w:autoSpaceDN/>
        <w:bidi w:val="0"/>
        <w:snapToGrid w:val="0"/>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唐高彤</w:t>
      </w:r>
    </w:p>
    <w:p w14:paraId="5CDE579D">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联系电话：0991-4856313</w:t>
      </w:r>
    </w:p>
    <w:p w14:paraId="74DFE9D2">
      <w:pPr>
        <w:keepNext w:val="0"/>
        <w:keepLines w:val="0"/>
        <w:pageBreakBefore w:val="0"/>
        <w:widowControl w:val="0"/>
        <w:kinsoku/>
        <w:wordWrap w:val="0"/>
        <w:overflowPunct/>
        <w:topLinePunct w:val="0"/>
        <w:autoSpaceDE/>
        <w:autoSpaceDN/>
        <w:bidi w:val="0"/>
        <w:snapToGrid w:val="0"/>
        <w:spacing w:line="48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sz w:val="24"/>
          <w:szCs w:val="24"/>
          <w:highlight w:val="none"/>
          <w14:textFill>
            <w14:solidFill>
              <w14:schemeClr w14:val="tx1"/>
            </w14:solidFill>
          </w14:textFill>
        </w:rPr>
        <w:t>信息</w:t>
      </w:r>
    </w:p>
    <w:p w14:paraId="72A8B157">
      <w:pPr>
        <w:keepNext w:val="0"/>
        <w:keepLines w:val="0"/>
        <w:pageBreakBefore w:val="0"/>
        <w:widowControl w:val="0"/>
        <w:kinsoku/>
        <w:wordWrap w:val="0"/>
        <w:overflowPunct/>
        <w:topLinePunct w:val="0"/>
        <w:autoSpaceDE/>
        <w:autoSpaceDN/>
        <w:bidi w:val="0"/>
        <w:snapToGrid w:val="0"/>
        <w:spacing w:line="48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地址：新疆乌鲁木齐市水磨沟区准噶尔街299号益民大厦4楼A40</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室</w:t>
      </w:r>
    </w:p>
    <w:p w14:paraId="328626DA">
      <w:pPr>
        <w:keepNext w:val="0"/>
        <w:keepLines w:val="0"/>
        <w:pageBreakBefore w:val="0"/>
        <w:widowControl w:val="0"/>
        <w:kinsoku/>
        <w:wordWrap w:val="0"/>
        <w:overflowPunct/>
        <w:topLinePunct w:val="0"/>
        <w:autoSpaceDE/>
        <w:autoSpaceDN/>
        <w:bidi w:val="0"/>
        <w:snapToGrid w:val="0"/>
        <w:spacing w:line="48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张老师</w:t>
      </w:r>
    </w:p>
    <w:p w14:paraId="2A0ABB2D">
      <w:pPr>
        <w:keepNext w:val="0"/>
        <w:keepLines w:val="0"/>
        <w:pageBreakBefore w:val="0"/>
        <w:widowControl w:val="0"/>
        <w:kinsoku/>
        <w:wordWrap w:val="0"/>
        <w:overflowPunct/>
        <w:topLinePunct w:val="0"/>
        <w:autoSpaceDE/>
        <w:autoSpaceDN/>
        <w:bidi w:val="0"/>
        <w:snapToGrid w:val="0"/>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0991-</w:t>
      </w:r>
      <w:r>
        <w:rPr>
          <w:rFonts w:hint="eastAsia" w:ascii="宋体" w:hAnsi="宋体" w:cs="宋体"/>
          <w:color w:val="000000" w:themeColor="text1"/>
          <w:sz w:val="24"/>
          <w:szCs w:val="24"/>
          <w:highlight w:val="none"/>
          <w:lang w:val="en-US" w:eastAsia="zh-CN"/>
          <w14:textFill>
            <w14:solidFill>
              <w14:schemeClr w14:val="tx1"/>
            </w14:solidFill>
          </w14:textFill>
        </w:rPr>
        <w:t>3552057</w:t>
      </w:r>
    </w:p>
    <w:p w14:paraId="332C771B">
      <w:pPr>
        <w:pStyle w:val="5"/>
        <w:keepNext/>
        <w:keepLines/>
        <w:pageBreakBefore w:val="0"/>
        <w:widowControl w:val="0"/>
        <w:kinsoku/>
        <w:overflowPunct/>
        <w:topLinePunct w:val="0"/>
        <w:autoSpaceDE/>
        <w:autoSpaceDN/>
        <w:bidi w:val="0"/>
        <w:snapToGrid w:val="0"/>
        <w:spacing w:line="360" w:lineRule="auto"/>
        <w:ind w:firstLine="361"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八、其他</w:t>
      </w:r>
    </w:p>
    <w:p w14:paraId="06C9E8C5">
      <w:pPr>
        <w:keepNext/>
        <w:keepLines/>
        <w:pageBreakBefore w:val="0"/>
        <w:widowControl w:val="0"/>
        <w:tabs>
          <w:tab w:val="left" w:pos="900"/>
        </w:tabs>
        <w:kinsoku/>
        <w:wordWrap w:val="0"/>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1.本项目实行电子招投标，供应商须登录新疆政府采购云平台申请获取磋商文件，并通过新疆政府采购云平台电子投标客户端制作磋商文件。</w:t>
      </w:r>
      <w:r>
        <w:rPr>
          <w:rFonts w:hint="eastAsia" w:ascii="宋体" w:hAnsi="宋体" w:eastAsia="宋体" w:cs="宋体"/>
          <w:bCs/>
          <w:color w:val="000000" w:themeColor="text1"/>
          <w:sz w:val="24"/>
          <w:szCs w:val="24"/>
          <w:highlight w:val="none"/>
          <w14:textFill>
            <w14:solidFill>
              <w14:schemeClr w14:val="tx1"/>
            </w14:solidFill>
          </w14:textFill>
        </w:rPr>
        <w:t>有关本次招标的事项若存在变动或修改，敬请及时关注</w:t>
      </w:r>
      <w:r>
        <w:rPr>
          <w:rFonts w:hint="eastAsia" w:ascii="宋体" w:hAnsi="宋体" w:eastAsia="宋体" w:cs="宋体"/>
          <w:bCs/>
          <w:color w:val="000000" w:themeColor="text1"/>
          <w:sz w:val="24"/>
          <w:szCs w:val="24"/>
          <w:highlight w:val="none"/>
          <w:lang w:eastAsia="zh-CN"/>
          <w14:textFill>
            <w14:solidFill>
              <w14:schemeClr w14:val="tx1"/>
            </w14:solidFill>
          </w14:textFill>
        </w:rPr>
        <w:t>新疆维吾尔自治区公共资源交易中心</w:t>
      </w:r>
      <w:r>
        <w:rPr>
          <w:rFonts w:hint="eastAsia" w:ascii="宋体" w:hAnsi="宋体" w:eastAsia="宋体" w:cs="宋体"/>
          <w:bCs/>
          <w:color w:val="000000" w:themeColor="text1"/>
          <w:sz w:val="24"/>
          <w:szCs w:val="24"/>
          <w:highlight w:val="none"/>
          <w14:textFill>
            <w14:solidFill>
              <w14:schemeClr w14:val="tx1"/>
            </w14:solidFill>
          </w14:textFill>
        </w:rPr>
        <w:t>在“新疆公共资源交易网”和“新疆政府采购</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云平台</w:t>
      </w:r>
      <w:r>
        <w:rPr>
          <w:rFonts w:hint="eastAsia" w:ascii="宋体" w:hAnsi="宋体" w:eastAsia="宋体" w:cs="宋体"/>
          <w:bCs/>
          <w:color w:val="000000" w:themeColor="text1"/>
          <w:sz w:val="24"/>
          <w:szCs w:val="24"/>
          <w:highlight w:val="none"/>
          <w14:textFill>
            <w14:solidFill>
              <w14:schemeClr w14:val="tx1"/>
            </w14:solidFill>
          </w14:textFill>
        </w:rPr>
        <w:t>”发布的澄清变更公告，网址分别为“https://ggzy.xinjiang.gov.cn/”和“http://www.ccgp-xinjiang.gov.cn”。</w:t>
      </w:r>
    </w:p>
    <w:p w14:paraId="51A15FF8">
      <w:pPr>
        <w:pageBreakBefore w:val="0"/>
        <w:widowControl w:val="0"/>
        <w:tabs>
          <w:tab w:val="left" w:pos="900"/>
        </w:tabs>
        <w:kinsoku/>
        <w:wordWrap w:val="0"/>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2.各供应商应在开标前确保成为新疆政府采购云平台平台正式供应商，并完成CA数字证书（符合国密标准）申领。因未注册入库、未办理CA数字证书等原因造成无法响应或响应失败等后果由供应商自行承担。</w:t>
      </w:r>
    </w:p>
    <w:p w14:paraId="7E23047C">
      <w:pPr>
        <w:pageBreakBefore w:val="0"/>
        <w:widowControl w:val="0"/>
        <w:tabs>
          <w:tab w:val="left" w:pos="900"/>
        </w:tabs>
        <w:kinsoku/>
        <w:wordWrap w:val="0"/>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可前往新疆政府采购网（http://www.ccgp-xinjiang.gov.cn/）下载专区，下载新疆政府采购云平台电子投标客户端，安装完成后，可通过账号密码或CA登录客户端进行响应文件制作。在使用新疆政府采购云平台电子投标客户端时，建议使用WIN7及以上操作系统。如有问题可拨打新疆政府采购云平台客户服务热线95763进行咨询。</w:t>
      </w:r>
    </w:p>
    <w:p w14:paraId="457AD804">
      <w:pPr>
        <w:pageBreakBefore w:val="0"/>
        <w:widowControl w:val="0"/>
        <w:tabs>
          <w:tab w:val="left" w:pos="900"/>
        </w:tabs>
        <w:kinsoku/>
        <w:wordWrap w:val="0"/>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本项目采用不见面开标，供应商须在磋商截止时间前通过CA在新疆政府采购云平台平台上传加密的电子响应文件。供应商对不见面开评标系统的技术操作咨询，可通过https://edu.zcygov.cn/luban/xinjiang-e-biding自助查询，也可在新疆政府采购云平台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新疆政府采购云平台在线客服获取服务支持。</w:t>
      </w:r>
    </w:p>
    <w:p w14:paraId="585EFC04">
      <w:pPr>
        <w:pageBreakBefore w:val="0"/>
        <w:widowControl w:val="0"/>
        <w:tabs>
          <w:tab w:val="left" w:pos="900"/>
        </w:tabs>
        <w:kinsoku/>
        <w:wordWrap w:val="0"/>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5.供应商应当在递交截止时间前，将生成的“电子加密响应文件”上传递交至“政府采购云平台”，递交截止时间以后上传递交的响应文件将被“政府采购云平台”拒收。</w:t>
      </w:r>
    </w:p>
    <w:p w14:paraId="56C08870">
      <w:pPr>
        <w:pageBreakBefore w:val="0"/>
        <w:widowControl w:val="0"/>
        <w:tabs>
          <w:tab w:val="left" w:pos="900"/>
        </w:tabs>
        <w:kinsoku/>
        <w:wordWrap w:val="0"/>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7499330A">
      <w:pPr>
        <w:pStyle w:val="49"/>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本项目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bCs/>
          <w:color w:val="000000" w:themeColor="text1"/>
          <w:sz w:val="24"/>
          <w:szCs w:val="24"/>
          <w:highlight w:val="none"/>
          <w14:textFill>
            <w14:solidFill>
              <w14:schemeClr w14:val="tx1"/>
            </w14:solidFill>
          </w14:textFill>
        </w:rPr>
        <w:t>收取磋商保证金</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59C1D58">
      <w:pPr>
        <w:tabs>
          <w:tab w:val="left" w:pos="900"/>
        </w:tabs>
        <w:wordWrap w:val="0"/>
        <w:spacing w:line="36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8.本项目的中标供应商可以登陆政府采购云平台（http://www.ccgp-xinjiang.gov.cn/）,进入“项目采购” 自行打印中标通知书。通过新疆政府采购云平台下载打印的中标通知书与现场开具的中标通知书具有同等法律效力。</w:t>
      </w:r>
    </w:p>
    <w:p w14:paraId="511224A5">
      <w:pPr>
        <w:tabs>
          <w:tab w:val="left" w:pos="900"/>
        </w:tabs>
        <w:wordWrap w:val="0"/>
        <w:spacing w:line="360" w:lineRule="auto"/>
        <w:ind w:firstLine="480" w:firstLineChars="200"/>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9.交易系统技术支持电话：95763。</w:t>
      </w:r>
    </w:p>
    <w:bookmarkEnd w:id="2"/>
    <w:bookmarkEnd w:id="3"/>
    <w:bookmarkEnd w:id="4"/>
    <w:bookmarkEnd w:id="5"/>
    <w:bookmarkEnd w:id="6"/>
    <w:p w14:paraId="0B6956DA">
      <w:pPr>
        <w:pStyle w:val="3"/>
        <w:rPr>
          <w:rFonts w:hint="eastAsia" w:ascii="宋体" w:hAnsi="宋体" w:eastAsia="宋体" w:cs="宋体"/>
          <w:bCs/>
          <w:color w:val="000000" w:themeColor="text1"/>
          <w:sz w:val="44"/>
          <w:szCs w:val="44"/>
          <w:highlight w:val="none"/>
          <w14:textFill>
            <w14:solidFill>
              <w14:schemeClr w14:val="tx1"/>
            </w14:solidFill>
          </w14:textFill>
        </w:rPr>
      </w:pPr>
      <w:bookmarkStart w:id="24" w:name="_Toc120614211"/>
      <w:bookmarkStart w:id="25" w:name="_Toc23171"/>
      <w:bookmarkStart w:id="26" w:name="_Toc513029242"/>
      <w:bookmarkStart w:id="27" w:name="_Toc369266528"/>
      <w:bookmarkStart w:id="28" w:name="_Toc363031312"/>
      <w:bookmarkStart w:id="29" w:name="_Toc2065"/>
      <w:bookmarkStart w:id="30" w:name="_Toc16938558"/>
      <w:bookmarkStart w:id="31" w:name="_Toc20823314"/>
      <w:bookmarkStart w:id="32" w:name="_Toc120614221"/>
      <w:bookmarkStart w:id="33" w:name="_Toc19398"/>
      <w:bookmarkStart w:id="34" w:name="_Toc485207351"/>
      <w:bookmarkStart w:id="35" w:name="_Toc479757207"/>
      <w:r>
        <w:rPr>
          <w:rFonts w:hint="eastAsia" w:ascii="宋体" w:hAnsi="宋体" w:eastAsia="宋体" w:cs="宋体"/>
          <w:bCs/>
          <w:color w:val="000000" w:themeColor="text1"/>
          <w:sz w:val="44"/>
          <w:szCs w:val="44"/>
          <w:highlight w:val="none"/>
          <w14:textFill>
            <w14:solidFill>
              <w14:schemeClr w14:val="tx1"/>
            </w14:solidFill>
          </w14:textFill>
        </w:rPr>
        <w:br w:type="page"/>
      </w:r>
      <w:r>
        <w:rPr>
          <w:rFonts w:hint="eastAsia" w:ascii="宋体" w:hAnsi="宋体" w:eastAsia="宋体" w:cs="宋体"/>
          <w:b/>
          <w:bCs w:val="0"/>
          <w:color w:val="000000" w:themeColor="text1"/>
          <w:sz w:val="44"/>
          <w:szCs w:val="44"/>
          <w:highlight w:val="none"/>
          <w14:textFill>
            <w14:solidFill>
              <w14:schemeClr w14:val="tx1"/>
            </w14:solidFill>
          </w14:textFill>
        </w:rPr>
        <w:t xml:space="preserve">第二章  </w:t>
      </w:r>
      <w:bookmarkEnd w:id="24"/>
      <w:r>
        <w:rPr>
          <w:rFonts w:hint="eastAsia" w:ascii="宋体" w:hAnsi="宋体" w:eastAsia="宋体" w:cs="宋体"/>
          <w:b/>
          <w:bCs w:val="0"/>
          <w:color w:val="000000" w:themeColor="text1"/>
          <w:sz w:val="44"/>
          <w:szCs w:val="44"/>
          <w:highlight w:val="none"/>
          <w14:textFill>
            <w14:solidFill>
              <w14:schemeClr w14:val="tx1"/>
            </w14:solidFill>
          </w14:textFill>
        </w:rPr>
        <w:t>磋商须知</w:t>
      </w:r>
      <w:bookmarkEnd w:id="25"/>
    </w:p>
    <w:p w14:paraId="42815FBD">
      <w:pPr>
        <w:keepNext/>
        <w:keepLines/>
        <w:pageBreakBefore w:val="0"/>
        <w:widowControl w:val="0"/>
        <w:kinsoku/>
        <w:wordWrap/>
        <w:overflowPunct/>
        <w:topLinePunct w:val="0"/>
        <w:autoSpaceDE/>
        <w:autoSpaceDN/>
        <w:bidi w:val="0"/>
        <w:adjustRightInd/>
        <w:snapToGrid/>
        <w:spacing w:before="143" w:beforeLines="50" w:after="143" w:afterLines="50" w:line="360" w:lineRule="auto"/>
        <w:ind w:firstLine="372" w:firstLineChars="155"/>
        <w:jc w:val="center"/>
        <w:textAlignment w:val="auto"/>
        <w:outlineLvl w:val="9"/>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（参加竞争性磋商的供应商以下简称“磋商供应商”）</w:t>
      </w:r>
    </w:p>
    <w:p w14:paraId="26C23D55">
      <w:pPr>
        <w:pStyle w:val="20"/>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一、总则</w:t>
      </w:r>
    </w:p>
    <w:p w14:paraId="01D35ED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适用范围</w:t>
      </w:r>
    </w:p>
    <w:p w14:paraId="68A7775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本竞争性磋商文件（以下简称</w:t>
      </w:r>
      <w:r>
        <w:rPr>
          <w:rFonts w:hint="eastAsia" w:ascii="宋体" w:hAnsi="宋体" w:eastAsia="宋体" w:cs="宋体"/>
          <w:color w:val="000000" w:themeColor="text1"/>
          <w:highlight w:val="none"/>
          <w:lang w:eastAsia="zh-CN"/>
          <w14:textFill>
            <w14:solidFill>
              <w14:schemeClr w14:val="tx1"/>
            </w14:solidFill>
          </w14:textFill>
        </w:rPr>
        <w:t>“磋商文件”</w:t>
      </w:r>
      <w:r>
        <w:rPr>
          <w:rFonts w:hint="eastAsia" w:ascii="宋体" w:hAnsi="宋体" w:eastAsia="宋体" w:cs="宋体"/>
          <w:color w:val="000000" w:themeColor="text1"/>
          <w:highlight w:val="none"/>
          <w14:textFill>
            <w14:solidFill>
              <w14:schemeClr w14:val="tx1"/>
            </w14:solidFill>
          </w14:textFill>
        </w:rPr>
        <w:t>）仅适</w:t>
      </w:r>
      <w:r>
        <w:rPr>
          <w:rFonts w:hint="eastAsia" w:ascii="宋体" w:hAnsi="宋体" w:eastAsia="宋体" w:cs="宋体"/>
          <w:color w:val="000000" w:themeColor="text1"/>
          <w:highlight w:val="none"/>
          <w:lang w:eastAsia="zh-CN"/>
          <w14:textFill>
            <w14:solidFill>
              <w14:schemeClr w14:val="tx1"/>
            </w14:solidFill>
          </w14:textFill>
        </w:rPr>
        <w:t>用于</w:t>
      </w:r>
      <w:r>
        <w:rPr>
          <w:rFonts w:hint="eastAsia" w:ascii="宋体" w:hAnsi="宋体" w:eastAsia="宋体" w:cs="宋体"/>
          <w:color w:val="000000" w:themeColor="text1"/>
          <w:highlight w:val="none"/>
          <w14:textFill>
            <w14:solidFill>
              <w14:schemeClr w14:val="tx1"/>
            </w14:solidFill>
          </w14:textFill>
        </w:rPr>
        <w:t>此项目。</w:t>
      </w:r>
    </w:p>
    <w:p w14:paraId="4F103B9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项目采购方式</w:t>
      </w:r>
    </w:p>
    <w:p w14:paraId="118BE15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本次采购采取竞争性磋商的方式。</w:t>
      </w:r>
    </w:p>
    <w:p w14:paraId="4E4AE72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合格的磋商供应商</w:t>
      </w:r>
    </w:p>
    <w:p w14:paraId="3D3C140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3.1满足本磋商文件“</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邀请”中</w:t>
      </w:r>
      <w:r>
        <w:rPr>
          <w:rFonts w:hint="eastAsia" w:ascii="宋体" w:hAnsi="宋体" w:eastAsia="宋体" w:cs="宋体"/>
          <w:color w:val="000000" w:themeColor="text1"/>
          <w:highlight w:val="none"/>
          <w:lang w:eastAsia="zh-CN"/>
          <w14:textFill>
            <w14:solidFill>
              <w14:schemeClr w14:val="tx1"/>
            </w14:solidFill>
          </w14:textFill>
        </w:rPr>
        <w:t>对合格</w:t>
      </w:r>
      <w:r>
        <w:rPr>
          <w:rFonts w:hint="eastAsia" w:ascii="宋体" w:hAnsi="宋体" w:eastAsia="宋体" w:cs="宋体"/>
          <w:color w:val="000000" w:themeColor="text1"/>
          <w:highlight w:val="none"/>
          <w14:textFill>
            <w14:solidFill>
              <w14:schemeClr w14:val="tx1"/>
            </w14:solidFill>
          </w14:textFill>
        </w:rPr>
        <w:t>磋商供应商资格要求的规定。</w:t>
      </w:r>
    </w:p>
    <w:p w14:paraId="7BF41A4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3.2满足本磋商文件实质性要求和条件的规定。</w:t>
      </w:r>
    </w:p>
    <w:p w14:paraId="348429B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参加磋商费用</w:t>
      </w:r>
    </w:p>
    <w:p w14:paraId="3FF5A61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本次磋商采购</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和采购人不收取标书工本费与成交服务费。</w:t>
      </w:r>
    </w:p>
    <w:p w14:paraId="399FA30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磋商文件的约束力</w:t>
      </w:r>
    </w:p>
    <w:p w14:paraId="0055A3B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供应商一旦下载了本磋商文件并决定参加磋商，即被认为接受了本磋商文件的规定和约束，并且视为自竞争性磋商公告期限届满之日起已经知道或应当知道自身权益是否受到了损害。</w:t>
      </w:r>
    </w:p>
    <w:p w14:paraId="6ABDAE2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w:t>
      </w:r>
      <w:bookmarkStart w:id="36" w:name="_Toc16938527"/>
      <w:bookmarkStart w:id="37" w:name="_Toc20823283"/>
      <w:bookmarkStart w:id="38" w:name="_Toc462564070"/>
      <w:bookmarkStart w:id="39" w:name="_Toc513029211"/>
      <w:r>
        <w:rPr>
          <w:rFonts w:hint="eastAsia" w:ascii="宋体" w:hAnsi="宋体" w:eastAsia="宋体" w:cs="宋体"/>
          <w:color w:val="000000" w:themeColor="text1"/>
          <w:highlight w:val="none"/>
          <w14:textFill>
            <w14:solidFill>
              <w14:schemeClr w14:val="tx1"/>
            </w14:solidFill>
          </w14:textFill>
        </w:rPr>
        <w:t>磋商文件的澄清</w:t>
      </w:r>
      <w:bookmarkEnd w:id="36"/>
      <w:bookmarkEnd w:id="37"/>
      <w:bookmarkEnd w:id="38"/>
      <w:bookmarkEnd w:id="39"/>
      <w:r>
        <w:rPr>
          <w:rFonts w:hint="eastAsia" w:ascii="宋体" w:hAnsi="宋体" w:eastAsia="宋体" w:cs="宋体"/>
          <w:color w:val="000000" w:themeColor="text1"/>
          <w:highlight w:val="none"/>
          <w14:textFill>
            <w14:solidFill>
              <w14:schemeClr w14:val="tx1"/>
            </w14:solidFill>
          </w14:textFill>
        </w:rPr>
        <w:t>及修改</w:t>
      </w:r>
    </w:p>
    <w:p w14:paraId="29EC2DB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6.1任何要求对磋商文件进行澄清的供应商，均应在提交首次响应文件截止时间5日前按采购邀请中的通讯地址，以书面形式通知</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。提交首次响应文件截止之日前，</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可以对已发出的磋商文件进行必要的澄清或者修改，澄清或者修改的内容作为磋商文件的组成部分。澄清或者修改的内容可能影响响应文件编制的，</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将在提交首次响应文件截止时间至少5日前，在新疆政府采购网上发布书面更正公告形式通知所有获取磋商文件的供应商。不足5日的，</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应当顺延提交首次响应文件截止时间。</w:t>
      </w:r>
    </w:p>
    <w:p w14:paraId="213165E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可以视采购项目的具体情况，组织供应商进行现场考察或召开磋商前答疑会，但不单独或分别组织只有一个供应商参加的现场考察和答疑会。</w:t>
      </w:r>
    </w:p>
    <w:p w14:paraId="486171E7">
      <w:pPr>
        <w:pStyle w:val="20"/>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40" w:name="_Hlt26670348"/>
      <w:bookmarkEnd w:id="40"/>
      <w:bookmarkStart w:id="41" w:name="_Hlt26954832"/>
      <w:bookmarkEnd w:id="41"/>
      <w:bookmarkStart w:id="42" w:name="_Hlt26670354"/>
      <w:bookmarkEnd w:id="42"/>
      <w:bookmarkStart w:id="43" w:name="_Hlt26954828"/>
      <w:bookmarkEnd w:id="43"/>
      <w:bookmarkStart w:id="44" w:name="_Hlt26954830"/>
      <w:bookmarkEnd w:id="44"/>
      <w:bookmarkStart w:id="45" w:name="_Hlt26670345"/>
      <w:bookmarkEnd w:id="45"/>
      <w:bookmarkStart w:id="46" w:name="_Hlt26668969"/>
      <w:bookmarkEnd w:id="46"/>
      <w:bookmarkStart w:id="47" w:name="_Toc14577351"/>
      <w:bookmarkStart w:id="48" w:name="_Toc513029213"/>
      <w:bookmarkStart w:id="49" w:name="_Toc462564072"/>
      <w:bookmarkStart w:id="50" w:name="_Toc61149553"/>
      <w:r>
        <w:rPr>
          <w:rFonts w:hint="eastAsia" w:ascii="宋体" w:hAnsi="宋体" w:eastAsia="宋体" w:cs="宋体"/>
          <w:b/>
          <w:color w:val="000000" w:themeColor="text1"/>
          <w:sz w:val="24"/>
          <w:szCs w:val="24"/>
          <w:highlight w:val="none"/>
          <w14:textFill>
            <w14:solidFill>
              <w14:schemeClr w14:val="tx1"/>
            </w14:solidFill>
          </w14:textFill>
        </w:rPr>
        <w:t>二、磋商响应文件的编制</w:t>
      </w:r>
      <w:bookmarkEnd w:id="47"/>
      <w:bookmarkEnd w:id="48"/>
      <w:bookmarkEnd w:id="49"/>
      <w:bookmarkEnd w:id="50"/>
      <w:r>
        <w:rPr>
          <w:rFonts w:hint="eastAsia" w:ascii="宋体" w:hAnsi="宋体" w:eastAsia="宋体" w:cs="宋体"/>
          <w:b/>
          <w:color w:val="000000" w:themeColor="text1"/>
          <w:sz w:val="24"/>
          <w:szCs w:val="24"/>
          <w:highlight w:val="none"/>
          <w14:textFill>
            <w14:solidFill>
              <w14:schemeClr w14:val="tx1"/>
            </w14:solidFill>
          </w14:textFill>
        </w:rPr>
        <w:t>及保证金收取</w:t>
      </w:r>
    </w:p>
    <w:p w14:paraId="5CD74A7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51" w:name="_Toc14577353"/>
      <w:bookmarkStart w:id="52" w:name="_Toc462564074"/>
      <w:bookmarkStart w:id="53" w:name="_Toc513029215"/>
      <w:bookmarkStart w:id="54" w:name="_Toc61149555"/>
      <w:bookmarkStart w:id="55" w:name="_Toc513029214"/>
      <w:bookmarkStart w:id="56" w:name="_Toc14577352"/>
      <w:bookmarkStart w:id="57" w:name="_Toc61149554"/>
      <w:bookmarkStart w:id="58" w:name="_Toc462564073"/>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响应文件</w:t>
      </w:r>
      <w:bookmarkEnd w:id="51"/>
      <w:bookmarkEnd w:id="52"/>
      <w:bookmarkEnd w:id="53"/>
      <w:bookmarkEnd w:id="54"/>
      <w:r>
        <w:rPr>
          <w:rFonts w:hint="eastAsia" w:ascii="宋体" w:hAnsi="宋体" w:eastAsia="宋体" w:cs="宋体"/>
          <w:color w:val="000000" w:themeColor="text1"/>
          <w:highlight w:val="none"/>
          <w14:textFill>
            <w14:solidFill>
              <w14:schemeClr w14:val="tx1"/>
            </w14:solidFill>
          </w14:textFill>
        </w:rPr>
        <w:t>编制要求</w:t>
      </w:r>
    </w:p>
    <w:bookmarkEnd w:id="55"/>
    <w:bookmarkEnd w:id="56"/>
    <w:bookmarkEnd w:id="57"/>
    <w:bookmarkEnd w:id="58"/>
    <w:p w14:paraId="4E7E6DE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.1磋商供应商提交的响应文件以及磋商供应商与</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及采购人就有关磋商的所有来往函电均应使用简体中文。磋商文件中既有中文也有外文的，以中文意义为准。</w:t>
      </w:r>
    </w:p>
    <w:p w14:paraId="4621919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.2除技术性能另有规定外，响应文件所使用的度量衡单位，均须采用国家法定计量单位。</w:t>
      </w:r>
    </w:p>
    <w:p w14:paraId="25F4B23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59" w:name="_Hlt26954836"/>
      <w:bookmarkEnd w:id="59"/>
      <w:bookmarkStart w:id="60" w:name="_Hlt26670357"/>
      <w:bookmarkEnd w:id="60"/>
      <w:bookmarkStart w:id="61" w:name="_Toc14577357"/>
      <w:bookmarkStart w:id="62" w:name="_Toc513029219"/>
      <w:bookmarkStart w:id="63" w:name="_Toc61149558"/>
      <w:bookmarkStart w:id="64" w:name="_Toc513029217"/>
      <w:bookmarkStart w:id="65" w:name="_Toc14577355"/>
      <w:bookmarkStart w:id="66" w:name="_Toc61149557"/>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参加磋商供应商资格的文件</w:t>
      </w:r>
      <w:bookmarkEnd w:id="61"/>
      <w:bookmarkEnd w:id="62"/>
      <w:bookmarkEnd w:id="63"/>
      <w:r>
        <w:rPr>
          <w:rFonts w:hint="eastAsia" w:ascii="宋体" w:hAnsi="宋体" w:eastAsia="宋体" w:cs="宋体"/>
          <w:color w:val="000000" w:themeColor="text1"/>
          <w:highlight w:val="none"/>
          <w14:textFill>
            <w14:solidFill>
              <w14:schemeClr w14:val="tx1"/>
            </w14:solidFill>
          </w14:textFill>
        </w:rPr>
        <w:t>证明</w:t>
      </w:r>
    </w:p>
    <w:p w14:paraId="5DF7015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67" w:name="_Hlt26668999"/>
      <w:bookmarkEnd w:id="67"/>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.1磋商供应商应提交证明其有资格参加磋商和成交后有能力独立履行合同的文件，并作为其响应文件的一部分。</w:t>
      </w:r>
    </w:p>
    <w:p w14:paraId="49C40ED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.2磋商供应商除必须具有履行合同所需提供的设备以及服务的能力外，还必须具备相应的财务、技术方面的能力。</w:t>
      </w:r>
    </w:p>
    <w:p w14:paraId="1E78C37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.3磋商供应商提交</w:t>
      </w:r>
      <w:r>
        <w:rPr>
          <w:rFonts w:hint="eastAsia" w:ascii="宋体" w:hAnsi="宋体" w:eastAsia="宋体" w:cs="宋体"/>
          <w:color w:val="000000" w:themeColor="text1"/>
          <w:highlight w:val="none"/>
          <w:lang w:val="en-US" w:eastAsia="zh-CN"/>
          <w14:textFill>
            <w14:solidFill>
              <w14:schemeClr w14:val="tx1"/>
            </w14:solidFill>
          </w14:textFill>
        </w:rPr>
        <w:t>的响应文件中应包含</w:t>
      </w:r>
      <w:r>
        <w:rPr>
          <w:rFonts w:hint="eastAsia" w:ascii="宋体" w:hAnsi="宋体" w:eastAsia="宋体" w:cs="宋体"/>
          <w:color w:val="000000" w:themeColor="text1"/>
          <w:highlight w:val="none"/>
          <w14:textFill>
            <w14:solidFill>
              <w14:schemeClr w14:val="tx1"/>
            </w14:solidFill>
          </w14:textFill>
        </w:rPr>
        <w:t>磋商文件要求的“资信证明文件”。</w:t>
      </w:r>
    </w:p>
    <w:p w14:paraId="431BFAC5">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磋商响应报价</w:t>
      </w:r>
      <w:bookmarkEnd w:id="64"/>
      <w:bookmarkEnd w:id="65"/>
      <w:bookmarkStart w:id="68" w:name="_Hlt26670373"/>
      <w:bookmarkEnd w:id="68"/>
      <w:r>
        <w:rPr>
          <w:rFonts w:hint="eastAsia" w:ascii="宋体" w:hAnsi="宋体" w:eastAsia="宋体" w:cs="宋体"/>
          <w:color w:val="000000" w:themeColor="text1"/>
          <w:highlight w:val="none"/>
          <w14:textFill>
            <w14:solidFill>
              <w14:schemeClr w14:val="tx1"/>
            </w14:solidFill>
          </w14:textFill>
        </w:rPr>
        <w:t>表</w:t>
      </w:r>
      <w:bookmarkEnd w:id="66"/>
    </w:p>
    <w:p w14:paraId="197AE7E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1磋商供应商应按照磋商文件规定格式填报磋商响应报价表。每项产品或服务只允许有一个报价，任何有选择的报价将不予接受，磋商文件中另有规定的按规定执行。</w:t>
      </w:r>
    </w:p>
    <w:p w14:paraId="2EDF1B55">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.2标的物</w:t>
      </w:r>
    </w:p>
    <w:p w14:paraId="594B2C1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详见项目需求。</w:t>
      </w:r>
    </w:p>
    <w:p w14:paraId="0DF37D9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.3有关费用处理</w:t>
      </w:r>
    </w:p>
    <w:p w14:paraId="418B0EE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本次采购磋商供应商的报价应包括为完成本项目发生的所有费用，本磋商文件中另有规定的除外。</w:t>
      </w:r>
    </w:p>
    <w:p w14:paraId="6CA4D8E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.4其它费用处理</w:t>
      </w:r>
    </w:p>
    <w:p w14:paraId="10A2761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磋商文件未列明，而磋商供应商认为</w:t>
      </w:r>
      <w:r>
        <w:rPr>
          <w:rFonts w:hint="eastAsia" w:ascii="宋体" w:hAnsi="宋体" w:eastAsia="宋体" w:cs="宋体"/>
          <w:color w:val="000000" w:themeColor="text1"/>
          <w:highlight w:val="none"/>
          <w:lang w:eastAsia="zh-CN"/>
          <w14:textFill>
            <w14:solidFill>
              <w14:schemeClr w14:val="tx1"/>
            </w14:solidFill>
          </w14:textFill>
        </w:rPr>
        <w:t>必需的</w:t>
      </w:r>
      <w:r>
        <w:rPr>
          <w:rFonts w:hint="eastAsia" w:ascii="宋体" w:hAnsi="宋体" w:eastAsia="宋体" w:cs="宋体"/>
          <w:color w:val="000000" w:themeColor="text1"/>
          <w:highlight w:val="none"/>
          <w14:textFill>
            <w14:solidFill>
              <w14:schemeClr w14:val="tx1"/>
            </w14:solidFill>
          </w14:textFill>
        </w:rPr>
        <w:t>费用也须列入报价。</w:t>
      </w:r>
    </w:p>
    <w:p w14:paraId="6CC6458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.5报价采用的货币</w:t>
      </w:r>
    </w:p>
    <w:p w14:paraId="1F83F9E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响应文件中的单价和总价，无特殊规定的采用人民币报价，以元为单位标注。磋商文件中另有规定的按规定执行。</w:t>
      </w:r>
    </w:p>
    <w:p w14:paraId="17F858B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69" w:name="OLE_LINK7"/>
      <w:bookmarkStart w:id="70" w:name="OLE_LINK6"/>
      <w:bookmarkStart w:id="71" w:name="OLE_LINK10"/>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.6磋商响应报价表上的价格应按磋商文件规定填写。</w:t>
      </w:r>
    </w:p>
    <w:bookmarkEnd w:id="69"/>
    <w:bookmarkEnd w:id="70"/>
    <w:bookmarkEnd w:id="71"/>
    <w:p w14:paraId="25FF5AF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72" w:name="_Hlt26670486"/>
      <w:bookmarkEnd w:id="72"/>
      <w:bookmarkStart w:id="73" w:name="_Hlt26670482"/>
      <w:bookmarkEnd w:id="73"/>
      <w:bookmarkStart w:id="74" w:name="_Hlt26954846"/>
      <w:bookmarkEnd w:id="74"/>
      <w:bookmarkStart w:id="75" w:name="_Hlt26954842"/>
      <w:bookmarkEnd w:id="75"/>
      <w:bookmarkStart w:id="76" w:name="_Hlt26954848"/>
      <w:bookmarkEnd w:id="76"/>
      <w:bookmarkStart w:id="77" w:name="_Hlt26670425"/>
      <w:bookmarkEnd w:id="77"/>
      <w:bookmarkStart w:id="78" w:name="_Hlt26668983"/>
      <w:bookmarkEnd w:id="78"/>
      <w:bookmarkStart w:id="79" w:name="_Hlt26954844"/>
      <w:bookmarkEnd w:id="79"/>
      <w:bookmarkStart w:id="80" w:name="_Hlt26954731"/>
      <w:bookmarkEnd w:id="80"/>
      <w:bookmarkStart w:id="81" w:name="_Hlt26670403"/>
      <w:bookmarkEnd w:id="81"/>
      <w:bookmarkStart w:id="82" w:name="_Toc61149559"/>
      <w:bookmarkStart w:id="83" w:name="_Toc14577359"/>
      <w:bookmarkStart w:id="84" w:name="_Toc513029221"/>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技术方案</w:t>
      </w:r>
    </w:p>
    <w:p w14:paraId="014139F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.1提供为完成本项目的总体实施方案。</w:t>
      </w:r>
    </w:p>
    <w:p w14:paraId="6BEEC905">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.2对磋商文件中项目需求的技术与商务条款要求逐项作出应答，并提供依据或说明。</w:t>
      </w:r>
    </w:p>
    <w:p w14:paraId="55A1809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.3磋商供应商认为需要的其他技术文件或说明。</w:t>
      </w:r>
    </w:p>
    <w:p w14:paraId="4B0780F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磋商保证金</w:t>
      </w:r>
      <w:bookmarkEnd w:id="82"/>
      <w:bookmarkEnd w:id="83"/>
      <w:bookmarkEnd w:id="84"/>
      <w:r>
        <w:rPr>
          <w:rFonts w:hint="eastAsia" w:ascii="宋体" w:hAnsi="宋体" w:eastAsia="宋体" w:cs="宋体"/>
          <w:color w:val="000000" w:themeColor="text1"/>
          <w:highlight w:val="none"/>
          <w14:textFill>
            <w14:solidFill>
              <w14:schemeClr w14:val="tx1"/>
            </w14:solidFill>
          </w14:textFill>
        </w:rPr>
        <w:t>（如果收取）</w:t>
      </w:r>
    </w:p>
    <w:p w14:paraId="6E8BFFE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.1磋商保证金是为了保护采购人免遭因磋商供应商的行为而蒙受的损失，采购人因磋商供应商的行为受到损害时，</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可根据相关规定处理。</w:t>
      </w:r>
    </w:p>
    <w:p w14:paraId="52F67B7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.2参加磋商采购所需交纳的保证金必须是人民币，磋商保证金的</w:t>
      </w:r>
      <w:r>
        <w:rPr>
          <w:rFonts w:hint="eastAsia" w:ascii="宋体" w:hAnsi="宋体" w:eastAsia="宋体" w:cs="宋体"/>
          <w:color w:val="000000" w:themeColor="text1"/>
          <w:highlight w:val="none"/>
          <w:lang w:val="en-US" w:eastAsia="zh-CN"/>
          <w14:textFill>
            <w14:solidFill>
              <w14:schemeClr w14:val="tx1"/>
            </w14:solidFill>
          </w14:textFill>
        </w:rPr>
        <w:t>缴纳</w:t>
      </w:r>
      <w:r>
        <w:rPr>
          <w:rFonts w:hint="eastAsia" w:ascii="宋体" w:hAnsi="宋体" w:eastAsia="宋体" w:cs="宋体"/>
          <w:color w:val="000000" w:themeColor="text1"/>
          <w:highlight w:val="none"/>
          <w14:textFill>
            <w14:solidFill>
              <w14:schemeClr w14:val="tx1"/>
            </w14:solidFill>
          </w14:textFill>
        </w:rPr>
        <w:t>形式见采购邀请。</w:t>
      </w:r>
    </w:p>
    <w:p w14:paraId="0B8A2D5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.3在磋商时，对在响应文件递交截止时间以前未按磋商文件要求提交磋商保证金的响应文件，</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将视其为无效响应文件而予以拒绝。</w:t>
      </w:r>
    </w:p>
    <w:p w14:paraId="7F0A1CC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.4未成交供应商的磋商保证金，</w:t>
      </w:r>
      <w:r>
        <w:rPr>
          <w:rFonts w:hint="eastAsia" w:ascii="宋体" w:hAnsi="宋体" w:eastAsia="宋体" w:cs="宋体"/>
          <w:bCs/>
          <w:color w:val="000000" w:themeColor="text1"/>
          <w:sz w:val="24"/>
          <w:highlight w:val="none"/>
          <w14:textFill>
            <w14:solidFill>
              <w14:schemeClr w14:val="tx1"/>
            </w14:solidFill>
          </w14:textFill>
        </w:rPr>
        <w:t>将在中标</w:t>
      </w:r>
      <w:r>
        <w:rPr>
          <w:rFonts w:hint="eastAsia" w:ascii="宋体" w:hAnsi="宋体" w:eastAsia="宋体" w:cs="宋体"/>
          <w:bCs/>
          <w:color w:val="000000" w:themeColor="text1"/>
          <w:sz w:val="24"/>
          <w:highlight w:val="none"/>
          <w:lang w:val="en-US" w:eastAsia="zh-CN"/>
          <w14:textFill>
            <w14:solidFill>
              <w14:schemeClr w14:val="tx1"/>
            </w14:solidFill>
          </w14:textFill>
        </w:rPr>
        <w:t>公告</w:t>
      </w:r>
      <w:r>
        <w:rPr>
          <w:rFonts w:hint="eastAsia" w:ascii="宋体" w:hAnsi="宋体" w:eastAsia="宋体" w:cs="宋体"/>
          <w:bCs/>
          <w:color w:val="000000" w:themeColor="text1"/>
          <w:sz w:val="24"/>
          <w:highlight w:val="none"/>
          <w14:textFill>
            <w14:solidFill>
              <w14:schemeClr w14:val="tx1"/>
            </w14:solidFill>
          </w14:textFill>
        </w:rPr>
        <w:t>发出之后5</w:t>
      </w:r>
      <w:r>
        <w:rPr>
          <w:rFonts w:hint="eastAsia" w:ascii="宋体" w:hAnsi="宋体" w:eastAsia="宋体" w:cs="宋体"/>
          <w:bCs/>
          <w:color w:val="000000" w:themeColor="text1"/>
          <w:sz w:val="24"/>
          <w:highlight w:val="none"/>
          <w:lang w:val="en-US" w:eastAsia="zh-Hans"/>
          <w14:textFill>
            <w14:solidFill>
              <w14:schemeClr w14:val="tx1"/>
            </w14:solidFill>
          </w14:textFill>
        </w:rPr>
        <w:t>个工作日内</w:t>
      </w:r>
      <w:r>
        <w:rPr>
          <w:rFonts w:hint="eastAsia" w:ascii="宋体" w:hAnsi="宋体" w:eastAsia="宋体" w:cs="宋体"/>
          <w:bCs/>
          <w:color w:val="000000" w:themeColor="text1"/>
          <w:sz w:val="24"/>
          <w:highlight w:val="none"/>
          <w:lang w:val="en-US" w:eastAsia="zh-CN"/>
          <w14:textFill>
            <w14:solidFill>
              <w14:schemeClr w14:val="tx1"/>
            </w14:solidFill>
          </w14:textFill>
        </w:rPr>
        <w:t>自动</w:t>
      </w:r>
      <w:r>
        <w:rPr>
          <w:rFonts w:hint="eastAsia" w:ascii="宋体" w:hAnsi="宋体" w:eastAsia="宋体" w:cs="宋体"/>
          <w:bCs/>
          <w:color w:val="000000" w:themeColor="text1"/>
          <w:sz w:val="24"/>
          <w:highlight w:val="none"/>
          <w14:textFill>
            <w14:solidFill>
              <w14:schemeClr w14:val="tx1"/>
            </w14:solidFill>
          </w14:textFill>
        </w:rPr>
        <w:t>退还。</w:t>
      </w:r>
    </w:p>
    <w:p w14:paraId="119164EE">
      <w:pPr>
        <w:adjustRightInd w:val="0"/>
        <w:snapToGrid w:val="0"/>
        <w:spacing w:before="145" w:beforeLines="50" w:after="145" w:afterLines="50" w:line="293"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.5成交候选供应商的磋商保证金，</w:t>
      </w:r>
      <w:r>
        <w:rPr>
          <w:rFonts w:hint="eastAsia" w:ascii="宋体" w:hAnsi="宋体" w:eastAsia="宋体" w:cs="宋体"/>
          <w:bCs/>
          <w:color w:val="000000" w:themeColor="text1"/>
          <w:sz w:val="24"/>
          <w:highlight w:val="none"/>
          <w14:textFill>
            <w14:solidFill>
              <w14:schemeClr w14:val="tx1"/>
            </w14:solidFill>
          </w14:textFill>
        </w:rPr>
        <w:t>将在采购合同签订之后5</w:t>
      </w:r>
      <w:r>
        <w:rPr>
          <w:rFonts w:hint="eastAsia" w:ascii="宋体" w:hAnsi="宋体" w:eastAsia="宋体" w:cs="宋体"/>
          <w:bCs/>
          <w:color w:val="000000" w:themeColor="text1"/>
          <w:sz w:val="24"/>
          <w:highlight w:val="none"/>
          <w:lang w:val="en-US" w:eastAsia="zh-Hans"/>
          <w14:textFill>
            <w14:solidFill>
              <w14:schemeClr w14:val="tx1"/>
            </w14:solidFill>
          </w14:textFill>
        </w:rPr>
        <w:t>个工作日内</w:t>
      </w:r>
      <w:r>
        <w:rPr>
          <w:rFonts w:hint="eastAsia" w:ascii="宋体" w:hAnsi="宋体" w:eastAsia="宋体" w:cs="宋体"/>
          <w:bCs/>
          <w:color w:val="000000" w:themeColor="text1"/>
          <w:sz w:val="24"/>
          <w:highlight w:val="none"/>
          <w:lang w:val="en-US" w:eastAsia="zh-CN"/>
          <w14:textFill>
            <w14:solidFill>
              <w14:schemeClr w14:val="tx1"/>
            </w14:solidFill>
          </w14:textFill>
        </w:rPr>
        <w:t>自动</w:t>
      </w:r>
      <w:r>
        <w:rPr>
          <w:rFonts w:hint="eastAsia" w:ascii="宋体" w:hAnsi="宋体" w:eastAsia="宋体" w:cs="宋体"/>
          <w:bCs/>
          <w:color w:val="000000" w:themeColor="text1"/>
          <w:sz w:val="24"/>
          <w:highlight w:val="none"/>
          <w14:textFill>
            <w14:solidFill>
              <w14:schemeClr w14:val="tx1"/>
            </w14:solidFill>
          </w14:textFill>
        </w:rPr>
        <w:t>退还（</w:t>
      </w:r>
      <w:r>
        <w:rPr>
          <w:rFonts w:hint="eastAsia" w:ascii="宋体" w:hAnsi="宋体" w:eastAsia="宋体" w:cs="宋体"/>
          <w:bCs/>
          <w:color w:val="000000" w:themeColor="text1"/>
          <w:sz w:val="24"/>
          <w:highlight w:val="none"/>
          <w:lang w:val="en-US" w:eastAsia="zh-Hans"/>
          <w14:textFill>
            <w14:solidFill>
              <w14:schemeClr w14:val="tx1"/>
            </w14:solidFill>
          </w14:textFill>
        </w:rPr>
        <w:t>退还前，</w:t>
      </w:r>
      <w:r>
        <w:rPr>
          <w:rFonts w:hint="eastAsia" w:ascii="宋体" w:hAnsi="宋体" w:eastAsia="宋体" w:cs="宋体"/>
          <w:bCs/>
          <w:color w:val="000000" w:themeColor="text1"/>
          <w:sz w:val="24"/>
          <w:highlight w:val="none"/>
          <w14:textFill>
            <w14:solidFill>
              <w14:schemeClr w14:val="tx1"/>
            </w14:solidFill>
          </w14:textFill>
        </w:rPr>
        <w:t>须在</w:t>
      </w:r>
      <w:r>
        <w:rPr>
          <w:rFonts w:hint="eastAsia" w:ascii="宋体" w:hAnsi="宋体" w:eastAsia="宋体" w:cs="宋体"/>
          <w:bCs/>
          <w:color w:val="000000" w:themeColor="text1"/>
          <w:sz w:val="24"/>
          <w:highlight w:val="none"/>
          <w:lang w:val="en-US" w:eastAsia="zh-CN"/>
          <w14:textFill>
            <w14:solidFill>
              <w14:schemeClr w14:val="tx1"/>
            </w14:solidFill>
          </w14:textFill>
        </w:rPr>
        <w:t>自治区</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bCs/>
          <w:color w:val="000000" w:themeColor="text1"/>
          <w:sz w:val="24"/>
          <w:highlight w:val="none"/>
          <w:lang w:val="en-US" w:eastAsia="zh-CN"/>
          <w14:textFill>
            <w14:solidFill>
              <w14:schemeClr w14:val="tx1"/>
            </w14:solidFill>
          </w14:textFill>
        </w:rPr>
        <w:t>政府采购部</w:t>
      </w:r>
      <w:r>
        <w:rPr>
          <w:rFonts w:hint="eastAsia" w:ascii="宋体" w:hAnsi="宋体" w:eastAsia="宋体" w:cs="宋体"/>
          <w:bCs/>
          <w:color w:val="000000" w:themeColor="text1"/>
          <w:sz w:val="24"/>
          <w:highlight w:val="none"/>
          <w14:textFill>
            <w14:solidFill>
              <w14:schemeClr w14:val="tx1"/>
            </w14:solidFill>
          </w14:textFill>
        </w:rPr>
        <w:t>进行合同备案）。</w:t>
      </w:r>
    </w:p>
    <w:p w14:paraId="29032D9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.6下列任何情况发生时，磋商保证金不予退还：</w:t>
      </w:r>
    </w:p>
    <w:p w14:paraId="2ADB990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（1）磋商供应商在磋商响应有效期内无正当理由撤回其响应文件或者在磋商过程中无正当理由退出磋商活动（磋商供应商在提交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之前退出磋商的除外）。</w:t>
      </w:r>
    </w:p>
    <w:p w14:paraId="693AB67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（2）为谋取最终成交，磋商供应商在整个磋商过程中提供的相关文件被确认是虚假的、不真实的。</w:t>
      </w:r>
    </w:p>
    <w:p w14:paraId="3BA61825">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（3）参加磋商的供应商之间被证实有串通、欺诈行为或者恶意进行竞争，影响采购人合法权益的。</w:t>
      </w:r>
    </w:p>
    <w:p w14:paraId="1196D3D8">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（4）整个采购活动中采取不正当手段诋毁、排挤其他供应商的。</w:t>
      </w:r>
    </w:p>
    <w:p w14:paraId="457537F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（5）与采购人、</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相关工作人员恶意串通的。</w:t>
      </w:r>
    </w:p>
    <w:p w14:paraId="747A266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（6）向采购人、</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相关工作人员行贿或者提供其他不正当利益的。</w:t>
      </w:r>
    </w:p>
    <w:p w14:paraId="2B38E1D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（7）成交供应商在规定期限内未能根据规定签订合同。</w:t>
      </w:r>
    </w:p>
    <w:p w14:paraId="2C33A32A">
      <w:pPr>
        <w:pStyle w:val="20"/>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85" w:name="_Hlt26670493"/>
      <w:bookmarkEnd w:id="85"/>
      <w:bookmarkStart w:id="86" w:name="_Hlt26954734"/>
      <w:bookmarkEnd w:id="86"/>
      <w:bookmarkStart w:id="87" w:name="_Hlt26954749"/>
      <w:bookmarkEnd w:id="87"/>
      <w:bookmarkStart w:id="88" w:name="_Hlt26954739"/>
      <w:bookmarkEnd w:id="88"/>
      <w:bookmarkStart w:id="89" w:name="_Hlt26954852"/>
      <w:bookmarkEnd w:id="89"/>
      <w:bookmarkStart w:id="90" w:name="_Hlt26954854"/>
      <w:bookmarkEnd w:id="90"/>
      <w:bookmarkStart w:id="91" w:name="_Hlt26954850"/>
      <w:bookmarkEnd w:id="91"/>
      <w:bookmarkStart w:id="92" w:name="_Hlt26670489"/>
      <w:bookmarkEnd w:id="92"/>
      <w:bookmarkStart w:id="93" w:name="_Toc14577362"/>
      <w:bookmarkStart w:id="94" w:name="_Toc513029224"/>
      <w:bookmarkStart w:id="95" w:name="_Toc61149562"/>
      <w:r>
        <w:rPr>
          <w:rFonts w:hint="eastAsia" w:ascii="宋体" w:hAnsi="宋体" w:eastAsia="宋体" w:cs="宋体"/>
          <w:b/>
          <w:color w:val="000000" w:themeColor="text1"/>
          <w:sz w:val="24"/>
          <w:szCs w:val="24"/>
          <w:highlight w:val="none"/>
          <w14:textFill>
            <w14:solidFill>
              <w14:schemeClr w14:val="tx1"/>
            </w14:solidFill>
          </w14:textFill>
        </w:rPr>
        <w:t>三、响应文件的递交</w:t>
      </w:r>
      <w:bookmarkEnd w:id="93"/>
      <w:bookmarkEnd w:id="94"/>
      <w:bookmarkEnd w:id="95"/>
    </w:p>
    <w:p w14:paraId="59D2AD89">
      <w:pPr>
        <w:tabs>
          <w:tab w:val="left" w:pos="900"/>
        </w:tabs>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bookmarkStart w:id="96" w:name="_Hlt26954856"/>
      <w:bookmarkEnd w:id="96"/>
      <w:bookmarkStart w:id="97" w:name="_Toc462564084"/>
      <w:bookmarkStart w:id="98" w:name="_Toc14577363"/>
      <w:bookmarkStart w:id="99" w:name="_Toc61149563"/>
      <w:bookmarkStart w:id="100" w:name="_Toc513029225"/>
      <w:r>
        <w:rPr>
          <w:rFonts w:hint="eastAsia" w:ascii="宋体" w:hAnsi="宋体" w:eastAsia="宋体" w:cs="宋体"/>
          <w:color w:val="000000" w:themeColor="text1"/>
          <w:highlight w:val="none"/>
          <w:lang w:val="en-US" w:eastAsia="zh-CN"/>
          <w14:textFill>
            <w14:solidFill>
              <w14:schemeClr w14:val="tx1"/>
            </w14:solidFill>
          </w14:textFill>
        </w:rPr>
        <w:t>1</w:t>
      </w:r>
      <w:bookmarkEnd w:id="97"/>
      <w:bookmarkEnd w:id="98"/>
      <w:bookmarkEnd w:id="99"/>
      <w:bookmarkEnd w:id="100"/>
      <w:r>
        <w:rPr>
          <w:rFonts w:hint="eastAsia" w:ascii="宋体" w:hAnsi="宋体" w:eastAsia="宋体" w:cs="宋体"/>
          <w:color w:val="000000" w:themeColor="text1"/>
          <w:highlight w:val="none"/>
          <w:lang w:val="en-US" w:eastAsia="zh-CN"/>
          <w14:textFill>
            <w14:solidFill>
              <w14:schemeClr w14:val="tx1"/>
            </w14:solidFill>
          </w14:textFill>
        </w:rPr>
        <w:t>.电子响应文件的递交</w:t>
      </w:r>
    </w:p>
    <w:p w14:paraId="0EFDEDDF">
      <w:pPr>
        <w:tabs>
          <w:tab w:val="left" w:pos="900"/>
        </w:tabs>
        <w:spacing w:line="560" w:lineRule="exact"/>
        <w:ind w:firstLine="480" w:firstLineChars="200"/>
        <w:rPr>
          <w:rFonts w:hint="eastAsia" w:ascii="宋体" w:hAnsi="宋体" w:eastAsia="宋体" w:cs="宋体"/>
          <w:b w:val="0"/>
          <w:bCs w:val="0"/>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供应商应当在递交截止时间前，将生成的“电子加密响应文件”上传递交至“政府采购云平台”，递交截止时间以后上传递交的响应文件将被“政府采购云平台”拒收</w:t>
      </w:r>
      <w:r>
        <w:rPr>
          <w:rFonts w:hint="eastAsia" w:ascii="宋体" w:hAnsi="宋体" w:eastAsia="宋体" w:cs="宋体"/>
          <w:b w:val="0"/>
          <w:bCs w:val="0"/>
          <w:color w:val="000000" w:themeColor="text1"/>
          <w:kern w:val="2"/>
          <w:sz w:val="24"/>
          <w:szCs w:val="21"/>
          <w:highlight w:val="none"/>
          <w:lang w:val="en-US" w:eastAsia="zh-CN" w:bidi="ar-SA"/>
          <w14:textFill>
            <w14:solidFill>
              <w14:schemeClr w14:val="tx1"/>
            </w14:solidFill>
          </w14:textFill>
        </w:rPr>
        <w:t>。</w:t>
      </w:r>
    </w:p>
    <w:p w14:paraId="0FD0001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01" w:name="_Hlt26954858"/>
      <w:bookmarkEnd w:id="101"/>
      <w:bookmarkStart w:id="102" w:name="_Hlt26954752"/>
      <w:bookmarkEnd w:id="102"/>
      <w:bookmarkStart w:id="103" w:name="_Hlt26670496"/>
      <w:bookmarkEnd w:id="103"/>
      <w:bookmarkStart w:id="104" w:name="_Toc14577364"/>
      <w:bookmarkStart w:id="105" w:name="_Toc61149564"/>
      <w:bookmarkStart w:id="106" w:name="_Toc513029226"/>
      <w:r>
        <w:rPr>
          <w:rFonts w:hint="eastAsia" w:ascii="宋体" w:hAnsi="宋体" w:eastAsia="宋体" w:cs="宋体"/>
          <w:color w:val="000000" w:themeColor="text1"/>
          <w:highlight w:val="none"/>
          <w14:textFill>
            <w14:solidFill>
              <w14:schemeClr w14:val="tx1"/>
            </w14:solidFill>
          </w14:textFill>
        </w:rPr>
        <w:t>2</w:t>
      </w:r>
      <w:bookmarkEnd w:id="104"/>
      <w:bookmarkEnd w:id="105"/>
      <w:bookmarkEnd w:id="106"/>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递交</w:t>
      </w:r>
      <w:r>
        <w:rPr>
          <w:rFonts w:hint="eastAsia" w:ascii="宋体" w:hAnsi="宋体" w:eastAsia="宋体" w:cs="宋体"/>
          <w:color w:val="000000" w:themeColor="text1"/>
          <w:highlight w:val="none"/>
          <w14:textFill>
            <w14:solidFill>
              <w14:schemeClr w14:val="tx1"/>
            </w14:solidFill>
          </w14:textFill>
        </w:rPr>
        <w:t>响应文件</w:t>
      </w:r>
      <w:r>
        <w:rPr>
          <w:rFonts w:hint="eastAsia" w:ascii="宋体" w:hAnsi="宋体" w:eastAsia="宋体" w:cs="宋体"/>
          <w:color w:val="000000" w:themeColor="text1"/>
          <w:highlight w:val="none"/>
          <w:lang w:val="en-US" w:eastAsia="zh-CN"/>
          <w14:textFill>
            <w14:solidFill>
              <w14:schemeClr w14:val="tx1"/>
            </w14:solidFill>
          </w14:textFill>
        </w:rPr>
        <w:t>截止</w:t>
      </w:r>
      <w:r>
        <w:rPr>
          <w:rFonts w:hint="eastAsia" w:ascii="宋体" w:hAnsi="宋体" w:eastAsia="宋体" w:cs="宋体"/>
          <w:color w:val="000000" w:themeColor="text1"/>
          <w:highlight w:val="none"/>
          <w14:textFill>
            <w14:solidFill>
              <w14:schemeClr w14:val="tx1"/>
            </w14:solidFill>
          </w14:textFill>
        </w:rPr>
        <w:t>时间</w:t>
      </w:r>
    </w:p>
    <w:p w14:paraId="717B71B6">
      <w:pPr>
        <w:spacing w:line="500" w:lineRule="exact"/>
        <w:ind w:firstLine="480" w:firstLineChars="200"/>
        <w:rPr>
          <w:rFonts w:hint="eastAsia" w:ascii="宋体" w:hAnsi="宋体" w:eastAsia="宋体" w:cs="宋体"/>
          <w:bCs/>
          <w:i/>
          <w:color w:val="000000" w:themeColor="text1"/>
          <w:sz w:val="24"/>
          <w:highlight w:val="none"/>
          <w:u w:val="single"/>
          <w14:textFill>
            <w14:solidFill>
              <w14:schemeClr w14:val="tx1"/>
            </w14:solidFill>
          </w14:textFill>
        </w:rPr>
      </w:pPr>
      <w:r>
        <w:rPr>
          <w:rFonts w:hint="eastAsia" w:ascii="宋体" w:hAnsi="宋体" w:eastAsia="宋体" w:cs="宋体"/>
          <w:i/>
          <w:color w:val="000000" w:themeColor="text1"/>
          <w:sz w:val="24"/>
          <w:highlight w:val="none"/>
          <w:u w:val="single"/>
          <w14:textFill>
            <w14:solidFill>
              <w14:schemeClr w14:val="tx1"/>
            </w14:solidFill>
          </w14:textFill>
        </w:rPr>
        <w:t>2.1</w:t>
      </w:r>
      <w:r>
        <w:rPr>
          <w:rFonts w:hint="eastAsia" w:ascii="宋体" w:hAnsi="宋体" w:eastAsia="宋体" w:cs="宋体"/>
          <w:bCs/>
          <w:i/>
          <w:color w:val="000000" w:themeColor="text1"/>
          <w:sz w:val="24"/>
          <w:highlight w:val="none"/>
          <w:u w:val="single"/>
          <w14:textFill>
            <w14:solidFill>
              <w14:schemeClr w14:val="tx1"/>
            </w14:solidFill>
          </w14:textFill>
        </w:rPr>
        <w:t xml:space="preserve"> </w:t>
      </w:r>
      <w:r>
        <w:rPr>
          <w:rFonts w:hint="eastAsia" w:ascii="宋体" w:hAnsi="宋体" w:eastAsia="宋体" w:cs="宋体"/>
          <w:bCs/>
          <w:i/>
          <w:color w:val="000000" w:themeColor="text1"/>
          <w:sz w:val="24"/>
          <w:highlight w:val="none"/>
          <w:u w:val="single"/>
          <w:lang w:eastAsia="zh-CN"/>
          <w14:textFill>
            <w14:solidFill>
              <w14:schemeClr w14:val="tx1"/>
            </w14:solidFill>
          </w14:textFill>
        </w:rPr>
        <w:t>供应商</w:t>
      </w:r>
      <w:r>
        <w:rPr>
          <w:rFonts w:hint="eastAsia" w:ascii="宋体" w:hAnsi="宋体" w:eastAsia="宋体" w:cs="宋体"/>
          <w:bCs/>
          <w:i/>
          <w:color w:val="000000" w:themeColor="text1"/>
          <w:sz w:val="24"/>
          <w:highlight w:val="none"/>
          <w:u w:val="single"/>
          <w14:textFill>
            <w14:solidFill>
              <w14:schemeClr w14:val="tx1"/>
            </w14:solidFill>
          </w14:textFill>
        </w:rPr>
        <w:t>上传电子</w:t>
      </w:r>
      <w:r>
        <w:rPr>
          <w:rFonts w:hint="eastAsia" w:ascii="宋体" w:hAnsi="宋体" w:eastAsia="宋体" w:cs="宋体"/>
          <w:bCs/>
          <w:i/>
          <w:color w:val="000000" w:themeColor="text1"/>
          <w:sz w:val="24"/>
          <w:highlight w:val="none"/>
          <w:u w:val="single"/>
          <w:lang w:eastAsia="zh-CN"/>
          <w14:textFill>
            <w14:solidFill>
              <w14:schemeClr w14:val="tx1"/>
            </w14:solidFill>
          </w14:textFill>
        </w:rPr>
        <w:t>响应文件</w:t>
      </w:r>
      <w:r>
        <w:rPr>
          <w:rFonts w:hint="eastAsia" w:ascii="宋体" w:hAnsi="宋体" w:eastAsia="宋体" w:cs="宋体"/>
          <w:bCs/>
          <w:i/>
          <w:color w:val="000000" w:themeColor="text1"/>
          <w:sz w:val="24"/>
          <w:highlight w:val="none"/>
          <w:u w:val="single"/>
          <w14:textFill>
            <w14:solidFill>
              <w14:schemeClr w14:val="tx1"/>
            </w14:solidFill>
          </w14:textFill>
        </w:rPr>
        <w:t>的时间不得迟于</w:t>
      </w:r>
      <w:r>
        <w:rPr>
          <w:rFonts w:hint="eastAsia" w:ascii="宋体" w:hAnsi="宋体" w:eastAsia="宋体" w:cs="宋体"/>
          <w:bCs/>
          <w:i/>
          <w:color w:val="000000" w:themeColor="text1"/>
          <w:sz w:val="24"/>
          <w:highlight w:val="none"/>
          <w:u w:val="single"/>
          <w:lang w:val="en-US" w:eastAsia="zh-CN"/>
          <w14:textFill>
            <w14:solidFill>
              <w14:schemeClr w14:val="tx1"/>
            </w14:solidFill>
          </w14:textFill>
        </w:rPr>
        <w:t>磋商</w:t>
      </w:r>
      <w:r>
        <w:rPr>
          <w:rFonts w:hint="eastAsia" w:ascii="宋体" w:hAnsi="宋体" w:eastAsia="宋体" w:cs="宋体"/>
          <w:bCs/>
          <w:i/>
          <w:color w:val="000000" w:themeColor="text1"/>
          <w:sz w:val="24"/>
          <w:highlight w:val="none"/>
          <w:u w:val="single"/>
          <w14:textFill>
            <w14:solidFill>
              <w14:schemeClr w14:val="tx1"/>
            </w14:solidFill>
          </w14:textFill>
        </w:rPr>
        <w:t>公告中规定的</w:t>
      </w:r>
      <w:r>
        <w:rPr>
          <w:rFonts w:hint="eastAsia" w:ascii="宋体" w:hAnsi="宋体" w:eastAsia="宋体" w:cs="宋体"/>
          <w:bCs/>
          <w:i/>
          <w:color w:val="000000" w:themeColor="text1"/>
          <w:sz w:val="24"/>
          <w:highlight w:val="none"/>
          <w:u w:val="single"/>
          <w:lang w:eastAsia="zh-CN"/>
          <w14:textFill>
            <w14:solidFill>
              <w14:schemeClr w14:val="tx1"/>
            </w14:solidFill>
          </w14:textFill>
        </w:rPr>
        <w:t>递交磋商文件截止时间</w:t>
      </w:r>
      <w:r>
        <w:rPr>
          <w:rFonts w:hint="eastAsia" w:ascii="宋体" w:hAnsi="宋体" w:eastAsia="宋体" w:cs="宋体"/>
          <w:bCs/>
          <w:i/>
          <w:color w:val="000000" w:themeColor="text1"/>
          <w:sz w:val="24"/>
          <w:highlight w:val="none"/>
          <w:u w:val="single"/>
          <w14:textFill>
            <w14:solidFill>
              <w14:schemeClr w14:val="tx1"/>
            </w14:solidFill>
          </w14:textFill>
        </w:rPr>
        <w:t>。</w:t>
      </w:r>
    </w:p>
    <w:p w14:paraId="2D73FE43">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应</w:t>
      </w:r>
      <w:r>
        <w:rPr>
          <w:rFonts w:hint="eastAsia" w:ascii="宋体" w:hAnsi="宋体" w:eastAsia="宋体" w:cs="宋体"/>
          <w:bCs/>
          <w:color w:val="000000" w:themeColor="text1"/>
          <w:sz w:val="24"/>
          <w:highlight w:val="none"/>
          <w:lang w:eastAsia="zh-CN"/>
          <w14:textFill>
            <w14:solidFill>
              <w14:schemeClr w14:val="tx1"/>
            </w14:solidFill>
          </w14:textFill>
        </w:rPr>
        <w:t>充分考虑</w:t>
      </w:r>
      <w:r>
        <w:rPr>
          <w:rFonts w:hint="eastAsia" w:ascii="宋体" w:hAnsi="宋体" w:eastAsia="宋体" w:cs="宋体"/>
          <w:bCs/>
          <w:color w:val="000000" w:themeColor="text1"/>
          <w:sz w:val="24"/>
          <w:highlight w:val="none"/>
          <w14:textFill>
            <w14:solidFill>
              <w14:schemeClr w14:val="tx1"/>
            </w14:solidFill>
          </w14:textFill>
        </w:rPr>
        <w:t>网络环境、网络带宽等风险因素，如因</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自身原因造成的电子</w:t>
      </w:r>
      <w:r>
        <w:rPr>
          <w:rFonts w:hint="eastAsia" w:ascii="宋体" w:hAnsi="宋体" w:eastAsia="宋体" w:cs="宋体"/>
          <w:bCs/>
          <w:color w:val="000000" w:themeColor="text1"/>
          <w:sz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highlight w:val="none"/>
          <w14:textFill>
            <w14:solidFill>
              <w14:schemeClr w14:val="tx1"/>
            </w14:solidFill>
          </w14:textFill>
        </w:rPr>
        <w:t>上传不成功由</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自行承担全部责任。</w:t>
      </w:r>
    </w:p>
    <w:p w14:paraId="6A85A8E9">
      <w:pPr>
        <w:spacing w:line="5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r>
        <w:rPr>
          <w:rFonts w:hint="eastAsia" w:ascii="宋体" w:hAnsi="宋体" w:eastAsia="宋体" w:cs="宋体"/>
          <w:bCs/>
          <w:color w:val="000000" w:themeColor="text1"/>
          <w:sz w:val="24"/>
          <w:highlight w:val="none"/>
          <w14:textFill>
            <w14:solidFill>
              <w14:schemeClr w14:val="tx1"/>
            </w14:solidFill>
          </w14:textFill>
        </w:rPr>
        <w:t xml:space="preserve"> 交易中心可以按照规定，通过修改</w:t>
      </w:r>
      <w:r>
        <w:rPr>
          <w:rFonts w:hint="eastAsia" w:ascii="宋体" w:hAnsi="宋体" w:eastAsia="宋体" w:cs="宋体"/>
          <w:bCs/>
          <w:color w:val="000000" w:themeColor="text1"/>
          <w:sz w:val="24"/>
          <w:highlight w:val="none"/>
          <w:lang w:val="en-US" w:eastAsia="zh-CN"/>
          <w14:textFill>
            <w14:solidFill>
              <w14:schemeClr w14:val="tx1"/>
            </w14:solidFill>
          </w14:textFill>
        </w:rPr>
        <w:t>磋商</w:t>
      </w:r>
      <w:r>
        <w:rPr>
          <w:rFonts w:hint="eastAsia" w:ascii="宋体" w:hAnsi="宋体" w:eastAsia="宋体" w:cs="宋体"/>
          <w:bCs/>
          <w:color w:val="000000" w:themeColor="text1"/>
          <w:sz w:val="24"/>
          <w:highlight w:val="none"/>
          <w14:textFill>
            <w14:solidFill>
              <w14:schemeClr w14:val="tx1"/>
            </w14:solidFill>
          </w14:textFill>
        </w:rPr>
        <w:t>文件酌情延长</w:t>
      </w:r>
      <w:r>
        <w:rPr>
          <w:rFonts w:hint="eastAsia" w:ascii="宋体" w:hAnsi="宋体" w:eastAsia="宋体" w:cs="宋体"/>
          <w:bCs/>
          <w:color w:val="000000" w:themeColor="text1"/>
          <w:sz w:val="24"/>
          <w:highlight w:val="none"/>
          <w:lang w:eastAsia="zh-CN"/>
          <w14:textFill>
            <w14:solidFill>
              <w14:schemeClr w14:val="tx1"/>
            </w14:solidFill>
          </w14:textFill>
        </w:rPr>
        <w:t>递交磋商文件截止时间</w:t>
      </w:r>
      <w:r>
        <w:rPr>
          <w:rFonts w:hint="eastAsia" w:ascii="宋体" w:hAnsi="宋体" w:eastAsia="宋体" w:cs="宋体"/>
          <w:bCs/>
          <w:color w:val="000000" w:themeColor="text1"/>
          <w:sz w:val="24"/>
          <w:highlight w:val="none"/>
          <w14:textFill>
            <w14:solidFill>
              <w14:schemeClr w14:val="tx1"/>
            </w14:solidFill>
          </w14:textFill>
        </w:rPr>
        <w:t>，在此情况下，</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的所有权利和义务以及</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受制的截止时间均应以延长后新的截止时间为准。</w:t>
      </w:r>
    </w:p>
    <w:p w14:paraId="3C25988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07" w:name="_Hlt26954860"/>
      <w:bookmarkEnd w:id="107"/>
      <w:bookmarkStart w:id="108" w:name="_Toc61149565"/>
      <w:bookmarkStart w:id="109" w:name="_Toc14577365"/>
      <w:bookmarkStart w:id="110" w:name="_Toc513029227"/>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迟交的响应文件</w:t>
      </w:r>
      <w:bookmarkEnd w:id="108"/>
      <w:bookmarkEnd w:id="109"/>
      <w:bookmarkEnd w:id="110"/>
    </w:p>
    <w:p w14:paraId="16C78CD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将拒绝在规定的响应文件接收截止时间后接收响应文件。</w:t>
      </w:r>
    </w:p>
    <w:p w14:paraId="7B6EA33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11" w:name="_Hlt26954754"/>
      <w:bookmarkEnd w:id="111"/>
      <w:bookmarkStart w:id="112" w:name="_Hlt26954862"/>
      <w:bookmarkEnd w:id="112"/>
      <w:bookmarkStart w:id="113" w:name="_Toc513029228"/>
      <w:bookmarkStart w:id="114" w:name="_Toc14577366"/>
      <w:bookmarkStart w:id="115" w:name="_Toc61149566"/>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响应文件</w:t>
      </w:r>
      <w:bookmarkStart w:id="116" w:name="_Hlt26670588"/>
      <w:r>
        <w:rPr>
          <w:rFonts w:hint="eastAsia" w:ascii="宋体" w:hAnsi="宋体" w:eastAsia="宋体" w:cs="宋体"/>
          <w:color w:val="000000" w:themeColor="text1"/>
          <w:highlight w:val="none"/>
          <w14:textFill>
            <w14:solidFill>
              <w14:schemeClr w14:val="tx1"/>
            </w14:solidFill>
          </w14:textFill>
        </w:rPr>
        <w:t>的修改</w:t>
      </w:r>
      <w:bookmarkEnd w:id="116"/>
      <w:r>
        <w:rPr>
          <w:rFonts w:hint="eastAsia" w:ascii="宋体" w:hAnsi="宋体" w:eastAsia="宋体" w:cs="宋体"/>
          <w:color w:val="000000" w:themeColor="text1"/>
          <w:highlight w:val="none"/>
          <w14:textFill>
            <w14:solidFill>
              <w14:schemeClr w14:val="tx1"/>
            </w14:solidFill>
          </w14:textFill>
        </w:rPr>
        <w:t>和撤回</w:t>
      </w:r>
      <w:bookmarkEnd w:id="113"/>
      <w:bookmarkEnd w:id="114"/>
      <w:bookmarkEnd w:id="115"/>
    </w:p>
    <w:p w14:paraId="6AAA1F2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的撤回</w:t>
      </w:r>
    </w:p>
    <w:p w14:paraId="348CD72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.1.1 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的撤回</w:t>
      </w:r>
    </w:p>
    <w:p w14:paraId="2D38E91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可在</w:t>
      </w:r>
      <w:r>
        <w:rPr>
          <w:rFonts w:hint="eastAsia" w:ascii="宋体" w:hAnsi="宋体" w:eastAsia="宋体" w:cs="宋体"/>
          <w:color w:val="000000" w:themeColor="text1"/>
          <w:highlight w:val="none"/>
          <w:lang w:eastAsia="zh-CN"/>
          <w14:textFill>
            <w14:solidFill>
              <w14:schemeClr w14:val="tx1"/>
            </w14:solidFill>
          </w14:textFill>
        </w:rPr>
        <w:t>递交磋商文件截止时间</w:t>
      </w:r>
      <w:r>
        <w:rPr>
          <w:rFonts w:hint="eastAsia" w:ascii="宋体" w:hAnsi="宋体" w:eastAsia="宋体" w:cs="宋体"/>
          <w:color w:val="000000" w:themeColor="text1"/>
          <w:highlight w:val="none"/>
          <w14:textFill>
            <w14:solidFill>
              <w14:schemeClr w14:val="tx1"/>
            </w14:solidFill>
          </w14:textFill>
        </w:rPr>
        <w:t>前，撤回其电子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w:t>
      </w:r>
    </w:p>
    <w:p w14:paraId="5E01613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.1.2 </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撤回电子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，则认为其不再参与本项目</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活动。</w:t>
      </w:r>
    </w:p>
    <w:p w14:paraId="2B61159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的修改</w:t>
      </w:r>
    </w:p>
    <w:p w14:paraId="0A6A46E6">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可在</w:t>
      </w:r>
      <w:r>
        <w:rPr>
          <w:rFonts w:hint="eastAsia" w:ascii="宋体" w:hAnsi="宋体" w:eastAsia="宋体" w:cs="宋体"/>
          <w:color w:val="000000" w:themeColor="text1"/>
          <w:highlight w:val="none"/>
          <w:lang w:eastAsia="zh-CN"/>
          <w14:textFill>
            <w14:solidFill>
              <w14:schemeClr w14:val="tx1"/>
            </w14:solidFill>
          </w14:textFill>
        </w:rPr>
        <w:t>递交磋商文件截止时间</w:t>
      </w:r>
      <w:r>
        <w:rPr>
          <w:rFonts w:hint="eastAsia" w:ascii="宋体" w:hAnsi="宋体" w:eastAsia="宋体" w:cs="宋体"/>
          <w:color w:val="000000" w:themeColor="text1"/>
          <w:highlight w:val="none"/>
          <w14:textFill>
            <w14:solidFill>
              <w14:schemeClr w14:val="tx1"/>
            </w14:solidFill>
          </w14:textFill>
        </w:rPr>
        <w:t>前，对其电子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撤回并</w:t>
      </w:r>
      <w:r>
        <w:rPr>
          <w:rFonts w:hint="eastAsia" w:ascii="宋体" w:hAnsi="宋体" w:eastAsia="宋体" w:cs="宋体"/>
          <w:color w:val="000000" w:themeColor="text1"/>
          <w:highlight w:val="none"/>
          <w14:textFill>
            <w14:solidFill>
              <w14:schemeClr w14:val="tx1"/>
            </w14:solidFill>
          </w14:textFill>
        </w:rPr>
        <w:t>修改，</w:t>
      </w:r>
      <w:r>
        <w:rPr>
          <w:rFonts w:hint="eastAsia" w:ascii="宋体" w:hAnsi="宋体" w:eastAsia="宋体" w:cs="宋体"/>
          <w:color w:val="000000" w:themeColor="text1"/>
          <w:highlight w:val="none"/>
          <w:lang w:val="en-US" w:eastAsia="zh-CN"/>
          <w14:textFill>
            <w14:solidFill>
              <w14:schemeClr w14:val="tx1"/>
            </w14:solidFill>
          </w14:textFill>
        </w:rPr>
        <w:t>并将修改后的文件重新上传</w:t>
      </w:r>
      <w:r>
        <w:rPr>
          <w:rFonts w:hint="eastAsia" w:ascii="宋体" w:hAnsi="宋体" w:eastAsia="宋体" w:cs="宋体"/>
          <w:color w:val="000000" w:themeColor="text1"/>
          <w:highlight w:val="none"/>
          <w14:textFill>
            <w14:solidFill>
              <w14:schemeClr w14:val="tx1"/>
            </w14:solidFill>
          </w14:textFill>
        </w:rPr>
        <w:t>。</w:t>
      </w:r>
    </w:p>
    <w:p w14:paraId="36E4BE5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.3在</w:t>
      </w:r>
      <w:r>
        <w:rPr>
          <w:rFonts w:hint="eastAsia" w:ascii="宋体" w:hAnsi="宋体" w:eastAsia="宋体" w:cs="宋体"/>
          <w:color w:val="000000" w:themeColor="text1"/>
          <w:highlight w:val="none"/>
          <w:lang w:eastAsia="zh-CN"/>
          <w14:textFill>
            <w14:solidFill>
              <w14:schemeClr w14:val="tx1"/>
            </w14:solidFill>
          </w14:textFill>
        </w:rPr>
        <w:t>递交磋商文件截止时间</w:t>
      </w:r>
      <w:r>
        <w:rPr>
          <w:rFonts w:hint="eastAsia" w:ascii="宋体" w:hAnsi="宋体" w:eastAsia="宋体" w:cs="宋体"/>
          <w:color w:val="000000" w:themeColor="text1"/>
          <w:highlight w:val="none"/>
          <w14:textFill>
            <w14:solidFill>
              <w14:schemeClr w14:val="tx1"/>
            </w14:solidFill>
          </w14:textFill>
        </w:rPr>
        <w:t>之后，</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不得对其电子</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作任何修改。</w:t>
      </w:r>
    </w:p>
    <w:p w14:paraId="61DFC89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.4在</w:t>
      </w:r>
      <w:r>
        <w:rPr>
          <w:rFonts w:hint="eastAsia" w:ascii="宋体" w:hAnsi="宋体" w:eastAsia="宋体" w:cs="宋体"/>
          <w:color w:val="000000" w:themeColor="text1"/>
          <w:highlight w:val="none"/>
          <w:lang w:eastAsia="zh-CN"/>
          <w14:textFill>
            <w14:solidFill>
              <w14:schemeClr w14:val="tx1"/>
            </w14:solidFill>
          </w14:textFill>
        </w:rPr>
        <w:t>递交磋商文件截止时间</w:t>
      </w:r>
      <w:r>
        <w:rPr>
          <w:rFonts w:hint="eastAsia" w:ascii="宋体" w:hAnsi="宋体" w:eastAsia="宋体" w:cs="宋体"/>
          <w:color w:val="000000" w:themeColor="text1"/>
          <w:highlight w:val="none"/>
          <w14:textFill>
            <w14:solidFill>
              <w14:schemeClr w14:val="tx1"/>
            </w14:solidFill>
          </w14:textFill>
        </w:rPr>
        <w:t>至</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文件中规定的</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有效期满之间的这段时间内，</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不得撤回其</w:t>
      </w: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，否则其</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保证金将不予退还（如果收取）。</w:t>
      </w:r>
    </w:p>
    <w:p w14:paraId="1671AFA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磋商响应有效期</w:t>
      </w:r>
    </w:p>
    <w:p w14:paraId="63F19661">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5.1磋商响应有效期为</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规定的响应文件接收截止时间后</w:t>
      </w:r>
      <w:r>
        <w:rPr>
          <w:rFonts w:hint="eastAsia" w:ascii="宋体" w:hAnsi="宋体" w:eastAsia="宋体" w:cs="宋体"/>
          <w:i/>
          <w:iCs/>
          <w:color w:val="000000" w:themeColor="text1"/>
          <w:highlight w:val="none"/>
          <w:u w:val="single"/>
          <w:lang w:val="en-US" w:eastAsia="zh-CN"/>
          <w14:textFill>
            <w14:solidFill>
              <w14:schemeClr w14:val="tx1"/>
            </w14:solidFill>
          </w14:textFill>
        </w:rPr>
        <w:t>120</w:t>
      </w:r>
      <w:r>
        <w:rPr>
          <w:rFonts w:hint="eastAsia" w:ascii="宋体" w:hAnsi="宋体" w:eastAsia="宋体" w:cs="宋体"/>
          <w:color w:val="000000" w:themeColor="text1"/>
          <w:highlight w:val="none"/>
          <w14:textFill>
            <w14:solidFill>
              <w14:schemeClr w14:val="tx1"/>
            </w14:solidFill>
          </w14:textFill>
        </w:rPr>
        <w:t>天。磋商响应有效期比规定短的将被视为非实质性</w:t>
      </w:r>
      <w:r>
        <w:rPr>
          <w:rFonts w:hint="eastAsia" w:ascii="宋体" w:hAnsi="宋体" w:eastAsia="宋体" w:cs="宋体"/>
          <w:color w:val="000000" w:themeColor="text1"/>
          <w:highlight w:val="none"/>
          <w:lang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而予以拒绝。</w:t>
      </w:r>
    </w:p>
    <w:p w14:paraId="0EDFA70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5.2在特殊情况下，</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于原磋商响应有效期满之前，可向磋商供应商提出延长磋商响应有效期的要求。这种要求与答复均应采用书面形式。磋商供应商可以拒绝</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的这一要求而放弃磋商响应，</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234362C7">
      <w:pPr>
        <w:pStyle w:val="20"/>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117" w:name="_Hlt26954864"/>
      <w:bookmarkEnd w:id="117"/>
      <w:bookmarkStart w:id="118" w:name="_Hlt26670523"/>
      <w:bookmarkEnd w:id="118"/>
      <w:r>
        <w:rPr>
          <w:rFonts w:hint="eastAsia" w:ascii="宋体" w:hAnsi="宋体" w:eastAsia="宋体" w:cs="宋体"/>
          <w:b/>
          <w:color w:val="000000" w:themeColor="text1"/>
          <w:sz w:val="24"/>
          <w:szCs w:val="24"/>
          <w:highlight w:val="none"/>
          <w14:textFill>
            <w14:solidFill>
              <w14:schemeClr w14:val="tx1"/>
            </w14:solidFill>
          </w14:textFill>
        </w:rPr>
        <w:t>四、磋商与评审</w:t>
      </w:r>
    </w:p>
    <w:p w14:paraId="595FE874">
      <w:pPr>
        <w:tabs>
          <w:tab w:val="left" w:pos="900"/>
        </w:tabs>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bookmarkStart w:id="119" w:name="_Toc20823302"/>
      <w:bookmarkStart w:id="120" w:name="_Toc16938546"/>
      <w:bookmarkStart w:id="121" w:name="_Toc513029230"/>
      <w:r>
        <w:rPr>
          <w:rFonts w:hint="eastAsia" w:ascii="宋体" w:hAnsi="宋体" w:eastAsia="宋体" w:cs="宋体"/>
          <w:color w:val="000000" w:themeColor="text1"/>
          <w:highlight w:val="none"/>
          <w14:textFill>
            <w14:solidFill>
              <w14:schemeClr w14:val="tx1"/>
            </w14:solidFill>
          </w14:textFill>
        </w:rPr>
        <w:t>1</w:t>
      </w:r>
      <w:bookmarkEnd w:id="119"/>
      <w:bookmarkEnd w:id="120"/>
      <w:bookmarkEnd w:id="121"/>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流程</w:t>
      </w:r>
    </w:p>
    <w:p w14:paraId="498107C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将在</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邀请中规定的时间和地点组织磋商开始</w:t>
      </w:r>
      <w:r>
        <w:rPr>
          <w:rFonts w:hint="eastAsia" w:ascii="宋体" w:hAnsi="宋体" w:eastAsia="宋体" w:cs="宋体"/>
          <w:color w:val="000000" w:themeColor="text1"/>
          <w:highlight w:val="none"/>
          <w:lang w:val="en-US" w:eastAsia="zh-CN"/>
          <w14:textFill>
            <w14:solidFill>
              <w14:schemeClr w14:val="tx1"/>
            </w14:solidFill>
          </w14:textFill>
        </w:rPr>
        <w:t>磋商</w:t>
      </w:r>
      <w:bookmarkStart w:id="122" w:name="_Toc20823303"/>
      <w:bookmarkStart w:id="123" w:name="_Toc513029231"/>
      <w:bookmarkStart w:id="124" w:name="_Toc16938547"/>
      <w:r>
        <w:rPr>
          <w:rFonts w:hint="eastAsia" w:ascii="宋体" w:hAnsi="宋体" w:eastAsia="宋体" w:cs="宋体"/>
          <w:color w:val="000000" w:themeColor="text1"/>
          <w:highlight w:val="none"/>
          <w14:textFill>
            <w14:solidFill>
              <w14:schemeClr w14:val="tx1"/>
            </w14:solidFill>
          </w14:textFill>
        </w:rPr>
        <w:t>。</w:t>
      </w:r>
    </w:p>
    <w:p w14:paraId="2AF1441B">
      <w:pPr>
        <w:pStyle w:val="18"/>
        <w:ind w:left="0" w:lef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流程</w:t>
      </w:r>
      <w:r>
        <w:rPr>
          <w:rFonts w:hint="eastAsia" w:ascii="宋体" w:hAnsi="宋体" w:eastAsia="宋体" w:cs="宋体"/>
          <w:color w:val="000000" w:themeColor="text1"/>
          <w:highlight w:val="none"/>
          <w:lang w:eastAsia="zh-CN"/>
          <w14:textFill>
            <w14:solidFill>
              <w14:schemeClr w14:val="tx1"/>
            </w14:solidFill>
          </w14:textFill>
        </w:rPr>
        <w:t>由交易中心组织。“</w:t>
      </w:r>
      <w:r>
        <w:rPr>
          <w:rFonts w:hint="eastAsia" w:ascii="宋体" w:hAnsi="宋体" w:eastAsia="宋体" w:cs="宋体"/>
          <w:color w:val="000000" w:themeColor="text1"/>
          <w:highlight w:val="none"/>
          <w:lang w:val="en-US" w:eastAsia="zh-CN"/>
          <w14:textFill>
            <w14:solidFill>
              <w14:schemeClr w14:val="tx1"/>
            </w14:solidFill>
          </w14:textFill>
        </w:rPr>
        <w:t>新疆政府采购云平台</w:t>
      </w:r>
      <w:r>
        <w:rPr>
          <w:rFonts w:hint="eastAsia" w:ascii="宋体" w:hAnsi="宋体" w:eastAsia="宋体" w:cs="宋体"/>
          <w:color w:val="000000" w:themeColor="text1"/>
          <w:highlight w:val="none"/>
          <w:lang w:eastAsia="zh-CN"/>
          <w14:textFill>
            <w14:solidFill>
              <w14:schemeClr w14:val="tx1"/>
            </w14:solidFill>
          </w14:textFill>
        </w:rPr>
        <w:t>平台不见面开标大厅”系统将自动对项目进行</w:t>
      </w:r>
      <w:r>
        <w:rPr>
          <w:rFonts w:hint="eastAsia" w:ascii="宋体" w:hAnsi="宋体" w:eastAsia="宋体" w:cs="宋体"/>
          <w:color w:val="000000" w:themeColor="text1"/>
          <w:highlight w:val="none"/>
          <w14:textFill>
            <w14:solidFill>
              <w14:schemeClr w14:val="tx1"/>
            </w14:solidFill>
          </w14:textFill>
        </w:rPr>
        <w:t>磋商</w:t>
      </w:r>
      <w:r>
        <w:rPr>
          <w:rFonts w:hint="eastAsia" w:ascii="宋体" w:hAnsi="宋体" w:eastAsia="宋体" w:cs="宋体"/>
          <w:color w:val="000000" w:themeColor="text1"/>
          <w:highlight w:val="none"/>
          <w:lang w:val="en-US" w:eastAsia="zh-CN"/>
          <w14:textFill>
            <w14:solidFill>
              <w14:schemeClr w14:val="tx1"/>
            </w14:solidFill>
          </w14:textFill>
        </w:rPr>
        <w:t>流程</w:t>
      </w:r>
      <w:r>
        <w:rPr>
          <w:rFonts w:hint="eastAsia" w:ascii="宋体" w:hAnsi="宋体" w:eastAsia="宋体" w:cs="宋体"/>
          <w:color w:val="000000" w:themeColor="text1"/>
          <w:highlight w:val="none"/>
          <w:lang w:eastAsia="zh-CN"/>
          <w14:textFill>
            <w14:solidFill>
              <w14:schemeClr w14:val="tx1"/>
            </w14:solidFill>
          </w14:textFill>
        </w:rPr>
        <w:t>，并</w:t>
      </w:r>
      <w:r>
        <w:rPr>
          <w:rFonts w:hint="eastAsia" w:ascii="宋体" w:hAnsi="宋体" w:eastAsia="宋体" w:cs="宋体"/>
          <w:color w:val="000000" w:themeColor="text1"/>
          <w:highlight w:val="none"/>
          <w:lang w:val="en-US" w:eastAsia="zh-CN"/>
          <w14:textFill>
            <w14:solidFill>
              <w14:schemeClr w14:val="tx1"/>
            </w14:solidFill>
          </w14:textFill>
        </w:rPr>
        <w:t>单独向</w:t>
      </w:r>
      <w:r>
        <w:rPr>
          <w:rFonts w:hint="eastAsia" w:ascii="宋体" w:hAnsi="宋体" w:eastAsia="宋体" w:cs="宋体"/>
          <w:color w:val="000000" w:themeColor="text1"/>
          <w:highlight w:val="none"/>
          <w:lang w:eastAsia="zh-CN"/>
          <w14:textFill>
            <w14:solidFill>
              <w14:schemeClr w14:val="tx1"/>
            </w14:solidFill>
          </w14:textFill>
        </w:rPr>
        <w:t>各</w:t>
      </w:r>
      <w:r>
        <w:rPr>
          <w:rFonts w:hint="eastAsia" w:ascii="宋体" w:hAnsi="宋体" w:eastAsia="宋体" w:cs="宋体"/>
          <w:color w:val="000000" w:themeColor="text1"/>
          <w:highlight w:val="none"/>
          <w:lang w:val="en-US" w:eastAsia="zh-CN"/>
          <w14:textFill>
            <w14:solidFill>
              <w14:schemeClr w14:val="tx1"/>
            </w14:solidFill>
          </w14:textFill>
        </w:rPr>
        <w:t>供应商公布其</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磋商报价</w:t>
      </w:r>
      <w:r>
        <w:rPr>
          <w:rFonts w:hint="eastAsia" w:ascii="宋体" w:hAnsi="宋体" w:eastAsia="宋体" w:cs="宋体"/>
          <w:color w:val="000000" w:themeColor="text1"/>
          <w:highlight w:val="none"/>
          <w:lang w:eastAsia="zh-CN"/>
          <w14:textFill>
            <w14:solidFill>
              <w14:schemeClr w14:val="tx1"/>
            </w14:solidFill>
          </w14:textFill>
        </w:rPr>
        <w:t>一览表》。</w:t>
      </w:r>
    </w:p>
    <w:p w14:paraId="4BE43302">
      <w:pPr>
        <w:pStyle w:val="18"/>
        <w:ind w:left="0" w:leftChars="0"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r>
        <w:rPr>
          <w:rFonts w:hint="eastAsia" w:ascii="宋体" w:hAnsi="宋体" w:eastAsia="宋体" w:cs="宋体"/>
          <w:color w:val="000000" w:themeColor="text1"/>
          <w:highlight w:val="none"/>
          <w:lang w:eastAsia="zh-CN"/>
          <w14:textFill>
            <w14:solidFill>
              <w14:schemeClr w14:val="tx1"/>
            </w14:solidFill>
          </w14:textFill>
        </w:rPr>
        <w:t xml:space="preserve">。    </w:t>
      </w:r>
    </w:p>
    <w:p w14:paraId="3BF7E8B7">
      <w:pPr>
        <w:pStyle w:val="18"/>
        <w:ind w:left="0" w:leftChars="0"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磋商小组</w:t>
      </w:r>
    </w:p>
    <w:p w14:paraId="23C2BA4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2.1磋商</w:t>
      </w:r>
      <w:r>
        <w:rPr>
          <w:rFonts w:hint="eastAsia" w:ascii="宋体" w:hAnsi="宋体" w:eastAsia="宋体" w:cs="宋体"/>
          <w:color w:val="000000" w:themeColor="text1"/>
          <w:highlight w:val="none"/>
          <w:lang w:val="en-US" w:eastAsia="zh-CN"/>
          <w14:textFill>
            <w14:solidFill>
              <w14:schemeClr w14:val="tx1"/>
            </w14:solidFill>
          </w14:textFill>
        </w:rPr>
        <w:t>开标流程</w:t>
      </w:r>
      <w:r>
        <w:rPr>
          <w:rFonts w:hint="eastAsia" w:ascii="宋体" w:hAnsi="宋体" w:eastAsia="宋体" w:cs="宋体"/>
          <w:color w:val="000000" w:themeColor="text1"/>
          <w:highlight w:val="none"/>
          <w14:textFill>
            <w14:solidFill>
              <w14:schemeClr w14:val="tx1"/>
            </w14:solidFill>
          </w14:textFill>
        </w:rPr>
        <w:t>结束后，</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将立即组织磋商小组进行评审。</w:t>
      </w:r>
    </w:p>
    <w:p w14:paraId="69451A1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2.2磋商小组由政府采购评审专家、采购人代表组成，且人员构成符合政府采购有关</w:t>
      </w:r>
      <w:r>
        <w:rPr>
          <w:rFonts w:hint="eastAsia" w:ascii="宋体" w:hAnsi="宋体" w:eastAsia="宋体" w:cs="宋体"/>
          <w:color w:val="000000" w:themeColor="text1"/>
          <w:highlight w:val="none"/>
          <w:lang w:val="en-US" w:eastAsia="zh-CN"/>
          <w14:textFill>
            <w14:solidFill>
              <w14:schemeClr w14:val="tx1"/>
            </w14:solidFill>
          </w14:textFill>
        </w:rPr>
        <w:t>法律</w:t>
      </w:r>
      <w:r>
        <w:rPr>
          <w:rFonts w:hint="eastAsia" w:ascii="宋体" w:hAnsi="宋体" w:eastAsia="宋体" w:cs="宋体"/>
          <w:color w:val="000000" w:themeColor="text1"/>
          <w:highlight w:val="none"/>
          <w14:textFill>
            <w14:solidFill>
              <w14:schemeClr w14:val="tx1"/>
            </w14:solidFill>
          </w14:textFill>
        </w:rPr>
        <w:t>规定。</w:t>
      </w:r>
    </w:p>
    <w:p w14:paraId="36D96C0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磋商评审过程的保密</w:t>
      </w:r>
      <w:bookmarkEnd w:id="122"/>
      <w:bookmarkEnd w:id="123"/>
      <w:bookmarkEnd w:id="124"/>
      <w:r>
        <w:rPr>
          <w:rFonts w:hint="eastAsia" w:ascii="宋体" w:hAnsi="宋体" w:eastAsia="宋体" w:cs="宋体"/>
          <w:color w:val="000000" w:themeColor="text1"/>
          <w:highlight w:val="none"/>
          <w14:textFill>
            <w14:solidFill>
              <w14:schemeClr w14:val="tx1"/>
            </w14:solidFill>
          </w14:textFill>
        </w:rPr>
        <w:t>与公正</w:t>
      </w:r>
    </w:p>
    <w:p w14:paraId="7034754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3.1磋商小组、采购人和</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工作人员、相关监督人员等与评审工作有关的人员，对评审情况以及在评审过程中获悉的国家秘密、商业秘密负有保密责任。</w:t>
      </w:r>
    </w:p>
    <w:p w14:paraId="41F40F0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3.2在磋商评审过程中，磋商供应商不得以任何行为影响磋商评审过程，否则其响应文件将被作为无效响应文件。</w:t>
      </w:r>
    </w:p>
    <w:p w14:paraId="41941EB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96C1A4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25" w:name="_Toc20823304"/>
      <w:bookmarkStart w:id="126" w:name="_Toc16938548"/>
      <w:bookmarkStart w:id="127" w:name="_Toc513029232"/>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评审过程的澄清</w:t>
      </w:r>
      <w:bookmarkEnd w:id="125"/>
      <w:bookmarkEnd w:id="126"/>
      <w:bookmarkEnd w:id="127"/>
      <w:r>
        <w:rPr>
          <w:rFonts w:hint="eastAsia" w:ascii="宋体" w:hAnsi="宋体" w:eastAsia="宋体" w:cs="宋体"/>
          <w:color w:val="000000" w:themeColor="text1"/>
          <w:highlight w:val="none"/>
          <w14:textFill>
            <w14:solidFill>
              <w14:schemeClr w14:val="tx1"/>
            </w14:solidFill>
          </w14:textFill>
        </w:rPr>
        <w:t>、说明和更正</w:t>
      </w:r>
    </w:p>
    <w:p w14:paraId="56F2043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78642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4.2接到磋商小组</w:t>
      </w:r>
      <w:r>
        <w:rPr>
          <w:rFonts w:hint="eastAsia" w:ascii="宋体" w:hAnsi="宋体" w:eastAsia="宋体" w:cs="宋体"/>
          <w:color w:val="000000" w:themeColor="text1"/>
          <w:highlight w:val="none"/>
          <w:lang w:val="en-US" w:eastAsia="zh-CN"/>
          <w14:textFill>
            <w14:solidFill>
              <w14:schemeClr w14:val="tx1"/>
            </w14:solidFill>
          </w14:textFill>
        </w:rPr>
        <w:t>澄清</w:t>
      </w:r>
      <w:r>
        <w:rPr>
          <w:rFonts w:hint="eastAsia" w:ascii="宋体" w:hAnsi="宋体" w:eastAsia="宋体" w:cs="宋体"/>
          <w:color w:val="000000" w:themeColor="text1"/>
          <w:highlight w:val="none"/>
          <w14:textFill>
            <w14:solidFill>
              <w14:schemeClr w14:val="tx1"/>
            </w14:solidFill>
          </w14:textFill>
        </w:rPr>
        <w:t>要求的供应商应派人按磋商小组通知的</w:t>
      </w:r>
      <w:r>
        <w:rPr>
          <w:rFonts w:hint="eastAsia" w:ascii="宋体" w:hAnsi="宋体" w:eastAsia="宋体" w:cs="宋体"/>
          <w:color w:val="000000" w:themeColor="text1"/>
          <w:highlight w:val="none"/>
          <w:lang w:eastAsia="zh-CN"/>
          <w14:textFill>
            <w14:solidFill>
              <w14:schemeClr w14:val="tx1"/>
            </w14:solidFill>
          </w14:textFill>
        </w:rPr>
        <w:t>时间</w:t>
      </w:r>
      <w:r>
        <w:rPr>
          <w:rFonts w:hint="eastAsia" w:ascii="宋体" w:hAnsi="宋体" w:eastAsia="宋体" w:cs="宋体"/>
          <w:color w:val="000000" w:themeColor="text1"/>
          <w:highlight w:val="none"/>
          <w14:textFill>
            <w14:solidFill>
              <w14:schemeClr w14:val="tx1"/>
            </w14:solidFill>
          </w14:textFill>
        </w:rPr>
        <w:t>做出澄清、说明或更正。</w:t>
      </w:r>
    </w:p>
    <w:p w14:paraId="41B7AB8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4.3接到磋商小组澄清要求的供应商如未按规定</w:t>
      </w:r>
      <w:r>
        <w:rPr>
          <w:rFonts w:hint="eastAsia" w:ascii="宋体" w:hAnsi="宋体" w:eastAsia="宋体" w:cs="宋体"/>
          <w:color w:val="000000" w:themeColor="text1"/>
          <w:highlight w:val="none"/>
          <w:lang w:eastAsia="zh-CN"/>
          <w14:textFill>
            <w14:solidFill>
              <w14:schemeClr w14:val="tx1"/>
            </w14:solidFill>
          </w14:textFill>
        </w:rPr>
        <w:t>作出</w:t>
      </w:r>
      <w:r>
        <w:rPr>
          <w:rFonts w:hint="eastAsia" w:ascii="宋体" w:hAnsi="宋体" w:eastAsia="宋体" w:cs="宋体"/>
          <w:color w:val="000000" w:themeColor="text1"/>
          <w:highlight w:val="none"/>
          <w14:textFill>
            <w14:solidFill>
              <w14:schemeClr w14:val="tx1"/>
            </w14:solidFill>
          </w14:textFill>
        </w:rPr>
        <w:t>澄清，其</w:t>
      </w:r>
      <w:r>
        <w:rPr>
          <w:rFonts w:hint="eastAsia" w:ascii="宋体" w:hAnsi="宋体" w:eastAsia="宋体" w:cs="宋体"/>
          <w:color w:val="000000" w:themeColor="text1"/>
          <w:highlight w:val="none"/>
          <w:lang w:val="en-US" w:eastAsia="zh-CN"/>
          <w14:textFill>
            <w14:solidFill>
              <w14:schemeClr w14:val="tx1"/>
            </w14:solidFill>
          </w14:textFill>
        </w:rPr>
        <w:t>结果</w:t>
      </w:r>
      <w:r>
        <w:rPr>
          <w:rFonts w:hint="eastAsia" w:ascii="宋体" w:hAnsi="宋体" w:eastAsia="宋体" w:cs="宋体"/>
          <w:color w:val="000000" w:themeColor="text1"/>
          <w:highlight w:val="none"/>
          <w14:textFill>
            <w14:solidFill>
              <w14:schemeClr w14:val="tx1"/>
            </w14:solidFill>
          </w14:textFill>
        </w:rPr>
        <w:t>由供应商自行承担。</w:t>
      </w:r>
    </w:p>
    <w:p w14:paraId="6D410BF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28" w:name="_Toc513029233"/>
      <w:bookmarkStart w:id="129" w:name="_Toc16938549"/>
      <w:bookmarkStart w:id="130" w:name="_Toc20823305"/>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对响应文件的初审</w:t>
      </w:r>
      <w:bookmarkEnd w:id="128"/>
      <w:bookmarkEnd w:id="129"/>
      <w:bookmarkEnd w:id="130"/>
    </w:p>
    <w:p w14:paraId="4A44145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5.1响应文件初审分为资格性检查和符合性检查。</w:t>
      </w:r>
    </w:p>
    <w:p w14:paraId="778C237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资格性检查：依据法律法规和磋商文件的规定，对响应文件中的资信证明文件进行审查，以确定供应商是否具备参加磋商的资格。</w:t>
      </w:r>
    </w:p>
    <w:p w14:paraId="379916E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磋商小组在进行资格性审查的同时，将在“信用中国”网站（www.creditchina.gov.cn）</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“中国政府采购网”(www.ccgp.gov.cn）</w:t>
      </w:r>
      <w:r>
        <w:rPr>
          <w:rFonts w:hint="eastAsia" w:ascii="宋体" w:hAnsi="宋体" w:eastAsia="宋体" w:cs="宋体"/>
          <w:color w:val="000000" w:themeColor="text1"/>
          <w:highlight w:val="none"/>
          <w14:textFill>
            <w14:solidFill>
              <w14:schemeClr w14:val="tx1"/>
            </w14:solidFill>
          </w14:textFill>
        </w:rPr>
        <w:t>对供应商是否被列入失信被执行人、重大税收违法案件当事人名单、政府采购严重失信行为记录名单情况进行查询，以确定供应商是否具备参加磋商的资格。查询结果将以网页打印的形式留存并归档。</w:t>
      </w:r>
    </w:p>
    <w:p w14:paraId="6FB0232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符合性检查：依据磋商文件的规定，从响应文件的有效性、完整性和对磋商文件的响应程度进行审查，以确定是否对磋商文件的实质性要求作出响应。</w:t>
      </w:r>
    </w:p>
    <w:p w14:paraId="7F1868C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5.2在正式磋商</w:t>
      </w:r>
      <w:r>
        <w:rPr>
          <w:rFonts w:hint="eastAsia" w:ascii="宋体" w:hAnsi="宋体" w:eastAsia="宋体" w:cs="宋体"/>
          <w:color w:val="000000" w:themeColor="text1"/>
          <w:highlight w:val="none"/>
          <w:lang w:val="en-US" w:eastAsia="zh-CN"/>
          <w14:textFill>
            <w14:solidFill>
              <w14:schemeClr w14:val="tx1"/>
            </w14:solidFill>
          </w14:textFill>
        </w:rPr>
        <w:t>评审</w:t>
      </w:r>
      <w:r>
        <w:rPr>
          <w:rFonts w:hint="eastAsia" w:ascii="宋体" w:hAnsi="宋体" w:eastAsia="宋体" w:cs="宋体"/>
          <w:color w:val="000000" w:themeColor="text1"/>
          <w:highlight w:val="none"/>
          <w14:textFill>
            <w14:solidFill>
              <w14:schemeClr w14:val="tx1"/>
            </w14:solidFill>
          </w14:textFill>
        </w:rPr>
        <w:t>之前，磋商小组将首先审查每份响应文件是否实质性响应了磋商文件的要求。实质性响应的响应文件</w:t>
      </w:r>
      <w:r>
        <w:rPr>
          <w:rFonts w:hint="eastAsia" w:ascii="宋体" w:hAnsi="宋体" w:eastAsia="宋体" w:cs="宋体"/>
          <w:color w:val="000000" w:themeColor="text1"/>
          <w:highlight w:val="none"/>
          <w:lang w:eastAsia="zh-CN"/>
          <w14:textFill>
            <w14:solidFill>
              <w14:schemeClr w14:val="tx1"/>
            </w14:solidFill>
          </w14:textFill>
        </w:rPr>
        <w:t>应该</w:t>
      </w:r>
      <w:r>
        <w:rPr>
          <w:rFonts w:hint="eastAsia" w:ascii="宋体" w:hAnsi="宋体" w:eastAsia="宋体" w:cs="宋体"/>
          <w:color w:val="000000" w:themeColor="text1"/>
          <w:highlight w:val="none"/>
          <w14:textFill>
            <w14:solidFill>
              <w14:schemeClr w14:val="tx1"/>
            </w14:solidFill>
          </w14:textFill>
        </w:rPr>
        <w:t>与磋商文件要求的条款、条件和规格相符，没有重大负偏离或保留。</w:t>
      </w:r>
    </w:p>
    <w:p w14:paraId="5354900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ascii="宋体" w:hAnsi="宋体" w:eastAsia="宋体" w:cs="宋体"/>
          <w:b/>
          <w:color w:val="000000" w:themeColor="text1"/>
          <w:highlight w:val="none"/>
          <w14:textFill>
            <w14:solidFill>
              <w14:schemeClr w14:val="tx1"/>
            </w14:solidFill>
          </w14:textFill>
        </w:rPr>
        <w:t>重大偏离由磋商小组按照少数服从多数的原则认定。</w:t>
      </w:r>
      <w:r>
        <w:rPr>
          <w:rFonts w:hint="eastAsia" w:ascii="宋体" w:hAnsi="宋体" w:eastAsia="宋体" w:cs="宋体"/>
          <w:color w:val="000000" w:themeColor="text1"/>
          <w:highlight w:val="none"/>
          <w14:textFill>
            <w14:solidFill>
              <w14:schemeClr w14:val="tx1"/>
            </w14:solidFill>
          </w14:textFill>
        </w:rPr>
        <w:t>磋商小组决定响应文件的响应性只根据响应文件本身的内容，而不寻求外部的证据。</w:t>
      </w:r>
    </w:p>
    <w:p w14:paraId="4959E35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5.3被认定为未实质性响应磋商文件的响应文件的情形：</w:t>
      </w:r>
    </w:p>
    <w:p w14:paraId="0C876C41">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（1）报价超预算</w:t>
      </w:r>
    </w:p>
    <w:p w14:paraId="64289195">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（2）未按照磋商文件规定要求签署、盖章的。</w:t>
      </w:r>
    </w:p>
    <w:p w14:paraId="16514AAF">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（3）供应商在报价时采用选择性报价。</w:t>
      </w:r>
    </w:p>
    <w:p w14:paraId="1C854213">
      <w:pPr>
        <w:tabs>
          <w:tab w:val="left" w:pos="900"/>
        </w:tabs>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）不符合磋商文件中规定的实质性要求和条件的（本磋商文件中斜体且有下划线部分为实质性要求和条件）。</w:t>
      </w:r>
    </w:p>
    <w:p w14:paraId="7417746C">
      <w:pPr>
        <w:tabs>
          <w:tab w:val="left" w:pos="900"/>
        </w:tabs>
        <w:spacing w:line="5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）含有采购人不能接受的附加条件的</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A1884E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5.4未实质性响应磋商文件的响应文件按无效响应处理，磋商小组将予以拒绝，供应商不得通过修改或撤销</w:t>
      </w:r>
      <w:r>
        <w:rPr>
          <w:rFonts w:hint="eastAsia" w:ascii="宋体" w:hAnsi="宋体" w:eastAsia="宋体" w:cs="宋体"/>
          <w:color w:val="000000" w:themeColor="text1"/>
          <w:highlight w:val="none"/>
          <w:lang w:eastAsia="zh-CN"/>
          <w14:textFill>
            <w14:solidFill>
              <w14:schemeClr w14:val="tx1"/>
            </w14:solidFill>
          </w14:textFill>
        </w:rPr>
        <w:t>不符</w:t>
      </w:r>
      <w:r>
        <w:rPr>
          <w:rFonts w:hint="eastAsia" w:ascii="宋体" w:hAnsi="宋体" w:eastAsia="宋体" w:cs="宋体"/>
          <w:color w:val="000000" w:themeColor="text1"/>
          <w:highlight w:val="none"/>
          <w14:textFill>
            <w14:solidFill>
              <w14:schemeClr w14:val="tx1"/>
            </w14:solidFill>
          </w14:textFill>
        </w:rPr>
        <w:t>合要求的偏离或保留而使其响应文件成为实质性响应的文件。</w:t>
      </w:r>
    </w:p>
    <w:p w14:paraId="1D29C6C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5.5磋商小组将允许修正响应文件中不构成重大负偏离的、微小的、非正规的、不一致的或不规则的地方，但这些修改不能影响任何供应商相应的名次排列。</w:t>
      </w:r>
    </w:p>
    <w:p w14:paraId="73A6280D">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5.6政府采购评审中出现下列情形之一的，评审委员会应当启动异常低价投标（响应）审查程序：</w:t>
      </w:r>
    </w:p>
    <w:p w14:paraId="605D1509">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34F08081">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7B4CD6E0">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（3）投标（响应）报价低于采购项目最高限价45%的，即投标（响应）报价&lt;采购项目最高限价×45%；</w:t>
      </w:r>
    </w:p>
    <w:p w14:paraId="6CDFE703">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（4）评审委员会基于专业判断，认为供应商报价过低，有可能影响产品质量或者不能诚信履约的其他情形。</w:t>
      </w:r>
    </w:p>
    <w:p w14:paraId="44993E80">
      <w:pPr>
        <w:tabs>
          <w:tab w:val="left" w:pos="900"/>
        </w:tabs>
        <w:spacing w:line="560" w:lineRule="exact"/>
        <w:ind w:firstLine="480" w:firstLineChars="200"/>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采购人可以结合具体项目实际情况，提高上述第（1）项至第（3）项中启动异常低价投标（响应）审查的数值标准，但最高不得超过65%。</w:t>
      </w:r>
    </w:p>
    <w:p w14:paraId="6D594CC4">
      <w:pPr>
        <w:tabs>
          <w:tab w:val="left" w:pos="900"/>
        </w:tabs>
        <w:spacing w:line="560" w:lineRule="exact"/>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相关法律法规对供应商报价有规定的，从其规定。</w:t>
      </w:r>
    </w:p>
    <w:p w14:paraId="17810DB5">
      <w:pPr>
        <w:tabs>
          <w:tab w:val="left" w:pos="900"/>
        </w:tabs>
        <w:spacing w:line="560" w:lineRule="exact"/>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5A1D27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1F0874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31" w:name="_Toc513029234"/>
      <w:bookmarkStart w:id="132" w:name="_Toc16938550"/>
      <w:bookmarkStart w:id="133" w:name="_Toc20823306"/>
      <w:r>
        <w:rPr>
          <w:rFonts w:hint="eastAsia" w:ascii="宋体" w:hAnsi="宋体" w:eastAsia="宋体" w:cs="宋体"/>
          <w:color w:val="000000" w:themeColor="text1"/>
          <w:highlight w:val="none"/>
          <w:lang w:eastAsia="zh-CN"/>
          <w14:textFill>
            <w14:solidFill>
              <w14:schemeClr w14:val="tx1"/>
            </w14:solidFill>
          </w14:textFill>
        </w:rPr>
        <w:t>6.</w:t>
      </w:r>
      <w:bookmarkEnd w:id="131"/>
      <w:bookmarkEnd w:id="132"/>
      <w:bookmarkEnd w:id="133"/>
      <w:r>
        <w:rPr>
          <w:rFonts w:hint="eastAsia" w:ascii="宋体" w:hAnsi="宋体" w:eastAsia="宋体" w:cs="宋体"/>
          <w:color w:val="000000" w:themeColor="text1"/>
          <w:highlight w:val="none"/>
          <w14:textFill>
            <w14:solidFill>
              <w14:schemeClr w14:val="tx1"/>
            </w14:solidFill>
          </w14:textFill>
        </w:rPr>
        <w:t>磋商程序及评审方法和标准</w:t>
      </w:r>
    </w:p>
    <w:p w14:paraId="2A5CE2A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34" w:name="_Toc20823307"/>
      <w:bookmarkStart w:id="135" w:name="_Toc16938551"/>
      <w:bookmarkStart w:id="136" w:name="_Toc513029235"/>
      <w:r>
        <w:rPr>
          <w:rFonts w:hint="eastAsia" w:ascii="宋体" w:hAnsi="宋体" w:eastAsia="宋体" w:cs="宋体"/>
          <w:color w:val="000000" w:themeColor="text1"/>
          <w:highlight w:val="none"/>
          <w14:textFill>
            <w14:solidFill>
              <w14:schemeClr w14:val="tx1"/>
            </w14:solidFill>
          </w14:textFill>
        </w:rPr>
        <w:t>6.1磋商程序</w:t>
      </w:r>
    </w:p>
    <w:p w14:paraId="4A49FC0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6.1.1对于通过资格性和符合性审查的供应商，磋商小组所有成员将集中与单一供应商分别进行磋商。</w:t>
      </w:r>
    </w:p>
    <w:p w14:paraId="391FA63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4CCD778B">
      <w:pPr>
        <w:tabs>
          <w:tab w:val="left" w:pos="900"/>
        </w:tabs>
        <w:spacing w:line="560" w:lineRule="exac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6.1.2磋商文件能够详细列明采购标的的技术、服务要求的，磋商结束后，磋商小组将要求所有实质性响应的供应商在规定时间内提交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w:t>
      </w:r>
    </w:p>
    <w:p w14:paraId="204BB25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w:t>
      </w:r>
    </w:p>
    <w:p w14:paraId="5FB4D34C">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是供应商响应文件的有效组成部分。符合《政府采购竞争性磋商采购方式管理暂行办法》第三条第四项及《财政部关于竞争性磋商采购方式管理暂行办法有关问题的补充通知》（财库</w:t>
      </w:r>
      <w:r>
        <w:rPr>
          <w:rFonts w:hint="eastAsia" w:ascii="宋体" w:hAnsi="宋体" w:eastAsia="宋体" w:cs="宋体"/>
          <w:color w:val="000000" w:themeColor="text1"/>
          <w:highlight w:val="none"/>
          <w:lang w:eastAsia="zh-CN"/>
          <w14:textFill>
            <w14:solidFill>
              <w14:schemeClr w14:val="tx1"/>
            </w14:solidFill>
          </w14:textFill>
        </w:rPr>
        <w:t>〔2015〕124号</w:t>
      </w:r>
      <w:r>
        <w:rPr>
          <w:rFonts w:hint="eastAsia" w:ascii="宋体" w:hAnsi="宋体" w:eastAsia="宋体" w:cs="宋体"/>
          <w:color w:val="000000" w:themeColor="text1"/>
          <w:highlight w:val="none"/>
          <w14:textFill>
            <w14:solidFill>
              <w14:schemeClr w14:val="tx1"/>
            </w14:solidFill>
          </w14:textFill>
        </w:rPr>
        <w:t>）规定情形的，提交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的供应商可以为2家。</w:t>
      </w:r>
    </w:p>
    <w:p w14:paraId="279D50C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6.1.3磋商供应商未在磋商小组规定的时间内完成</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的视为放弃磋商，其磋商响应按无效响应处理。已提交响应文件的供应商，在提交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之前，可以根据磋商情况退出磋商。</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将退还退出磋商的供应商的磋商保证金。</w:t>
      </w:r>
    </w:p>
    <w:p w14:paraId="382EC0FE">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6.2评审方法和标准</w:t>
      </w:r>
    </w:p>
    <w:p w14:paraId="76B6627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6.2.1评审方法。经磋商确定最终采购需求和提交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的供应商后，由磋商小组采用综合评分法对提交</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的供应商的响应文件和</w:t>
      </w:r>
      <w:r>
        <w:rPr>
          <w:rFonts w:hint="eastAsia" w:ascii="宋体" w:hAnsi="宋体" w:eastAsia="宋体" w:cs="宋体"/>
          <w:color w:val="000000" w:themeColor="text1"/>
          <w:highlight w:val="none"/>
          <w:lang w:eastAsia="zh-CN"/>
          <w14:textFill>
            <w14:solidFill>
              <w14:schemeClr w14:val="tx1"/>
            </w14:solidFill>
          </w14:textFill>
        </w:rPr>
        <w:t>最终报价</w:t>
      </w:r>
      <w:r>
        <w:rPr>
          <w:rFonts w:hint="eastAsia" w:ascii="宋体" w:hAnsi="宋体" w:eastAsia="宋体" w:cs="宋体"/>
          <w:color w:val="000000" w:themeColor="text1"/>
          <w:highlight w:val="none"/>
          <w14:textFill>
            <w14:solidFill>
              <w14:schemeClr w14:val="tx1"/>
            </w14:solidFill>
          </w14:textFill>
        </w:rPr>
        <w:t>进行综合评分。</w:t>
      </w:r>
    </w:p>
    <w:p w14:paraId="57166D2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0926B36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6.2.2评审标准</w:t>
      </w:r>
    </w:p>
    <w:p w14:paraId="23C91F7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见本磋商文件第五章规定。</w:t>
      </w:r>
    </w:p>
    <w:p w14:paraId="1B5C56A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6.3采购活动终止的情况</w:t>
      </w:r>
    </w:p>
    <w:p w14:paraId="1EC5D70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出现下列情形之一的，本次竞争性磋商采购活动将被终止：</w:t>
      </w:r>
    </w:p>
    <w:p w14:paraId="1FCDE75B">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（1）因情况变化，不再符合规定的竞争性磋商采购方式适用情形的。</w:t>
      </w:r>
    </w:p>
    <w:p w14:paraId="43DC5A1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（2）出现影响采购公正的违法、违规行为的。</w:t>
      </w:r>
    </w:p>
    <w:p w14:paraId="7D511AA5">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（3）除本磋商文件第6.1.2条第三款规定的情形外，在采购过程中符合要求的供应商或者报价未超过采购预算的供应商不足2家的。</w:t>
      </w:r>
    </w:p>
    <w:bookmarkEnd w:id="134"/>
    <w:bookmarkEnd w:id="135"/>
    <w:bookmarkEnd w:id="136"/>
    <w:p w14:paraId="631D074B">
      <w:pPr>
        <w:pStyle w:val="20"/>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五、成交</w:t>
      </w:r>
    </w:p>
    <w:p w14:paraId="39F4B61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bookmarkStart w:id="137" w:name="_Toc513029238"/>
      <w:bookmarkStart w:id="138" w:name="_Toc20823310"/>
      <w:bookmarkStart w:id="139" w:name="_Toc16938554"/>
      <w:r>
        <w:rPr>
          <w:rFonts w:hint="eastAsia" w:ascii="宋体" w:hAnsi="宋体" w:eastAsia="宋体" w:cs="宋体"/>
          <w:color w:val="000000" w:themeColor="text1"/>
          <w:highlight w:val="none"/>
          <w14:textFill>
            <w14:solidFill>
              <w14:schemeClr w14:val="tx1"/>
            </w14:solidFill>
          </w14:textFill>
        </w:rPr>
        <w:t>1</w:t>
      </w:r>
      <w:bookmarkEnd w:id="137"/>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确定</w:t>
      </w:r>
      <w:bookmarkEnd w:id="138"/>
      <w:bookmarkEnd w:id="139"/>
      <w:r>
        <w:rPr>
          <w:rFonts w:hint="eastAsia" w:ascii="宋体" w:hAnsi="宋体" w:eastAsia="宋体" w:cs="宋体"/>
          <w:color w:val="000000" w:themeColor="text1"/>
          <w:highlight w:val="none"/>
          <w14:textFill>
            <w14:solidFill>
              <w14:schemeClr w14:val="tx1"/>
            </w14:solidFill>
          </w14:textFill>
        </w:rPr>
        <w:t>成交单位</w:t>
      </w:r>
    </w:p>
    <w:p w14:paraId="3789CBE5">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1.1磋商小组根据综合评分情况，按照评审得分由高到低顺序推荐3名成交候选供应商，并编写评审报告。符合本文件第6.1.2条情形的，可以推荐2家成交候选供应商。评审得分相同的，按照技术指标优劣顺序推荐。</w:t>
      </w:r>
    </w:p>
    <w:p w14:paraId="4B31B7E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1.2采购人根据磋商小组推荐的成交候选人确定成交供应商。采购人确定成交供应商后，</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将在“新疆政府采购网”发布成交结果公告，公告期限为1个工作日。</w:t>
      </w:r>
    </w:p>
    <w:p w14:paraId="30DE9CC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1.3若有充分证据证明，成交供应商出现下列情况之一的，一经查实，将被取消成交资格：</w:t>
      </w:r>
    </w:p>
    <w:p w14:paraId="63ED0F09">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（1）提供虚假材料谋取成交的。</w:t>
      </w:r>
    </w:p>
    <w:p w14:paraId="53C6AC9D">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（2）与评审专家、采购人、其他供应商或者</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工作人员恶意串通的。</w:t>
      </w:r>
    </w:p>
    <w:p w14:paraId="17974CE0">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（3）向评审专家、采购人或</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工作人员行贿或者提供其他不正当利益的。</w:t>
      </w:r>
    </w:p>
    <w:p w14:paraId="55E2C424">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（4）恶意竞争，最终总报价明显低于其自身合理成本且又无法提供证明的。</w:t>
      </w:r>
    </w:p>
    <w:p w14:paraId="65BAFD5F">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（5）不满足本磋商文件规定的实质性要求，但在评审过程中又未被磋商小组发现的。</w:t>
      </w:r>
    </w:p>
    <w:p w14:paraId="3DCEB802">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（6）成交后无正当理由拒不与采购人签订政府采购合同或者未按照磋商文件确定的事项签订政府采购合同。</w:t>
      </w:r>
    </w:p>
    <w:p w14:paraId="504412B3">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（7）将政府采购合同转包。</w:t>
      </w:r>
    </w:p>
    <w:p w14:paraId="4D10A5E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eastAsia="zh-CN"/>
          <w14:textFill>
            <w14:solidFill>
              <w14:schemeClr w14:val="tx1"/>
            </w14:solidFill>
          </w14:textFill>
        </w:rPr>
        <w:t>法律法规</w:t>
      </w:r>
      <w:r>
        <w:rPr>
          <w:rFonts w:hint="eastAsia" w:ascii="宋体" w:hAnsi="宋体" w:eastAsia="宋体" w:cs="宋体"/>
          <w:color w:val="000000" w:themeColor="text1"/>
          <w:highlight w:val="none"/>
          <w14:textFill>
            <w14:solidFill>
              <w14:schemeClr w14:val="tx1"/>
            </w14:solidFill>
          </w14:textFill>
        </w:rPr>
        <w:t>、规章规定的属于成交无效的其他情形。</w:t>
      </w:r>
    </w:p>
    <w:p w14:paraId="03E547A4">
      <w:pPr>
        <w:spacing w:line="440" w:lineRule="exact"/>
        <w:ind w:firstLine="482" w:firstLineChars="200"/>
        <w:rPr>
          <w:rFonts w:hint="eastAsia"/>
          <w:color w:val="000000" w:themeColor="text1"/>
          <w:sz w:val="24"/>
          <w:szCs w:val="24"/>
          <w:highlight w:val="none"/>
          <w14:textFill>
            <w14:solidFill>
              <w14:schemeClr w14:val="tx1"/>
            </w14:solidFill>
          </w14:textFill>
        </w:rPr>
      </w:pPr>
      <w:bookmarkStart w:id="140" w:name="_Toc513029237"/>
      <w:bookmarkStart w:id="141" w:name="_Toc16938553"/>
      <w:bookmarkStart w:id="142" w:name="_Toc20823309"/>
      <w:r>
        <w:rPr>
          <w:rFonts w:hint="eastAsia"/>
          <w:b/>
          <w:bCs/>
          <w:color w:val="000000" w:themeColor="text1"/>
          <w:sz w:val="24"/>
          <w:szCs w:val="24"/>
          <w:highlight w:val="none"/>
          <w:lang w:val="en-US"/>
          <w14:textFill>
            <w14:solidFill>
              <w14:schemeClr w14:val="tx1"/>
            </w14:solidFill>
          </w14:textFill>
        </w:rPr>
        <w:t xml:space="preserve">2 </w:t>
      </w:r>
      <w:r>
        <w:rPr>
          <w:rFonts w:hint="eastAsia"/>
          <w:b/>
          <w:bCs/>
          <w:color w:val="000000" w:themeColor="text1"/>
          <w:sz w:val="24"/>
          <w:szCs w:val="24"/>
          <w:highlight w:val="none"/>
          <w14:textFill>
            <w14:solidFill>
              <w14:schemeClr w14:val="tx1"/>
            </w14:solidFill>
          </w14:textFill>
        </w:rPr>
        <w:t>询问、质疑、投诉</w:t>
      </w:r>
      <w:r>
        <w:rPr>
          <w:rFonts w:hint="eastAsia"/>
          <w:color w:val="000000" w:themeColor="text1"/>
          <w:sz w:val="24"/>
          <w:szCs w:val="24"/>
          <w:highlight w:val="none"/>
          <w14:textFill>
            <w14:solidFill>
              <w14:schemeClr w14:val="tx1"/>
            </w14:solidFill>
          </w14:textFill>
        </w:rPr>
        <w:t xml:space="preserve"> </w:t>
      </w:r>
    </w:p>
    <w:p w14:paraId="0A4CDAC7">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 xml:space="preserve">询问 </w:t>
      </w:r>
    </w:p>
    <w:p w14:paraId="0560202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.1.1 </w:t>
      </w:r>
      <w:r>
        <w:rPr>
          <w:rFonts w:hint="eastAsia"/>
          <w:color w:val="000000" w:themeColor="text1"/>
          <w:sz w:val="24"/>
          <w:szCs w:val="24"/>
          <w:highlight w:val="none"/>
          <w14:textFill>
            <w14:solidFill>
              <w14:schemeClr w14:val="tx1"/>
            </w14:solidFill>
          </w14:textFill>
        </w:rPr>
        <w:t>供应商对政府采购活动事项（磋商文件、采购过程、成交或者成交结果）有疑问的，可以向采购人或者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提出询问，询问可以口头方式提出，也可以书面方式提出。 </w:t>
      </w:r>
    </w:p>
    <w:p w14:paraId="545C638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.1.2 </w:t>
      </w:r>
      <w:r>
        <w:rPr>
          <w:rFonts w:hint="eastAsia"/>
          <w:color w:val="000000" w:themeColor="text1"/>
          <w:sz w:val="24"/>
          <w:szCs w:val="24"/>
          <w:highlight w:val="none"/>
          <w14:textFill>
            <w14:solidFill>
              <w14:schemeClr w14:val="tx1"/>
            </w14:solidFill>
          </w14:textFill>
        </w:rPr>
        <w:t>采购人或者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在三个工作日内对供应商依法提出的询问作出答复。 </w:t>
      </w:r>
    </w:p>
    <w:p w14:paraId="48435414">
      <w:pPr>
        <w:spacing w:line="440" w:lineRule="exact"/>
        <w:ind w:firstLine="480" w:firstLineChars="200"/>
        <w:rPr>
          <w:rFonts w:hint="eastAsia" w:eastAsia="宋体"/>
          <w:color w:val="000000" w:themeColor="text1"/>
          <w:sz w:val="24"/>
          <w:szCs w:val="24"/>
          <w:highlight w:val="none"/>
          <w:lang w:val="en-US" w:eastAsia="zh-CN"/>
          <w14:textFill>
            <w14:solidFill>
              <w14:schemeClr w14:val="tx1"/>
            </w14:solidFill>
          </w14:textFill>
        </w:rPr>
      </w:pPr>
      <w:bookmarkStart w:id="143" w:name="_Toc200451960"/>
      <w:bookmarkStart w:id="144" w:name="_Toc494375079"/>
      <w:r>
        <w:rPr>
          <w:rFonts w:hint="eastAsia" w:eastAsia="宋体"/>
          <w:color w:val="000000" w:themeColor="text1"/>
          <w:sz w:val="24"/>
          <w:szCs w:val="24"/>
          <w:highlight w:val="none"/>
          <w:lang w:val="en-US" w:eastAsia="zh-CN"/>
          <w14:textFill>
            <w14:solidFill>
              <w14:schemeClr w14:val="tx1"/>
            </w14:solidFill>
          </w14:textFill>
        </w:rPr>
        <w:t>2.2 质疑处理</w:t>
      </w:r>
      <w:bookmarkEnd w:id="143"/>
    </w:p>
    <w:p w14:paraId="56B4D450">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.1 提出质疑的供应商应当是参与所质疑项目采购活动的供应商。潜在供应商依法获取其可质疑的采购文件的，可以对采购文件提出质疑。</w:t>
      </w:r>
    </w:p>
    <w:p w14:paraId="4DF05CE7">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65E0D9F9">
      <w:pPr>
        <w:snapToGrid w:val="0"/>
        <w:spacing w:line="480" w:lineRule="exact"/>
        <w:ind w:firstLine="480" w:firstLineChars="200"/>
        <w:rPr>
          <w:rFonts w:hint="eastAsia" w:hAnsi="宋体" w:eastAsia="宋体" w:cs="宋体"/>
          <w:color w:val="000000" w:themeColor="text1"/>
          <w:kern w:val="0"/>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.2.1</w:t>
      </w:r>
      <w:r>
        <w:rPr>
          <w:rFonts w:hint="eastAsia" w:hAnsi="宋体" w:cs="宋体"/>
          <w:color w:val="000000" w:themeColor="text1"/>
          <w:kern w:val="0"/>
          <w:sz w:val="24"/>
          <w:szCs w:val="24"/>
          <w:highlight w:val="none"/>
          <w14:textFill>
            <w14:solidFill>
              <w14:schemeClr w14:val="tx1"/>
            </w14:solidFill>
          </w14:textFill>
        </w:rPr>
        <w:t>对可以质疑的采购文件提出质疑的，为收到采购文件之日或者采购文件公告期限届满之日；</w:t>
      </w:r>
    </w:p>
    <w:p w14:paraId="025FAF1D">
      <w:pPr>
        <w:snapToGrid w:val="0"/>
        <w:spacing w:line="480" w:lineRule="exact"/>
        <w:ind w:firstLine="480" w:firstLineChars="200"/>
        <w:rPr>
          <w:rFonts w:hint="eastAsia" w:hAnsi="宋体" w:eastAsia="宋体" w:cs="宋体"/>
          <w:color w:val="000000" w:themeColor="text1"/>
          <w:kern w:val="0"/>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.2.2</w:t>
      </w:r>
      <w:r>
        <w:rPr>
          <w:rFonts w:hint="eastAsia" w:hAnsi="宋体" w:cs="宋体"/>
          <w:color w:val="000000" w:themeColor="text1"/>
          <w:kern w:val="0"/>
          <w:sz w:val="24"/>
          <w:szCs w:val="24"/>
          <w:highlight w:val="none"/>
          <w14:textFill>
            <w14:solidFill>
              <w14:schemeClr w14:val="tx1"/>
            </w14:solidFill>
          </w14:textFill>
        </w:rPr>
        <w:t>对采购过程提出质疑的，为各采购程序环节结束之日；</w:t>
      </w:r>
    </w:p>
    <w:p w14:paraId="2E5B85E1">
      <w:pPr>
        <w:snapToGrid w:val="0"/>
        <w:spacing w:line="480" w:lineRule="exact"/>
        <w:ind w:firstLine="480" w:firstLineChars="200"/>
        <w:rPr>
          <w:rFonts w:hint="eastAsia" w:hAnsi="宋体" w:cs="宋体"/>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.2.3</w:t>
      </w:r>
      <w:r>
        <w:rPr>
          <w:rFonts w:hint="eastAsia" w:hAnsi="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58A41494">
      <w:pPr>
        <w:snapToGrid w:val="0"/>
        <w:spacing w:line="480" w:lineRule="exact"/>
        <w:ind w:firstLine="480" w:firstLineChars="200"/>
        <w:rPr>
          <w:rFonts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hAnsi="宋体" w:cs="宋体"/>
          <w:b/>
          <w:color w:val="000000" w:themeColor="text1"/>
          <w:kern w:val="0"/>
          <w:sz w:val="24"/>
          <w:szCs w:val="24"/>
          <w:highlight w:val="none"/>
          <w14:textFill>
            <w14:solidFill>
              <w14:schemeClr w14:val="tx1"/>
            </w14:solidFill>
          </w14:textFill>
        </w:rPr>
        <w:t>交易中心、采购人将只对供应商第一次质疑作出答复。</w:t>
      </w:r>
    </w:p>
    <w:p w14:paraId="357892B1">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.3质疑函必须按照本</w:t>
      </w:r>
      <w:r>
        <w:rPr>
          <w:rFonts w:hint="eastAsia" w:ascii="宋体" w:hAnsi="宋体"/>
          <w:color w:val="000000" w:themeColor="text1"/>
          <w:sz w:val="24"/>
          <w:szCs w:val="24"/>
          <w:highlight w:val="none"/>
          <w:lang w:val="en-US" w:eastAsia="zh-CN"/>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文件中《质疑函范本》要求的格式</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内容</w:t>
      </w:r>
      <w:r>
        <w:rPr>
          <w:rFonts w:hint="eastAsia" w:ascii="宋体" w:hAnsi="宋体"/>
          <w:color w:val="000000" w:themeColor="text1"/>
          <w:sz w:val="24"/>
          <w:szCs w:val="24"/>
          <w:highlight w:val="none"/>
          <w:lang w:val="en-US" w:eastAsia="zh-CN"/>
          <w14:textFill>
            <w14:solidFill>
              <w14:schemeClr w14:val="tx1"/>
            </w14:solidFill>
          </w14:textFill>
        </w:rPr>
        <w:t>和要求</w:t>
      </w:r>
      <w:r>
        <w:rPr>
          <w:rFonts w:hint="eastAsia" w:ascii="宋体" w:hAnsi="宋体"/>
          <w:color w:val="000000" w:themeColor="text1"/>
          <w:sz w:val="24"/>
          <w:szCs w:val="24"/>
          <w:highlight w:val="none"/>
          <w14:textFill>
            <w14:solidFill>
              <w14:schemeClr w14:val="tx1"/>
            </w14:solidFill>
          </w14:textFill>
        </w:rPr>
        <w:t>进行填写。供应商如组成联合体参加投标，则《质疑函范本》中要求签字、盖章、加盖公章之处，联合体各方均须按要求签字、盖章、加盖公章。</w:t>
      </w:r>
    </w:p>
    <w:p w14:paraId="5BB47F4C">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2.2</w:t>
      </w:r>
      <w:r>
        <w:rPr>
          <w:rFonts w:hint="eastAsia" w:ascii="宋体" w:hAnsi="宋体" w:eastAsia="宋体" w:cs="Times New Roman"/>
          <w:color w:val="000000" w:themeColor="text1"/>
          <w:sz w:val="24"/>
          <w:szCs w:val="24"/>
          <w:highlight w:val="none"/>
          <w14:textFill>
            <w14:solidFill>
              <w14:schemeClr w14:val="tx1"/>
            </w14:solidFill>
          </w14:textFill>
        </w:rPr>
        <w:t>.4 交易中心及采购人只接收以纸质原件形式送达的质疑。</w:t>
      </w:r>
    </w:p>
    <w:p w14:paraId="12AA6103">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质疑接收人：</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新疆维吾尔自治区公共资源交易中心 内控监督部</w:t>
      </w:r>
    </w:p>
    <w:p w14:paraId="4CE7C659">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联系地址：乌鲁木齐市</w:t>
      </w:r>
      <w:r>
        <w:rPr>
          <w:rFonts w:hint="eastAsia" w:ascii="宋体" w:hAnsi="宋体"/>
          <w:color w:val="000000" w:themeColor="text1"/>
          <w:sz w:val="24"/>
          <w:szCs w:val="24"/>
          <w:highlight w:val="none"/>
          <w:lang w:val="en-US" w:eastAsia="zh-CN"/>
          <w14:textFill>
            <w14:solidFill>
              <w14:schemeClr w14:val="tx1"/>
            </w14:solidFill>
          </w14:textFill>
        </w:rPr>
        <w:t>水磨沟区</w:t>
      </w:r>
      <w:r>
        <w:rPr>
          <w:rFonts w:hint="eastAsia" w:ascii="宋体" w:hAnsi="宋体"/>
          <w:color w:val="000000" w:themeColor="text1"/>
          <w:sz w:val="24"/>
          <w:szCs w:val="24"/>
          <w:highlight w:val="none"/>
          <w14:textFill>
            <w14:solidFill>
              <w14:schemeClr w14:val="tx1"/>
            </w14:solidFill>
          </w14:textFill>
        </w:rPr>
        <w:t>准格尔街299号</w:t>
      </w:r>
      <w:r>
        <w:rPr>
          <w:rFonts w:hint="eastAsia" w:ascii="宋体" w:hAnsi="宋体"/>
          <w:color w:val="000000" w:themeColor="text1"/>
          <w:sz w:val="24"/>
          <w:szCs w:val="24"/>
          <w:highlight w:val="none"/>
          <w:lang w:val="en-US" w:eastAsia="zh-CN"/>
          <w14:textFill>
            <w14:solidFill>
              <w14:schemeClr w14:val="tx1"/>
            </w14:solidFill>
          </w14:textFill>
        </w:rPr>
        <w:t>益民大厦</w:t>
      </w:r>
      <w:r>
        <w:rPr>
          <w:rFonts w:hint="eastAsia" w:ascii="宋体" w:hAnsi="宋体"/>
          <w:color w:val="000000" w:themeColor="text1"/>
          <w:sz w:val="24"/>
          <w:szCs w:val="24"/>
          <w:highlight w:val="none"/>
          <w14:textFill>
            <w14:solidFill>
              <w14:schemeClr w14:val="tx1"/>
            </w14:solidFill>
          </w14:textFill>
        </w:rPr>
        <w:t>A417</w:t>
      </w:r>
    </w:p>
    <w:p w14:paraId="26870F11">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联系电话：0991-3551778。 </w:t>
      </w:r>
    </w:p>
    <w:p w14:paraId="5D080849">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 以下情形的质疑不予受理</w:t>
      </w:r>
    </w:p>
    <w:p w14:paraId="34FD6584">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.5.1 内容不符合《政府采购质疑和投诉办法》第十二条规定的质疑。</w:t>
      </w:r>
    </w:p>
    <w:p w14:paraId="749864F4">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.5.2 超出政府采购法定期限的质疑。</w:t>
      </w:r>
    </w:p>
    <w:p w14:paraId="0776F5F9">
      <w:pPr>
        <w:snapToGrid w:val="0"/>
        <w:spacing w:line="48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.5.3 以传真、电子邮件等方式递交的非原件形式的质疑。</w:t>
      </w:r>
    </w:p>
    <w:p w14:paraId="333CF343">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.5.4 未参加投标活动的供应商或在投标活动中自身权益未受到损害的供</w:t>
      </w:r>
      <w:r>
        <w:rPr>
          <w:rFonts w:hint="eastAsia" w:ascii="宋体" w:hAnsi="宋体" w:eastAsia="宋体" w:cs="Times New Roman"/>
          <w:color w:val="000000" w:themeColor="text1"/>
          <w:sz w:val="24"/>
          <w:szCs w:val="24"/>
          <w:highlight w:val="none"/>
          <w14:textFill>
            <w14:solidFill>
              <w14:schemeClr w14:val="tx1"/>
            </w14:solidFill>
          </w14:textFill>
        </w:rPr>
        <w:t>应商所提出的质疑。</w:t>
      </w:r>
    </w:p>
    <w:p w14:paraId="1025A236">
      <w:pPr>
        <w:snapToGrid w:val="0"/>
        <w:spacing w:line="48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2</w:t>
      </w:r>
      <w:r>
        <w:rPr>
          <w:rFonts w:hint="eastAsia" w:ascii="宋体" w:hAnsi="宋体" w:cs="Times New Roman"/>
          <w:color w:val="000000" w:themeColor="text1"/>
          <w:sz w:val="24"/>
          <w:szCs w:val="24"/>
          <w:highlight w:val="none"/>
          <w:lang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.5.5供应商组成联合体参加投标，联合体中任何一方或多方未按要求签字、盖章、加盖公章的质疑。</w:t>
      </w:r>
    </w:p>
    <w:p w14:paraId="4C323DE7">
      <w:pPr>
        <w:snapToGrid w:val="0"/>
        <w:spacing w:line="48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.5.6</w:t>
      </w:r>
      <w:r>
        <w:rPr>
          <w:rFonts w:hint="eastAsia" w:ascii="宋体" w:hAnsi="宋体" w:eastAsia="宋体" w:cs="Times New Roman"/>
          <w:color w:val="000000" w:themeColor="text1"/>
          <w:sz w:val="24"/>
          <w:szCs w:val="24"/>
          <w:highlight w:val="none"/>
          <w14:textFill>
            <w14:solidFill>
              <w14:schemeClr w14:val="tx1"/>
            </w14:solidFill>
          </w14:textFill>
        </w:rPr>
        <w:t>所</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质疑</w:t>
      </w:r>
      <w:r>
        <w:rPr>
          <w:rFonts w:hint="eastAsia" w:ascii="宋体" w:hAnsi="宋体" w:eastAsia="宋体" w:cs="Times New Roman"/>
          <w:color w:val="000000" w:themeColor="text1"/>
          <w:sz w:val="24"/>
          <w:szCs w:val="24"/>
          <w:highlight w:val="none"/>
          <w14:textFill>
            <w14:solidFill>
              <w14:schemeClr w14:val="tx1"/>
            </w14:solidFill>
          </w14:textFill>
        </w:rPr>
        <w:t>事项已进行处理，或正在行政复议、仲裁、诉讼、投诉等其他程序的</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p w14:paraId="4DDFD2A4">
      <w:pPr>
        <w:snapToGrid w:val="0"/>
        <w:spacing w:line="480" w:lineRule="exact"/>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w:t>
      </w:r>
      <w:r>
        <w:rPr>
          <w:rFonts w:hint="eastAsia" w:ascii="宋体" w:hAnsi="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.5.7不属于本中心管辖范围的质疑。</w:t>
      </w:r>
    </w:p>
    <w:p w14:paraId="4EAE44FA">
      <w:pPr>
        <w:snapToGrid w:val="0"/>
        <w:spacing w:line="480" w:lineRule="exact"/>
        <w:ind w:firstLine="468" w:firstLineChars="195"/>
        <w:rPr>
          <w:color w:val="000000" w:themeColor="text1"/>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 xml:space="preserve">.6  </w:t>
      </w:r>
      <w:r>
        <w:rPr>
          <w:rFonts w:hint="eastAsia" w:ascii="宋体" w:hAnsi="宋体"/>
          <w:b/>
          <w:color w:val="000000" w:themeColor="text1"/>
          <w:sz w:val="24"/>
          <w:szCs w:val="24"/>
          <w:highlight w:val="none"/>
          <w14:textFill>
            <w14:solidFill>
              <w14:schemeClr w14:val="tx1"/>
            </w14:solidFill>
          </w14:textFill>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bookmarkEnd w:id="144"/>
    </w:p>
    <w:p w14:paraId="4E330B0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 </w:t>
      </w:r>
      <w:r>
        <w:rPr>
          <w:rFonts w:hint="eastAsia"/>
          <w:color w:val="000000" w:themeColor="text1"/>
          <w:sz w:val="24"/>
          <w:szCs w:val="24"/>
          <w:highlight w:val="none"/>
          <w14:textFill>
            <w14:solidFill>
              <w14:schemeClr w14:val="tx1"/>
            </w14:solidFill>
          </w14:textFill>
        </w:rPr>
        <w:t xml:space="preserve">投诉 </w:t>
      </w:r>
    </w:p>
    <w:p w14:paraId="0E1CD22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.3.1 </w:t>
      </w:r>
      <w:r>
        <w:rPr>
          <w:rFonts w:hint="eastAsia"/>
          <w:color w:val="000000" w:themeColor="text1"/>
          <w:sz w:val="24"/>
          <w:szCs w:val="24"/>
          <w:highlight w:val="none"/>
          <w14:textFill>
            <w14:solidFill>
              <w14:schemeClr w14:val="tx1"/>
            </w14:solidFill>
          </w14:textFill>
        </w:rPr>
        <w:t>质疑供应商对</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的答复不满意，或者</w:t>
      </w:r>
      <w:r>
        <w:rPr>
          <w:rFonts w:hint="eastAsia"/>
          <w:color w:val="000000" w:themeColor="text1"/>
          <w:sz w:val="24"/>
          <w:szCs w:val="24"/>
          <w:highlight w:val="none"/>
          <w:lang w:eastAsia="zh-CN"/>
          <w14:textFill>
            <w14:solidFill>
              <w14:schemeClr w14:val="tx1"/>
            </w14:solidFill>
          </w14:textFill>
        </w:rPr>
        <w:t>新疆维吾尔自治区公共资源交易中心</w:t>
      </w:r>
      <w:r>
        <w:rPr>
          <w:rFonts w:hint="eastAsia"/>
          <w:color w:val="000000" w:themeColor="text1"/>
          <w:sz w:val="24"/>
          <w:szCs w:val="24"/>
          <w:highlight w:val="none"/>
          <w14:textFill>
            <w14:solidFill>
              <w14:schemeClr w14:val="tx1"/>
            </w14:solidFill>
          </w14:textFill>
        </w:rPr>
        <w:t xml:space="preserve">未在规定时间内作出答复的，可以在答复期满后十五个工作日内向同级财政部门提起投诉。 </w:t>
      </w:r>
    </w:p>
    <w:p w14:paraId="212FFAD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.3.2 </w:t>
      </w:r>
      <w:r>
        <w:rPr>
          <w:rFonts w:hint="eastAsia"/>
          <w:color w:val="000000" w:themeColor="text1"/>
          <w:sz w:val="24"/>
          <w:szCs w:val="24"/>
          <w:highlight w:val="none"/>
          <w14:textFill>
            <w14:solidFill>
              <w14:schemeClr w14:val="tx1"/>
            </w14:solidFill>
          </w14:textFill>
        </w:rPr>
        <w:t xml:space="preserve">投诉人在全国范围12个月内三次以上投诉查无实据的，由财政部门列入不良行为记录名单。 </w:t>
      </w:r>
    </w:p>
    <w:p w14:paraId="2366EBF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.3.3 </w:t>
      </w:r>
      <w:r>
        <w:rPr>
          <w:rFonts w:hint="eastAsia"/>
          <w:color w:val="000000" w:themeColor="text1"/>
          <w:sz w:val="24"/>
          <w:szCs w:val="24"/>
          <w:highlight w:val="none"/>
          <w14:textFill>
            <w14:solidFill>
              <w14:schemeClr w14:val="tx1"/>
            </w14:solidFill>
          </w14:textFill>
        </w:rPr>
        <w:t xml:space="preserve">投诉人有下列行为之一的，属于虚假、恶意投诉，由财政部门列入不良行为记录名单，禁止其1至3年内参加政府采购活动： </w:t>
      </w:r>
    </w:p>
    <w:p w14:paraId="48ABC6F5">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.3.3.1 </w:t>
      </w:r>
      <w:r>
        <w:rPr>
          <w:rFonts w:hint="eastAsia"/>
          <w:color w:val="000000" w:themeColor="text1"/>
          <w:sz w:val="24"/>
          <w:szCs w:val="24"/>
          <w:highlight w:val="none"/>
          <w14:textFill>
            <w14:solidFill>
              <w14:schemeClr w14:val="tx1"/>
            </w14:solidFill>
          </w14:textFill>
        </w:rPr>
        <w:t xml:space="preserve">捏造事实； </w:t>
      </w:r>
    </w:p>
    <w:p w14:paraId="7FCB390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.3.3.2 </w:t>
      </w:r>
      <w:r>
        <w:rPr>
          <w:rFonts w:hint="eastAsia"/>
          <w:color w:val="000000" w:themeColor="text1"/>
          <w:sz w:val="24"/>
          <w:szCs w:val="24"/>
          <w:highlight w:val="none"/>
          <w14:textFill>
            <w14:solidFill>
              <w14:schemeClr w14:val="tx1"/>
            </w14:solidFill>
          </w14:textFill>
        </w:rPr>
        <w:t xml:space="preserve">提供虚假材料； </w:t>
      </w:r>
    </w:p>
    <w:p w14:paraId="75CA5C9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val="en-US"/>
          <w14:textFill>
            <w14:solidFill>
              <w14:schemeClr w14:val="tx1"/>
            </w14:solidFill>
          </w14:textFill>
        </w:rPr>
        <w:t xml:space="preserve">.3.3.3 </w:t>
      </w:r>
      <w:r>
        <w:rPr>
          <w:rFonts w:hint="eastAsia"/>
          <w:color w:val="000000" w:themeColor="text1"/>
          <w:sz w:val="24"/>
          <w:szCs w:val="24"/>
          <w:highlight w:val="none"/>
          <w14:textFill>
            <w14:solidFill>
              <w14:schemeClr w14:val="tx1"/>
            </w14:solidFill>
          </w14:textFill>
        </w:rPr>
        <w:t xml:space="preserve">以非法手段取得证明材料。证据来源的合法性存在明显疑问，投诉人无法证明其取得方式合法的，视为以非法手段取得证明材料。 </w:t>
      </w:r>
    </w:p>
    <w:p w14:paraId="3D3D84B9">
      <w:pPr>
        <w:spacing w:line="440" w:lineRule="exact"/>
        <w:ind w:firstLine="482" w:firstLineChars="200"/>
        <w:rPr>
          <w:rFonts w:hint="eastAsia"/>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3</w:t>
      </w:r>
      <w:r>
        <w:rPr>
          <w:rFonts w:hint="eastAsia"/>
          <w:b/>
          <w:bCs/>
          <w:color w:val="000000" w:themeColor="text1"/>
          <w:sz w:val="24"/>
          <w:szCs w:val="24"/>
          <w:highlight w:val="none"/>
          <w:lang w:val="en-US"/>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特别说明</w:t>
      </w:r>
      <w:r>
        <w:rPr>
          <w:rFonts w:hint="eastAsia"/>
          <w:color w:val="000000" w:themeColor="text1"/>
          <w:sz w:val="24"/>
          <w:szCs w:val="24"/>
          <w:highlight w:val="none"/>
          <w14:textFill>
            <w14:solidFill>
              <w14:schemeClr w14:val="tx1"/>
            </w14:solidFill>
          </w14:textFill>
        </w:rPr>
        <w:t xml:space="preserve"> </w:t>
      </w:r>
    </w:p>
    <w:p w14:paraId="0616AD52">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 </w:t>
      </w:r>
      <w:r>
        <w:rPr>
          <w:rFonts w:hint="eastAsia"/>
          <w:color w:val="000000" w:themeColor="text1"/>
          <w:sz w:val="24"/>
          <w:szCs w:val="24"/>
          <w:highlight w:val="none"/>
          <w14:textFill>
            <w14:solidFill>
              <w14:schemeClr w14:val="tx1"/>
            </w14:solidFill>
          </w14:textFill>
        </w:rPr>
        <w:t xml:space="preserve">有下列情形之一的，视为供应商串通投标，其响应无效： </w:t>
      </w:r>
    </w:p>
    <w:p w14:paraId="58626D56">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.1.1 </w:t>
      </w:r>
      <w:r>
        <w:rPr>
          <w:rFonts w:hint="eastAsia"/>
          <w:color w:val="000000" w:themeColor="text1"/>
          <w:sz w:val="24"/>
          <w:szCs w:val="24"/>
          <w:highlight w:val="none"/>
          <w14:textFill>
            <w14:solidFill>
              <w14:schemeClr w14:val="tx1"/>
            </w14:solidFill>
          </w14:textFill>
        </w:rPr>
        <w:t xml:space="preserve">不同供应商的响应文件由同一单位或者个人编制； </w:t>
      </w:r>
    </w:p>
    <w:p w14:paraId="0DBFC72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.1.2 </w:t>
      </w:r>
      <w:r>
        <w:rPr>
          <w:rFonts w:hint="eastAsia"/>
          <w:color w:val="000000" w:themeColor="text1"/>
          <w:sz w:val="24"/>
          <w:szCs w:val="24"/>
          <w:highlight w:val="none"/>
          <w14:textFill>
            <w14:solidFill>
              <w14:schemeClr w14:val="tx1"/>
            </w14:solidFill>
          </w14:textFill>
        </w:rPr>
        <w:t xml:space="preserve">不同供应商委托同一单位或者个人办理投标事宜； </w:t>
      </w:r>
    </w:p>
    <w:p w14:paraId="5E5C2BC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.1.3 </w:t>
      </w:r>
      <w:r>
        <w:rPr>
          <w:rFonts w:hint="eastAsia"/>
          <w:color w:val="000000" w:themeColor="text1"/>
          <w:sz w:val="24"/>
          <w:szCs w:val="24"/>
          <w:highlight w:val="none"/>
          <w14:textFill>
            <w14:solidFill>
              <w14:schemeClr w14:val="tx1"/>
            </w14:solidFill>
          </w14:textFill>
        </w:rPr>
        <w:t xml:space="preserve">不同供应商的响应文件载明的项目管理成员或者联系人员为同一人； </w:t>
      </w:r>
    </w:p>
    <w:p w14:paraId="4ADEBBE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.1.4 </w:t>
      </w:r>
      <w:r>
        <w:rPr>
          <w:rFonts w:hint="eastAsia"/>
          <w:color w:val="000000" w:themeColor="text1"/>
          <w:sz w:val="24"/>
          <w:szCs w:val="24"/>
          <w:highlight w:val="none"/>
          <w14:textFill>
            <w14:solidFill>
              <w14:schemeClr w14:val="tx1"/>
            </w14:solidFill>
          </w14:textFill>
        </w:rPr>
        <w:t xml:space="preserve">不同供应商的响应文件异常一致或者磋商报价呈规律性差异； </w:t>
      </w:r>
    </w:p>
    <w:p w14:paraId="058C9F70">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.1.5 </w:t>
      </w:r>
      <w:r>
        <w:rPr>
          <w:rFonts w:hint="eastAsia"/>
          <w:color w:val="000000" w:themeColor="text1"/>
          <w:sz w:val="24"/>
          <w:szCs w:val="24"/>
          <w:highlight w:val="none"/>
          <w14:textFill>
            <w14:solidFill>
              <w14:schemeClr w14:val="tx1"/>
            </w14:solidFill>
          </w14:textFill>
        </w:rPr>
        <w:t xml:space="preserve">不同供应商的响应文件相互混装； </w:t>
      </w:r>
    </w:p>
    <w:p w14:paraId="1EDA0BD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.1.6 </w:t>
      </w:r>
      <w:r>
        <w:rPr>
          <w:rFonts w:hint="eastAsia"/>
          <w:color w:val="000000" w:themeColor="text1"/>
          <w:sz w:val="24"/>
          <w:szCs w:val="24"/>
          <w:highlight w:val="none"/>
          <w14:textFill>
            <w14:solidFill>
              <w14:schemeClr w14:val="tx1"/>
            </w14:solidFill>
          </w14:textFill>
        </w:rPr>
        <w:t xml:space="preserve">不同供应商的磋商保证金从同一单位或者个人的账户转出。 </w:t>
      </w:r>
    </w:p>
    <w:p w14:paraId="605DEC3D">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 </w:t>
      </w:r>
      <w:r>
        <w:rPr>
          <w:rFonts w:hint="eastAsia"/>
          <w:color w:val="000000" w:themeColor="text1"/>
          <w:sz w:val="24"/>
          <w:szCs w:val="24"/>
          <w:highlight w:val="none"/>
          <w14:textFill>
            <w14:solidFill>
              <w14:schemeClr w14:val="tx1"/>
            </w14:solidFill>
          </w14:textFill>
        </w:rPr>
        <w:t>供应商存在下列情况之一的，其响应无效</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 xml:space="preserve"> </w:t>
      </w:r>
    </w:p>
    <w:p w14:paraId="2A6F2F1B">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.2.1 </w:t>
      </w:r>
      <w:r>
        <w:rPr>
          <w:rFonts w:hint="eastAsia"/>
          <w:color w:val="000000" w:themeColor="text1"/>
          <w:sz w:val="24"/>
          <w:szCs w:val="24"/>
          <w:highlight w:val="none"/>
          <w14:textFill>
            <w14:solidFill>
              <w14:schemeClr w14:val="tx1"/>
            </w14:solidFill>
          </w14:textFill>
        </w:rPr>
        <w:t xml:space="preserve">未按照磋商文件的规定提交磋商保证金的； </w:t>
      </w:r>
    </w:p>
    <w:p w14:paraId="4564704E">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.2.2 </w:t>
      </w:r>
      <w:r>
        <w:rPr>
          <w:rFonts w:hint="eastAsia"/>
          <w:color w:val="000000" w:themeColor="text1"/>
          <w:sz w:val="24"/>
          <w:szCs w:val="24"/>
          <w:highlight w:val="none"/>
          <w14:textFill>
            <w14:solidFill>
              <w14:schemeClr w14:val="tx1"/>
            </w14:solidFill>
          </w14:textFill>
        </w:rPr>
        <w:t xml:space="preserve">响应文件未按磋商文件要求签署、盖章及响应文件的份数、编制不符合磋商文件要求的； </w:t>
      </w:r>
    </w:p>
    <w:p w14:paraId="6673192C">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.2.3 </w:t>
      </w:r>
      <w:r>
        <w:rPr>
          <w:rFonts w:hint="eastAsia"/>
          <w:color w:val="000000" w:themeColor="text1"/>
          <w:sz w:val="24"/>
          <w:szCs w:val="24"/>
          <w:highlight w:val="none"/>
          <w14:textFill>
            <w14:solidFill>
              <w14:schemeClr w14:val="tx1"/>
            </w14:solidFill>
          </w14:textFill>
        </w:rPr>
        <w:t xml:space="preserve">不具备磋商文件中规定的资格要求的； </w:t>
      </w:r>
    </w:p>
    <w:p w14:paraId="50F26E28">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.2.4 </w:t>
      </w:r>
      <w:r>
        <w:rPr>
          <w:rFonts w:hint="eastAsia"/>
          <w:color w:val="000000" w:themeColor="text1"/>
          <w:sz w:val="24"/>
          <w:szCs w:val="24"/>
          <w:highlight w:val="none"/>
          <w14:textFill>
            <w14:solidFill>
              <w14:schemeClr w14:val="tx1"/>
            </w14:solidFill>
          </w14:textFill>
        </w:rPr>
        <w:t xml:space="preserve">报价超过磋商文件中规定的预算金额或者最高限价的； </w:t>
      </w:r>
    </w:p>
    <w:p w14:paraId="5F56A309">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.2.5 </w:t>
      </w:r>
      <w:r>
        <w:rPr>
          <w:rFonts w:hint="eastAsia"/>
          <w:color w:val="000000" w:themeColor="text1"/>
          <w:sz w:val="24"/>
          <w:szCs w:val="24"/>
          <w:highlight w:val="none"/>
          <w14:textFill>
            <w14:solidFill>
              <w14:schemeClr w14:val="tx1"/>
            </w14:solidFill>
          </w14:textFill>
        </w:rPr>
        <w:t xml:space="preserve">响应文件含有采购人不能接受的附加条件的； </w:t>
      </w:r>
    </w:p>
    <w:p w14:paraId="6F32E324">
      <w:pPr>
        <w:spacing w:line="440" w:lineRule="exact"/>
        <w:ind w:firstLine="480" w:firstLineChars="20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lang w:val="en-US"/>
          <w14:textFill>
            <w14:solidFill>
              <w14:schemeClr w14:val="tx1"/>
            </w14:solidFill>
          </w14:textFill>
        </w:rPr>
        <w:t xml:space="preserve">.2.6 </w:t>
      </w:r>
      <w:r>
        <w:rPr>
          <w:rFonts w:hint="eastAsia"/>
          <w:color w:val="000000" w:themeColor="text1"/>
          <w:sz w:val="24"/>
          <w:szCs w:val="24"/>
          <w:highlight w:val="none"/>
          <w:lang w:val="en-US" w:eastAsia="zh-CN"/>
          <w14:textFill>
            <w14:solidFill>
              <w14:schemeClr w14:val="tx1"/>
            </w14:solidFill>
          </w14:textFill>
        </w:rPr>
        <w:t>法律法规</w:t>
      </w:r>
      <w:r>
        <w:rPr>
          <w:rFonts w:hint="eastAsia"/>
          <w:color w:val="000000" w:themeColor="text1"/>
          <w:sz w:val="24"/>
          <w:szCs w:val="24"/>
          <w:highlight w:val="none"/>
          <w14:textFill>
            <w14:solidFill>
              <w14:schemeClr w14:val="tx1"/>
            </w14:solidFill>
          </w14:textFill>
        </w:rPr>
        <w:t>和磋商文件规定的其他无效情形。</w:t>
      </w:r>
    </w:p>
    <w:p w14:paraId="4D4FCEAF">
      <w:pPr>
        <w:pStyle w:val="20"/>
        <w:spacing w:line="560" w:lineRule="exact"/>
        <w:ind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六、合同签订相关事项</w:t>
      </w:r>
    </w:p>
    <w:p w14:paraId="5DFB697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成交供应商确定后，</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highlight w:val="none"/>
          <w14:textFill>
            <w14:solidFill>
              <w14:schemeClr w14:val="tx1"/>
            </w14:solidFill>
          </w14:textFill>
        </w:rPr>
        <w:t>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14:paraId="1080F137">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磋商文件、成交供应商的响应文件及磋商采购过程中有关澄清、承诺文件均应作为合同附件。</w:t>
      </w:r>
    </w:p>
    <w:p w14:paraId="5F73002A">
      <w:pPr>
        <w:tabs>
          <w:tab w:val="left" w:pos="900"/>
        </w:tabs>
        <w:spacing w:line="56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签订合同后，</w:t>
      </w:r>
      <w:r>
        <w:rPr>
          <w:rFonts w:hint="eastAsia" w:ascii="宋体" w:hAnsi="宋体" w:eastAsia="宋体" w:cs="宋体"/>
          <w:i/>
          <w:color w:val="000000" w:themeColor="text1"/>
          <w:highlight w:val="none"/>
          <w:u w:val="single"/>
          <w14:textFill>
            <w14:solidFill>
              <w14:schemeClr w14:val="tx1"/>
            </w14:solidFill>
          </w14:textFill>
        </w:rPr>
        <w:t>成交供应商不得将成交产品或服务进行转包。</w:t>
      </w:r>
      <w:r>
        <w:rPr>
          <w:rFonts w:hint="eastAsia" w:ascii="宋体" w:hAnsi="宋体" w:eastAsia="宋体" w:cs="宋体"/>
          <w:color w:val="000000" w:themeColor="text1"/>
          <w:highlight w:val="none"/>
          <w14:textFill>
            <w14:solidFill>
              <w14:schemeClr w14:val="tx1"/>
            </w14:solidFill>
          </w14:textFill>
        </w:rPr>
        <w:t>未经采购人同意，成交供应商也不得采用分包的形式履行合同，否则采购人有权终止合同。转包或分包造成采购人损失的，成交供应商应承担相应赔偿责任。</w:t>
      </w:r>
    </w:p>
    <w:p w14:paraId="48DDDF2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bookmarkEnd w:id="26"/>
    <w:bookmarkEnd w:id="27"/>
    <w:bookmarkEnd w:id="28"/>
    <w:bookmarkEnd w:id="29"/>
    <w:bookmarkEnd w:id="30"/>
    <w:bookmarkEnd w:id="31"/>
    <w:bookmarkEnd w:id="32"/>
    <w:bookmarkEnd w:id="33"/>
    <w:bookmarkEnd w:id="34"/>
    <w:bookmarkEnd w:id="35"/>
    <w:bookmarkEnd w:id="140"/>
    <w:bookmarkEnd w:id="141"/>
    <w:bookmarkEnd w:id="142"/>
    <w:p w14:paraId="312282C5">
      <w:pPr>
        <w:pStyle w:val="231"/>
        <w:spacing w:after="286"/>
        <w:jc w:val="center"/>
        <w:rPr>
          <w:rFonts w:hint="eastAsia" w:ascii="宋体" w:hAnsi="宋体" w:eastAsia="宋体" w:cs="宋体"/>
          <w:color w:val="000000" w:themeColor="text1"/>
          <w:highlight w:val="none"/>
          <w14:textFill>
            <w14:solidFill>
              <w14:schemeClr w14:val="tx1"/>
            </w14:solidFill>
          </w14:textFill>
        </w:rPr>
      </w:pPr>
      <w:bookmarkStart w:id="145" w:name="_Toc389647462"/>
      <w:bookmarkStart w:id="146" w:name="_Toc10955"/>
      <w:r>
        <w:rPr>
          <w:rFonts w:hint="eastAsia" w:ascii="宋体" w:hAnsi="宋体" w:eastAsia="宋体" w:cs="宋体"/>
          <w:color w:val="000000" w:themeColor="text1"/>
          <w:highlight w:val="none"/>
          <w14:textFill>
            <w14:solidFill>
              <w14:schemeClr w14:val="tx1"/>
            </w14:solidFill>
          </w14:textFill>
        </w:rPr>
        <w:t>第三章  合同条款及格式</w:t>
      </w:r>
      <w:bookmarkEnd w:id="145"/>
      <w:bookmarkEnd w:id="146"/>
    </w:p>
    <w:p w14:paraId="1B96379A">
      <w:pPr>
        <w:keepNext w:val="0"/>
        <w:keepLines w:val="0"/>
        <w:pageBreakBefore w:val="0"/>
        <w:kinsoku/>
        <w:wordWrap/>
        <w:overflowPunct/>
        <w:topLinePunct w:val="0"/>
        <w:bidi w:val="0"/>
        <w:spacing w:line="400" w:lineRule="exact"/>
        <w:jc w:val="center"/>
        <w:outlineLvl w:val="9"/>
        <w:rPr>
          <w:rFonts w:hint="eastAsia" w:ascii="宋体" w:hAnsi="宋体" w:cs="宋体"/>
          <w:b/>
          <w:color w:val="000000" w:themeColor="text1"/>
          <w:sz w:val="24"/>
          <w:highlight w:val="none"/>
          <w14:textFill>
            <w14:solidFill>
              <w14:schemeClr w14:val="tx1"/>
            </w14:solidFill>
          </w14:textFill>
        </w:rPr>
      </w:pPr>
      <w:bookmarkStart w:id="147" w:name="_Hlt16619369"/>
      <w:bookmarkEnd w:id="147"/>
      <w:bookmarkStart w:id="148" w:name="_Hlt16619350"/>
      <w:bookmarkStart w:id="149" w:name="_Toc20823346"/>
      <w:bookmarkStart w:id="150" w:name="_Toc16938590"/>
      <w:bookmarkStart w:id="151" w:name="_Toc120614244"/>
      <w:bookmarkStart w:id="152" w:name="_Toc1484"/>
      <w:bookmarkStart w:id="153" w:name="_Toc462564139"/>
      <w:bookmarkStart w:id="154" w:name="_Toc479757211"/>
    </w:p>
    <w:p w14:paraId="73115348">
      <w:pPr>
        <w:keepNext w:val="0"/>
        <w:keepLines w:val="0"/>
        <w:pageBreakBefore w:val="0"/>
        <w:kinsoku/>
        <w:wordWrap/>
        <w:overflowPunct/>
        <w:topLinePunct w:val="0"/>
        <w:bidi w:val="0"/>
        <w:spacing w:line="360" w:lineRule="auto"/>
        <w:jc w:val="center"/>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（仅供参考，具体以实际签订合同为准）</w:t>
      </w:r>
    </w:p>
    <w:p w14:paraId="64D38D21">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合同编号：</w:t>
      </w:r>
      <w:r>
        <w:rPr>
          <w:rFonts w:hint="eastAsia" w:ascii="宋体" w:hAnsi="宋体" w:cs="宋体"/>
          <w:color w:val="000000" w:themeColor="text1"/>
          <w:sz w:val="24"/>
          <w:highlight w:val="none"/>
          <w:u w:val="single"/>
          <w14:textFill>
            <w14:solidFill>
              <w14:schemeClr w14:val="tx1"/>
            </w14:solidFill>
          </w14:textFill>
        </w:rPr>
        <w:t xml:space="preserve">           </w:t>
      </w:r>
    </w:p>
    <w:p w14:paraId="0D23C354">
      <w:pPr>
        <w:keepNext w:val="0"/>
        <w:keepLines w:val="0"/>
        <w:pageBreakBefore w:val="0"/>
        <w:kinsoku/>
        <w:wordWrap/>
        <w:overflowPunct/>
        <w:topLinePunct w:val="0"/>
        <w:bidi w:val="0"/>
        <w:spacing w:line="400" w:lineRule="exact"/>
        <w:jc w:val="center"/>
        <w:outlineLvl w:val="9"/>
        <w:rPr>
          <w:rFonts w:hint="eastAsia" w:ascii="宋体" w:hAnsi="宋体" w:cs="宋体"/>
          <w:b/>
          <w:color w:val="000000" w:themeColor="text1"/>
          <w:sz w:val="28"/>
          <w:szCs w:val="28"/>
          <w:highlight w:val="none"/>
          <w14:textFill>
            <w14:solidFill>
              <w14:schemeClr w14:val="tx1"/>
            </w14:solidFill>
          </w14:textFill>
        </w:rPr>
      </w:pPr>
    </w:p>
    <w:p w14:paraId="2ADA425F">
      <w:pPr>
        <w:keepNext w:val="0"/>
        <w:keepLines w:val="0"/>
        <w:pageBreakBefore w:val="0"/>
        <w:kinsoku/>
        <w:wordWrap/>
        <w:overflowPunct/>
        <w:topLinePunct w:val="0"/>
        <w:bidi w:val="0"/>
        <w:spacing w:line="400" w:lineRule="exact"/>
        <w:jc w:val="center"/>
        <w:outlineLvl w:val="9"/>
        <w:rPr>
          <w:rFonts w:hint="eastAsia" w:ascii="宋体" w:hAnsi="宋体" w:cs="宋体"/>
          <w:b/>
          <w:color w:val="000000" w:themeColor="text1"/>
          <w:sz w:val="28"/>
          <w:szCs w:val="28"/>
          <w:highlight w:val="none"/>
          <w14:textFill>
            <w14:solidFill>
              <w14:schemeClr w14:val="tx1"/>
            </w14:solidFill>
          </w14:textFill>
        </w:rPr>
      </w:pPr>
    </w:p>
    <w:p w14:paraId="229DE3B1">
      <w:pPr>
        <w:keepNext w:val="0"/>
        <w:keepLines w:val="0"/>
        <w:pageBreakBefore w:val="0"/>
        <w:kinsoku/>
        <w:wordWrap/>
        <w:overflowPunct/>
        <w:topLinePunct w:val="0"/>
        <w:bidi w:val="0"/>
        <w:spacing w:line="500" w:lineRule="exact"/>
        <w:jc w:val="center"/>
        <w:outlineLvl w:val="9"/>
        <w:rPr>
          <w:rFonts w:hint="eastAsia" w:ascii="宋体" w:hAnsi="宋体" w:cs="宋体"/>
          <w:b/>
          <w:color w:val="000000" w:themeColor="text1"/>
          <w:sz w:val="28"/>
          <w:szCs w:val="28"/>
          <w:highlight w:val="none"/>
          <w14:textFill>
            <w14:solidFill>
              <w14:schemeClr w14:val="tx1"/>
            </w14:solidFill>
          </w14:textFill>
        </w:rPr>
      </w:pPr>
    </w:p>
    <w:p w14:paraId="47C233C2">
      <w:pPr>
        <w:keepNext w:val="0"/>
        <w:keepLines w:val="0"/>
        <w:pageBreakBefore w:val="0"/>
        <w:kinsoku/>
        <w:wordWrap/>
        <w:overflowPunct/>
        <w:topLinePunct w:val="0"/>
        <w:bidi w:val="0"/>
        <w:spacing w:line="500" w:lineRule="exact"/>
        <w:jc w:val="center"/>
        <w:outlineLvl w:val="9"/>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政府采购合同参考范本</w:t>
      </w:r>
    </w:p>
    <w:p w14:paraId="18F55ADB">
      <w:pPr>
        <w:keepNext w:val="0"/>
        <w:keepLines w:val="0"/>
        <w:pageBreakBefore w:val="0"/>
        <w:kinsoku/>
        <w:wordWrap/>
        <w:overflowPunct/>
        <w:topLinePunct w:val="0"/>
        <w:bidi w:val="0"/>
        <w:spacing w:line="500" w:lineRule="exact"/>
        <w:jc w:val="center"/>
        <w:outlineLvl w:val="9"/>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（服务类）</w:t>
      </w:r>
    </w:p>
    <w:p w14:paraId="0A3BC498">
      <w:pPr>
        <w:pStyle w:val="250"/>
        <w:keepNext w:val="0"/>
        <w:keepLines w:val="0"/>
        <w:pageBreakBefore w:val="0"/>
        <w:kinsoku/>
        <w:wordWrap/>
        <w:overflowPunct/>
        <w:topLinePunct w:val="0"/>
        <w:bidi w:val="0"/>
        <w:spacing w:line="400" w:lineRule="exact"/>
        <w:outlineLvl w:val="9"/>
        <w:rPr>
          <w:rFonts w:hint="eastAsia" w:cs="宋体"/>
          <w:color w:val="000000" w:themeColor="text1"/>
          <w:highlight w:val="none"/>
          <w14:textFill>
            <w14:solidFill>
              <w14:schemeClr w14:val="tx1"/>
            </w14:solidFill>
          </w14:textFill>
        </w:rPr>
      </w:pPr>
    </w:p>
    <w:p w14:paraId="4AF14097">
      <w:pPr>
        <w:pStyle w:val="250"/>
        <w:keepNext w:val="0"/>
        <w:keepLines w:val="0"/>
        <w:pageBreakBefore w:val="0"/>
        <w:kinsoku/>
        <w:wordWrap/>
        <w:overflowPunct/>
        <w:topLinePunct w:val="0"/>
        <w:bidi w:val="0"/>
        <w:spacing w:line="400" w:lineRule="exact"/>
        <w:outlineLvl w:val="9"/>
        <w:rPr>
          <w:rFonts w:hint="eastAsia" w:cs="宋体"/>
          <w:color w:val="000000" w:themeColor="text1"/>
          <w:highlight w:val="none"/>
          <w14:textFill>
            <w14:solidFill>
              <w14:schemeClr w14:val="tx1"/>
            </w14:solidFill>
          </w14:textFill>
        </w:rPr>
      </w:pPr>
    </w:p>
    <w:p w14:paraId="17FD0029">
      <w:pPr>
        <w:pStyle w:val="250"/>
        <w:keepNext w:val="0"/>
        <w:keepLines w:val="0"/>
        <w:pageBreakBefore w:val="0"/>
        <w:kinsoku/>
        <w:wordWrap/>
        <w:overflowPunct/>
        <w:topLinePunct w:val="0"/>
        <w:bidi w:val="0"/>
        <w:spacing w:line="400" w:lineRule="exact"/>
        <w:outlineLvl w:val="9"/>
        <w:rPr>
          <w:rFonts w:hint="eastAsia" w:cs="宋体"/>
          <w:color w:val="000000" w:themeColor="text1"/>
          <w:highlight w:val="none"/>
          <w14:textFill>
            <w14:solidFill>
              <w14:schemeClr w14:val="tx1"/>
            </w14:solidFill>
          </w14:textFill>
        </w:rPr>
      </w:pPr>
    </w:p>
    <w:p w14:paraId="464EB95E">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第一部分 合同书</w:t>
      </w:r>
    </w:p>
    <w:p w14:paraId="78FA93C8">
      <w:pPr>
        <w:pStyle w:val="250"/>
        <w:keepNext w:val="0"/>
        <w:keepLines w:val="0"/>
        <w:pageBreakBefore w:val="0"/>
        <w:kinsoku/>
        <w:wordWrap/>
        <w:overflowPunct/>
        <w:topLinePunct w:val="0"/>
        <w:bidi w:val="0"/>
        <w:spacing w:line="400" w:lineRule="exact"/>
        <w:outlineLvl w:val="9"/>
        <w:rPr>
          <w:rFonts w:hint="eastAsia" w:cs="宋体"/>
          <w:color w:val="000000" w:themeColor="text1"/>
          <w:highlight w:val="none"/>
          <w14:textFill>
            <w14:solidFill>
              <w14:schemeClr w14:val="tx1"/>
            </w14:solidFill>
          </w14:textFill>
        </w:rPr>
      </w:pPr>
    </w:p>
    <w:p w14:paraId="7A756D7C">
      <w:pPr>
        <w:pStyle w:val="250"/>
        <w:keepNext w:val="0"/>
        <w:keepLines w:val="0"/>
        <w:pageBreakBefore w:val="0"/>
        <w:kinsoku/>
        <w:wordWrap/>
        <w:overflowPunct/>
        <w:topLinePunct w:val="0"/>
        <w:bidi w:val="0"/>
        <w:spacing w:line="400" w:lineRule="exact"/>
        <w:outlineLvl w:val="9"/>
        <w:rPr>
          <w:rFonts w:hint="eastAsia" w:cs="宋体"/>
          <w:color w:val="000000" w:themeColor="text1"/>
          <w:highlight w:val="none"/>
          <w14:textFill>
            <w14:solidFill>
              <w14:schemeClr w14:val="tx1"/>
            </w14:solidFill>
          </w14:textFill>
        </w:rPr>
      </w:pPr>
    </w:p>
    <w:p w14:paraId="0E133DD3">
      <w:pPr>
        <w:keepNext w:val="0"/>
        <w:keepLines w:val="0"/>
        <w:pageBreakBefore w:val="0"/>
        <w:kinsoku/>
        <w:wordWrap/>
        <w:overflowPunct/>
        <w:topLinePunct w:val="0"/>
        <w:bidi w:val="0"/>
        <w:spacing w:before="120" w:line="400" w:lineRule="exact"/>
        <w:outlineLvl w:val="9"/>
        <w:rPr>
          <w:rFonts w:hint="eastAsia" w:ascii="宋体" w:hAnsi="宋体" w:cs="宋体"/>
          <w:color w:val="000000" w:themeColor="text1"/>
          <w:sz w:val="24"/>
          <w:highlight w:val="none"/>
          <w14:textFill>
            <w14:solidFill>
              <w14:schemeClr w14:val="tx1"/>
            </w14:solidFill>
          </w14:textFill>
        </w:rPr>
      </w:pPr>
    </w:p>
    <w:p w14:paraId="6D0D17BC">
      <w:pPr>
        <w:keepNext w:val="0"/>
        <w:keepLines w:val="0"/>
        <w:pageBreakBefore w:val="0"/>
        <w:kinsoku/>
        <w:wordWrap/>
        <w:overflowPunct/>
        <w:topLinePunct w:val="0"/>
        <w:bidi w:val="0"/>
        <w:spacing w:before="120" w:line="400" w:lineRule="exact"/>
        <w:ind w:left="96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219E8DF7">
      <w:pPr>
        <w:pStyle w:val="237"/>
        <w:keepNext w:val="0"/>
        <w:keepLines w:val="0"/>
        <w:pageBreakBefore w:val="0"/>
        <w:kinsoku/>
        <w:wordWrap/>
        <w:overflowPunct/>
        <w:topLinePunct w:val="0"/>
        <w:bidi w:val="0"/>
        <w:spacing w:before="120" w:line="400" w:lineRule="exact"/>
        <w:outlineLvl w:val="9"/>
        <w:rPr>
          <w:rFonts w:hint="eastAsia" w:ascii="宋体" w:hAnsi="宋体" w:eastAsia="宋体" w:cs="宋体"/>
          <w:color w:val="000000" w:themeColor="text1"/>
          <w:szCs w:val="24"/>
          <w:highlight w:val="none"/>
          <w14:textFill>
            <w14:solidFill>
              <w14:schemeClr w14:val="tx1"/>
            </w14:solidFill>
          </w14:textFill>
        </w:rPr>
      </w:pPr>
    </w:p>
    <w:p w14:paraId="0F62B80D">
      <w:pPr>
        <w:keepNext w:val="0"/>
        <w:keepLines w:val="0"/>
        <w:pageBreakBefore w:val="0"/>
        <w:kinsoku/>
        <w:wordWrap/>
        <w:overflowPunct/>
        <w:topLinePunct w:val="0"/>
        <w:bidi w:val="0"/>
        <w:spacing w:line="400" w:lineRule="exact"/>
        <w:outlineLvl w:val="9"/>
        <w:rPr>
          <w:rFonts w:hint="eastAsia" w:ascii="宋体" w:hAnsi="宋体" w:cs="宋体"/>
          <w:color w:val="000000" w:themeColor="text1"/>
          <w:highlight w:val="none"/>
          <w14:textFill>
            <w14:solidFill>
              <w14:schemeClr w14:val="tx1"/>
            </w14:solidFill>
          </w14:textFill>
        </w:rPr>
      </w:pPr>
    </w:p>
    <w:p w14:paraId="58C7C9BE">
      <w:pPr>
        <w:keepNext w:val="0"/>
        <w:keepLines w:val="0"/>
        <w:pageBreakBefore w:val="0"/>
        <w:kinsoku/>
        <w:wordWrap/>
        <w:overflowPunct/>
        <w:topLinePunct w:val="0"/>
        <w:bidi w:val="0"/>
        <w:spacing w:before="120" w:line="400" w:lineRule="exact"/>
        <w:ind w:left="960"/>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s="宋体"/>
          <w:color w:val="000000" w:themeColor="text1"/>
          <w:sz w:val="24"/>
          <w:highlight w:val="none"/>
          <w:u w:val="single"/>
          <w14:textFill>
            <w14:solidFill>
              <w14:schemeClr w14:val="tx1"/>
            </w14:solidFill>
          </w14:textFill>
        </w:rPr>
        <w:t xml:space="preserve">                                       </w:t>
      </w:r>
    </w:p>
    <w:p w14:paraId="78777D5C">
      <w:pPr>
        <w:keepNext w:val="0"/>
        <w:keepLines w:val="0"/>
        <w:pageBreakBefore w:val="0"/>
        <w:kinsoku/>
        <w:wordWrap/>
        <w:overflowPunct/>
        <w:topLinePunct w:val="0"/>
        <w:bidi w:val="0"/>
        <w:spacing w:before="120" w:line="400" w:lineRule="exact"/>
        <w:outlineLvl w:val="9"/>
        <w:rPr>
          <w:rFonts w:hint="eastAsia" w:ascii="宋体" w:hAnsi="宋体" w:cs="宋体"/>
          <w:color w:val="000000" w:themeColor="text1"/>
          <w:sz w:val="24"/>
          <w:highlight w:val="none"/>
          <w14:textFill>
            <w14:solidFill>
              <w14:schemeClr w14:val="tx1"/>
            </w14:solidFill>
          </w14:textFill>
        </w:rPr>
      </w:pPr>
    </w:p>
    <w:p w14:paraId="64CEE96E">
      <w:pPr>
        <w:keepNext w:val="0"/>
        <w:keepLines w:val="0"/>
        <w:pageBreakBefore w:val="0"/>
        <w:kinsoku/>
        <w:wordWrap/>
        <w:overflowPunct/>
        <w:topLinePunct w:val="0"/>
        <w:bidi w:val="0"/>
        <w:spacing w:before="120" w:line="400" w:lineRule="exact"/>
        <w:ind w:left="960"/>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u w:val="single"/>
          <w14:textFill>
            <w14:solidFill>
              <w14:schemeClr w14:val="tx1"/>
            </w14:solidFill>
          </w14:textFill>
        </w:rPr>
        <w:t xml:space="preserve">                                       </w:t>
      </w:r>
    </w:p>
    <w:p w14:paraId="027B84FC">
      <w:pPr>
        <w:keepNext w:val="0"/>
        <w:keepLines w:val="0"/>
        <w:pageBreakBefore w:val="0"/>
        <w:kinsoku/>
        <w:wordWrap/>
        <w:overflowPunct/>
        <w:topLinePunct w:val="0"/>
        <w:bidi w:val="0"/>
        <w:spacing w:before="120" w:line="400" w:lineRule="exact"/>
        <w:outlineLvl w:val="9"/>
        <w:rPr>
          <w:rFonts w:hint="eastAsia" w:ascii="宋体" w:hAnsi="宋体" w:cs="宋体"/>
          <w:color w:val="000000" w:themeColor="text1"/>
          <w:sz w:val="24"/>
          <w:highlight w:val="none"/>
          <w14:textFill>
            <w14:solidFill>
              <w14:schemeClr w14:val="tx1"/>
            </w14:solidFill>
          </w14:textFill>
        </w:rPr>
      </w:pPr>
    </w:p>
    <w:p w14:paraId="4F097FE5">
      <w:pPr>
        <w:keepNext w:val="0"/>
        <w:keepLines w:val="0"/>
        <w:pageBreakBefore w:val="0"/>
        <w:kinsoku/>
        <w:wordWrap/>
        <w:overflowPunct/>
        <w:topLinePunct w:val="0"/>
        <w:bidi w:val="0"/>
        <w:spacing w:before="120" w:line="400" w:lineRule="exact"/>
        <w:ind w:firstLine="960" w:firstLineChars="400"/>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签订地：</w:t>
      </w:r>
      <w:r>
        <w:rPr>
          <w:rFonts w:hint="eastAsia" w:ascii="宋体" w:hAnsi="宋体" w:cs="宋体"/>
          <w:color w:val="000000" w:themeColor="text1"/>
          <w:sz w:val="24"/>
          <w:highlight w:val="none"/>
          <w:u w:val="single"/>
          <w14:textFill>
            <w14:solidFill>
              <w14:schemeClr w14:val="tx1"/>
            </w14:solidFill>
          </w14:textFill>
        </w:rPr>
        <w:t xml:space="preserve">                                     </w:t>
      </w:r>
    </w:p>
    <w:p w14:paraId="2A34C6FC">
      <w:pPr>
        <w:keepNext w:val="0"/>
        <w:keepLines w:val="0"/>
        <w:pageBreakBefore w:val="0"/>
        <w:kinsoku/>
        <w:wordWrap/>
        <w:overflowPunct/>
        <w:topLinePunct w:val="0"/>
        <w:bidi w:val="0"/>
        <w:spacing w:before="120" w:line="400" w:lineRule="exact"/>
        <w:outlineLvl w:val="9"/>
        <w:rPr>
          <w:rFonts w:hint="eastAsia" w:ascii="宋体" w:hAnsi="宋体" w:cs="宋体"/>
          <w:color w:val="000000" w:themeColor="text1"/>
          <w:sz w:val="24"/>
          <w:highlight w:val="none"/>
          <w14:textFill>
            <w14:solidFill>
              <w14:schemeClr w14:val="tx1"/>
            </w14:solidFill>
          </w14:textFill>
        </w:rPr>
      </w:pPr>
    </w:p>
    <w:p w14:paraId="1CD40603">
      <w:pPr>
        <w:keepNext w:val="0"/>
        <w:keepLines w:val="0"/>
        <w:pageBreakBefore w:val="0"/>
        <w:kinsoku/>
        <w:wordWrap/>
        <w:overflowPunct/>
        <w:topLinePunct w:val="0"/>
        <w:bidi w:val="0"/>
        <w:spacing w:before="120" w:line="400" w:lineRule="exact"/>
        <w:ind w:firstLine="960" w:firstLineChars="400"/>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20F09010">
      <w:pPr>
        <w:keepNext w:val="0"/>
        <w:keepLines w:val="0"/>
        <w:pageBreakBefore w:val="0"/>
        <w:kinsoku/>
        <w:wordWrap/>
        <w:overflowPunct/>
        <w:topLinePunct w:val="0"/>
        <w:autoSpaceDE w:val="0"/>
        <w:autoSpaceDN w:val="0"/>
        <w:bidi w:val="0"/>
        <w:adjustRightInd w:val="0"/>
        <w:spacing w:line="400" w:lineRule="exact"/>
        <w:ind w:firstLine="640"/>
        <w:jc w:val="center"/>
        <w:outlineLvl w:val="9"/>
        <w:rPr>
          <w:rFonts w:hint="eastAsia" w:ascii="宋体" w:hAnsi="宋体" w:cs="宋体"/>
          <w:color w:val="000000" w:themeColor="text1"/>
          <w:sz w:val="24"/>
          <w:highlight w:val="none"/>
          <w14:textFill>
            <w14:solidFill>
              <w14:schemeClr w14:val="tx1"/>
            </w14:solidFill>
          </w14:textFill>
        </w:rPr>
        <w:sectPr>
          <w:footerReference r:id="rId8" w:type="first"/>
          <w:footerReference r:id="rId6" w:type="default"/>
          <w:headerReference r:id="rId5" w:type="even"/>
          <w:footerReference r:id="rId7" w:type="even"/>
          <w:pgSz w:w="11907" w:h="16840"/>
          <w:pgMar w:top="1474" w:right="1814" w:bottom="1474" w:left="1814" w:header="851" w:footer="851" w:gutter="0"/>
          <w:cols w:space="720" w:num="1"/>
          <w:docGrid w:linePitch="462" w:charSpace="0"/>
        </w:sectPr>
      </w:pPr>
    </w:p>
    <w:p w14:paraId="7C3977F1">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u w:val="single"/>
          <w:lang w:val="zh-CN"/>
          <w14:textFill>
            <w14:solidFill>
              <w14:schemeClr w14:val="tx1"/>
            </w14:solidFill>
          </w14:textFill>
        </w:rPr>
      </w:pPr>
    </w:p>
    <w:p w14:paraId="6E697C88">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（采购人名称）   </w:t>
      </w:r>
      <w:r>
        <w:rPr>
          <w:rFonts w:hint="eastAsia" w:ascii="宋体" w:hAnsi="宋体" w:cs="宋体"/>
          <w:color w:val="000000" w:themeColor="text1"/>
          <w:sz w:val="24"/>
          <w:highlight w:val="none"/>
          <w14:textFill>
            <w14:solidFill>
              <w14:schemeClr w14:val="tx1"/>
            </w14:solidFill>
          </w14:textFill>
        </w:rPr>
        <w:t>以</w:t>
      </w:r>
      <w:r>
        <w:rPr>
          <w:rFonts w:hint="eastAsia" w:ascii="宋体" w:hAnsi="宋体" w:cs="宋体"/>
          <w:color w:val="000000" w:themeColor="text1"/>
          <w:sz w:val="24"/>
          <w:highlight w:val="none"/>
          <w:u w:val="single"/>
          <w14:textFill>
            <w14:solidFill>
              <w14:schemeClr w14:val="tx1"/>
            </w14:solidFill>
          </w14:textFill>
        </w:rPr>
        <w:t xml:space="preserve">   （政府采购方式）  </w:t>
      </w:r>
      <w:r>
        <w:rPr>
          <w:rFonts w:hint="eastAsia" w:ascii="宋体" w:hAnsi="宋体" w:cs="宋体"/>
          <w:color w:val="000000" w:themeColor="text1"/>
          <w:sz w:val="24"/>
          <w:highlight w:val="none"/>
          <w14:textFill>
            <w14:solidFill>
              <w14:schemeClr w14:val="tx1"/>
            </w14:solidFill>
          </w14:textFill>
        </w:rPr>
        <w:t>对</w:t>
      </w:r>
      <w:r>
        <w:rPr>
          <w:rFonts w:hint="eastAsia" w:ascii="宋体" w:hAnsi="宋体" w:cs="宋体"/>
          <w:color w:val="000000" w:themeColor="text1"/>
          <w:sz w:val="24"/>
          <w:highlight w:val="none"/>
          <w:u w:val="single"/>
          <w14:textFill>
            <w14:solidFill>
              <w14:schemeClr w14:val="tx1"/>
            </w14:solidFill>
          </w14:textFill>
        </w:rPr>
        <w:t xml:space="preserve">   （同前页项目名称）   </w:t>
      </w:r>
      <w:r>
        <w:rPr>
          <w:rFonts w:hint="eastAsia" w:ascii="宋体" w:hAnsi="宋体" w:cs="宋体"/>
          <w:color w:val="000000" w:themeColor="text1"/>
          <w:sz w:val="24"/>
          <w:highlight w:val="none"/>
          <w14:textFill>
            <w14:solidFill>
              <w14:schemeClr w14:val="tx1"/>
            </w14:solidFill>
          </w14:textFill>
        </w:rPr>
        <w:t>项目进行了采购。经</w:t>
      </w:r>
      <w:r>
        <w:rPr>
          <w:rFonts w:hint="eastAsia" w:ascii="宋体" w:hAnsi="宋体" w:cs="宋体"/>
          <w:color w:val="000000" w:themeColor="text1"/>
          <w:sz w:val="24"/>
          <w:highlight w:val="none"/>
          <w:u w:val="single"/>
          <w14:textFill>
            <w14:solidFill>
              <w14:schemeClr w14:val="tx1"/>
            </w14:solidFill>
          </w14:textFill>
        </w:rPr>
        <w:t xml:space="preserve">   （相关评定主体名称）   </w:t>
      </w:r>
      <w:r>
        <w:rPr>
          <w:rFonts w:hint="eastAsia" w:ascii="宋体" w:hAnsi="宋体" w:cs="宋体"/>
          <w:color w:val="000000" w:themeColor="text1"/>
          <w:sz w:val="24"/>
          <w:highlight w:val="none"/>
          <w14:textFill>
            <w14:solidFill>
              <w14:schemeClr w14:val="tx1"/>
            </w14:solidFill>
          </w14:textFill>
        </w:rPr>
        <w:t>评定，</w:t>
      </w:r>
      <w:r>
        <w:rPr>
          <w:rFonts w:hint="eastAsia" w:ascii="宋体" w:hAnsi="宋体" w:cs="宋体"/>
          <w:color w:val="000000" w:themeColor="text1"/>
          <w:sz w:val="24"/>
          <w:highlight w:val="none"/>
          <w:u w:val="single"/>
          <w14:textFill>
            <w14:solidFill>
              <w14:schemeClr w14:val="tx1"/>
            </w14:solidFill>
          </w14:textFill>
        </w:rPr>
        <w:t xml:space="preserve">   （中标供应商名称） </w:t>
      </w:r>
      <w:r>
        <w:rPr>
          <w:rFonts w:hint="eastAsia" w:ascii="宋体" w:hAnsi="宋体" w:cs="宋体"/>
          <w:color w:val="000000" w:themeColor="text1"/>
          <w:sz w:val="24"/>
          <w:highlight w:val="none"/>
          <w14:textFill>
            <w14:solidFill>
              <w14:schemeClr w14:val="tx1"/>
            </w14:solidFill>
          </w14:textFill>
        </w:rPr>
        <w:t>为该项目中标供应商。现于中标通知书发出之日起三十日内，按照采购文件确定的事项签订本合同。</w:t>
      </w:r>
    </w:p>
    <w:p w14:paraId="72FAC956">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cs="宋体"/>
          <w:color w:val="000000" w:themeColor="text1"/>
          <w:sz w:val="24"/>
          <w:highlight w:val="none"/>
          <w:u w:val="single"/>
          <w14:textFill>
            <w14:solidFill>
              <w14:schemeClr w14:val="tx1"/>
            </w14:solidFill>
          </w14:textFill>
        </w:rPr>
        <w:t xml:space="preserve">   （采购人名称）   </w:t>
      </w:r>
      <w:r>
        <w:rPr>
          <w:rFonts w:hint="eastAsia" w:ascii="宋体" w:hAnsi="宋体" w:cs="宋体"/>
          <w:color w:val="000000" w:themeColor="text1"/>
          <w:sz w:val="24"/>
          <w:highlight w:val="none"/>
          <w:lang w:val="zh-CN"/>
          <w14:textFill>
            <w14:solidFill>
              <w14:schemeClr w14:val="tx1"/>
            </w14:solidFill>
          </w14:textFill>
        </w:rPr>
        <w:t>(以下简称：甲方)和</w:t>
      </w:r>
      <w:r>
        <w:rPr>
          <w:rFonts w:hint="eastAsia" w:ascii="宋体" w:hAnsi="宋体" w:cs="宋体"/>
          <w:color w:val="000000" w:themeColor="text1"/>
          <w:sz w:val="24"/>
          <w:highlight w:val="none"/>
          <w:u w:val="single"/>
          <w14:textFill>
            <w14:solidFill>
              <w14:schemeClr w14:val="tx1"/>
            </w14:solidFill>
          </w14:textFill>
        </w:rPr>
        <w:t xml:space="preserve">   （中标供应商名称）   </w:t>
      </w:r>
      <w:r>
        <w:rPr>
          <w:rFonts w:hint="eastAsia" w:ascii="宋体" w:hAnsi="宋体" w:cs="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s="宋体"/>
          <w:color w:val="000000" w:themeColor="text1"/>
          <w:sz w:val="24"/>
          <w:highlight w:val="none"/>
          <w14:textFill>
            <w14:solidFill>
              <w14:schemeClr w14:val="tx1"/>
            </w14:solidFill>
          </w14:textFill>
        </w:rPr>
        <w:t>条款，以兹共同遵守、全面履行。</w:t>
      </w:r>
    </w:p>
    <w:p w14:paraId="5012A023">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color w:val="000000" w:themeColor="text1"/>
          <w:sz w:val="24"/>
          <w:highlight w:val="none"/>
          <w14:textFill>
            <w14:solidFill>
              <w14:schemeClr w14:val="tx1"/>
            </w14:solidFill>
          </w14:textFill>
        </w:rPr>
      </w:pPr>
      <w:bookmarkStart w:id="155" w:name="_Toc15367"/>
      <w:bookmarkStart w:id="156" w:name="_Toc11236"/>
      <w:bookmarkStart w:id="157" w:name="_Toc11585"/>
      <w:bookmarkStart w:id="158" w:name="_Toc28855"/>
      <w:bookmarkStart w:id="159" w:name="_Toc22374"/>
      <w:bookmarkStart w:id="160" w:name="_Toc19273"/>
      <w:bookmarkStart w:id="161" w:name="_Toc11756"/>
      <w:bookmarkStart w:id="162" w:name="_Toc20421"/>
      <w:bookmarkStart w:id="163" w:name="_Toc20566"/>
      <w:r>
        <w:rPr>
          <w:rFonts w:hint="eastAsia" w:ascii="宋体" w:hAnsi="宋体" w:cs="宋体"/>
          <w:b/>
          <w:color w:val="000000" w:themeColor="text1"/>
          <w:sz w:val="24"/>
          <w:highlight w:val="none"/>
          <w14:textFill>
            <w14:solidFill>
              <w14:schemeClr w14:val="tx1"/>
            </w14:solidFill>
          </w14:textFill>
        </w:rPr>
        <w:t>1.1 合同组成部分</w:t>
      </w:r>
      <w:bookmarkEnd w:id="155"/>
      <w:bookmarkEnd w:id="156"/>
      <w:bookmarkEnd w:id="157"/>
      <w:bookmarkEnd w:id="158"/>
      <w:bookmarkEnd w:id="159"/>
      <w:bookmarkEnd w:id="160"/>
      <w:bookmarkEnd w:id="161"/>
      <w:bookmarkEnd w:id="162"/>
      <w:bookmarkEnd w:id="163"/>
    </w:p>
    <w:p w14:paraId="5F48E068">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E212D6D">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本合同及其补充合同、变更协议；</w:t>
      </w:r>
    </w:p>
    <w:p w14:paraId="15EF81AB">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中标通知书；</w:t>
      </w:r>
    </w:p>
    <w:p w14:paraId="1E11B766">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投标文件（含澄清或者说明文件）；</w:t>
      </w:r>
    </w:p>
    <w:p w14:paraId="2F1623EC">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 招标文件（含澄清或者修改文件）；</w:t>
      </w:r>
    </w:p>
    <w:p w14:paraId="502D6F9B">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其他相关采购文件。</w:t>
      </w:r>
    </w:p>
    <w:p w14:paraId="3720F370">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164" w:name="_Toc29108"/>
      <w:bookmarkStart w:id="165" w:name="_Toc22185"/>
      <w:bookmarkStart w:id="166" w:name="_Toc26918"/>
      <w:bookmarkStart w:id="167" w:name="_Toc23275"/>
      <w:bookmarkStart w:id="168" w:name="_Toc18585"/>
      <w:bookmarkStart w:id="169" w:name="_Toc6311"/>
      <w:bookmarkStart w:id="170" w:name="_Toc10537"/>
      <w:bookmarkStart w:id="171" w:name="_Toc10044"/>
      <w:bookmarkStart w:id="172" w:name="_Toc2918"/>
      <w:bookmarkStart w:id="173" w:name="_Toc6773"/>
      <w:r>
        <w:rPr>
          <w:rFonts w:hint="eastAsia" w:ascii="宋体" w:hAnsi="宋体" w:cs="宋体"/>
          <w:b/>
          <w:color w:val="000000" w:themeColor="text1"/>
          <w:sz w:val="24"/>
          <w:highlight w:val="none"/>
          <w14:textFill>
            <w14:solidFill>
              <w14:schemeClr w14:val="tx1"/>
            </w14:solidFill>
          </w14:textFill>
        </w:rPr>
        <w:t>1.2 标的</w:t>
      </w:r>
      <w:bookmarkEnd w:id="164"/>
      <w:bookmarkEnd w:id="165"/>
      <w:bookmarkEnd w:id="166"/>
      <w:bookmarkEnd w:id="167"/>
      <w:bookmarkEnd w:id="168"/>
      <w:bookmarkEnd w:id="169"/>
      <w:bookmarkEnd w:id="170"/>
      <w:bookmarkEnd w:id="171"/>
      <w:bookmarkEnd w:id="172"/>
      <w:bookmarkEnd w:id="173"/>
    </w:p>
    <w:p w14:paraId="122E674B">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标的名称：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DCFB6EF">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 标的数量：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D02A1E6">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 标的质量：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91D8D9C">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174" w:name="_Toc16842"/>
      <w:bookmarkStart w:id="175" w:name="_Toc1757"/>
      <w:bookmarkStart w:id="176" w:name="_Toc4929"/>
      <w:bookmarkStart w:id="177" w:name="_Toc23817"/>
      <w:bookmarkStart w:id="178" w:name="_Toc1386"/>
      <w:bookmarkStart w:id="179" w:name="_Toc17173"/>
      <w:bookmarkStart w:id="180" w:name="_Toc5635"/>
      <w:bookmarkStart w:id="181" w:name="_Toc13918"/>
      <w:bookmarkStart w:id="182" w:name="_Toc27077"/>
      <w:bookmarkStart w:id="183" w:name="_Toc21124"/>
      <w:r>
        <w:rPr>
          <w:rFonts w:hint="eastAsia" w:ascii="宋体" w:hAnsi="宋体" w:cs="宋体"/>
          <w:b/>
          <w:color w:val="000000" w:themeColor="text1"/>
          <w:sz w:val="24"/>
          <w:highlight w:val="none"/>
          <w14:textFill>
            <w14:solidFill>
              <w14:schemeClr w14:val="tx1"/>
            </w14:solidFill>
          </w14:textFill>
        </w:rPr>
        <w:t>1.3 价款</w:t>
      </w:r>
      <w:bookmarkEnd w:id="174"/>
      <w:bookmarkEnd w:id="175"/>
      <w:bookmarkEnd w:id="176"/>
      <w:bookmarkEnd w:id="177"/>
      <w:bookmarkEnd w:id="178"/>
      <w:bookmarkEnd w:id="179"/>
      <w:bookmarkEnd w:id="180"/>
      <w:bookmarkEnd w:id="181"/>
      <w:bookmarkEnd w:id="182"/>
      <w:bookmarkEnd w:id="183"/>
    </w:p>
    <w:p w14:paraId="6988ED8E">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本合同总价为：￥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元人民币）。</w:t>
      </w:r>
    </w:p>
    <w:p w14:paraId="26314F06">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分项价格：</w:t>
      </w:r>
    </w:p>
    <w:tbl>
      <w:tblPr>
        <w:tblStyle w:val="5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F6D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1138C83">
            <w:pPr>
              <w:pStyle w:val="212"/>
              <w:keepNext w:val="0"/>
              <w:keepLines w:val="0"/>
              <w:pageBreakBefore w:val="0"/>
              <w:kinsoku/>
              <w:wordWrap/>
              <w:overflowPunct/>
              <w:topLinePunct w:val="0"/>
              <w:bidi w:val="0"/>
              <w:spacing w:line="400" w:lineRule="exact"/>
              <w:jc w:val="center"/>
              <w:outlineLvl w:val="9"/>
              <w:rPr>
                <w:rFonts w:hint="eastAsia"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序号</w:t>
            </w:r>
          </w:p>
        </w:tc>
        <w:tc>
          <w:tcPr>
            <w:tcW w:w="3402" w:type="dxa"/>
            <w:vAlign w:val="center"/>
          </w:tcPr>
          <w:p w14:paraId="119DE9C9">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分项名称</w:t>
            </w:r>
          </w:p>
        </w:tc>
        <w:tc>
          <w:tcPr>
            <w:tcW w:w="2552" w:type="dxa"/>
            <w:vAlign w:val="center"/>
          </w:tcPr>
          <w:p w14:paraId="17A5C511">
            <w:pPr>
              <w:pStyle w:val="212"/>
              <w:keepNext w:val="0"/>
              <w:keepLines w:val="0"/>
              <w:pageBreakBefore w:val="0"/>
              <w:kinsoku/>
              <w:wordWrap/>
              <w:overflowPunct/>
              <w:topLinePunct w:val="0"/>
              <w:bidi w:val="0"/>
              <w:spacing w:line="400" w:lineRule="exact"/>
              <w:jc w:val="center"/>
              <w:outlineLvl w:val="9"/>
              <w:rPr>
                <w:rFonts w:hint="eastAsia"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分项价格</w:t>
            </w:r>
          </w:p>
        </w:tc>
      </w:tr>
      <w:tr w14:paraId="0B3F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F03D96C">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c>
          <w:tcPr>
            <w:tcW w:w="3402" w:type="dxa"/>
            <w:vAlign w:val="center"/>
          </w:tcPr>
          <w:p w14:paraId="055BC659">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c>
          <w:tcPr>
            <w:tcW w:w="2552" w:type="dxa"/>
            <w:vAlign w:val="center"/>
          </w:tcPr>
          <w:p w14:paraId="2F80AC36">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r>
      <w:tr w14:paraId="0BED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C54BC4E">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c>
          <w:tcPr>
            <w:tcW w:w="3402" w:type="dxa"/>
            <w:vAlign w:val="center"/>
          </w:tcPr>
          <w:p w14:paraId="43833C74">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c>
          <w:tcPr>
            <w:tcW w:w="2552" w:type="dxa"/>
            <w:vAlign w:val="center"/>
          </w:tcPr>
          <w:p w14:paraId="623DADC5">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r>
      <w:tr w14:paraId="771E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A2BFB5">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c>
          <w:tcPr>
            <w:tcW w:w="3402" w:type="dxa"/>
            <w:vAlign w:val="center"/>
          </w:tcPr>
          <w:p w14:paraId="3C4E91D8">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c>
          <w:tcPr>
            <w:tcW w:w="2552" w:type="dxa"/>
            <w:vAlign w:val="center"/>
          </w:tcPr>
          <w:p w14:paraId="7463E23D">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r>
      <w:tr w14:paraId="2B9A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B5B7BCD">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c>
          <w:tcPr>
            <w:tcW w:w="3402" w:type="dxa"/>
            <w:vAlign w:val="center"/>
          </w:tcPr>
          <w:p w14:paraId="3D043AE3">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c>
          <w:tcPr>
            <w:tcW w:w="2552" w:type="dxa"/>
            <w:vAlign w:val="center"/>
          </w:tcPr>
          <w:p w14:paraId="07400F94">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r>
      <w:tr w14:paraId="7402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6C5C3DA">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r>
              <w:rPr>
                <w:rFonts w:hint="eastAsia" w:hAnsi="宋体" w:cs="宋体"/>
                <w:color w:val="000000" w:themeColor="text1"/>
                <w:kern w:val="2"/>
                <w:sz w:val="24"/>
                <w:szCs w:val="24"/>
                <w:highlight w:val="none"/>
                <w14:textFill>
                  <w14:solidFill>
                    <w14:schemeClr w14:val="tx1"/>
                  </w14:solidFill>
                </w14:textFill>
              </w:rPr>
              <w:t>总价</w:t>
            </w:r>
          </w:p>
        </w:tc>
        <w:tc>
          <w:tcPr>
            <w:tcW w:w="2552" w:type="dxa"/>
            <w:vAlign w:val="center"/>
          </w:tcPr>
          <w:p w14:paraId="4DF2D1CD">
            <w:pPr>
              <w:pStyle w:val="212"/>
              <w:keepNext w:val="0"/>
              <w:keepLines w:val="0"/>
              <w:pageBreakBefore w:val="0"/>
              <w:kinsoku/>
              <w:wordWrap/>
              <w:overflowPunct/>
              <w:topLinePunct w:val="0"/>
              <w:bidi w:val="0"/>
              <w:spacing w:line="400" w:lineRule="exact"/>
              <w:ind w:firstLine="200"/>
              <w:jc w:val="center"/>
              <w:outlineLvl w:val="9"/>
              <w:rPr>
                <w:rFonts w:hint="eastAsia" w:hAnsi="宋体" w:cs="宋体"/>
                <w:color w:val="000000" w:themeColor="text1"/>
                <w:kern w:val="2"/>
                <w:sz w:val="24"/>
                <w:szCs w:val="24"/>
                <w:highlight w:val="none"/>
                <w14:textFill>
                  <w14:solidFill>
                    <w14:schemeClr w14:val="tx1"/>
                  </w14:solidFill>
                </w14:textFill>
              </w:rPr>
            </w:pPr>
          </w:p>
        </w:tc>
      </w:tr>
    </w:tbl>
    <w:p w14:paraId="29B06183">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184" w:name="_Toc14993"/>
      <w:bookmarkStart w:id="185" w:name="_Toc21702"/>
      <w:bookmarkStart w:id="186" w:name="_Toc30158"/>
      <w:bookmarkStart w:id="187" w:name="_Toc1056"/>
      <w:bookmarkStart w:id="188" w:name="_Toc7990"/>
      <w:bookmarkStart w:id="189" w:name="_Toc7832"/>
      <w:bookmarkStart w:id="190" w:name="_Toc25642"/>
      <w:bookmarkStart w:id="191" w:name="_Toc30506"/>
      <w:bookmarkStart w:id="192" w:name="_Toc3654"/>
      <w:bookmarkStart w:id="193" w:name="_Toc26916"/>
      <w:r>
        <w:rPr>
          <w:rFonts w:hint="eastAsia" w:ascii="宋体" w:hAnsi="宋体" w:cs="宋体"/>
          <w:b/>
          <w:color w:val="000000" w:themeColor="text1"/>
          <w:sz w:val="24"/>
          <w:highlight w:val="none"/>
          <w14:textFill>
            <w14:solidFill>
              <w14:schemeClr w14:val="tx1"/>
            </w14:solidFill>
          </w14:textFill>
        </w:rPr>
        <w:t>1.4 付款方式和发票开具方式</w:t>
      </w:r>
      <w:bookmarkEnd w:id="184"/>
      <w:bookmarkEnd w:id="185"/>
      <w:bookmarkEnd w:id="186"/>
      <w:bookmarkEnd w:id="187"/>
      <w:bookmarkEnd w:id="188"/>
      <w:bookmarkEnd w:id="189"/>
      <w:bookmarkEnd w:id="190"/>
      <w:bookmarkEnd w:id="191"/>
      <w:bookmarkEnd w:id="192"/>
      <w:bookmarkEnd w:id="193"/>
    </w:p>
    <w:p w14:paraId="0A6A696F">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1.4.1付款方式：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8D5C6BB">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 发票开具方式：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1B027034">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194" w:name="_Toc32119"/>
      <w:bookmarkStart w:id="195" w:name="_Toc3625"/>
      <w:bookmarkStart w:id="196" w:name="_Toc23112"/>
      <w:bookmarkStart w:id="197" w:name="_Toc6700"/>
      <w:bookmarkStart w:id="198" w:name="_Toc11108"/>
      <w:bookmarkStart w:id="199" w:name="_Toc17443"/>
      <w:bookmarkStart w:id="200" w:name="_Toc31421"/>
      <w:bookmarkStart w:id="201" w:name="_Toc4760"/>
      <w:bookmarkStart w:id="202" w:name="_Toc21606"/>
      <w:bookmarkStart w:id="203" w:name="_Toc8772"/>
      <w:r>
        <w:rPr>
          <w:rFonts w:hint="eastAsia" w:ascii="宋体" w:hAnsi="宋体" w:cs="宋体"/>
          <w:b/>
          <w:color w:val="000000" w:themeColor="text1"/>
          <w:sz w:val="24"/>
          <w:highlight w:val="none"/>
          <w14:textFill>
            <w14:solidFill>
              <w14:schemeClr w14:val="tx1"/>
            </w14:solidFill>
          </w14:textFill>
        </w:rPr>
        <w:t>1.5 履行期限、地点和方式</w:t>
      </w:r>
      <w:bookmarkEnd w:id="194"/>
      <w:bookmarkEnd w:id="195"/>
      <w:bookmarkEnd w:id="196"/>
      <w:bookmarkEnd w:id="197"/>
      <w:bookmarkEnd w:id="198"/>
      <w:bookmarkEnd w:id="199"/>
      <w:bookmarkEnd w:id="200"/>
      <w:bookmarkEnd w:id="201"/>
      <w:bookmarkEnd w:id="202"/>
      <w:bookmarkEnd w:id="203"/>
    </w:p>
    <w:p w14:paraId="053B0F3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 履行期限：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91FB81E">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 履行地点：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D6892D6">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 履行方式：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11979D6F">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color w:val="000000" w:themeColor="text1"/>
          <w:sz w:val="24"/>
          <w:highlight w:val="none"/>
          <w:u w:val="single"/>
          <w14:textFill>
            <w14:solidFill>
              <w14:schemeClr w14:val="tx1"/>
            </w14:solidFill>
          </w14:textFill>
        </w:rPr>
      </w:pPr>
      <w:bookmarkStart w:id="204" w:name="_Toc3290"/>
      <w:bookmarkStart w:id="205" w:name="_Toc3079"/>
      <w:bookmarkStart w:id="206" w:name="_Toc14156"/>
      <w:bookmarkStart w:id="207" w:name="_Toc8586"/>
      <w:bookmarkStart w:id="208" w:name="_Toc14969"/>
      <w:bookmarkStart w:id="209" w:name="_Toc5698"/>
      <w:bookmarkStart w:id="210" w:name="_Toc2375"/>
      <w:bookmarkStart w:id="211" w:name="_Toc24662"/>
      <w:bookmarkStart w:id="212" w:name="_Toc30396"/>
      <w:bookmarkStart w:id="213" w:name="_Toc535"/>
      <w:r>
        <w:rPr>
          <w:rFonts w:hint="eastAsia" w:ascii="宋体" w:hAnsi="宋体" w:cs="宋体"/>
          <w:b/>
          <w:color w:val="000000" w:themeColor="text1"/>
          <w:sz w:val="24"/>
          <w:highlight w:val="none"/>
          <w14:textFill>
            <w14:solidFill>
              <w14:schemeClr w14:val="tx1"/>
            </w14:solidFill>
          </w14:textFill>
        </w:rPr>
        <w:t>1.6 违约责任</w:t>
      </w:r>
      <w:bookmarkEnd w:id="204"/>
      <w:bookmarkEnd w:id="205"/>
      <w:bookmarkEnd w:id="206"/>
      <w:bookmarkEnd w:id="207"/>
      <w:bookmarkEnd w:id="208"/>
      <w:bookmarkEnd w:id="209"/>
      <w:bookmarkEnd w:id="210"/>
      <w:bookmarkEnd w:id="211"/>
      <w:bookmarkEnd w:id="212"/>
      <w:bookmarkEnd w:id="213"/>
    </w:p>
    <w:p w14:paraId="16F5FC88">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%；迟延履行的违约金计算数额达到前述最高限额之日起，甲方有权在要求乙方支付违约金的同时，书面通知乙方解除本合同；</w:t>
      </w:r>
    </w:p>
    <w:p w14:paraId="56CD0EB4">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4D00C01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0055937">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B502C7">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4869BDF">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14:paraId="200B7DB2">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214" w:name="_Toc17968"/>
      <w:bookmarkStart w:id="215" w:name="_Toc9497"/>
      <w:bookmarkStart w:id="216" w:name="_Toc18683"/>
      <w:bookmarkStart w:id="217" w:name="_Toc29832"/>
      <w:bookmarkStart w:id="218" w:name="_Toc30329"/>
      <w:bookmarkStart w:id="219" w:name="_Toc32454"/>
      <w:bookmarkStart w:id="220" w:name="_Toc4563"/>
      <w:bookmarkStart w:id="221" w:name="_Toc19773"/>
      <w:bookmarkStart w:id="222" w:name="_Toc25368"/>
      <w:bookmarkStart w:id="223" w:name="_Toc26807"/>
      <w:r>
        <w:rPr>
          <w:rFonts w:hint="eastAsia" w:ascii="宋体" w:hAnsi="宋体" w:cs="宋体"/>
          <w:b/>
          <w:color w:val="000000" w:themeColor="text1"/>
          <w:sz w:val="24"/>
          <w:highlight w:val="none"/>
          <w14:textFill>
            <w14:solidFill>
              <w14:schemeClr w14:val="tx1"/>
            </w14:solidFill>
          </w14:textFill>
        </w:rPr>
        <w:t>1.7 合同争议的解决</w:t>
      </w:r>
      <w:bookmarkEnd w:id="214"/>
      <w:bookmarkEnd w:id="215"/>
      <w:bookmarkEnd w:id="216"/>
      <w:bookmarkEnd w:id="217"/>
      <w:bookmarkEnd w:id="218"/>
      <w:bookmarkEnd w:id="219"/>
      <w:bookmarkEnd w:id="220"/>
      <w:bookmarkEnd w:id="221"/>
      <w:bookmarkEnd w:id="222"/>
      <w:bookmarkEnd w:id="223"/>
    </w:p>
    <w:p w14:paraId="0F28A1CA">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种方式解决：</w:t>
      </w:r>
    </w:p>
    <w:p w14:paraId="4659338E">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将争议提交</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14:paraId="635EA200">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向</w:t>
      </w:r>
      <w:r>
        <w:rPr>
          <w:rFonts w:hint="eastAsia" w:ascii="宋体" w:hAnsi="宋体" w:cs="宋体"/>
          <w:color w:val="000000" w:themeColor="text1"/>
          <w:sz w:val="24"/>
          <w:highlight w:val="none"/>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sz w:val="24"/>
          <w:highlight w:val="none"/>
          <w14:textFill>
            <w14:solidFill>
              <w14:schemeClr w14:val="tx1"/>
            </w14:solidFill>
          </w14:textFill>
        </w:rPr>
        <w:t>人民法院起诉。</w:t>
      </w:r>
    </w:p>
    <w:p w14:paraId="58DC2CC1">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224" w:name="_Toc16417"/>
      <w:bookmarkStart w:id="225" w:name="_Toc18657"/>
      <w:bookmarkStart w:id="226" w:name="_Toc15827"/>
      <w:bookmarkStart w:id="227" w:name="_Toc12273"/>
      <w:bookmarkStart w:id="228" w:name="_Toc26227"/>
      <w:bookmarkStart w:id="229" w:name="_Toc31258"/>
      <w:bookmarkStart w:id="230" w:name="_Toc9752"/>
      <w:bookmarkStart w:id="231" w:name="_Toc23784"/>
      <w:bookmarkStart w:id="232" w:name="_Toc1048"/>
      <w:bookmarkStart w:id="233" w:name="_Toc31535"/>
      <w:r>
        <w:rPr>
          <w:rFonts w:hint="eastAsia" w:ascii="宋体" w:hAnsi="宋体" w:cs="宋体"/>
          <w:b/>
          <w:color w:val="000000" w:themeColor="text1"/>
          <w:sz w:val="24"/>
          <w:highlight w:val="none"/>
          <w14:textFill>
            <w14:solidFill>
              <w14:schemeClr w14:val="tx1"/>
            </w14:solidFill>
          </w14:textFill>
        </w:rPr>
        <w:t>1.8 合同生效</w:t>
      </w:r>
      <w:bookmarkEnd w:id="224"/>
      <w:bookmarkEnd w:id="225"/>
      <w:bookmarkEnd w:id="226"/>
      <w:bookmarkEnd w:id="227"/>
      <w:bookmarkEnd w:id="228"/>
      <w:bookmarkEnd w:id="229"/>
      <w:bookmarkEnd w:id="230"/>
      <w:bookmarkEnd w:id="231"/>
      <w:bookmarkEnd w:id="232"/>
      <w:bookmarkEnd w:id="233"/>
    </w:p>
    <w:p w14:paraId="4A7B0E2B">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本合同自双方当事人盖章或者签字时生效。</w:t>
      </w:r>
    </w:p>
    <w:p w14:paraId="1CEE6F05">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p>
    <w:p w14:paraId="266D627F">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甲方</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b/>
          <w:color w:val="000000" w:themeColor="text1"/>
          <w:sz w:val="24"/>
          <w:highlight w:val="none"/>
          <w:lang w:val="zh-CN"/>
          <w14:textFill>
            <w14:solidFill>
              <w14:schemeClr w14:val="tx1"/>
            </w14:solidFill>
          </w14:textFill>
        </w:rPr>
        <w:t xml:space="preserve">      乙方</w:t>
      </w:r>
      <w:r>
        <w:rPr>
          <w:rFonts w:hint="eastAsia" w:ascii="宋体" w:hAnsi="宋体" w:cs="宋体"/>
          <w:color w:val="000000" w:themeColor="text1"/>
          <w:sz w:val="24"/>
          <w:highlight w:val="none"/>
          <w:lang w:val="zh-CN"/>
          <w14:textFill>
            <w14:solidFill>
              <w14:schemeClr w14:val="tx1"/>
            </w14:solidFill>
          </w14:textFill>
        </w:rPr>
        <w:t>：</w:t>
      </w:r>
    </w:p>
    <w:p w14:paraId="068F94D4">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统一社会信用代码：                        统一社会信用代码或身份证号码：</w:t>
      </w:r>
    </w:p>
    <w:p w14:paraId="386BF6A5">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住所：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住所：</w:t>
      </w:r>
    </w:p>
    <w:p w14:paraId="062BFCD3">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法定代表人或授权代表（签字</w:t>
      </w:r>
      <w:r>
        <w:rPr>
          <w:rFonts w:hint="eastAsia" w:ascii="宋体" w:hAnsi="宋体" w:cs="宋体"/>
          <w:color w:val="000000" w:themeColor="text1"/>
          <w:sz w:val="24"/>
          <w:highlight w:val="none"/>
          <w14:textFill>
            <w14:solidFill>
              <w14:schemeClr w14:val="tx1"/>
            </w14:solidFill>
          </w14:textFill>
        </w:rPr>
        <w:t>或盖章</w:t>
      </w:r>
      <w:r>
        <w:rPr>
          <w:rFonts w:hint="eastAsia" w:ascii="宋体" w:hAnsi="宋体" w:cs="宋体"/>
          <w:color w:val="000000" w:themeColor="text1"/>
          <w:sz w:val="24"/>
          <w:highlight w:val="none"/>
          <w:lang w:val="zh-CN"/>
          <w14:textFill>
            <w14:solidFill>
              <w14:schemeClr w14:val="tx1"/>
            </w14:solidFill>
          </w14:textFill>
        </w:rPr>
        <w:t>）：      法定代表人或授权代表（签字</w:t>
      </w:r>
      <w:r>
        <w:rPr>
          <w:rFonts w:hint="eastAsia" w:ascii="宋体" w:hAnsi="宋体" w:cs="宋体"/>
          <w:color w:val="000000" w:themeColor="text1"/>
          <w:sz w:val="24"/>
          <w:highlight w:val="none"/>
          <w14:textFill>
            <w14:solidFill>
              <w14:schemeClr w14:val="tx1"/>
            </w14:solidFill>
          </w14:textFill>
        </w:rPr>
        <w:t>或盖章</w:t>
      </w:r>
      <w:r>
        <w:rPr>
          <w:rFonts w:hint="eastAsia" w:ascii="宋体" w:hAnsi="宋体" w:cs="宋体"/>
          <w:color w:val="000000" w:themeColor="text1"/>
          <w:sz w:val="24"/>
          <w:highlight w:val="none"/>
          <w:lang w:val="zh-CN"/>
          <w14:textFill>
            <w14:solidFill>
              <w14:schemeClr w14:val="tx1"/>
            </w14:solidFill>
          </w14:textFill>
        </w:rPr>
        <w:t>）:</w:t>
      </w:r>
    </w:p>
    <w:p w14:paraId="5D688E87">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联系人：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联系人：</w:t>
      </w:r>
    </w:p>
    <w:p w14:paraId="481E893B">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约定送达地址：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约定送达地址：</w:t>
      </w:r>
    </w:p>
    <w:p w14:paraId="0AE955C4">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邮政编码：</w:t>
      </w:r>
    </w:p>
    <w:p w14:paraId="2AEB0B04">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电话: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 xml:space="preserve">电话: </w:t>
      </w:r>
    </w:p>
    <w:p w14:paraId="6204D0D9">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传真: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传真:</w:t>
      </w:r>
    </w:p>
    <w:p w14:paraId="12BF1FD4">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电子邮箱：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电子邮箱：</w:t>
      </w:r>
    </w:p>
    <w:p w14:paraId="5852E830">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开户银行： </w:t>
      </w:r>
    </w:p>
    <w:p w14:paraId="7E4F1CCA">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开户名称： </w:t>
      </w:r>
    </w:p>
    <w:p w14:paraId="7DB3C76F">
      <w:pPr>
        <w:keepNext w:val="0"/>
        <w:keepLines w:val="0"/>
        <w:pageBreakBefore w:val="0"/>
        <w:kinsoku/>
        <w:wordWrap/>
        <w:overflowPunct/>
        <w:topLinePunct w:val="0"/>
        <w:autoSpaceDE w:val="0"/>
        <w:autoSpaceDN w:val="0"/>
        <w:bidi w:val="0"/>
        <w:adjustRightInd w:val="0"/>
        <w:spacing w:line="400" w:lineRule="exact"/>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开户账号：</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开户账号：</w:t>
      </w:r>
    </w:p>
    <w:p w14:paraId="3C6C3F65">
      <w:pPr>
        <w:keepNext w:val="0"/>
        <w:keepLines w:val="0"/>
        <w:pageBreakBefore w:val="0"/>
        <w:widowControl/>
        <w:kinsoku/>
        <w:wordWrap/>
        <w:overflowPunct/>
        <w:topLinePunct w:val="0"/>
        <w:bidi w:val="0"/>
        <w:spacing w:line="400" w:lineRule="exact"/>
        <w:jc w:val="left"/>
        <w:outlineLvl w:val="9"/>
        <w:rPr>
          <w:rFonts w:hint="eastAsia" w:ascii="宋体" w:hAnsi="宋体" w:cs="宋体"/>
          <w:b/>
          <w:color w:val="000000" w:themeColor="text1"/>
          <w:highlight w:val="none"/>
          <w14:textFill>
            <w14:solidFill>
              <w14:schemeClr w14:val="tx1"/>
            </w14:solidFill>
          </w14:textFill>
        </w:rPr>
      </w:pPr>
      <w:bookmarkStart w:id="234" w:name="_Toc331685783"/>
    </w:p>
    <w:p w14:paraId="7A41213B">
      <w:pPr>
        <w:keepNext w:val="0"/>
        <w:keepLines w:val="0"/>
        <w:pageBreakBefore w:val="0"/>
        <w:widowControl/>
        <w:kinsoku/>
        <w:wordWrap/>
        <w:overflowPunct/>
        <w:topLinePunct w:val="0"/>
        <w:bidi w:val="0"/>
        <w:spacing w:line="400" w:lineRule="exact"/>
        <w:jc w:val="left"/>
        <w:outlineLvl w:val="9"/>
        <w:rPr>
          <w:rFonts w:hint="eastAsia" w:ascii="宋体" w:hAnsi="宋体" w:cs="宋体"/>
          <w:b/>
          <w:color w:val="000000" w:themeColor="text1"/>
          <w:highlight w:val="none"/>
          <w14:textFill>
            <w14:solidFill>
              <w14:schemeClr w14:val="tx1"/>
            </w14:solidFill>
          </w14:textFill>
        </w:rPr>
      </w:pPr>
    </w:p>
    <w:p w14:paraId="39AE4868">
      <w:pPr>
        <w:keepNext w:val="0"/>
        <w:keepLines w:val="0"/>
        <w:pageBreakBefore w:val="0"/>
        <w:widowControl/>
        <w:kinsoku/>
        <w:wordWrap/>
        <w:overflowPunct/>
        <w:topLinePunct w:val="0"/>
        <w:bidi w:val="0"/>
        <w:spacing w:line="400" w:lineRule="exact"/>
        <w:jc w:val="left"/>
        <w:outlineLvl w:val="9"/>
        <w:rPr>
          <w:rFonts w:hint="eastAsia" w:ascii="宋体" w:hAnsi="宋体" w:cs="宋体"/>
          <w:b/>
          <w:color w:val="000000" w:themeColor="text1"/>
          <w:kern w:val="0"/>
          <w:sz w:val="24"/>
          <w:highlight w:val="none"/>
          <w14:textFill>
            <w14:solidFill>
              <w14:schemeClr w14:val="tx1"/>
            </w14:solidFill>
          </w14:textFill>
        </w:rPr>
      </w:pPr>
    </w:p>
    <w:p w14:paraId="5C2E0C87">
      <w:pPr>
        <w:keepNext w:val="0"/>
        <w:keepLines w:val="0"/>
        <w:pageBreakBefore w:val="0"/>
        <w:widowControl/>
        <w:kinsoku/>
        <w:wordWrap/>
        <w:overflowPunct/>
        <w:topLinePunct w:val="0"/>
        <w:bidi w:val="0"/>
        <w:spacing w:line="400" w:lineRule="exact"/>
        <w:jc w:val="left"/>
        <w:outlineLvl w:val="9"/>
        <w:rPr>
          <w:rFonts w:hint="eastAsia" w:ascii="宋体" w:hAnsi="宋体" w:cs="宋体"/>
          <w:b/>
          <w:color w:val="000000" w:themeColor="text1"/>
          <w:kern w:val="0"/>
          <w:sz w:val="24"/>
          <w:highlight w:val="none"/>
          <w14:textFill>
            <w14:solidFill>
              <w14:schemeClr w14:val="tx1"/>
            </w14:solidFill>
          </w14:textFill>
        </w:rPr>
      </w:pPr>
    </w:p>
    <w:p w14:paraId="1EB99844">
      <w:pPr>
        <w:keepNext w:val="0"/>
        <w:keepLines w:val="0"/>
        <w:pageBreakBefore w:val="0"/>
        <w:widowControl/>
        <w:kinsoku/>
        <w:wordWrap/>
        <w:overflowPunct/>
        <w:topLinePunct w:val="0"/>
        <w:bidi w:val="0"/>
        <w:spacing w:line="400" w:lineRule="exact"/>
        <w:jc w:val="left"/>
        <w:outlineLvl w:val="9"/>
        <w:rPr>
          <w:rFonts w:hint="eastAsia" w:ascii="宋体" w:hAnsi="宋体" w:cs="宋体"/>
          <w:b/>
          <w:color w:val="000000" w:themeColor="text1"/>
          <w:kern w:val="0"/>
          <w:sz w:val="24"/>
          <w:highlight w:val="none"/>
          <w14:textFill>
            <w14:solidFill>
              <w14:schemeClr w14:val="tx1"/>
            </w14:solidFill>
          </w14:textFill>
        </w:rPr>
      </w:pPr>
    </w:p>
    <w:p w14:paraId="27935A05">
      <w:pPr>
        <w:keepNext w:val="0"/>
        <w:keepLines w:val="0"/>
        <w:pageBreakBefore w:val="0"/>
        <w:widowControl/>
        <w:kinsoku/>
        <w:wordWrap/>
        <w:overflowPunct/>
        <w:topLinePunct w:val="0"/>
        <w:bidi w:val="0"/>
        <w:spacing w:line="400" w:lineRule="exact"/>
        <w:jc w:val="left"/>
        <w:outlineLvl w:val="9"/>
        <w:rPr>
          <w:rFonts w:hint="eastAsia" w:ascii="宋体" w:hAnsi="宋体" w:cs="宋体"/>
          <w:b/>
          <w:color w:val="000000" w:themeColor="text1"/>
          <w:kern w:val="0"/>
          <w:sz w:val="24"/>
          <w:highlight w:val="none"/>
          <w14:textFill>
            <w14:solidFill>
              <w14:schemeClr w14:val="tx1"/>
            </w14:solidFill>
          </w14:textFill>
        </w:rPr>
      </w:pPr>
    </w:p>
    <w:p w14:paraId="1BD0C952">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p>
    <w:p w14:paraId="3438CDE1">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p>
    <w:p w14:paraId="371D3A9A">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p>
    <w:p w14:paraId="3211669B">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p>
    <w:p w14:paraId="1235900D">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p>
    <w:p w14:paraId="0DFBBEFA">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p>
    <w:p w14:paraId="50460982">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p>
    <w:p w14:paraId="722F6D79">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p>
    <w:p w14:paraId="35A33E6F">
      <w:pPr>
        <w:pStyle w:val="250"/>
        <w:keepNext w:val="0"/>
        <w:keepLines w:val="0"/>
        <w:pageBreakBefore w:val="0"/>
        <w:kinsoku/>
        <w:wordWrap/>
        <w:overflowPunct/>
        <w:topLinePunct w:val="0"/>
        <w:bidi w:val="0"/>
        <w:spacing w:line="400" w:lineRule="exact"/>
        <w:ind w:firstLine="0" w:firstLineChars="0"/>
        <w:outlineLvl w:val="9"/>
        <w:rPr>
          <w:rFonts w:hint="eastAsia" w:cs="宋体"/>
          <w:b/>
          <w:color w:val="000000" w:themeColor="text1"/>
          <w:highlight w:val="none"/>
          <w14:textFill>
            <w14:solidFill>
              <w14:schemeClr w14:val="tx1"/>
            </w14:solidFill>
          </w14:textFill>
        </w:rPr>
      </w:pPr>
    </w:p>
    <w:p w14:paraId="072EFAB5">
      <w:pPr>
        <w:pStyle w:val="250"/>
        <w:keepNext w:val="0"/>
        <w:keepLines w:val="0"/>
        <w:pageBreakBefore w:val="0"/>
        <w:kinsoku/>
        <w:wordWrap/>
        <w:overflowPunct/>
        <w:topLinePunct w:val="0"/>
        <w:bidi w:val="0"/>
        <w:spacing w:line="400" w:lineRule="exact"/>
        <w:ind w:firstLine="0" w:firstLineChars="0"/>
        <w:outlineLvl w:val="9"/>
        <w:rPr>
          <w:rFonts w:hint="eastAsia" w:cs="宋体"/>
          <w:b/>
          <w:color w:val="000000" w:themeColor="text1"/>
          <w:highlight w:val="none"/>
          <w14:textFill>
            <w14:solidFill>
              <w14:schemeClr w14:val="tx1"/>
            </w14:solidFill>
          </w14:textFill>
        </w:rPr>
      </w:pPr>
    </w:p>
    <w:p w14:paraId="78ADD673">
      <w:pPr>
        <w:pStyle w:val="250"/>
        <w:keepNext w:val="0"/>
        <w:keepLines w:val="0"/>
        <w:pageBreakBefore w:val="0"/>
        <w:kinsoku/>
        <w:wordWrap/>
        <w:overflowPunct/>
        <w:topLinePunct w:val="0"/>
        <w:bidi w:val="0"/>
        <w:spacing w:line="400" w:lineRule="exact"/>
        <w:ind w:firstLine="0" w:firstLineChars="0"/>
        <w:outlineLvl w:val="9"/>
        <w:rPr>
          <w:rFonts w:hint="eastAsia" w:cs="宋体"/>
          <w:b/>
          <w:color w:val="000000" w:themeColor="text1"/>
          <w:highlight w:val="none"/>
          <w14:textFill>
            <w14:solidFill>
              <w14:schemeClr w14:val="tx1"/>
            </w14:solidFill>
          </w14:textFill>
        </w:rPr>
      </w:pPr>
    </w:p>
    <w:p w14:paraId="5C4D677B">
      <w:pPr>
        <w:pStyle w:val="250"/>
        <w:keepNext w:val="0"/>
        <w:keepLines w:val="0"/>
        <w:pageBreakBefore w:val="0"/>
        <w:kinsoku/>
        <w:wordWrap/>
        <w:overflowPunct/>
        <w:topLinePunct w:val="0"/>
        <w:bidi w:val="0"/>
        <w:spacing w:line="400" w:lineRule="exact"/>
        <w:ind w:firstLine="0" w:firstLineChars="0"/>
        <w:outlineLvl w:val="9"/>
        <w:rPr>
          <w:rFonts w:hint="eastAsia" w:cs="宋体"/>
          <w:b/>
          <w:color w:val="000000" w:themeColor="text1"/>
          <w:highlight w:val="none"/>
          <w14:textFill>
            <w14:solidFill>
              <w14:schemeClr w14:val="tx1"/>
            </w14:solidFill>
          </w14:textFill>
        </w:rPr>
      </w:pPr>
    </w:p>
    <w:p w14:paraId="30F02739">
      <w:pPr>
        <w:pStyle w:val="250"/>
        <w:keepNext w:val="0"/>
        <w:keepLines w:val="0"/>
        <w:pageBreakBefore w:val="0"/>
        <w:kinsoku/>
        <w:wordWrap/>
        <w:overflowPunct/>
        <w:topLinePunct w:val="0"/>
        <w:bidi w:val="0"/>
        <w:spacing w:line="400" w:lineRule="exact"/>
        <w:ind w:firstLine="0" w:firstLineChars="0"/>
        <w:outlineLvl w:val="9"/>
        <w:rPr>
          <w:rFonts w:hint="eastAsia" w:cs="宋体"/>
          <w:b/>
          <w:color w:val="000000" w:themeColor="text1"/>
          <w:highlight w:val="none"/>
          <w14:textFill>
            <w14:solidFill>
              <w14:schemeClr w14:val="tx1"/>
            </w14:solidFill>
          </w14:textFill>
        </w:rPr>
      </w:pPr>
    </w:p>
    <w:p w14:paraId="577471D8">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第二部分 合同一般条款</w:t>
      </w:r>
      <w:bookmarkEnd w:id="234"/>
    </w:p>
    <w:p w14:paraId="37E3E5DA">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235" w:name="_Toc14021"/>
      <w:bookmarkStart w:id="236" w:name="_Ref467379214"/>
      <w:bookmarkStart w:id="237" w:name="_Ref467379225"/>
      <w:bookmarkStart w:id="238" w:name="_Toc30494"/>
      <w:bookmarkStart w:id="239" w:name="_Ref467378463"/>
      <w:bookmarkStart w:id="240" w:name="_Toc279701240"/>
      <w:bookmarkStart w:id="241" w:name="_Toc32039"/>
      <w:bookmarkStart w:id="242" w:name="_Toc5228"/>
      <w:bookmarkStart w:id="243" w:name="_Ref467378499"/>
      <w:bookmarkStart w:id="244" w:name="_Toc487900349"/>
      <w:bookmarkStart w:id="245" w:name="_Ref467379101"/>
      <w:bookmarkStart w:id="246" w:name="_Toc31297"/>
      <w:bookmarkStart w:id="247" w:name="_Ref467379109"/>
      <w:bookmarkStart w:id="248" w:name="_Toc25079"/>
      <w:bookmarkStart w:id="249" w:name="_Ref467379205"/>
      <w:bookmarkStart w:id="250" w:name="_Toc13273"/>
      <w:bookmarkStart w:id="251" w:name="_Toc25218"/>
      <w:bookmarkStart w:id="252" w:name="_Ref467379094"/>
      <w:bookmarkStart w:id="253" w:name="_Toc17704"/>
      <w:bookmarkStart w:id="254" w:name="_Ref467379195"/>
      <w:bookmarkStart w:id="255" w:name="_Toc19680"/>
      <w:bookmarkStart w:id="256" w:name="_Ref467378404"/>
      <w:bookmarkStart w:id="257" w:name="_Toc259093669"/>
      <w:r>
        <w:rPr>
          <w:rFonts w:hint="eastAsia" w:ascii="宋体" w:hAnsi="宋体" w:cs="宋体"/>
          <w:b/>
          <w:color w:val="000000" w:themeColor="text1"/>
          <w:sz w:val="24"/>
          <w:highlight w:val="none"/>
          <w14:textFill>
            <w14:solidFill>
              <w14:schemeClr w14:val="tx1"/>
            </w14:solidFill>
          </w14:textFill>
        </w:rPr>
        <w:t>2.1 定义</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23D9C5C">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本合同中的下列词语应按以下内容进行解释：</w:t>
      </w:r>
    </w:p>
    <w:p w14:paraId="5277954B">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“合同”系指采购人和中标供应商签订的载明双方当事人所达成的协议，并包括所有的附件、附录和构成合同的其他文件。</w:t>
      </w:r>
    </w:p>
    <w:p w14:paraId="6134BA71">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“合同价”系指根据合同约定，中标供应商在完全履行合同义务后，采购人应支付给中标供应商的价格。</w:t>
      </w:r>
    </w:p>
    <w:p w14:paraId="5DB71DBE">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“服务”系指中标供应商根据合同约定应向采购人履行的除服务和工程以外的其他政府采购对象，包括采购人自身需要的服务和向社会公众提供的公共服务。</w:t>
      </w:r>
    </w:p>
    <w:p w14:paraId="32CA4CF7">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bookmarkStart w:id="258" w:name="_Ref467378840"/>
      <w:r>
        <w:rPr>
          <w:rFonts w:hint="eastAsia" w:ascii="宋体" w:hAnsi="宋体" w:cs="宋体"/>
          <w:color w:val="000000" w:themeColor="text1"/>
          <w:sz w:val="24"/>
          <w:highlight w:val="none"/>
          <w14:textFill>
            <w14:solidFill>
              <w14:schemeClr w14:val="tx1"/>
            </w14:solidFill>
          </w14:textFill>
        </w:rPr>
        <w:t>2.1.4 “甲方”系指与中标供应商签署合同的采购人</w:t>
      </w:r>
      <w:bookmarkEnd w:id="258"/>
      <w:r>
        <w:rPr>
          <w:rFonts w:hint="eastAsia" w:ascii="宋体" w:hAnsi="宋体" w:cs="宋体"/>
          <w:color w:val="000000" w:themeColor="text1"/>
          <w:sz w:val="24"/>
          <w:highlight w:val="none"/>
          <w14:textFill>
            <w14:solidFill>
              <w14:schemeClr w14:val="tx1"/>
            </w14:solidFill>
          </w14:textFill>
        </w:rPr>
        <w:t>；采购人委托采购代理机构代表其与乙方签订合同的，采购人的授权委托书作为合同附件。</w:t>
      </w:r>
    </w:p>
    <w:p w14:paraId="70B5F1F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bookmarkStart w:id="259" w:name="_Ref467379400"/>
      <w:r>
        <w:rPr>
          <w:rFonts w:hint="eastAsia" w:ascii="宋体" w:hAnsi="宋体" w:cs="宋体"/>
          <w:color w:val="000000" w:themeColor="text1"/>
          <w:sz w:val="24"/>
          <w:highlight w:val="none"/>
          <w14:textFill>
            <w14:solidFill>
              <w14:schemeClr w14:val="tx1"/>
            </w14:solidFill>
          </w14:textFill>
        </w:rPr>
        <w:t>2.1.5 “乙方”系指根据合同约定提供服务的中标供应商</w:t>
      </w:r>
      <w:bookmarkEnd w:id="259"/>
      <w:r>
        <w:rPr>
          <w:rFonts w:hint="eastAsia" w:ascii="宋体" w:hAnsi="宋体" w:cs="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BBA5FA4">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bookmarkStart w:id="260" w:name="_Ref467379436"/>
      <w:r>
        <w:rPr>
          <w:rFonts w:hint="eastAsia" w:ascii="宋体" w:hAnsi="宋体" w:cs="宋体"/>
          <w:color w:val="000000" w:themeColor="text1"/>
          <w:sz w:val="24"/>
          <w:highlight w:val="none"/>
          <w14:textFill>
            <w14:solidFill>
              <w14:schemeClr w14:val="tx1"/>
            </w14:solidFill>
          </w14:textFill>
        </w:rPr>
        <w:t>2.1.6 “现场”系指合同约定提供服务的地点。</w:t>
      </w:r>
      <w:bookmarkEnd w:id="260"/>
    </w:p>
    <w:p w14:paraId="53283D37">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261" w:name="_Toc27574"/>
      <w:bookmarkStart w:id="262" w:name="_Toc259093670"/>
      <w:bookmarkStart w:id="263" w:name="_Toc3769"/>
      <w:bookmarkStart w:id="264" w:name="_Toc1041"/>
      <w:bookmarkStart w:id="265" w:name="_Toc15419"/>
      <w:bookmarkStart w:id="266" w:name="_Toc12355"/>
      <w:bookmarkStart w:id="267" w:name="_Toc31402"/>
      <w:bookmarkStart w:id="268" w:name="_Toc487900350"/>
      <w:bookmarkStart w:id="269" w:name="_Toc10249"/>
      <w:bookmarkStart w:id="270" w:name="_Toc279701241"/>
      <w:bookmarkStart w:id="271" w:name="_Toc23289"/>
      <w:bookmarkStart w:id="272" w:name="_Toc16752"/>
      <w:r>
        <w:rPr>
          <w:rFonts w:hint="eastAsia" w:ascii="宋体" w:hAnsi="宋体" w:cs="宋体"/>
          <w:b/>
          <w:color w:val="000000" w:themeColor="text1"/>
          <w:sz w:val="24"/>
          <w:highlight w:val="none"/>
          <w14:textFill>
            <w14:solidFill>
              <w14:schemeClr w14:val="tx1"/>
            </w14:solidFill>
          </w14:textFill>
        </w:rPr>
        <w:t>2.2 技术规范</w:t>
      </w:r>
      <w:bookmarkEnd w:id="261"/>
      <w:bookmarkEnd w:id="262"/>
      <w:bookmarkEnd w:id="263"/>
      <w:bookmarkEnd w:id="264"/>
      <w:bookmarkEnd w:id="265"/>
      <w:bookmarkEnd w:id="266"/>
      <w:bookmarkEnd w:id="267"/>
      <w:bookmarkEnd w:id="268"/>
      <w:bookmarkEnd w:id="269"/>
      <w:bookmarkEnd w:id="270"/>
      <w:bookmarkEnd w:id="271"/>
      <w:bookmarkEnd w:id="272"/>
    </w:p>
    <w:p w14:paraId="55D5D56B">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BE747D7">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273" w:name="_Toc1059"/>
      <w:bookmarkStart w:id="274" w:name="_Toc13673"/>
      <w:bookmarkStart w:id="275" w:name="_Toc12412"/>
      <w:bookmarkStart w:id="276" w:name="_Toc2325"/>
      <w:bookmarkStart w:id="277" w:name="_Toc18514"/>
      <w:bookmarkStart w:id="278" w:name="_Toc6511"/>
      <w:bookmarkStart w:id="279" w:name="_Toc4133"/>
      <w:bookmarkStart w:id="280" w:name="_Toc279701242"/>
      <w:bookmarkStart w:id="281" w:name="_Toc15870"/>
      <w:bookmarkStart w:id="282" w:name="_Toc9161"/>
      <w:bookmarkStart w:id="283" w:name="_Toc487900351"/>
      <w:bookmarkStart w:id="284" w:name="_Toc27945"/>
      <w:bookmarkStart w:id="285" w:name="_Toc259093671"/>
      <w:r>
        <w:rPr>
          <w:rFonts w:hint="eastAsia" w:ascii="宋体" w:hAnsi="宋体" w:cs="宋体"/>
          <w:b/>
          <w:color w:val="000000" w:themeColor="text1"/>
          <w:sz w:val="24"/>
          <w:highlight w:val="none"/>
          <w14:textFill>
            <w14:solidFill>
              <w14:schemeClr w14:val="tx1"/>
            </w14:solidFill>
          </w14:textFill>
        </w:rPr>
        <w:t>2.3 知识产权</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31439FAA">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831845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 合同涉及技术成果的归属和收益的分成办法的，详见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314D3A90">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2.4 履约检查和问题反馈</w:t>
      </w:r>
    </w:p>
    <w:p w14:paraId="65B7EEC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bookmarkStart w:id="286" w:name="_Ref467379657"/>
      <w:r>
        <w:rPr>
          <w:rFonts w:hint="eastAsia" w:ascii="宋体" w:hAnsi="宋体" w:cs="宋体"/>
          <w:color w:val="000000" w:themeColor="text1"/>
          <w:sz w:val="24"/>
          <w:highlight w:val="none"/>
          <w14:textFill>
            <w14:solidFill>
              <w14:schemeClr w14:val="tx1"/>
            </w14:solidFill>
          </w14:textFill>
        </w:rPr>
        <w:t>2.4.1</w:t>
      </w:r>
      <w:bookmarkEnd w:id="286"/>
      <w:bookmarkStart w:id="287" w:name="_Toc186431854"/>
      <w:bookmarkStart w:id="288" w:name="_Toc279701247"/>
      <w:bookmarkStart w:id="289" w:name="_Ref467379807"/>
      <w:bookmarkStart w:id="290" w:name="_Toc487900357"/>
      <w:bookmarkStart w:id="291" w:name="_Ref467379793"/>
      <w:bookmarkStart w:id="292" w:name="_Toc259093676"/>
      <w:r>
        <w:rPr>
          <w:rFonts w:hint="eastAsia" w:ascii="宋体" w:hAnsi="宋体" w:cs="宋体"/>
          <w:color w:val="000000" w:themeColor="text1"/>
          <w:sz w:val="24"/>
          <w:highlight w:val="none"/>
          <w14:textFill>
            <w14:solidFill>
              <w14:schemeClr w14:val="tx1"/>
            </w14:solidFill>
          </w14:textFill>
        </w:rPr>
        <w:t>甲方有权在其认为必要时，对乙方是否能够按照合同约定提供服务进行履约检查，以确保乙方所提供的服务能够依约满足甲方之项目需求，但不得因履约检查妨碍乙方的正常工作，乙方应予积极配合；</w:t>
      </w:r>
    </w:p>
    <w:p w14:paraId="256C11C8">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合同履行期间，甲方有权将履行过程中出现的问题反馈给乙方，双方当事人应以书面形式约定需要完善和改进的内容</w:t>
      </w:r>
      <w:bookmarkEnd w:id="287"/>
      <w:bookmarkStart w:id="293" w:name="_Toc186431855"/>
      <w:r>
        <w:rPr>
          <w:rFonts w:hint="eastAsia" w:ascii="宋体" w:hAnsi="宋体" w:cs="宋体"/>
          <w:color w:val="000000" w:themeColor="text1"/>
          <w:sz w:val="24"/>
          <w:highlight w:val="none"/>
          <w14:textFill>
            <w14:solidFill>
              <w14:schemeClr w14:val="tx1"/>
            </w14:solidFill>
          </w14:textFill>
        </w:rPr>
        <w:t>。</w:t>
      </w:r>
    </w:p>
    <w:bookmarkEnd w:id="293"/>
    <w:p w14:paraId="606488DC">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294" w:name="_Toc28915"/>
      <w:bookmarkStart w:id="295" w:name="_Toc31233"/>
      <w:bookmarkStart w:id="296" w:name="_Toc15567"/>
      <w:bookmarkStart w:id="297" w:name="_Toc12263"/>
      <w:bookmarkStart w:id="298" w:name="_Toc22011"/>
      <w:bookmarkStart w:id="299" w:name="_Toc15447"/>
      <w:bookmarkStart w:id="300" w:name="_Toc26555"/>
      <w:bookmarkStart w:id="301" w:name="_Toc17728"/>
      <w:bookmarkStart w:id="302" w:name="_Toc26963"/>
      <w:r>
        <w:rPr>
          <w:rFonts w:hint="eastAsia" w:ascii="宋体" w:hAnsi="宋体" w:cs="宋体"/>
          <w:b/>
          <w:color w:val="000000" w:themeColor="text1"/>
          <w:sz w:val="24"/>
          <w:highlight w:val="none"/>
          <w14:textFill>
            <w14:solidFill>
              <w14:schemeClr w14:val="tx1"/>
            </w14:solidFill>
          </w14:textFill>
        </w:rPr>
        <w:t>2.5 结算方式和付款条件</w:t>
      </w:r>
      <w:bookmarkEnd w:id="288"/>
      <w:bookmarkEnd w:id="289"/>
      <w:bookmarkEnd w:id="290"/>
      <w:bookmarkEnd w:id="291"/>
      <w:bookmarkEnd w:id="292"/>
      <w:bookmarkEnd w:id="294"/>
      <w:bookmarkEnd w:id="295"/>
      <w:bookmarkEnd w:id="296"/>
      <w:bookmarkEnd w:id="297"/>
      <w:bookmarkEnd w:id="298"/>
      <w:bookmarkEnd w:id="299"/>
      <w:bookmarkEnd w:id="300"/>
      <w:bookmarkEnd w:id="301"/>
      <w:bookmarkEnd w:id="302"/>
    </w:p>
    <w:p w14:paraId="7BCDD33E">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2BC128E7">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03" w:name="_Ref467379923"/>
      <w:bookmarkStart w:id="304" w:name="_Ref467379863"/>
      <w:bookmarkStart w:id="305" w:name="_Toc487900358"/>
      <w:bookmarkStart w:id="306" w:name="_Toc279701248"/>
      <w:bookmarkStart w:id="307" w:name="_Toc259093677"/>
      <w:bookmarkStart w:id="308" w:name="_Ref467379852"/>
      <w:bookmarkStart w:id="309" w:name="_Toc4467"/>
      <w:bookmarkStart w:id="310" w:name="_Toc30507"/>
      <w:bookmarkStart w:id="311" w:name="_Toc13154"/>
      <w:bookmarkStart w:id="312" w:name="_Toc9622"/>
      <w:bookmarkStart w:id="313" w:name="_Toc31196"/>
      <w:bookmarkStart w:id="314" w:name="_Toc16163"/>
      <w:bookmarkStart w:id="315" w:name="_Toc23122"/>
      <w:bookmarkStart w:id="316" w:name="_Toc13006"/>
      <w:bookmarkStart w:id="317" w:name="_Toc18990"/>
      <w:bookmarkStart w:id="318" w:name="_Toc13467"/>
      <w:r>
        <w:rPr>
          <w:rFonts w:hint="eastAsia" w:ascii="宋体" w:hAnsi="宋体" w:cs="宋体"/>
          <w:b/>
          <w:color w:val="000000" w:themeColor="text1"/>
          <w:sz w:val="24"/>
          <w:highlight w:val="none"/>
          <w14:textFill>
            <w14:solidFill>
              <w14:schemeClr w14:val="tx1"/>
            </w14:solidFill>
          </w14:textFill>
        </w:rPr>
        <w:t>2.6 技术资料</w:t>
      </w:r>
      <w:bookmarkEnd w:id="303"/>
      <w:bookmarkEnd w:id="304"/>
      <w:bookmarkEnd w:id="305"/>
      <w:bookmarkEnd w:id="306"/>
      <w:bookmarkEnd w:id="307"/>
      <w:bookmarkEnd w:id="308"/>
      <w:r>
        <w:rPr>
          <w:rFonts w:hint="eastAsia" w:ascii="宋体" w:hAnsi="宋体" w:cs="宋体"/>
          <w:b/>
          <w:color w:val="000000" w:themeColor="text1"/>
          <w:sz w:val="24"/>
          <w:highlight w:val="none"/>
          <w14:textFill>
            <w14:solidFill>
              <w14:schemeClr w14:val="tx1"/>
            </w14:solidFill>
          </w14:textFill>
        </w:rPr>
        <w:t>和保密义务</w:t>
      </w:r>
      <w:bookmarkEnd w:id="309"/>
      <w:bookmarkEnd w:id="310"/>
      <w:bookmarkEnd w:id="311"/>
      <w:bookmarkEnd w:id="312"/>
      <w:bookmarkEnd w:id="313"/>
      <w:bookmarkEnd w:id="314"/>
      <w:bookmarkEnd w:id="315"/>
      <w:bookmarkEnd w:id="316"/>
      <w:bookmarkEnd w:id="317"/>
      <w:bookmarkEnd w:id="318"/>
    </w:p>
    <w:p w14:paraId="797E5A9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14:paraId="3784B855">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2.6.2 乙方有义务妥善保管和保护由甲方提供的前款信息和资料等；</w:t>
      </w:r>
    </w:p>
    <w:p w14:paraId="2FF0896F">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1434A1">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19" w:name="_Toc4786"/>
      <w:bookmarkStart w:id="320" w:name="_Toc24552"/>
      <w:bookmarkStart w:id="321" w:name="_Toc19069"/>
      <w:bookmarkStart w:id="322" w:name="_Toc16162"/>
      <w:bookmarkStart w:id="323" w:name="_Toc25515"/>
      <w:bookmarkStart w:id="324" w:name="_Toc279701252"/>
      <w:bookmarkStart w:id="325" w:name="_Toc487900362"/>
      <w:bookmarkStart w:id="326" w:name="_Toc259093681"/>
      <w:r>
        <w:rPr>
          <w:rFonts w:hint="eastAsia" w:ascii="宋体" w:hAnsi="宋体" w:cs="宋体"/>
          <w:b/>
          <w:color w:val="000000" w:themeColor="text1"/>
          <w:sz w:val="24"/>
          <w:highlight w:val="none"/>
          <w14:textFill>
            <w14:solidFill>
              <w14:schemeClr w14:val="tx1"/>
            </w14:solidFill>
          </w14:textFill>
        </w:rPr>
        <w:t>2.7 质量保证</w:t>
      </w:r>
      <w:bookmarkEnd w:id="319"/>
      <w:bookmarkEnd w:id="320"/>
      <w:bookmarkEnd w:id="321"/>
      <w:bookmarkEnd w:id="322"/>
      <w:bookmarkEnd w:id="323"/>
    </w:p>
    <w:p w14:paraId="013A29D5">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乙方应建立和完善履行合同的内部质量保证体系，并提供相关内部规章制度给甲方，以便甲方进行监督检查；</w:t>
      </w:r>
    </w:p>
    <w:p w14:paraId="7AA77DB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乙方应保证履行合同的人员数量和素质、软件和硬件设备的配置、场地、环境和设施等满足全面履行合同的要求，并应接受甲方的监督检查。</w:t>
      </w:r>
    </w:p>
    <w:p w14:paraId="0385EC34">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27" w:name="_Toc2207"/>
      <w:bookmarkStart w:id="328" w:name="_Toc22198"/>
      <w:bookmarkStart w:id="329" w:name="_Toc22267"/>
      <w:bookmarkStart w:id="330" w:name="_Toc17104"/>
      <w:bookmarkStart w:id="331" w:name="_Toc14489"/>
      <w:bookmarkStart w:id="332" w:name="_Toc29292"/>
      <w:r>
        <w:rPr>
          <w:rFonts w:hint="eastAsia" w:ascii="宋体" w:hAnsi="宋体" w:cs="宋体"/>
          <w:b/>
          <w:color w:val="000000" w:themeColor="text1"/>
          <w:sz w:val="24"/>
          <w:highlight w:val="none"/>
          <w14:textFill>
            <w14:solidFill>
              <w14:schemeClr w14:val="tx1"/>
            </w14:solidFill>
          </w14:textFill>
        </w:rPr>
        <w:t>2.8 延迟</w:t>
      </w:r>
      <w:bookmarkEnd w:id="324"/>
      <w:bookmarkEnd w:id="325"/>
      <w:bookmarkEnd w:id="326"/>
      <w:r>
        <w:rPr>
          <w:rFonts w:hint="eastAsia" w:ascii="宋体" w:hAnsi="宋体" w:cs="宋体"/>
          <w:b/>
          <w:color w:val="000000" w:themeColor="text1"/>
          <w:sz w:val="24"/>
          <w:highlight w:val="none"/>
          <w14:textFill>
            <w14:solidFill>
              <w14:schemeClr w14:val="tx1"/>
            </w14:solidFill>
          </w14:textFill>
        </w:rPr>
        <w:t>履行</w:t>
      </w:r>
      <w:bookmarkEnd w:id="327"/>
      <w:bookmarkEnd w:id="328"/>
      <w:bookmarkEnd w:id="329"/>
      <w:bookmarkEnd w:id="330"/>
      <w:bookmarkEnd w:id="331"/>
      <w:bookmarkEnd w:id="332"/>
    </w:p>
    <w:p w14:paraId="5A68E6C4">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1DD3224">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33" w:name="_Toc13769"/>
      <w:bookmarkStart w:id="334" w:name="_Toc5771"/>
      <w:bookmarkStart w:id="335" w:name="_Toc18013"/>
      <w:bookmarkStart w:id="336" w:name="_Toc5216"/>
      <w:bookmarkStart w:id="337" w:name="_Toc19002"/>
      <w:bookmarkStart w:id="338" w:name="_Toc10611"/>
      <w:bookmarkStart w:id="339" w:name="_Toc487900364"/>
      <w:bookmarkStart w:id="340" w:name="_Toc259093683"/>
      <w:bookmarkStart w:id="341" w:name="_Ref467378121"/>
      <w:bookmarkStart w:id="342" w:name="_Toc279701254"/>
      <w:r>
        <w:rPr>
          <w:rFonts w:hint="eastAsia" w:ascii="宋体" w:hAnsi="宋体" w:cs="宋体"/>
          <w:b/>
          <w:color w:val="000000" w:themeColor="text1"/>
          <w:sz w:val="24"/>
          <w:highlight w:val="none"/>
          <w14:textFill>
            <w14:solidFill>
              <w14:schemeClr w14:val="tx1"/>
            </w14:solidFill>
          </w14:textFill>
        </w:rPr>
        <w:t>2.9 合同变更</w:t>
      </w:r>
      <w:bookmarkEnd w:id="333"/>
      <w:bookmarkEnd w:id="334"/>
      <w:bookmarkEnd w:id="335"/>
      <w:bookmarkEnd w:id="336"/>
      <w:bookmarkEnd w:id="337"/>
      <w:bookmarkEnd w:id="338"/>
    </w:p>
    <w:p w14:paraId="0E982BBA">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2.9.1 双方当事人协商一致，可以签订书面补充合同的形式变更合同，但不得违背采购文件确定的事项，且如果系追加与合同标的相同的服务的，那么所有补充合同的采购金额不得超过原合同价的10%；</w:t>
      </w:r>
    </w:p>
    <w:p w14:paraId="2588492C">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2.9.2 合同继续履行将损害国家利益和社会公共利益的，双方当事人应当以书面形式变更合同。有过错的一方应当承担赔偿责任，双方当事人都有过错的，各自承担相应的责任。</w:t>
      </w:r>
      <w:bookmarkStart w:id="343" w:name="_Toc279701259"/>
      <w:bookmarkStart w:id="344" w:name="_Toc487900369"/>
      <w:bookmarkStart w:id="345" w:name="_Toc259093688"/>
    </w:p>
    <w:p w14:paraId="7AD703D4">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46" w:name="_Toc21830"/>
      <w:bookmarkStart w:id="347" w:name="_Toc6424"/>
      <w:bookmarkStart w:id="348" w:name="_Toc23368"/>
      <w:bookmarkStart w:id="349" w:name="_Toc42"/>
      <w:bookmarkStart w:id="350" w:name="_Toc5582"/>
      <w:bookmarkStart w:id="351" w:name="_Toc10663"/>
      <w:bookmarkStart w:id="352" w:name="_Toc22685"/>
      <w:bookmarkStart w:id="353" w:name="_Toc26689"/>
      <w:bookmarkStart w:id="354" w:name="_Toc32267"/>
      <w:bookmarkStart w:id="355" w:name="_Toc26427"/>
      <w:r>
        <w:rPr>
          <w:rFonts w:hint="eastAsia" w:ascii="宋体" w:hAnsi="宋体" w:cs="宋体"/>
          <w:b/>
          <w:color w:val="000000" w:themeColor="text1"/>
          <w:sz w:val="24"/>
          <w:highlight w:val="none"/>
          <w14:textFill>
            <w14:solidFill>
              <w14:schemeClr w14:val="tx1"/>
            </w14:solidFill>
          </w14:textFill>
        </w:rPr>
        <w:t>2.10 合同转让</w:t>
      </w:r>
      <w:bookmarkEnd w:id="343"/>
      <w:bookmarkEnd w:id="344"/>
      <w:bookmarkEnd w:id="345"/>
      <w:r>
        <w:rPr>
          <w:rFonts w:hint="eastAsia" w:ascii="宋体" w:hAnsi="宋体" w:cs="宋体"/>
          <w:b/>
          <w:color w:val="000000" w:themeColor="text1"/>
          <w:sz w:val="24"/>
          <w:highlight w:val="none"/>
          <w14:textFill>
            <w14:solidFill>
              <w14:schemeClr w14:val="tx1"/>
            </w14:solidFill>
          </w14:textFill>
        </w:rPr>
        <w:t>和分包</w:t>
      </w:r>
      <w:bookmarkEnd w:id="346"/>
      <w:bookmarkEnd w:id="347"/>
      <w:bookmarkEnd w:id="348"/>
      <w:bookmarkEnd w:id="349"/>
      <w:bookmarkEnd w:id="350"/>
      <w:bookmarkEnd w:id="351"/>
      <w:bookmarkEnd w:id="352"/>
      <w:bookmarkEnd w:id="353"/>
      <w:bookmarkEnd w:id="354"/>
      <w:bookmarkEnd w:id="355"/>
    </w:p>
    <w:p w14:paraId="47F5E59E">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49F52A">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56" w:name="_Toc15293"/>
      <w:bookmarkStart w:id="357" w:name="_Toc2962"/>
      <w:bookmarkStart w:id="358" w:name="_Toc22969"/>
      <w:bookmarkStart w:id="359" w:name="_Toc524"/>
      <w:bookmarkStart w:id="360" w:name="_Toc9462"/>
      <w:bookmarkStart w:id="361" w:name="_Toc14371"/>
      <w:bookmarkStart w:id="362" w:name="_Toc32494"/>
      <w:bookmarkStart w:id="363" w:name="_Toc25571"/>
      <w:bookmarkStart w:id="364" w:name="_Toc4720"/>
      <w:bookmarkStart w:id="365" w:name="_Toc26633"/>
      <w:r>
        <w:rPr>
          <w:rFonts w:hint="eastAsia" w:ascii="宋体" w:hAnsi="宋体" w:cs="宋体"/>
          <w:b/>
          <w:color w:val="000000" w:themeColor="text1"/>
          <w:sz w:val="24"/>
          <w:highlight w:val="none"/>
          <w14:textFill>
            <w14:solidFill>
              <w14:schemeClr w14:val="tx1"/>
            </w14:solidFill>
          </w14:textFill>
        </w:rPr>
        <w:t>2.11 不可抗力</w:t>
      </w:r>
      <w:bookmarkEnd w:id="356"/>
      <w:bookmarkEnd w:id="357"/>
      <w:bookmarkEnd w:id="358"/>
      <w:bookmarkEnd w:id="359"/>
      <w:bookmarkEnd w:id="360"/>
      <w:bookmarkEnd w:id="361"/>
      <w:bookmarkEnd w:id="362"/>
      <w:bookmarkEnd w:id="363"/>
      <w:bookmarkEnd w:id="364"/>
      <w:bookmarkEnd w:id="365"/>
    </w:p>
    <w:p w14:paraId="25739FA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p>
    <w:p w14:paraId="6EE8E097">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2.11.2 因不可抗力致使不能实现合同目的的，当事人可以解除合同；</w:t>
      </w:r>
    </w:p>
    <w:p w14:paraId="5F585F5A">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2.11.3 因不可抗力致使合同有变更必要的，双方当事人应在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约定时间内以书面形式变更合同；</w:t>
      </w:r>
    </w:p>
    <w:p w14:paraId="781D41A2">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2.11.4受不可抗力影响的一方在不可抗力发生后，应在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约定时间内以书面形式通知对方当事人，并在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约定时间内，将有关部门出具的证明文件送达对方当事人。</w:t>
      </w:r>
    </w:p>
    <w:p w14:paraId="1FE99C8B">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66" w:name="_Toc219"/>
      <w:bookmarkStart w:id="367" w:name="_Toc14792"/>
      <w:bookmarkStart w:id="368" w:name="_Toc279701255"/>
      <w:bookmarkStart w:id="369" w:name="_Toc3472"/>
      <w:bookmarkStart w:id="370" w:name="_Toc259093684"/>
      <w:bookmarkStart w:id="371" w:name="_Toc23854"/>
      <w:bookmarkStart w:id="372" w:name="_Toc25783"/>
      <w:bookmarkStart w:id="373" w:name="_Toc2226"/>
      <w:bookmarkStart w:id="374" w:name="_Toc13079"/>
      <w:bookmarkStart w:id="375" w:name="_Toc14115"/>
      <w:bookmarkStart w:id="376" w:name="_Toc24465"/>
      <w:bookmarkStart w:id="377" w:name="_Toc487900365"/>
      <w:bookmarkStart w:id="378" w:name="_Toc3638"/>
      <w:r>
        <w:rPr>
          <w:rFonts w:hint="eastAsia" w:ascii="宋体" w:hAnsi="宋体" w:cs="宋体"/>
          <w:b/>
          <w:color w:val="000000" w:themeColor="text1"/>
          <w:sz w:val="24"/>
          <w:highlight w:val="none"/>
          <w14:textFill>
            <w14:solidFill>
              <w14:schemeClr w14:val="tx1"/>
            </w14:solidFill>
          </w14:textFill>
        </w:rPr>
        <w:t>2.12 税费</w:t>
      </w:r>
      <w:bookmarkEnd w:id="366"/>
      <w:bookmarkEnd w:id="367"/>
      <w:bookmarkEnd w:id="368"/>
      <w:bookmarkEnd w:id="369"/>
      <w:bookmarkEnd w:id="370"/>
      <w:bookmarkEnd w:id="371"/>
      <w:bookmarkEnd w:id="372"/>
      <w:bookmarkEnd w:id="373"/>
      <w:bookmarkEnd w:id="374"/>
      <w:bookmarkEnd w:id="375"/>
      <w:bookmarkEnd w:id="376"/>
      <w:bookmarkEnd w:id="377"/>
      <w:bookmarkEnd w:id="378"/>
    </w:p>
    <w:p w14:paraId="689E01AC">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与合同有关的一切税费，均按照中华人民共和国法律的相关规定缴纳。</w:t>
      </w:r>
    </w:p>
    <w:p w14:paraId="293D5AC8">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79" w:name="_Toc22164"/>
      <w:bookmarkStart w:id="380" w:name="_Toc26883"/>
      <w:bookmarkStart w:id="381" w:name="_Toc487900368"/>
      <w:bookmarkStart w:id="382" w:name="_Toc10903"/>
      <w:bookmarkStart w:id="383" w:name="_Toc279701258"/>
      <w:bookmarkStart w:id="384" w:name="_Toc3411"/>
      <w:bookmarkStart w:id="385" w:name="_Toc7315"/>
      <w:bookmarkStart w:id="386" w:name="_Toc14814"/>
      <w:bookmarkStart w:id="387" w:name="_Toc4896"/>
      <w:bookmarkStart w:id="388" w:name="_Toc25525"/>
      <w:bookmarkStart w:id="389" w:name="_Toc10195"/>
      <w:bookmarkStart w:id="390" w:name="_Toc259093687"/>
      <w:bookmarkStart w:id="391" w:name="_Toc30105"/>
      <w:r>
        <w:rPr>
          <w:rFonts w:hint="eastAsia" w:ascii="宋体" w:hAnsi="宋体" w:cs="宋体"/>
          <w:b/>
          <w:color w:val="000000" w:themeColor="text1"/>
          <w:sz w:val="24"/>
          <w:highlight w:val="none"/>
          <w14:textFill>
            <w14:solidFill>
              <w14:schemeClr w14:val="tx1"/>
            </w14:solidFill>
          </w14:textFill>
        </w:rPr>
        <w:t>2.13 乙方破产</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7787437D">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D524963">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392" w:name="_Toc1123"/>
      <w:bookmarkStart w:id="393" w:name="_Toc16974"/>
      <w:bookmarkStart w:id="394" w:name="_Toc2016"/>
      <w:bookmarkStart w:id="395" w:name="_Toc18465"/>
      <w:bookmarkStart w:id="396" w:name="_Toc16492"/>
      <w:bookmarkStart w:id="397" w:name="_Toc15650"/>
      <w:bookmarkStart w:id="398" w:name="_Toc23323"/>
      <w:bookmarkStart w:id="399" w:name="_Toc7643"/>
      <w:r>
        <w:rPr>
          <w:rFonts w:hint="eastAsia" w:ascii="宋体" w:hAnsi="宋体" w:cs="宋体"/>
          <w:b/>
          <w:color w:val="000000" w:themeColor="text1"/>
          <w:sz w:val="24"/>
          <w:highlight w:val="none"/>
          <w14:textFill>
            <w14:solidFill>
              <w14:schemeClr w14:val="tx1"/>
            </w14:solidFill>
          </w14:textFill>
        </w:rPr>
        <w:t>2.14 合同中止、终止</w:t>
      </w:r>
      <w:bookmarkEnd w:id="392"/>
      <w:bookmarkEnd w:id="393"/>
      <w:bookmarkEnd w:id="394"/>
      <w:bookmarkEnd w:id="395"/>
      <w:bookmarkEnd w:id="396"/>
      <w:bookmarkEnd w:id="397"/>
      <w:bookmarkEnd w:id="398"/>
      <w:bookmarkEnd w:id="399"/>
    </w:p>
    <w:p w14:paraId="1507FA63">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2.14.1 双方当事人不得擅自中止或者终止合同；</w:t>
      </w:r>
    </w:p>
    <w:p w14:paraId="09066681">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56A48707">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400" w:name="_Toc9584"/>
      <w:bookmarkStart w:id="401" w:name="_Toc23912"/>
      <w:bookmarkStart w:id="402" w:name="_Toc25753"/>
      <w:bookmarkStart w:id="403" w:name="_Toc1969"/>
      <w:bookmarkStart w:id="404" w:name="_Toc17363"/>
      <w:bookmarkStart w:id="405" w:name="_Toc14525"/>
      <w:bookmarkStart w:id="406" w:name="_Toc32535"/>
      <w:bookmarkStart w:id="407" w:name="_Toc6589"/>
      <w:r>
        <w:rPr>
          <w:rFonts w:hint="eastAsia" w:ascii="宋体" w:hAnsi="宋体" w:cs="宋体"/>
          <w:b/>
          <w:color w:val="000000" w:themeColor="text1"/>
          <w:sz w:val="24"/>
          <w:highlight w:val="none"/>
          <w14:textFill>
            <w14:solidFill>
              <w14:schemeClr w14:val="tx1"/>
            </w14:solidFill>
          </w14:textFill>
        </w:rPr>
        <w:t>2.15 检验和验收</w:t>
      </w:r>
      <w:bookmarkEnd w:id="400"/>
      <w:bookmarkEnd w:id="401"/>
      <w:bookmarkEnd w:id="402"/>
      <w:bookmarkEnd w:id="403"/>
      <w:bookmarkEnd w:id="404"/>
      <w:bookmarkEnd w:id="405"/>
      <w:bookmarkEnd w:id="406"/>
      <w:bookmarkEnd w:id="407"/>
    </w:p>
    <w:p w14:paraId="33883AEE">
      <w:pPr>
        <w:keepNext w:val="0"/>
        <w:keepLines w:val="0"/>
        <w:pageBreakBefore w:val="0"/>
        <w:tabs>
          <w:tab w:val="left" w:pos="360"/>
          <w:tab w:val="left" w:pos="540"/>
          <w:tab w:val="left" w:pos="1080"/>
        </w:tabs>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2.15.1 乙方按照</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的约定，定期提交服务报告，甲方按照</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的约定进行定期验收；</w:t>
      </w:r>
    </w:p>
    <w:p w14:paraId="4184C4CC">
      <w:pPr>
        <w:keepNext w:val="0"/>
        <w:keepLines w:val="0"/>
        <w:pageBreakBefore w:val="0"/>
        <w:tabs>
          <w:tab w:val="left" w:pos="360"/>
          <w:tab w:val="left" w:pos="540"/>
          <w:tab w:val="left" w:pos="1080"/>
        </w:tabs>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E93BCA1">
      <w:pPr>
        <w:keepNext w:val="0"/>
        <w:keepLines w:val="0"/>
        <w:pageBreakBefore w:val="0"/>
        <w:tabs>
          <w:tab w:val="left" w:pos="360"/>
          <w:tab w:val="left" w:pos="540"/>
          <w:tab w:val="left" w:pos="1080"/>
        </w:tabs>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2.15.3 检验和验收标准、程序等具体内容以及前述验收书的效力详见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i/>
          <w:color w:val="000000" w:themeColor="text1"/>
          <w:sz w:val="24"/>
          <w:highlight w:val="none"/>
          <w14:textFill>
            <w14:solidFill>
              <w14:schemeClr w14:val="tx1"/>
            </w14:solidFill>
          </w14:textFill>
        </w:rPr>
        <w:t>。</w:t>
      </w:r>
    </w:p>
    <w:bookmarkEnd w:id="339"/>
    <w:bookmarkEnd w:id="340"/>
    <w:bookmarkEnd w:id="341"/>
    <w:bookmarkEnd w:id="342"/>
    <w:p w14:paraId="0E355804">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408" w:name="_Toc259093690"/>
      <w:bookmarkStart w:id="409" w:name="_Toc279701261"/>
      <w:bookmarkStart w:id="410" w:name="_Toc487900371"/>
      <w:bookmarkStart w:id="411" w:name="_Toc25198"/>
      <w:bookmarkStart w:id="412" w:name="_Toc8129"/>
      <w:bookmarkStart w:id="413" w:name="_Toc9808"/>
      <w:bookmarkStart w:id="414" w:name="_Toc12666"/>
      <w:bookmarkStart w:id="415" w:name="_Toc26095"/>
      <w:bookmarkStart w:id="416" w:name="_Toc12444"/>
      <w:bookmarkStart w:id="417" w:name="_Toc2308"/>
      <w:bookmarkStart w:id="418" w:name="_Toc31892"/>
      <w:bookmarkStart w:id="419" w:name="_Toc28885"/>
      <w:bookmarkStart w:id="420" w:name="_Toc22825"/>
      <w:r>
        <w:rPr>
          <w:rFonts w:hint="eastAsia" w:ascii="宋体" w:hAnsi="宋体" w:cs="宋体"/>
          <w:b/>
          <w:color w:val="000000" w:themeColor="text1"/>
          <w:sz w:val="24"/>
          <w:highlight w:val="none"/>
          <w14:textFill>
            <w14:solidFill>
              <w14:schemeClr w14:val="tx1"/>
            </w14:solidFill>
          </w14:textFill>
        </w:rPr>
        <w:t>2.16 通知</w:t>
      </w:r>
      <w:bookmarkEnd w:id="408"/>
      <w:bookmarkEnd w:id="409"/>
      <w:bookmarkEnd w:id="410"/>
      <w:r>
        <w:rPr>
          <w:rFonts w:hint="eastAsia" w:ascii="宋体" w:hAnsi="宋体" w:cs="宋体"/>
          <w:b/>
          <w:color w:val="000000" w:themeColor="text1"/>
          <w:sz w:val="24"/>
          <w:highlight w:val="none"/>
          <w14:textFill>
            <w14:solidFill>
              <w14:schemeClr w14:val="tx1"/>
            </w14:solidFill>
          </w14:textFill>
        </w:rPr>
        <w:t>和送达</w:t>
      </w:r>
      <w:bookmarkEnd w:id="411"/>
      <w:bookmarkEnd w:id="412"/>
      <w:bookmarkEnd w:id="413"/>
      <w:bookmarkEnd w:id="414"/>
      <w:bookmarkEnd w:id="415"/>
      <w:bookmarkEnd w:id="416"/>
      <w:bookmarkEnd w:id="417"/>
      <w:bookmarkEnd w:id="418"/>
      <w:bookmarkEnd w:id="419"/>
      <w:bookmarkEnd w:id="420"/>
    </w:p>
    <w:p w14:paraId="52F9508D">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bookmarkStart w:id="421" w:name="_Toc29220"/>
      <w:bookmarkStart w:id="422" w:name="_Toc7073"/>
      <w:bookmarkStart w:id="423" w:name="_Toc259093691"/>
      <w:bookmarkStart w:id="424" w:name="_Toc279701262"/>
      <w:bookmarkStart w:id="425" w:name="_Toc487900372"/>
      <w:r>
        <w:rPr>
          <w:rFonts w:hint="eastAsia" w:ascii="宋体" w:hAnsi="宋体" w:cs="宋体"/>
          <w:color w:val="000000" w:themeColor="text1"/>
          <w:sz w:val="24"/>
          <w:highlight w:val="none"/>
          <w14:textFill>
            <w14:solidFill>
              <w14:schemeClr w14:val="tx1"/>
            </w14:solidFill>
          </w14:textFill>
        </w:rPr>
        <w:t>2.16.1 任何一方因履行合同而以合同第一部分尾部所列明的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bookmarkEnd w:id="421"/>
      <w:bookmarkEnd w:id="422"/>
    </w:p>
    <w:p w14:paraId="12C3C800">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bookmarkStart w:id="426" w:name="_Toc27674"/>
      <w:bookmarkStart w:id="427" w:name="_Toc18401"/>
      <w:r>
        <w:rPr>
          <w:rFonts w:hint="eastAsia" w:ascii="宋体" w:hAnsi="宋体" w:cs="宋体"/>
          <w:color w:val="000000" w:themeColor="text1"/>
          <w:sz w:val="24"/>
          <w:highlight w:val="none"/>
          <w14:textFill>
            <w14:solidFill>
              <w14:schemeClr w14:val="tx1"/>
            </w14:solidFill>
          </w14:textFill>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26"/>
      <w:bookmarkEnd w:id="427"/>
    </w:p>
    <w:bookmarkEnd w:id="423"/>
    <w:bookmarkEnd w:id="424"/>
    <w:bookmarkEnd w:id="425"/>
    <w:p w14:paraId="4DD3D146">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428" w:name="_Toc487900373"/>
      <w:bookmarkStart w:id="429" w:name="_Toc259093692"/>
      <w:bookmarkStart w:id="430" w:name="_Toc556"/>
      <w:bookmarkStart w:id="431" w:name="_Toc27644"/>
      <w:bookmarkStart w:id="432" w:name="_Toc21204"/>
      <w:bookmarkStart w:id="433" w:name="_Toc12254"/>
      <w:bookmarkStart w:id="434" w:name="_Toc279701263"/>
      <w:bookmarkStart w:id="435" w:name="_Toc20808"/>
      <w:bookmarkStart w:id="436" w:name="_Toc20930"/>
      <w:bookmarkStart w:id="437" w:name="_Toc5063"/>
      <w:bookmarkStart w:id="438" w:name="_Toc1425"/>
      <w:bookmarkStart w:id="439" w:name="_Toc19321"/>
      <w:r>
        <w:rPr>
          <w:rFonts w:hint="eastAsia" w:ascii="宋体" w:hAnsi="宋体" w:cs="宋体"/>
          <w:b/>
          <w:color w:val="000000" w:themeColor="text1"/>
          <w:sz w:val="24"/>
          <w:highlight w:val="none"/>
          <w14:textFill>
            <w14:solidFill>
              <w14:schemeClr w14:val="tx1"/>
            </w14:solidFill>
          </w14:textFill>
        </w:rPr>
        <w:t>2.17 合同使用的文字和适用的法律</w:t>
      </w:r>
      <w:bookmarkEnd w:id="428"/>
      <w:bookmarkEnd w:id="429"/>
      <w:bookmarkEnd w:id="430"/>
      <w:bookmarkEnd w:id="431"/>
      <w:bookmarkEnd w:id="432"/>
      <w:bookmarkEnd w:id="433"/>
      <w:bookmarkEnd w:id="434"/>
      <w:bookmarkEnd w:id="435"/>
      <w:bookmarkEnd w:id="436"/>
      <w:bookmarkEnd w:id="437"/>
      <w:bookmarkEnd w:id="438"/>
      <w:bookmarkEnd w:id="439"/>
    </w:p>
    <w:p w14:paraId="71C4DA2B">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2.17.1 合同使用汉语书就、变更和解释；</w:t>
      </w:r>
    </w:p>
    <w:p w14:paraId="1368A628">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2.17.2 合同适用中华人民共和国法律。</w:t>
      </w:r>
    </w:p>
    <w:p w14:paraId="530C9A4C">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bookmarkStart w:id="440" w:name="_Toc259093693"/>
      <w:bookmarkStart w:id="441" w:name="_Toc17578"/>
      <w:bookmarkStart w:id="442" w:name="_Toc30312"/>
      <w:bookmarkStart w:id="443" w:name="_Toc27127"/>
      <w:bookmarkStart w:id="444" w:name="_Toc279701264"/>
      <w:bookmarkStart w:id="445" w:name="_Toc22266"/>
      <w:bookmarkStart w:id="446" w:name="_Toc26895"/>
      <w:bookmarkStart w:id="447" w:name="_Toc27403"/>
      <w:bookmarkStart w:id="448" w:name="_Toc1492"/>
      <w:bookmarkStart w:id="449" w:name="_Toc25275"/>
      <w:bookmarkStart w:id="450" w:name="_Toc29543"/>
      <w:bookmarkStart w:id="451" w:name="_Toc487900374"/>
      <w:r>
        <w:rPr>
          <w:rFonts w:hint="eastAsia" w:ascii="宋体" w:hAnsi="宋体" w:cs="宋体"/>
          <w:b/>
          <w:color w:val="000000" w:themeColor="text1"/>
          <w:sz w:val="24"/>
          <w:highlight w:val="none"/>
          <w14:textFill>
            <w14:solidFill>
              <w14:schemeClr w14:val="tx1"/>
            </w14:solidFill>
          </w14:textFill>
        </w:rPr>
        <w:t>2.18 履约保证金</w:t>
      </w:r>
      <w:bookmarkEnd w:id="440"/>
      <w:bookmarkEnd w:id="441"/>
      <w:bookmarkEnd w:id="442"/>
      <w:bookmarkEnd w:id="443"/>
      <w:bookmarkEnd w:id="444"/>
      <w:bookmarkEnd w:id="445"/>
      <w:bookmarkEnd w:id="446"/>
      <w:bookmarkEnd w:id="447"/>
      <w:bookmarkEnd w:id="448"/>
      <w:bookmarkEnd w:id="449"/>
      <w:bookmarkEnd w:id="450"/>
    </w:p>
    <w:p w14:paraId="2B1195E4">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2.18.1 采购文件要求乙方提交履约保证金的，乙方应按</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约定的方式，以支票、汇票、本票或者金融机构、担保机构出具的保函等非现金形式，提交不超过合同价10%的履约保证金；</w:t>
      </w:r>
    </w:p>
    <w:p w14:paraId="6A6B22CD">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2.18.2 履约保证金在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约定期间内不予退还或者应完全有效，前述约定期间届满之日起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个工作日内，甲方应将履约保证金退还乙方；</w:t>
      </w:r>
    </w:p>
    <w:p w14:paraId="535CA251">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51"/>
    <w:p w14:paraId="03E4B9F9">
      <w:pPr>
        <w:keepNext w:val="0"/>
        <w:keepLines w:val="0"/>
        <w:pageBreakBefore w:val="0"/>
        <w:kinsoku/>
        <w:wordWrap/>
        <w:overflowPunct/>
        <w:topLinePunct w:val="0"/>
        <w:bidi w:val="0"/>
        <w:spacing w:line="400" w:lineRule="exact"/>
        <w:ind w:firstLine="482" w:firstLineChars="200"/>
        <w:outlineLvl w:val="9"/>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2.19 合同份数</w:t>
      </w:r>
    </w:p>
    <w:p w14:paraId="00D88B89">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合同份数按</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规定，每份均具有同等法律效力。</w:t>
      </w:r>
    </w:p>
    <w:p w14:paraId="39763216">
      <w:pPr>
        <w:pStyle w:val="250"/>
        <w:keepNext w:val="0"/>
        <w:keepLines w:val="0"/>
        <w:pageBreakBefore w:val="0"/>
        <w:kinsoku/>
        <w:wordWrap/>
        <w:overflowPunct/>
        <w:topLinePunct w:val="0"/>
        <w:bidi w:val="0"/>
        <w:spacing w:line="400" w:lineRule="exact"/>
        <w:jc w:val="center"/>
        <w:outlineLvl w:val="9"/>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br w:type="page"/>
      </w:r>
      <w:bookmarkStart w:id="452" w:name="_Toc331685784"/>
    </w:p>
    <w:p w14:paraId="30CB2B9A">
      <w:pPr>
        <w:pStyle w:val="250"/>
        <w:keepNext w:val="0"/>
        <w:keepLines w:val="0"/>
        <w:pageBreakBefore w:val="0"/>
        <w:kinsoku/>
        <w:wordWrap/>
        <w:overflowPunct/>
        <w:topLinePunct w:val="0"/>
        <w:bidi w:val="0"/>
        <w:spacing w:line="400" w:lineRule="exact"/>
        <w:ind w:firstLine="422"/>
        <w:jc w:val="center"/>
        <w:outlineLvl w:val="9"/>
        <w:rPr>
          <w:rFonts w:hint="eastAsia"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第三部分  合同专用条款</w:t>
      </w:r>
      <w:bookmarkEnd w:id="452"/>
    </w:p>
    <w:p w14:paraId="62E81FBA">
      <w:pPr>
        <w:keepNext w:val="0"/>
        <w:keepLines w:val="0"/>
        <w:pageBreakBefore w:val="0"/>
        <w:kinsoku/>
        <w:wordWrap/>
        <w:overflowPunct/>
        <w:topLinePunct w:val="0"/>
        <w:bidi w:val="0"/>
        <w:spacing w:line="400" w:lineRule="exact"/>
        <w:ind w:firstLine="480" w:firstLineChars="200"/>
        <w:outlineLvl w:val="9"/>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51"/>
        <w:tblW w:w="96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35"/>
        <w:gridCol w:w="7545"/>
      </w:tblGrid>
      <w:tr w14:paraId="3F6DE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2135" w:type="dxa"/>
            <w:tcBorders>
              <w:left w:val="single" w:color="auto" w:sz="4" w:space="0"/>
            </w:tcBorders>
            <w:vAlign w:val="center"/>
          </w:tcPr>
          <w:p w14:paraId="43517558">
            <w:pPr>
              <w:keepNext w:val="0"/>
              <w:keepLines w:val="0"/>
              <w:pageBreakBefore w:val="0"/>
              <w:kinsoku/>
              <w:wordWrap/>
              <w:overflowPunct/>
              <w:topLinePunct w:val="0"/>
              <w:bidi w:val="0"/>
              <w:spacing w:line="400" w:lineRule="exact"/>
              <w:jc w:val="center"/>
              <w:outlineLvl w:val="9"/>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7545" w:type="dxa"/>
            <w:vAlign w:val="center"/>
          </w:tcPr>
          <w:p w14:paraId="69A38539">
            <w:pPr>
              <w:keepNext w:val="0"/>
              <w:keepLines w:val="0"/>
              <w:pageBreakBefore w:val="0"/>
              <w:kinsoku/>
              <w:wordWrap/>
              <w:overflowPunct/>
              <w:topLinePunct w:val="0"/>
              <w:bidi w:val="0"/>
              <w:spacing w:line="400" w:lineRule="exact"/>
              <w:jc w:val="center"/>
              <w:outlineLvl w:val="9"/>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约定内容</w:t>
            </w:r>
          </w:p>
        </w:tc>
      </w:tr>
      <w:tr w14:paraId="6A36C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2135" w:type="dxa"/>
            <w:tcBorders>
              <w:left w:val="single" w:color="auto" w:sz="4" w:space="0"/>
            </w:tcBorders>
            <w:vAlign w:val="center"/>
          </w:tcPr>
          <w:p w14:paraId="032822E3">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72D366F4">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640EA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135" w:type="dxa"/>
            <w:tcBorders>
              <w:left w:val="single" w:color="auto" w:sz="4" w:space="0"/>
            </w:tcBorders>
            <w:vAlign w:val="center"/>
          </w:tcPr>
          <w:p w14:paraId="2FFF64E9">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0E84F3F9">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63260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135" w:type="dxa"/>
            <w:tcBorders>
              <w:left w:val="single" w:color="auto" w:sz="4" w:space="0"/>
            </w:tcBorders>
            <w:vAlign w:val="center"/>
          </w:tcPr>
          <w:p w14:paraId="172BCB30">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0655411B">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03DF5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135" w:type="dxa"/>
            <w:tcBorders>
              <w:left w:val="single" w:color="auto" w:sz="4" w:space="0"/>
            </w:tcBorders>
            <w:vAlign w:val="center"/>
          </w:tcPr>
          <w:p w14:paraId="0B537C21">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0DD5EA88">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2BF78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14:paraId="3827D1E8">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69713BB8">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u w:val="single"/>
                <w14:textFill>
                  <w14:solidFill>
                    <w14:schemeClr w14:val="tx1"/>
                  </w14:solidFill>
                </w14:textFill>
              </w:rPr>
            </w:pPr>
          </w:p>
        </w:tc>
      </w:tr>
      <w:tr w14:paraId="2C5C7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14:paraId="6EC02A57">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33309DF8">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781D7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2135" w:type="dxa"/>
            <w:tcBorders>
              <w:left w:val="single" w:color="auto" w:sz="4" w:space="0"/>
            </w:tcBorders>
            <w:vAlign w:val="center"/>
          </w:tcPr>
          <w:p w14:paraId="4B4B8A18">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721D9559">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u w:val="single"/>
                <w14:textFill>
                  <w14:solidFill>
                    <w14:schemeClr w14:val="tx1"/>
                  </w14:solidFill>
                </w14:textFill>
              </w:rPr>
            </w:pPr>
          </w:p>
        </w:tc>
      </w:tr>
      <w:tr w14:paraId="60B87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14:paraId="1065341D">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5691DC54">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2FFC9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14:paraId="2D41A7EE">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576C8B08">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7D573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14:paraId="2F26920A">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1954BA9D">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24D0C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14:paraId="71E867CE">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2A084E97">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r w14:paraId="1F38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2135" w:type="dxa"/>
            <w:tcBorders>
              <w:left w:val="single" w:color="auto" w:sz="4" w:space="0"/>
            </w:tcBorders>
            <w:vAlign w:val="center"/>
          </w:tcPr>
          <w:p w14:paraId="7F984B99">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c>
          <w:tcPr>
            <w:tcW w:w="7545" w:type="dxa"/>
            <w:vAlign w:val="center"/>
          </w:tcPr>
          <w:p w14:paraId="17CC5078">
            <w:pPr>
              <w:keepNext w:val="0"/>
              <w:keepLines w:val="0"/>
              <w:pageBreakBefore w:val="0"/>
              <w:kinsoku/>
              <w:wordWrap/>
              <w:overflowPunct/>
              <w:topLinePunct w:val="0"/>
              <w:bidi w:val="0"/>
              <w:spacing w:line="400" w:lineRule="exact"/>
              <w:outlineLvl w:val="9"/>
              <w:rPr>
                <w:rFonts w:hint="eastAsia" w:ascii="宋体" w:hAnsi="宋体" w:cs="宋体"/>
                <w:color w:val="000000" w:themeColor="text1"/>
                <w:sz w:val="24"/>
                <w:highlight w:val="none"/>
                <w14:textFill>
                  <w14:solidFill>
                    <w14:schemeClr w14:val="tx1"/>
                  </w14:solidFill>
                </w14:textFill>
              </w:rPr>
            </w:pPr>
          </w:p>
        </w:tc>
      </w:tr>
    </w:tbl>
    <w:p w14:paraId="761233B0">
      <w:pPr>
        <w:keepNext w:val="0"/>
        <w:keepLines w:val="0"/>
        <w:pageBreakBefore w:val="0"/>
        <w:kinsoku/>
        <w:wordWrap/>
        <w:overflowPunct/>
        <w:topLinePunct w:val="0"/>
        <w:bidi w:val="0"/>
        <w:spacing w:after="156" w:line="400" w:lineRule="exact"/>
        <w:outlineLvl w:val="9"/>
        <w:rPr>
          <w:rFonts w:hint="eastAsia" w:ascii="宋体" w:hAnsi="宋体" w:cs="宋体"/>
          <w:color w:val="000000" w:themeColor="text1"/>
          <w:highlight w:val="none"/>
          <w14:textFill>
            <w14:solidFill>
              <w14:schemeClr w14:val="tx1"/>
            </w14:solidFill>
          </w14:textFill>
        </w:rPr>
      </w:pPr>
    </w:p>
    <w:p w14:paraId="17E7AB98">
      <w:pPr>
        <w:keepNext w:val="0"/>
        <w:keepLines w:val="0"/>
        <w:pageBreakBefore w:val="0"/>
        <w:kinsoku/>
        <w:wordWrap/>
        <w:overflowPunct/>
        <w:topLinePunct w:val="0"/>
        <w:bidi w:val="0"/>
        <w:spacing w:line="360" w:lineRule="auto"/>
        <w:ind w:firstLine="643" w:firstLineChars="200"/>
        <w:jc w:val="left"/>
        <w:outlineLvl w:val="9"/>
        <w:rPr>
          <w:rFonts w:hint="eastAsia" w:ascii="宋体" w:hAnsi="宋体" w:cs="宋体"/>
          <w:b/>
          <w:color w:val="000000" w:themeColor="text1"/>
          <w:sz w:val="32"/>
          <w:szCs w:val="32"/>
          <w:highlight w:val="none"/>
          <w:u w:val="single"/>
          <w14:textFill>
            <w14:solidFill>
              <w14:schemeClr w14:val="tx1"/>
            </w14:solidFill>
          </w14:textFill>
        </w:rPr>
      </w:pPr>
      <w:r>
        <w:rPr>
          <w:rFonts w:hint="eastAsia" w:ascii="宋体" w:hAnsi="宋体" w:cs="宋体"/>
          <w:b/>
          <w:color w:val="000000" w:themeColor="text1"/>
          <w:sz w:val="32"/>
          <w:szCs w:val="32"/>
          <w:highlight w:val="none"/>
          <w:u w:val="single"/>
          <w14:textFill>
            <w14:solidFill>
              <w14:schemeClr w14:val="tx1"/>
            </w14:solidFill>
          </w14:textFill>
        </w:rPr>
        <w:t>注：最终合同已与甲方签订的合同为准。</w:t>
      </w:r>
    </w:p>
    <w:p w14:paraId="5C8507F4">
      <w:pPr>
        <w:pStyle w:val="26"/>
        <w:keepLines w:val="0"/>
        <w:pageBreakBefore w:val="0"/>
        <w:widowControl w:val="0"/>
        <w:kinsoku/>
        <w:wordWrap/>
        <w:overflowPunct/>
        <w:topLinePunct w:val="0"/>
        <w:autoSpaceDE/>
        <w:autoSpaceDN/>
        <w:bidi w:val="0"/>
        <w:adjustRightInd/>
        <w:snapToGrid w:val="0"/>
        <w:spacing w:before="120" w:after="120" w:line="4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3ABECA2">
      <w:pPr>
        <w:pStyle w:val="3"/>
        <w:rPr>
          <w:rFonts w:hint="eastAsia" w:ascii="宋体" w:hAnsi="宋体" w:eastAsia="宋体" w:cs="宋体"/>
          <w:b/>
          <w:bCs w:val="0"/>
          <w:color w:val="000000" w:themeColor="text1"/>
          <w:sz w:val="44"/>
          <w:highlight w:val="none"/>
          <w:lang w:eastAsia="zh-CN"/>
          <w14:textFill>
            <w14:solidFill>
              <w14:schemeClr w14:val="tx1"/>
            </w14:solidFill>
          </w14:textFill>
        </w:rPr>
      </w:pPr>
      <w:r>
        <w:rPr>
          <w:rFonts w:hint="eastAsia" w:ascii="宋体" w:hAnsi="宋体" w:eastAsia="宋体" w:cs="宋体"/>
          <w:b/>
          <w:bCs w:val="0"/>
          <w:color w:val="000000" w:themeColor="text1"/>
          <w:sz w:val="44"/>
          <w:highlight w:val="none"/>
          <w14:textFill>
            <w14:solidFill>
              <w14:schemeClr w14:val="tx1"/>
            </w14:solidFill>
          </w14:textFill>
        </w:rPr>
        <w:t>第</w:t>
      </w:r>
      <w:bookmarkEnd w:id="148"/>
      <w:r>
        <w:rPr>
          <w:rFonts w:hint="eastAsia" w:ascii="宋体" w:hAnsi="宋体" w:eastAsia="宋体" w:cs="宋体"/>
          <w:b/>
          <w:bCs w:val="0"/>
          <w:color w:val="000000" w:themeColor="text1"/>
          <w:sz w:val="44"/>
          <w:highlight w:val="none"/>
          <w14:textFill>
            <w14:solidFill>
              <w14:schemeClr w14:val="tx1"/>
            </w14:solidFill>
          </w14:textFill>
        </w:rPr>
        <w:t>四章 项目需求</w:t>
      </w:r>
      <w:bookmarkEnd w:id="149"/>
      <w:bookmarkEnd w:id="150"/>
      <w:bookmarkEnd w:id="151"/>
      <w:bookmarkEnd w:id="152"/>
      <w:bookmarkStart w:id="453" w:name="_Toc49090575"/>
      <w:bookmarkStart w:id="454" w:name="_Toc120614281"/>
      <w:bookmarkStart w:id="455" w:name="_Toc26554093"/>
    </w:p>
    <w:p w14:paraId="63415010">
      <w:pPr>
        <w:pStyle w:val="5"/>
        <w:pageBreakBefore w:val="0"/>
        <w:widowControl w:val="0"/>
        <w:numPr>
          <w:ilvl w:val="2"/>
          <w:numId w:val="0"/>
        </w:numPr>
        <w:tabs>
          <w:tab w:val="left" w:pos="432"/>
        </w:tabs>
        <w:kinsoku/>
        <w:wordWrap/>
        <w:overflowPunct/>
        <w:topLinePunct w:val="0"/>
        <w:autoSpaceDE/>
        <w:autoSpaceDN/>
        <w:bidi w:val="0"/>
        <w:adjustRightInd/>
        <w:snapToGrid/>
        <w:spacing w:before="0" w:after="0" w:line="360" w:lineRule="auto"/>
        <w:ind w:leftChars="0" w:firstLine="720" w:firstLineChars="3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456" w:name="_Toc534816637"/>
      <w:bookmarkStart w:id="457" w:name="_Toc534725608"/>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val="0"/>
          <w:bCs w:val="0"/>
          <w:color w:val="000000" w:themeColor="text1"/>
          <w:sz w:val="24"/>
          <w:szCs w:val="24"/>
          <w:highlight w:val="none"/>
          <w14:textFill>
            <w14:solidFill>
              <w14:schemeClr w14:val="tx1"/>
            </w14:solidFill>
          </w14:textFill>
        </w:rPr>
        <w:t>技术需求</w:t>
      </w:r>
      <w:bookmarkEnd w:id="456"/>
      <w:bookmarkEnd w:id="457"/>
    </w:p>
    <w:p w14:paraId="7222437C">
      <w:pPr>
        <w:pStyle w:val="6"/>
        <w:pageBreakBefore w:val="0"/>
        <w:widowControl w:val="0"/>
        <w:numPr>
          <w:ilvl w:val="0"/>
          <w:numId w:val="0"/>
        </w:numPr>
        <w:kinsoku/>
        <w:wordWrap/>
        <w:overflowPunct/>
        <w:topLinePunct w:val="0"/>
        <w:autoSpaceDE/>
        <w:autoSpaceDN/>
        <w:bidi w:val="0"/>
        <w:adjustRightInd/>
        <w:snapToGrid/>
        <w:spacing w:before="0" w:after="0" w:line="360" w:lineRule="auto"/>
        <w:ind w:left="640" w:leftChars="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）项目概述及需求</w:t>
      </w:r>
    </w:p>
    <w:p w14:paraId="54D2DB02">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地质大数据与智能计算云服务平台基础设施整合与升级</w:t>
      </w:r>
      <w:r>
        <w:rPr>
          <w:rFonts w:hint="eastAsia"/>
          <w:color w:val="000000" w:themeColor="text1"/>
          <w:highlight w:val="none"/>
          <w:lang w:eastAsia="zh-CN"/>
          <w14:textFill>
            <w14:solidFill>
              <w14:schemeClr w14:val="tx1"/>
            </w14:solidFill>
          </w14:textFill>
        </w:rPr>
        <w:t>。</w:t>
      </w:r>
    </w:p>
    <w:p w14:paraId="10763D43">
      <w:pPr>
        <w:pStyle w:val="6"/>
        <w:pageBreakBefore w:val="0"/>
        <w:widowControl w:val="0"/>
        <w:numPr>
          <w:ilvl w:val="0"/>
          <w:numId w:val="0"/>
        </w:numPr>
        <w:kinsoku/>
        <w:wordWrap/>
        <w:overflowPunct/>
        <w:topLinePunct w:val="0"/>
        <w:autoSpaceDE/>
        <w:autoSpaceDN/>
        <w:bidi w:val="0"/>
        <w:adjustRightInd/>
        <w:snapToGrid/>
        <w:spacing w:before="0" w:after="0" w:line="360" w:lineRule="auto"/>
        <w:ind w:left="640" w:leftChars="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）项目技术规格及要求</w:t>
      </w:r>
    </w:p>
    <w:tbl>
      <w:tblPr>
        <w:tblStyle w:val="5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7985"/>
        <w:gridCol w:w="973"/>
      </w:tblGrid>
      <w:tr w14:paraId="15A8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Align w:val="center"/>
          </w:tcPr>
          <w:p w14:paraId="4039364F">
            <w:pPr>
              <w:widowControl/>
              <w:spacing w:line="360" w:lineRule="auto"/>
              <w:ind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458" w:name="_Toc534816638"/>
            <w:bookmarkStart w:id="459" w:name="_Toc534725609"/>
            <w:r>
              <w:rPr>
                <w:rFonts w:hint="eastAsia" w:ascii="宋体" w:hAnsi="宋体" w:eastAsia="宋体" w:cs="宋体"/>
                <w:b/>
                <w:bCs/>
                <w:color w:val="000000" w:themeColor="text1"/>
                <w:sz w:val="24"/>
                <w:szCs w:val="24"/>
                <w:highlight w:val="none"/>
                <w14:textFill>
                  <w14:solidFill>
                    <w14:schemeClr w14:val="tx1"/>
                  </w14:solidFill>
                </w14:textFill>
              </w:rPr>
              <w:t>名称</w:t>
            </w:r>
          </w:p>
        </w:tc>
        <w:tc>
          <w:tcPr>
            <w:tcW w:w="4007" w:type="pct"/>
            <w:vAlign w:val="center"/>
          </w:tcPr>
          <w:p w14:paraId="6DE54099">
            <w:pPr>
              <w:widowControl/>
              <w:spacing w:line="360" w:lineRule="auto"/>
              <w:ind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参数要求</w:t>
            </w:r>
          </w:p>
        </w:tc>
        <w:tc>
          <w:tcPr>
            <w:tcW w:w="488" w:type="pct"/>
          </w:tcPr>
          <w:p w14:paraId="7E39512A">
            <w:pPr>
              <w:widowControl/>
              <w:spacing w:line="360" w:lineRule="auto"/>
              <w:ind w:firstLine="0" w:firstLineChars="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r>
      <w:tr w14:paraId="6585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Align w:val="center"/>
          </w:tcPr>
          <w:p w14:paraId="5F3A9F7F">
            <w:pPr>
              <w:widowControl/>
              <w:spacing w:line="36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云平台软件</w:t>
            </w:r>
          </w:p>
        </w:tc>
        <w:tc>
          <w:tcPr>
            <w:tcW w:w="7985" w:type="dxa"/>
            <w:vAlign w:val="center"/>
          </w:tcPr>
          <w:p w14:paraId="017ECE42">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提供50颗物理CPU云平台软件授权，含3年售后技术支持服务。软件授权对单台设备不限制每颗CPU核心数、内存容量、存储容量、网卡数量等，保证用户日后基于配件级扩容。为了灵活变更资源和应用许可授权，所投产品的许可授权应保证不与计算节点硬件绑定，即涉及服务器硬件更换/调整、管理平台所在的服务器迁移等情况，均不对已有许可授权造成影响、无需更新许可授权。支持将软件license转移或拆分到其他（Intel、海光、鲲鹏等）硬件平台设备，需提供包括产品授权说明的承诺函；</w:t>
            </w:r>
          </w:p>
          <w:p w14:paraId="509FF3F9">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为保证本次采购平台兼容性，要求本次采购设备及软件必须能够接入现有设备集群及管理平台，可与现有云平台实现统一管理。可实现与现有云资源池对接，达到云平台的统一管理运维，数据的无缝对接能力。须</w:t>
            </w:r>
            <w:r>
              <w:rPr>
                <w:rFonts w:hint="eastAsia" w:ascii="宋体" w:hAnsi="宋体" w:eastAsia="宋体" w:cs="宋体"/>
                <w:color w:val="000000" w:themeColor="text1"/>
                <w:kern w:val="0"/>
                <w:sz w:val="24"/>
                <w:highlight w:val="none"/>
                <w:lang w:val="en-US" w:eastAsia="zh-CN"/>
                <w14:textFill>
                  <w14:solidFill>
                    <w14:schemeClr w14:val="tx1"/>
                  </w14:solidFill>
                </w14:textFill>
              </w:rPr>
              <w:t>提供</w:t>
            </w:r>
            <w:r>
              <w:rPr>
                <w:rFonts w:hint="eastAsia" w:ascii="宋体" w:hAnsi="宋体" w:eastAsia="宋体" w:cs="宋体"/>
                <w:color w:val="000000" w:themeColor="text1"/>
                <w:kern w:val="0"/>
                <w:sz w:val="24"/>
                <w:highlight w:val="none"/>
                <w14:textFill>
                  <w14:solidFill>
                    <w14:schemeClr w14:val="tx1"/>
                  </w14:solidFill>
                </w14:textFill>
              </w:rPr>
              <w:t>兼容性承诺函；</w:t>
            </w:r>
          </w:p>
          <w:p w14:paraId="0BC2785A">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★为保证现有资产不流失浪费，平台需支持利旧服务器，能够兼容现有多品牌、多架构服务器，须</w:t>
            </w:r>
            <w:r>
              <w:rPr>
                <w:rFonts w:hint="eastAsia" w:ascii="宋体" w:hAnsi="宋体" w:eastAsia="宋体" w:cs="宋体"/>
                <w:color w:val="000000" w:themeColor="text1"/>
                <w:kern w:val="0"/>
                <w:sz w:val="24"/>
                <w:highlight w:val="none"/>
                <w:lang w:val="en-US" w:eastAsia="zh-CN"/>
                <w14:textFill>
                  <w14:solidFill>
                    <w14:schemeClr w14:val="tx1"/>
                  </w14:solidFill>
                </w14:textFill>
              </w:rPr>
              <w:t>提供</w:t>
            </w:r>
            <w:r>
              <w:rPr>
                <w:rFonts w:hint="eastAsia" w:ascii="宋体" w:hAnsi="宋体" w:eastAsia="宋体" w:cs="宋体"/>
                <w:color w:val="000000" w:themeColor="text1"/>
                <w:kern w:val="0"/>
                <w:sz w:val="24"/>
                <w:highlight w:val="none"/>
                <w14:textFill>
                  <w14:solidFill>
                    <w14:schemeClr w14:val="tx1"/>
                  </w14:solidFill>
                </w14:textFill>
              </w:rPr>
              <w:t>兼容性承诺函；</w:t>
            </w:r>
          </w:p>
          <w:p w14:paraId="412B4B17">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计算虚拟化服务：将物理服务器CPU、内存等进行虚拟化池化，为上层应用弹性计算资源服务，支持管理节点高可用和虚拟机高可用、云主机快照等全部功能。为实现多架构兼容性，云平台需支持基于ARM架构（鲲鹏、飞腾）国产芯片、C86架构（海光）国产芯片、x86架构（兆芯、Intel、AMD）芯片、LoongArch架构（龙芯）国产芯片、SW64架构（申威）国产芯片的服务器型号，提供针对海光、鲲鹏、兆芯、飞腾、申威、龙芯的CPU兼容认证报告；</w:t>
            </w:r>
          </w:p>
          <w:p w14:paraId="6698D164">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存储虚拟化对接服务：为实现多存储架构的兼容性，云平台需支持对接FC-SAN、IP-SAN、本地存储、NFS、Vhost、分布式存储、NVMe存储等不同存储接口，为云主机提供存储服务，提供产品功能截图证明材料或第三方权威测试报告；</w:t>
            </w:r>
          </w:p>
          <w:p w14:paraId="72FD4169">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配置云盘管理服务：支持云盘QoS功能，支持共享云盘功能，支持在线云盘扩容功能，支持云盘快照、克隆、创建镜像功能，提供产品功能截图证明材料或第三方权威测试报告；</w:t>
            </w:r>
          </w:p>
          <w:p w14:paraId="44A1193D">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网络虚拟化服务：提供软件实现的网络虚拟化功能，无须采购专有网络设备，无需绑定网络硬件，无需使用有SDN功能的交换机，也无需专用服务器硬件来部署SDN控制器，支持VLAN、VXLAN、PVLAN等组网模式。提供产品功能截图证明材料或第三方权威测试报告；</w:t>
            </w:r>
          </w:p>
          <w:p w14:paraId="1EFDB3BB">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配置网卡切割能力：为保障高并发业务的网络性能需求，云平台须支持在UI界面将物理网卡虚拟化切割成多张VF类型的网卡直接给云主机使用，提供产品功能截图证明材料或第三方权威测试报告；</w:t>
            </w:r>
          </w:p>
          <w:p w14:paraId="74D4AC08">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▲配置网络功能虚拟化服务：提供NFV能力，提供VPC网络、安全组、负载均衡、虚拟防火墙、端口转发、虚拟IP、端口镜像、Netflow、OSPF动态路由、IPsec VPN、组播路由等网络功能，且不限制使用数量。提供产品功能截图证明材料或第三方权威测试报告；需额外承诺上述功能不限制使用数量；</w:t>
            </w:r>
          </w:p>
          <w:p w14:paraId="35430321">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网络负载均衡能力：云平台须支持在任意三层网络中创建负载均衡器，通过流量分发扩展应用系统对内的服务能力；负载均衡器不限数量、吞吐速率、带宽性能；支持TCP/UDP/HTTP/HTTPS协议、轮询/最小链接/源地址哈希/加权轮询等不同算法的负载均衡服务，负载均衡器可以将公网地址的访问流量分发到一组后端的云主机上，提供产品功能截图证明材料或第三方权威测试报告；</w:t>
            </w:r>
          </w:p>
          <w:p w14:paraId="0FE78A5B">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配置云平台企业级服务：提供云主机弹性伸缩管理功能；提供大屏监控功能；提供计量计费功能；提供VDI协议服务，提供产品功能截图证明材料或第三方权威测试报告；</w:t>
            </w:r>
          </w:p>
          <w:p w14:paraId="41A3E25E">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为保证数据安全性，云平台内置备份功能，支持对云主机及云盘进行定时全量及增量备份，不限制备份云主机数量及容量。</w:t>
            </w:r>
          </w:p>
          <w:p w14:paraId="150A6910">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GPU管理功能：为满足在云主机中承载AI大模型、图形运算、虚拟桌面工作站等相关业务应用场景需求，云平台须同时支持主流GPU设备的直通和虚拟化，通过全图形化界面操作能够将GPU设备或vGPU设备加载到云主机中，显示物理GPU设备或vGPU设备涉及的GPU显存、温度、功耗等属性，提供产品功能截图证明材料或第三方权威测试报告；</w:t>
            </w:r>
          </w:p>
          <w:p w14:paraId="0A65BD46">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置平台监控管理服务：提供物理机、虚拟机资源运行状态及关键指标（如CPU、内存、网卡、磁盘等资源）用量展示和发布功能，支持系统、邮箱、钉钉、企业微信、飞书、HTTP应用、短信、等途径接收告警消息。提供产品功能截图证明材料或第三方权威测试报告；</w:t>
            </w:r>
          </w:p>
          <w:p w14:paraId="6295CDCE">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▲具备操作便捷性：须支持任意界面打开内部搜索功能，可根据关键词搜索资源、功能入口、相关技术文档及操作实践手册等，提供产品功能截图证明材料或第三方权威测试报告；</w:t>
            </w:r>
          </w:p>
          <w:p w14:paraId="654A2C25">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▲具备使用便捷性：须支持并提供SPICE、VNC、SPICE+VNC三种模式的控制台，提供产品功能截图证明材料或第三方权威测试报告；</w:t>
            </w:r>
          </w:p>
          <w:p w14:paraId="57D88090">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具备高级运维能力：为便于用户运维，云平台需支持自动化运维服务，用户可在UI界面上创建XML hook文件，并加载/卸载到云主机上，实现定制配置和功能扩展，支持使用脚本库，集中存储和管理自动化脚本文件，在云主机内运行脚本，可完成一系列自动化任务，提供产品功能截图证明材料或第三方权威测试报告；</w:t>
            </w:r>
          </w:p>
          <w:p w14:paraId="27281922">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具备开发便捷性：为满足后续二次开发和集成要求，须提供可在线下载的全量API开发手册，JAVA和Python格式的SDK工具包；须支持任意界面一键开启API调用请求实时查看功能，能够在产品页面直接显示调用的API，并可根据API请求类型进行分类查看，提高二次开发效率，提供产品功能截图证明材料或第三方权威测试报告；</w:t>
            </w:r>
          </w:p>
          <w:p w14:paraId="6C697B0E">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▲鉴于本次项目涉及多种架构芯片，需具备拓展便捷性：提供可信云《一云多芯IaaS平台能力检验证书》，达到先进级能力评估要求，达到兼容“一云四架构八芯”评估要求，提供可信云一云多芯检验证书；</w:t>
            </w:r>
          </w:p>
          <w:p w14:paraId="5766D85C">
            <w:pPr>
              <w:pStyle w:val="242"/>
              <w:widowControl/>
              <w:numPr>
                <w:ilvl w:val="0"/>
                <w:numId w:val="12"/>
              </w:numPr>
              <w:spacing w:line="360" w:lineRule="auto"/>
              <w:ind w:firstLineChars="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▲为实现智算生态一体化构建，云平台后期可一键拓展AI MAAS服务能力及容器服务能力，其中AI服务实例、容器实例、虚拟机实例须支持统一管理界面，整合后的云平台支持模型训练与推理所需GPU算力资源的统一调度、管理和运维监控。提供产品功能截图证明材料；</w:t>
            </w:r>
          </w:p>
          <w:p w14:paraId="511849A9">
            <w:pPr>
              <w:pStyle w:val="242"/>
              <w:widowControl/>
              <w:numPr>
                <w:ilvl w:val="0"/>
                <w:numId w:val="12"/>
              </w:numPr>
              <w:spacing w:line="360" w:lineRule="auto"/>
              <w:ind w:left="420" w:leftChars="0" w:hanging="42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▲为积极响应国家政策及相关法律法规，云平台后期可一键支持添加第三方密码服务，为应用提供以商用密码为核心的云安全保障能力，满足在密评场景的云平台合规要求。</w:t>
            </w:r>
          </w:p>
        </w:tc>
        <w:tc>
          <w:tcPr>
            <w:tcW w:w="488" w:type="pct"/>
            <w:vAlign w:val="center"/>
          </w:tcPr>
          <w:p w14:paraId="713D79C4">
            <w:pPr>
              <w:widowControl/>
              <w:spacing w:line="360" w:lineRule="auto"/>
              <w:ind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1套</w:t>
            </w:r>
          </w:p>
        </w:tc>
      </w:tr>
    </w:tbl>
    <w:p w14:paraId="74B8199F">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Courier New" w:eastAsia="宋体" w:cs="Times New Roman"/>
          <w:color w:val="000000" w:themeColor="text1"/>
          <w:highlight w:val="none"/>
          <w:lang w:val="en-US" w:eastAsia="zh-CN"/>
          <w14:textFill>
            <w14:solidFill>
              <w14:schemeClr w14:val="tx1"/>
            </w14:solidFill>
          </w14:textFill>
        </w:rPr>
      </w:pPr>
    </w:p>
    <w:p w14:paraId="1CA0CD8E">
      <w:pPr>
        <w:pStyle w:val="5"/>
        <w:pageBreakBefore w:val="0"/>
        <w:widowControl w:val="0"/>
        <w:numPr>
          <w:ilvl w:val="2"/>
          <w:numId w:val="0"/>
        </w:numPr>
        <w:tabs>
          <w:tab w:val="left" w:pos="432"/>
        </w:tabs>
        <w:kinsoku/>
        <w:wordWrap/>
        <w:overflowPunct/>
        <w:topLinePunct w:val="0"/>
        <w:autoSpaceDE/>
        <w:autoSpaceDN/>
        <w:bidi w:val="0"/>
        <w:adjustRightInd/>
        <w:spacing w:before="0" w:after="0" w:line="360" w:lineRule="auto"/>
        <w:ind w:leftChars="0" w:firstLine="720" w:firstLineChars="3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二、商务条款</w:t>
      </w:r>
      <w:bookmarkEnd w:id="458"/>
      <w:bookmarkEnd w:id="459"/>
    </w:p>
    <w:p w14:paraId="6E2C5703">
      <w:pPr>
        <w:pStyle w:val="6"/>
        <w:pageBreakBefore w:val="0"/>
        <w:widowControl w:val="0"/>
        <w:numPr>
          <w:ilvl w:val="3"/>
          <w:numId w:val="0"/>
        </w:numPr>
        <w:kinsoku/>
        <w:wordWrap/>
        <w:overflowPunct/>
        <w:topLinePunct w:val="0"/>
        <w:autoSpaceDE/>
        <w:autoSpaceDN/>
        <w:bidi w:val="0"/>
        <w:adjustRightInd/>
        <w:spacing w:before="0" w:after="0" w:line="360" w:lineRule="auto"/>
        <w:ind w:left="422" w:leftChars="0" w:firstLine="240" w:firstLineChars="100"/>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1.知识产权</w:t>
      </w:r>
    </w:p>
    <w:p w14:paraId="7ECF91EF">
      <w:pPr>
        <w:pStyle w:val="26"/>
        <w:keepNext w:val="0"/>
        <w:keepLines w:val="0"/>
        <w:pageBreakBefore w:val="0"/>
        <w:widowControl w:val="0"/>
        <w:kinsoku/>
        <w:wordWrap/>
        <w:overflowPunct/>
        <w:topLinePunct w:val="0"/>
        <w:autoSpaceDE/>
        <w:autoSpaceDN/>
        <w:bidi w:val="0"/>
        <w:adjustRightInd/>
        <w:snapToGrid w:val="0"/>
        <w:spacing w:line="360" w:lineRule="auto"/>
        <w:ind w:left="360" w:leftChars="150" w:firstLine="480" w:firstLineChars="200"/>
        <w:textAlignment w:val="auto"/>
        <w:rPr>
          <w:rFonts w:hint="default" w:ascii="宋体" w:hAnsi="宋体" w:eastAsia="宋体" w:cs="宋体"/>
          <w:i/>
          <w:iCs/>
          <w:color w:val="000000" w:themeColor="text1"/>
          <w:kern w:val="0"/>
          <w:sz w:val="24"/>
          <w:highlight w:val="none"/>
          <w:u w:val="single"/>
          <w:lang w:val="en-US" w:eastAsia="zh-CN"/>
          <w14:textFill>
            <w14:solidFill>
              <w14:schemeClr w14:val="tx1"/>
            </w14:solidFill>
          </w14:textFill>
        </w:rPr>
      </w:pPr>
      <w:r>
        <w:rPr>
          <w:rFonts w:hint="eastAsia" w:ascii="宋体" w:hAnsi="宋体" w:eastAsia="宋体" w:cs="宋体"/>
          <w:i/>
          <w:iCs/>
          <w:color w:val="000000" w:themeColor="text1"/>
          <w:kern w:val="0"/>
          <w:sz w:val="24"/>
          <w:highlight w:val="none"/>
          <w:u w:val="single"/>
          <w:lang w:val="en-US" w:eastAsia="zh-CN"/>
          <w14:textFill>
            <w14:solidFill>
              <w14:schemeClr w14:val="tx1"/>
            </w14:solidFill>
          </w14:textFill>
        </w:rPr>
        <w:t>本项目实施过程中产生的知识产权，需确保与项目整体系统的技术兼容性、运行完整性及功能独立性；中标人不得利用自有、第三方已登记或未登记的知识产权用于本项目的开发、升级或改造，若因中标人擅自使用上述知识产权导致任何法律争议，或造成采购人无法独立行使项目相关知识产权、系统运行受阻等损失的，由中标人承担全部法律责任。</w:t>
      </w:r>
    </w:p>
    <w:p w14:paraId="46B923FF">
      <w:pPr>
        <w:pStyle w:val="6"/>
        <w:pageBreakBefore w:val="0"/>
        <w:widowControl w:val="0"/>
        <w:numPr>
          <w:ilvl w:val="3"/>
          <w:numId w:val="0"/>
        </w:numPr>
        <w:kinsoku/>
        <w:wordWrap/>
        <w:overflowPunct/>
        <w:topLinePunct w:val="0"/>
        <w:autoSpaceDE/>
        <w:autoSpaceDN/>
        <w:bidi w:val="0"/>
        <w:adjustRightInd/>
        <w:spacing w:before="0" w:after="0" w:line="360" w:lineRule="auto"/>
        <w:ind w:left="422" w:leftChars="0" w:firstLine="240" w:firstLineChars="1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.质保期</w:t>
      </w:r>
    </w:p>
    <w:p w14:paraId="5FC402DA">
      <w:pPr>
        <w:pStyle w:val="26"/>
        <w:keepNext w:val="0"/>
        <w:keepLines w:val="0"/>
        <w:pageBreakBefore w:val="0"/>
        <w:widowControl w:val="0"/>
        <w:kinsoku/>
        <w:wordWrap/>
        <w:overflowPunct/>
        <w:topLinePunct w:val="0"/>
        <w:autoSpaceDE/>
        <w:autoSpaceDN/>
        <w:bidi w:val="0"/>
        <w:adjustRightInd/>
        <w:snapToGrid w:val="0"/>
        <w:spacing w:line="360" w:lineRule="auto"/>
        <w:ind w:left="360" w:leftChars="150" w:firstLine="480" w:firstLineChars="200"/>
        <w:textAlignment w:val="auto"/>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pPr>
      <w:r>
        <w:rPr>
          <w:rFonts w:hint="eastAsia" w:ascii="宋体" w:hAnsi="宋体" w:eastAsia="宋体" w:cs="宋体"/>
          <w:i/>
          <w:iCs/>
          <w:color w:val="000000" w:themeColor="text1"/>
          <w:kern w:val="0"/>
          <w:sz w:val="24"/>
          <w:highlight w:val="none"/>
          <w:u w:val="single"/>
          <w14:textFill>
            <w14:solidFill>
              <w14:schemeClr w14:val="tx1"/>
            </w14:solidFill>
          </w14:textFill>
        </w:rPr>
        <w:t>★</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 xml:space="preserve">免费质保期 </w:t>
      </w:r>
      <w:r>
        <w:rPr>
          <w:rFonts w:hint="eastAsia" w:hAnsi="宋体" w:eastAsia="宋体" w:cs="宋体"/>
          <w:b w:val="0"/>
          <w:bCs w:val="0"/>
          <w:i/>
          <w:iCs/>
          <w:color w:val="000000" w:themeColor="text1"/>
          <w:sz w:val="24"/>
          <w:szCs w:val="24"/>
          <w:highlight w:val="none"/>
          <w:u w:val="single"/>
          <w:lang w:val="en-US" w:eastAsia="zh-CN"/>
          <w14:textFill>
            <w14:solidFill>
              <w14:schemeClr w14:val="tx1"/>
            </w14:solidFill>
          </w14:textFill>
        </w:rPr>
        <w:t>36</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 xml:space="preserve"> 个月</w:t>
      </w:r>
      <w:r>
        <w:rPr>
          <w:rFonts w:hint="eastAsia" w:hAnsi="宋体" w:eastAsia="宋体" w:cs="宋体"/>
          <w:b w:val="0"/>
          <w:bCs w:val="0"/>
          <w:i/>
          <w:iCs/>
          <w:color w:val="000000" w:themeColor="text1"/>
          <w:sz w:val="24"/>
          <w:szCs w:val="24"/>
          <w:highlight w:val="none"/>
          <w:u w:val="single"/>
          <w:lang w:eastAsia="zh-CN"/>
          <w14:textFill>
            <w14:solidFill>
              <w14:schemeClr w14:val="tx1"/>
            </w14:solidFill>
          </w14:textFill>
        </w:rPr>
        <w:t>，</w:t>
      </w:r>
      <w:r>
        <w:rPr>
          <w:rFonts w:hint="eastAsia" w:hAnsi="宋体" w:eastAsia="宋体" w:cs="宋体"/>
          <w:b w:val="0"/>
          <w:bCs w:val="0"/>
          <w:i/>
          <w:iCs/>
          <w:color w:val="000000" w:themeColor="text1"/>
          <w:sz w:val="24"/>
          <w:szCs w:val="24"/>
          <w:highlight w:val="none"/>
          <w:u w:val="single"/>
          <w:lang w:val="en-US" w:eastAsia="zh-CN"/>
          <w14:textFill>
            <w14:solidFill>
              <w14:schemeClr w14:val="tx1"/>
            </w14:solidFill>
          </w14:textFill>
        </w:rPr>
        <w:t>质保期内提供2人驻场服务</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。（免费质保期自通过甲方验收合格之日起计）</w:t>
      </w:r>
    </w:p>
    <w:p w14:paraId="210EA4B9">
      <w:pPr>
        <w:pStyle w:val="6"/>
        <w:pageBreakBefore w:val="0"/>
        <w:widowControl w:val="0"/>
        <w:numPr>
          <w:ilvl w:val="3"/>
          <w:numId w:val="0"/>
        </w:numPr>
        <w:kinsoku/>
        <w:wordWrap/>
        <w:overflowPunct/>
        <w:topLinePunct w:val="0"/>
        <w:autoSpaceDE/>
        <w:autoSpaceDN/>
        <w:bidi w:val="0"/>
        <w:adjustRightInd/>
        <w:spacing w:before="0" w:after="0" w:line="360" w:lineRule="auto"/>
        <w:ind w:left="422" w:leftChars="0" w:firstLine="240" w:firstLineChars="1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交付期、交付方式及交付地点</w:t>
      </w:r>
    </w:p>
    <w:p w14:paraId="447C840B">
      <w:pPr>
        <w:pStyle w:val="26"/>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iCs/>
          <w:color w:val="000000" w:themeColor="text1"/>
          <w:sz w:val="24"/>
          <w:szCs w:val="24"/>
          <w:highlight w:val="none"/>
          <w:u w:val="single"/>
          <w:lang w:val="en-US"/>
          <w14:textFill>
            <w14:solidFill>
              <w14:schemeClr w14:val="tx1"/>
            </w14:solidFill>
          </w14:textFill>
        </w:rPr>
      </w:pP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.1 交付期：</w:t>
      </w: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自合同签订之日起30个日历日内交货并完成安装调试。</w:t>
      </w:r>
    </w:p>
    <w:p w14:paraId="0EA0FF05">
      <w:pPr>
        <w:pStyle w:val="26"/>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.2 交付方式：采购人指定。</w:t>
      </w:r>
    </w:p>
    <w:p w14:paraId="4154E7B4">
      <w:pPr>
        <w:pStyle w:val="26"/>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.3 交付地点：采购人指定。</w:t>
      </w:r>
    </w:p>
    <w:p w14:paraId="7154B9D5">
      <w:pPr>
        <w:pStyle w:val="6"/>
        <w:pageBreakBefore w:val="0"/>
        <w:widowControl w:val="0"/>
        <w:numPr>
          <w:ilvl w:val="3"/>
          <w:numId w:val="0"/>
        </w:numPr>
        <w:kinsoku/>
        <w:wordWrap/>
        <w:overflowPunct/>
        <w:topLinePunct w:val="0"/>
        <w:autoSpaceDE/>
        <w:autoSpaceDN/>
        <w:bidi w:val="0"/>
        <w:adjustRightInd/>
        <w:spacing w:before="0" w:after="0" w:line="360" w:lineRule="auto"/>
        <w:ind w:left="422" w:leftChars="0" w:firstLine="240" w:firstLineChars="1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货款支付</w:t>
      </w:r>
    </w:p>
    <w:p w14:paraId="35ED0B75">
      <w:pPr>
        <w:pStyle w:val="26"/>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.1 第一次付款：</w:t>
      </w: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签订合同后</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，30</w:t>
      </w:r>
      <w:r>
        <w:rPr>
          <w:rFonts w:hint="eastAsia" w:hAnsi="宋体" w:cs="宋体"/>
          <w:b w:val="0"/>
          <w:bCs w:val="0"/>
          <w:i/>
          <w:iCs/>
          <w:color w:val="000000" w:themeColor="text1"/>
          <w:sz w:val="24"/>
          <w:szCs w:val="24"/>
          <w:highlight w:val="none"/>
          <w:u w:val="single"/>
          <w:lang w:val="en-US" w:eastAsia="zh-CN"/>
          <w14:textFill>
            <w14:solidFill>
              <w14:schemeClr w14:val="tx1"/>
            </w14:solidFill>
          </w14:textFill>
        </w:rPr>
        <w:t>日历日</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内支付合同金额的</w:t>
      </w: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80</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w:t>
      </w:r>
      <w:r>
        <w:rPr>
          <w:rFonts w:hint="eastAsia" w:ascii="宋体" w:hAnsi="宋体" w:eastAsia="宋体" w:cs="宋体"/>
          <w:b w:val="0"/>
          <w:bCs w:val="0"/>
          <w:i/>
          <w:iCs/>
          <w:color w:val="000000" w:themeColor="text1"/>
          <w:sz w:val="24"/>
          <w:szCs w:val="24"/>
          <w:highlight w:val="none"/>
          <w:u w:val="single"/>
          <w:lang w:eastAsia="zh-CN"/>
          <w14:textFill>
            <w14:solidFill>
              <w14:schemeClr w14:val="tx1"/>
            </w14:solidFill>
          </w14:textFill>
        </w:rPr>
        <w:t>的</w:t>
      </w: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预付款</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w:t>
      </w:r>
    </w:p>
    <w:p w14:paraId="05EFF667">
      <w:pPr>
        <w:keepNext/>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i/>
          <w:iCs/>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.2 第二次付款：根据甲方内部管理规定，满足终验条件，乙方提交全部验收材料，通过甲方组织的验收后，30</w:t>
      </w:r>
      <w:r>
        <w:rPr>
          <w:rFonts w:hint="eastAsia" w:hAnsi="宋体" w:cs="宋体"/>
          <w:b w:val="0"/>
          <w:bCs w:val="0"/>
          <w:i/>
          <w:iCs/>
          <w:color w:val="000000" w:themeColor="text1"/>
          <w:sz w:val="24"/>
          <w:szCs w:val="24"/>
          <w:highlight w:val="none"/>
          <w:u w:val="single"/>
          <w:lang w:val="en-US" w:eastAsia="zh-CN"/>
          <w14:textFill>
            <w14:solidFill>
              <w14:schemeClr w14:val="tx1"/>
            </w14:solidFill>
          </w14:textFill>
        </w:rPr>
        <w:t>日历日</w:t>
      </w: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t>内支付至合同金额的100%。</w:t>
      </w:r>
    </w:p>
    <w:p w14:paraId="26014CF1">
      <w:pP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i/>
          <w:iCs/>
          <w:color w:val="000000" w:themeColor="text1"/>
          <w:sz w:val="24"/>
          <w:szCs w:val="24"/>
          <w:highlight w:val="none"/>
          <w:u w:val="single"/>
          <w14:textFill>
            <w14:solidFill>
              <w14:schemeClr w14:val="tx1"/>
            </w14:solidFill>
          </w14:textFill>
        </w:rPr>
        <w:br w:type="page"/>
      </w:r>
    </w:p>
    <w:p w14:paraId="140AE5AF">
      <w:pPr>
        <w:pStyle w:val="3"/>
        <w:keepLines w:val="0"/>
        <w:pageBreakBefore w:val="0"/>
        <w:widowControl w:val="0"/>
        <w:kinsoku/>
        <w:wordWrap/>
        <w:overflowPunct/>
        <w:topLinePunct w:val="0"/>
        <w:autoSpaceDE/>
        <w:autoSpaceDN/>
        <w:bidi w:val="0"/>
        <w:adjustRightInd/>
        <w:spacing w:line="360" w:lineRule="auto"/>
        <w:ind w:firstLine="883" w:firstLineChars="200"/>
        <w:textAlignment w:val="auto"/>
        <w:rPr>
          <w:rFonts w:hint="eastAsia" w:ascii="宋体" w:hAnsi="宋体" w:eastAsia="宋体" w:cs="宋体"/>
          <w:b/>
          <w:bCs w:val="0"/>
          <w:color w:val="000000" w:themeColor="text1"/>
          <w:kern w:val="2"/>
          <w:sz w:val="44"/>
          <w:szCs w:val="28"/>
          <w:highlight w:val="none"/>
          <w:lang w:val="en-US" w:eastAsia="zh-CN" w:bidi="ar-SA"/>
          <w14:textFill>
            <w14:solidFill>
              <w14:schemeClr w14:val="tx1"/>
            </w14:solidFill>
          </w14:textFill>
        </w:rPr>
      </w:pPr>
      <w:bookmarkStart w:id="460" w:name="_Toc8943"/>
      <w:r>
        <w:rPr>
          <w:rFonts w:hint="eastAsia" w:ascii="宋体" w:hAnsi="宋体" w:eastAsia="宋体" w:cs="宋体"/>
          <w:b/>
          <w:bCs w:val="0"/>
          <w:color w:val="000000" w:themeColor="text1"/>
          <w:kern w:val="2"/>
          <w:sz w:val="44"/>
          <w:szCs w:val="28"/>
          <w:highlight w:val="none"/>
          <w:lang w:val="en-US" w:eastAsia="zh-CN" w:bidi="ar-SA"/>
          <w14:textFill>
            <w14:solidFill>
              <w14:schemeClr w14:val="tx1"/>
            </w14:solidFill>
          </w14:textFill>
        </w:rPr>
        <w:t>第五章  评审方法与评审标准</w:t>
      </w:r>
      <w:bookmarkEnd w:id="460"/>
    </w:p>
    <w:p w14:paraId="29A2E01F">
      <w:pPr>
        <w:keepNext w:val="0"/>
        <w:keepLines w:val="0"/>
        <w:pageBreakBefore w:val="0"/>
        <w:widowControl/>
        <w:tabs>
          <w:tab w:val="left" w:pos="720"/>
        </w:tabs>
        <w:kinsoku/>
        <w:wordWrap/>
        <w:overflowPunct/>
        <w:topLinePunct w:val="0"/>
        <w:autoSpaceDE/>
        <w:autoSpaceDN/>
        <w:bidi w:val="0"/>
        <w:snapToGrid/>
        <w:spacing w:line="360" w:lineRule="auto"/>
        <w:ind w:firstLine="482"/>
        <w:jc w:val="left"/>
        <w:outlineLvl w:val="1"/>
        <w:rPr>
          <w:rFonts w:hint="eastAsia" w:ascii="宋体" w:hAnsi="宋体" w:eastAsia="宋体" w:cs="宋体"/>
          <w:b/>
          <w:snapToGrid w:val="0"/>
          <w:color w:val="000000" w:themeColor="text1"/>
          <w:kern w:val="0"/>
          <w:szCs w:val="24"/>
          <w:highlight w:val="none"/>
          <w14:textFill>
            <w14:solidFill>
              <w14:schemeClr w14:val="tx1"/>
            </w14:solidFill>
          </w14:textFill>
        </w:rPr>
      </w:pPr>
      <w:bookmarkStart w:id="461" w:name="_Toc485207380"/>
      <w:r>
        <w:rPr>
          <w:rFonts w:hint="eastAsia" w:ascii="宋体" w:hAnsi="宋体" w:eastAsia="宋体" w:cs="宋体"/>
          <w:b/>
          <w:snapToGrid w:val="0"/>
          <w:color w:val="000000" w:themeColor="text1"/>
          <w:kern w:val="0"/>
          <w:szCs w:val="24"/>
          <w:highlight w:val="none"/>
          <w14:textFill>
            <w14:solidFill>
              <w14:schemeClr w14:val="tx1"/>
            </w14:solidFill>
          </w14:textFill>
        </w:rPr>
        <w:t>一、评审方法与定标原则</w:t>
      </w:r>
      <w:bookmarkEnd w:id="461"/>
    </w:p>
    <w:p w14:paraId="70391856">
      <w:pPr>
        <w:pStyle w:val="244"/>
        <w:keepNext w:val="0"/>
        <w:keepLines w:val="0"/>
        <w:pageBreakBefore w:val="0"/>
        <w:kinsoku/>
        <w:wordWrap/>
        <w:overflowPunct/>
        <w:topLinePunct w:val="0"/>
        <w:autoSpaceDE/>
        <w:autoSpaceDN/>
        <w:bidi w:val="0"/>
        <w:snapToGrid/>
        <w:spacing w:before="0" w:after="0" w:line="360" w:lineRule="auto"/>
        <w:ind w:firstLine="472" w:firstLineChars="197"/>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委会将对确定为实质性响应磋商文件要求的磋商响应文件进行评价和比较，评审采用综合评分法。将根据需求分析和必要性分析的完整性和科学性，总体方案的实用性、可操作性，项目可行性分析的完整性，企业技术力量、业绩，售后服务承诺、培训承诺等方面进行综合评审。</w:t>
      </w:r>
    </w:p>
    <w:p w14:paraId="3215AB8C">
      <w:pPr>
        <w:keepNext w:val="0"/>
        <w:keepLines w:val="0"/>
        <w:pageBreakBefore w:val="0"/>
        <w:widowControl/>
        <w:tabs>
          <w:tab w:val="left" w:pos="720"/>
        </w:tabs>
        <w:kinsoku/>
        <w:wordWrap/>
        <w:overflowPunct/>
        <w:topLinePunct w:val="0"/>
        <w:autoSpaceDE/>
        <w:autoSpaceDN/>
        <w:bidi w:val="0"/>
        <w:snapToGrid/>
        <w:spacing w:line="360" w:lineRule="auto"/>
        <w:ind w:firstLine="482"/>
        <w:jc w:val="left"/>
        <w:outlineLvl w:val="1"/>
        <w:rPr>
          <w:rFonts w:hint="eastAsia" w:ascii="宋体" w:hAnsi="宋体" w:eastAsia="宋体" w:cs="宋体"/>
          <w:b/>
          <w:snapToGrid w:val="0"/>
          <w:color w:val="000000" w:themeColor="text1"/>
          <w:kern w:val="0"/>
          <w:szCs w:val="24"/>
          <w:highlight w:val="none"/>
          <w14:textFill>
            <w14:solidFill>
              <w14:schemeClr w14:val="tx1"/>
            </w14:solidFill>
          </w14:textFill>
        </w:rPr>
      </w:pPr>
      <w:bookmarkStart w:id="462" w:name="_Toc485207381"/>
      <w:r>
        <w:rPr>
          <w:rFonts w:hint="eastAsia" w:ascii="宋体" w:hAnsi="宋体" w:eastAsia="宋体" w:cs="宋体"/>
          <w:b/>
          <w:snapToGrid w:val="0"/>
          <w:color w:val="000000" w:themeColor="text1"/>
          <w:kern w:val="0"/>
          <w:szCs w:val="24"/>
          <w:highlight w:val="none"/>
          <w14:textFill>
            <w14:solidFill>
              <w14:schemeClr w14:val="tx1"/>
            </w14:solidFill>
          </w14:textFill>
        </w:rPr>
        <w:t>二、评审标准</w:t>
      </w:r>
      <w:bookmarkEnd w:id="462"/>
    </w:p>
    <w:p w14:paraId="7D2AC2EC">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本项目采用综合打分法，总分为100分，满足磋商文件要求的磋商最终报价最低的磋商报价作为评审基准价，按评审后得分由高到低顺序排列，得分相同的，按磋商报价由低到高顺序排列，得分且磋商报价相同的，按技术指标优劣顺序排列，由</w:t>
      </w:r>
      <w:r>
        <w:rPr>
          <w:rFonts w:hint="eastAsia" w:ascii="宋体" w:hAnsi="宋体" w:eastAsia="宋体" w:cs="宋体"/>
          <w:color w:val="000000" w:themeColor="text1"/>
          <w:szCs w:val="24"/>
          <w:highlight w:val="none"/>
          <w:lang w:val="en-US" w:eastAsia="zh-CN"/>
          <w14:textFill>
            <w14:solidFill>
              <w14:schemeClr w14:val="tx1"/>
            </w14:solidFill>
          </w14:textFill>
        </w:rPr>
        <w:t>评审</w:t>
      </w:r>
      <w:r>
        <w:rPr>
          <w:rFonts w:hint="eastAsia" w:ascii="宋体" w:hAnsi="宋体" w:eastAsia="宋体" w:cs="宋体"/>
          <w:color w:val="000000" w:themeColor="text1"/>
          <w:szCs w:val="24"/>
          <w:highlight w:val="none"/>
          <w14:textFill>
            <w14:solidFill>
              <w14:schemeClr w14:val="tx1"/>
            </w14:solidFill>
          </w14:textFill>
        </w:rPr>
        <w:t>委员会确定成交候选人。</w:t>
      </w:r>
    </w:p>
    <w:p w14:paraId="202CE912">
      <w:pPr>
        <w:keepNext w:val="0"/>
        <w:keepLines w:val="0"/>
        <w:pageBreakBefore w:val="0"/>
        <w:kinsoku/>
        <w:wordWrap/>
        <w:overflowPunct/>
        <w:topLinePunct w:val="0"/>
        <w:autoSpaceDE/>
        <w:autoSpaceDN/>
        <w:bidi w:val="0"/>
        <w:snapToGrid/>
        <w:spacing w:line="360" w:lineRule="auto"/>
        <w:ind w:firstLine="480" w:firstLineChars="200"/>
        <w:rPr>
          <w:rFonts w:hint="eastAsia" w:ascii="宋体" w:hAnsi="宋体" w:eastAsia="宋体" w:cs="宋体"/>
          <w:color w:val="000000" w:themeColor="text1"/>
          <w:szCs w:val="24"/>
          <w:highlight w:val="none"/>
          <w14:textFill>
            <w14:solidFill>
              <w14:schemeClr w14:val="tx1"/>
            </w14:solidFill>
          </w14:textFill>
        </w:rPr>
      </w:pPr>
    </w:p>
    <w:tbl>
      <w:tblPr>
        <w:tblStyle w:val="5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3"/>
        <w:gridCol w:w="1809"/>
        <w:gridCol w:w="6838"/>
      </w:tblGrid>
      <w:tr w14:paraId="36E9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2F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C4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评审因素</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C5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评审标准</w:t>
            </w:r>
          </w:p>
        </w:tc>
      </w:tr>
      <w:tr w14:paraId="2992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F7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价格部分（30分）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9F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价格部分（30分）</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E5B5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价格分采用低价优先法计算</w:t>
            </w:r>
            <w:r>
              <w:rPr>
                <w:rFonts w:hint="eastAsia" w:ascii="宋体" w:hAnsi="宋体" w:cs="宋体"/>
                <w:i w:val="0"/>
                <w:iCs w:val="0"/>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即满足本磋商文件要求且最后报价最低的供应商的价格为磋商基准价，其价格分为满分，其它供应商的价格分统一按照下列公式计算：</w:t>
            </w:r>
          </w:p>
          <w:p w14:paraId="369543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磋商报价得分=（磋商基准价／最后磋商报价）×价格分分值（精确到小数点后两位）。</w:t>
            </w:r>
          </w:p>
          <w:p w14:paraId="59023B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超过了采购项目预算或最高限价的，为无效响应。</w:t>
            </w:r>
          </w:p>
        </w:tc>
      </w:tr>
      <w:tr w14:paraId="41D3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335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商务部分（15分）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A8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项目团队（7分）</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11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1.项目经理：投标人拟派项目经理具备人社部、工信部颁发的高级网络工程师（网络规划设计师）证书，得2分。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2.拟派项目核心技术人员（除项目经理外）具备以下证书，提供1项符合条件得1分，最高得5分：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1)提供系统集成项目管理工程师（中级）证书不少于1人；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2)提供网络工程师（中级）证书不少于1人；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3)提供中国信息安全测评中心颁发的CISP（注册信息安全专业人员）证书不少于2人；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4)提供数据中心虚拟化认证证书不少于1人；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5)提供云计算系统工程师认证证书不少于1人。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注：1.同一人具备多项资质证书不可重复计分；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2.需提供相应人员证书复印件及投标单位近三个月社保缴纳证明。。</w:t>
            </w:r>
          </w:p>
        </w:tc>
      </w:tr>
      <w:tr w14:paraId="10EE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1FB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C4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类似业绩（3分）</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F1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一个近3年（2023年1月1日起，以合同签订时间为准）的类似项目业绩得1分，满分3分。业绩以提供的合同为准，要求必须提供与最终用户签订的合同首页、合同金额所在页、签字盖章页复印件作为证明。未提供证明材料的不得分。</w:t>
            </w:r>
          </w:p>
        </w:tc>
      </w:tr>
      <w:tr w14:paraId="1F4C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9AB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CE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产品能力（5分）</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1B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产品厂商拥有云计算管理平台的完整知识产权，自研核心代码，对核心代码能做到自主可控：</w:t>
            </w:r>
          </w:p>
          <w:p w14:paraId="70E57E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1.投标人所投云产品具备符合GB/T 32399-2024《信息技术云计算参考架构》云基准测评的增强级认证；提供加盖公章的证书及检测报告复印件。</w:t>
            </w:r>
          </w:p>
          <w:p w14:paraId="2B3B39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2.投标云产品符合可信云认证-虚拟化平台先进级认证，提供相关权威第三方机构出具的证明材料。</w:t>
            </w:r>
          </w:p>
          <w:p w14:paraId="79FBB93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3.投标云产品具有涉密信息系统产品检测证书，提供相关权威第三方机构出具的证明材料。</w:t>
            </w:r>
          </w:p>
          <w:p w14:paraId="1294A7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4.平台须通过可信云“一云多芯”四种架构八类平台环境能力的先进级认证，提供相关证书复印件，不提供不得分。</w:t>
            </w:r>
          </w:p>
          <w:p w14:paraId="3D141F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5．提供所投产品软件著作权证书。</w:t>
            </w:r>
          </w:p>
          <w:p w14:paraId="0ADD3E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以上证明材料提供1项得1分，满分5分。</w:t>
            </w:r>
          </w:p>
        </w:tc>
      </w:tr>
      <w:tr w14:paraId="1E8C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6C5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技术部分（55分）</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EC4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产品技术响应性（38分）</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10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对《采购需求》中带“★”条款，不允许负偏离，出现负偏离投标文件将被拒绝；</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对《采购需求》中带“▲”条款，每出现一条负偏离扣3分（共10条）；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一般参数每出现一条负偏离扣1分（共8条）。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本项满分为38分。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投标人须对本采购文件技术要求进行点对点应答，必须根据本采购文件的要求，结合所投产品的实际参数值，进行逐条逐项答复、说明和解释。应答不满足或部分满足，或未按技术条款要求提供证明材料，则视为负偏离。</w:t>
            </w:r>
          </w:p>
        </w:tc>
      </w:tr>
      <w:tr w14:paraId="370C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8D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2A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整体设计方案（5分）</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B2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根据投标人提供的整体设计方案进行评审打分，方案内容包括但不限于：1.现状分析及需求理解；2.整体功能设计；3.云网络安全方案；4.多云管方案；5.备份方案等以上内容且满足本项目要求得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分，每缺一项扣</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分，每项内容中每有一处内容缺陷扣</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分（缺陷是指：存在不适用项目实际情况的情形、凭空编造、内容前后不一致、前后逻辑错误、涉及的规范及标准错误、地点区域错误、内容遗漏、不符合采购需求等），扣完为止。</w:t>
            </w:r>
          </w:p>
        </w:tc>
      </w:tr>
      <w:tr w14:paraId="0A75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0DC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94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项目实施方案（10分）</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347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投标人提供的项目实施方案进行评审打分，方案内容包括但不限于：1.设备运输、派送方案；2.安全管理方案；3.质量保障方案；4.保密实施方案；5.迁移方案；6.实施部署方案；7.实验验证方案；8.验收方案；9.后期升级方案；10.使用培训方案等以上内容且满足本项目要求得10分，每缺一项扣1分，每项内容中每有一处内容缺陷扣0.5分（缺陷是指：存在不适用项目实际情况的情形、凭空编造、内容前后不一致、前后逻辑错误、涉及的规范及标准错误、地点区域错误、内容遗漏、不符合采购需求等），扣完为止。</w:t>
            </w:r>
          </w:p>
        </w:tc>
      </w:tr>
      <w:tr w14:paraId="292E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C46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17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售后服务方案（2分）</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59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投标人提供的项目实施方案进行评审打分，方案内容包括但不限于：1.服务范围；2.服务流程等以上内容且满足本项目要求得2分，每缺一项扣1分，每项内容中每有一处内容缺陷扣0.5分（缺陷是指：存在不适用项目实际情况的情形、凭空编造、内容前后不一致、前后逻辑错误、涉及的规范及标准错误、地点区域错误、内容遗漏、不符合采购需求等），扣完为止。</w:t>
            </w:r>
          </w:p>
        </w:tc>
      </w:tr>
    </w:tbl>
    <w:p w14:paraId="1972ABDA">
      <w:pPr>
        <w:pStyle w:val="244"/>
        <w:keepNext w:val="0"/>
        <w:keepLines w:val="0"/>
        <w:pageBreakBefore w:val="0"/>
        <w:widowControl w:val="0"/>
        <w:kinsoku/>
        <w:wordWrap/>
        <w:overflowPunct/>
        <w:topLinePunct w:val="0"/>
        <w:autoSpaceDE/>
        <w:autoSpaceDN/>
        <w:bidi w:val="0"/>
        <w:adjustRightInd w:val="0"/>
        <w:snapToGrid/>
        <w:spacing w:before="0" w:after="0" w:line="360" w:lineRule="auto"/>
        <w:ind w:firstLine="482" w:firstLineChars="200"/>
        <w:textAlignment w:val="baseline"/>
        <w:rPr>
          <w:rFonts w:hint="eastAsia" w:ascii="宋体" w:hAnsi="宋体" w:eastAsia="宋体" w:cs="宋体"/>
          <w:b/>
          <w:color w:val="000000" w:themeColor="text1"/>
          <w:kern w:val="2"/>
          <w:highlight w:val="none"/>
          <w:lang w:val="en-US" w:eastAsia="zh-CN"/>
          <w14:textFill>
            <w14:solidFill>
              <w14:schemeClr w14:val="tx1"/>
            </w14:solidFill>
          </w14:textFill>
        </w:rPr>
      </w:pPr>
    </w:p>
    <w:p w14:paraId="54BCE7B8">
      <w:pPr>
        <w:pStyle w:val="244"/>
        <w:keepNext w:val="0"/>
        <w:keepLines w:val="0"/>
        <w:pageBreakBefore w:val="0"/>
        <w:widowControl w:val="0"/>
        <w:kinsoku/>
        <w:wordWrap/>
        <w:overflowPunct/>
        <w:topLinePunct w:val="0"/>
        <w:autoSpaceDE/>
        <w:autoSpaceDN/>
        <w:bidi w:val="0"/>
        <w:adjustRightInd w:val="0"/>
        <w:snapToGrid/>
        <w:spacing w:before="0" w:after="0" w:line="360" w:lineRule="auto"/>
        <w:ind w:firstLine="482" w:firstLineChars="200"/>
        <w:textAlignment w:val="baseline"/>
        <w:rPr>
          <w:rFonts w:hint="eastAsia" w:ascii="宋体" w:hAnsi="宋体" w:eastAsia="宋体" w:cs="宋体"/>
          <w:b/>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highlight w:val="none"/>
          <w:lang w:val="en-US" w:eastAsia="zh-CN"/>
          <w14:textFill>
            <w14:solidFill>
              <w14:schemeClr w14:val="tx1"/>
            </w14:solidFill>
          </w14:textFill>
        </w:rPr>
        <w:t>三、</w:t>
      </w:r>
      <w:r>
        <w:rPr>
          <w:rFonts w:hint="eastAsia" w:ascii="宋体" w:hAnsi="宋体" w:eastAsia="宋体" w:cs="宋体"/>
          <w:b/>
          <w:color w:val="000000" w:themeColor="text1"/>
          <w:kern w:val="2"/>
          <w:highlight w:val="none"/>
          <w14:textFill>
            <w14:solidFill>
              <w14:schemeClr w14:val="tx1"/>
            </w14:solidFill>
          </w14:textFill>
        </w:rPr>
        <w:t>政府采购政策功能落实</w:t>
      </w:r>
    </w:p>
    <w:p w14:paraId="38701BBF">
      <w:pPr>
        <w:pStyle w:val="244"/>
        <w:keepNext w:val="0"/>
        <w:keepLines w:val="0"/>
        <w:pageBreakBefore w:val="0"/>
        <w:widowControl w:val="0"/>
        <w:kinsoku/>
        <w:wordWrap/>
        <w:overflowPunct/>
        <w:topLinePunct w:val="0"/>
        <w:autoSpaceDE/>
        <w:autoSpaceDN/>
        <w:bidi w:val="0"/>
        <w:adjustRightInd w:val="0"/>
        <w:snapToGrid/>
        <w:spacing w:before="0" w:after="0" w:line="360" w:lineRule="auto"/>
        <w:ind w:firstLine="480" w:firstLineChars="200"/>
        <w:textAlignment w:val="baseline"/>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1.</w:t>
      </w:r>
      <w:r>
        <w:rPr>
          <w:rFonts w:hint="eastAsia" w:ascii="宋体" w:hAnsi="宋体" w:cs="宋体"/>
          <w:color w:val="000000" w:themeColor="text1"/>
          <w:kern w:val="2"/>
          <w:highlight w:val="none"/>
          <w14:textFill>
            <w14:solidFill>
              <w14:schemeClr w14:val="tx1"/>
            </w14:solidFill>
          </w14:textFill>
        </w:rPr>
        <w:t>小微型企业价格扣除</w:t>
      </w:r>
    </w:p>
    <w:p w14:paraId="1F2632F8">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对于经主管预算单位统筹后未预留份额专门面向中小企业采购的采购项目，以及预留份额项目中的非预留部分采购包</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对小型和微型企业报价给予</w:t>
      </w:r>
      <w:r>
        <w:rPr>
          <w:rFonts w:hint="eastAsia" w:ascii="宋体" w:hAnsi="宋体" w:cs="宋体"/>
          <w:color w:val="000000" w:themeColor="text1"/>
          <w:kern w:val="2"/>
          <w:highlight w:val="none"/>
          <w:u w:val="single"/>
          <w14:textFill>
            <w14:solidFill>
              <w14:schemeClr w14:val="tx1"/>
            </w14:solidFill>
          </w14:textFill>
        </w:rPr>
        <w:t>10</w:t>
      </w:r>
      <w:r>
        <w:rPr>
          <w:rFonts w:hint="eastAsia" w:ascii="宋体" w:hAnsi="宋体" w:cs="宋体"/>
          <w:bCs/>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的扣除价格，用扣除后的价格参与评审。</w:t>
      </w:r>
    </w:p>
    <w:p w14:paraId="54B3791D">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eastAsia="宋体" w:cs="宋体"/>
          <w:color w:val="000000" w:themeColor="text1"/>
          <w:kern w:val="2"/>
          <w:highlight w:val="none"/>
          <w:lang w:eastAsia="zh-CN"/>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2</w:t>
      </w:r>
      <w:r>
        <w:rPr>
          <w:rFonts w:hint="eastAsia" w:ascii="宋体" w:hAnsi="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对</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i w:val="0"/>
          <w:iCs w:val="0"/>
          <w:caps w:val="0"/>
          <w:color w:val="000000" w:themeColor="text1"/>
          <w:spacing w:val="0"/>
          <w:sz w:val="24"/>
          <w:szCs w:val="24"/>
          <w:highlight w:val="none"/>
          <w:u w:val="none"/>
          <w:shd w:val="clear" w:color="auto" w:fill="FFFFFF"/>
          <w:lang w:val="en-US"/>
          <w14:textFill>
            <w14:solidFill>
              <w14:schemeClr w14:val="tx1"/>
            </w14:solidFill>
          </w14:textFill>
        </w:rPr>
        <w:t>30%</w:t>
      </w:r>
      <w:r>
        <w:rPr>
          <w:rFonts w:hint="eastAsia" w:ascii="宋体" w:hAnsi="宋体" w:eastAsia="宋体" w:cs="宋体"/>
          <w:i w:val="0"/>
          <w:iCs w:val="0"/>
          <w:caps w:val="0"/>
          <w:color w:val="000000" w:themeColor="text1"/>
          <w:spacing w:val="0"/>
          <w:sz w:val="24"/>
          <w:szCs w:val="24"/>
          <w:highlight w:val="none"/>
          <w:u w:val="none"/>
          <w:shd w:val="clear" w:color="auto" w:fill="FFFFFF"/>
          <w14:textFill>
            <w14:solidFill>
              <w14:schemeClr w14:val="tx1"/>
            </w14:solidFill>
          </w14:textFill>
        </w:rPr>
        <w:t>以</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上的，对联合体或者大中型企业的报价给予</w:t>
      </w:r>
      <w:r>
        <w:rPr>
          <w:rFonts w:hint="eastAsia" w:ascii="宋体" w:hAnsi="宋体" w:cs="宋体"/>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u w:val="single"/>
          <w:shd w:val="clear" w:color="auto" w:fill="FFFFFF"/>
          <w:lang w:val="en-US"/>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的扣除，用扣除后的价格参加评审。</w:t>
      </w:r>
    </w:p>
    <w:p w14:paraId="540FE3F3">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3</w:t>
      </w:r>
      <w:r>
        <w:rPr>
          <w:rFonts w:hint="eastAsia" w:ascii="宋体" w:hAnsi="宋体" w:cs="宋体"/>
          <w:color w:val="000000" w:themeColor="text1"/>
          <w:kern w:val="2"/>
          <w:highlight w:val="none"/>
          <w14:textFill>
            <w14:solidFill>
              <w14:schemeClr w14:val="tx1"/>
            </w14:solidFill>
          </w14:textFill>
        </w:rPr>
        <w:t>）供应商需按照采购文件的要求提供相应的《企业声明函》。</w:t>
      </w:r>
    </w:p>
    <w:p w14:paraId="4E004CC4">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4</w:t>
      </w:r>
      <w:r>
        <w:rPr>
          <w:rFonts w:hint="eastAsia" w:ascii="宋体" w:hAnsi="宋体" w:cs="宋体"/>
          <w:color w:val="000000" w:themeColor="text1"/>
          <w:kern w:val="2"/>
          <w:highlight w:val="none"/>
          <w14:textFill>
            <w14:solidFill>
              <w14:schemeClr w14:val="tx1"/>
            </w14:solidFill>
          </w14:textFill>
        </w:rPr>
        <w:t>）企业标准请参照《关于印发中小企业划型标准规定的通知》（工信部联企业</w:t>
      </w:r>
      <w:r>
        <w:rPr>
          <w:rFonts w:hint="eastAsia" w:ascii="宋体" w:hAnsi="宋体" w:cs="宋体"/>
          <w:color w:val="000000" w:themeColor="text1"/>
          <w:kern w:val="2"/>
          <w:highlight w:val="none"/>
          <w:lang w:eastAsia="zh-CN"/>
          <w14:textFill>
            <w14:solidFill>
              <w14:schemeClr w14:val="tx1"/>
            </w14:solidFill>
          </w14:textFill>
        </w:rPr>
        <w:t>〔2011〕300号</w:t>
      </w:r>
      <w:r>
        <w:rPr>
          <w:rFonts w:hint="eastAsia" w:ascii="宋体" w:hAnsi="宋体" w:cs="宋体"/>
          <w:color w:val="000000" w:themeColor="text1"/>
          <w:kern w:val="2"/>
          <w:highlight w:val="none"/>
          <w14:textFill>
            <w14:solidFill>
              <w14:schemeClr w14:val="tx1"/>
            </w14:solidFill>
          </w14:textFill>
        </w:rPr>
        <w:t>）文件规定自行填写。</w:t>
      </w:r>
    </w:p>
    <w:p w14:paraId="7652B491">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2.</w:t>
      </w:r>
      <w:r>
        <w:rPr>
          <w:rFonts w:hint="eastAsia" w:ascii="宋体" w:hAnsi="宋体" w:cs="宋体"/>
          <w:color w:val="000000" w:themeColor="text1"/>
          <w:kern w:val="2"/>
          <w:highlight w:val="none"/>
          <w14:textFill>
            <w14:solidFill>
              <w14:schemeClr w14:val="tx1"/>
            </w14:solidFill>
          </w14:textFill>
        </w:rPr>
        <w:t>残疾人福利单位价格扣除</w:t>
      </w:r>
    </w:p>
    <w:p w14:paraId="06136BE1">
      <w:pPr>
        <w:pStyle w:val="244"/>
        <w:keepNext w:val="0"/>
        <w:keepLines w:val="0"/>
        <w:pageBreakBefore w:val="0"/>
        <w:widowControl w:val="0"/>
        <w:kinsoku/>
        <w:wordWrap/>
        <w:overflowPunct/>
        <w:topLinePunct w:val="0"/>
        <w:autoSpaceDE/>
        <w:autoSpaceDN/>
        <w:bidi w:val="0"/>
        <w:snapToGrid/>
        <w:spacing w:before="0" w:after="0" w:line="360" w:lineRule="auto"/>
        <w:ind w:left="137" w:leftChars="57"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（1）本项目对残疾人福利性单位视同小型、微型企业，给予</w:t>
      </w:r>
      <w:r>
        <w:rPr>
          <w:rFonts w:hint="eastAsia" w:ascii="宋体" w:hAnsi="宋体" w:cs="宋体"/>
          <w:color w:val="000000" w:themeColor="text1"/>
          <w:kern w:val="2"/>
          <w:highlight w:val="none"/>
          <w:u w:val="single"/>
          <w14:textFill>
            <w14:solidFill>
              <w14:schemeClr w14:val="tx1"/>
            </w14:solidFill>
          </w14:textFill>
        </w:rPr>
        <w:t>10</w:t>
      </w:r>
      <w:r>
        <w:rPr>
          <w:rFonts w:hint="eastAsia" w:ascii="宋体" w:hAnsi="宋体" w:cs="宋体"/>
          <w:color w:val="000000" w:themeColor="text1"/>
          <w:kern w:val="2"/>
          <w:highlight w:val="none"/>
          <w14:textFill>
            <w14:solidFill>
              <w14:schemeClr w14:val="tx1"/>
            </w14:solidFill>
          </w14:textFill>
        </w:rPr>
        <w:t>%的价格扣除，用扣除后的价格参与评审。</w:t>
      </w:r>
    </w:p>
    <w:p w14:paraId="309D2845">
      <w:pPr>
        <w:pStyle w:val="244"/>
        <w:keepNext w:val="0"/>
        <w:keepLines w:val="0"/>
        <w:pageBreakBefore w:val="0"/>
        <w:widowControl w:val="0"/>
        <w:kinsoku/>
        <w:wordWrap/>
        <w:overflowPunct/>
        <w:topLinePunct w:val="0"/>
        <w:autoSpaceDE/>
        <w:autoSpaceDN/>
        <w:bidi w:val="0"/>
        <w:snapToGrid/>
        <w:spacing w:before="0" w:after="0" w:line="360" w:lineRule="auto"/>
        <w:ind w:left="137" w:leftChars="57"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（2）残疾人福利单位需按照采购文件的要求提供《残疾人福利性单位声明函》。</w:t>
      </w:r>
    </w:p>
    <w:p w14:paraId="3C2C1A08">
      <w:pPr>
        <w:pStyle w:val="244"/>
        <w:keepNext w:val="0"/>
        <w:keepLines w:val="0"/>
        <w:pageBreakBefore w:val="0"/>
        <w:widowControl w:val="0"/>
        <w:kinsoku/>
        <w:wordWrap/>
        <w:overflowPunct/>
        <w:topLinePunct w:val="0"/>
        <w:autoSpaceDE/>
        <w:autoSpaceDN/>
        <w:bidi w:val="0"/>
        <w:snapToGrid/>
        <w:spacing w:before="0" w:after="0" w:line="360" w:lineRule="auto"/>
        <w:ind w:left="137" w:leftChars="57"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（3）残疾人福利单位标准请参照《关于促进残疾人就业政府采购政策的通知》（财库〔2017〕141号）。</w:t>
      </w:r>
    </w:p>
    <w:p w14:paraId="472B9C62">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3.</w:t>
      </w:r>
      <w:r>
        <w:rPr>
          <w:rFonts w:hint="eastAsia" w:ascii="宋体" w:hAnsi="宋体" w:cs="宋体"/>
          <w:color w:val="000000" w:themeColor="text1"/>
          <w:kern w:val="2"/>
          <w:highlight w:val="none"/>
          <w14:textFill>
            <w14:solidFill>
              <w14:schemeClr w14:val="tx1"/>
            </w14:solidFill>
          </w14:textFill>
        </w:rPr>
        <w:t>监狱和戒毒企业价格扣除</w:t>
      </w:r>
    </w:p>
    <w:p w14:paraId="0441F98F">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（1）本项目对监狱和戒毒企业（简称监狱企业）视同小型、微型企业，给予</w:t>
      </w:r>
      <w:r>
        <w:rPr>
          <w:rFonts w:hint="eastAsia" w:ascii="宋体" w:hAnsi="宋体" w:cs="宋体"/>
          <w:color w:val="000000" w:themeColor="text1"/>
          <w:kern w:val="2"/>
          <w:highlight w:val="none"/>
          <w:u w:val="single"/>
          <w14:textFill>
            <w14:solidFill>
              <w14:schemeClr w14:val="tx1"/>
            </w14:solidFill>
          </w14:textFill>
        </w:rPr>
        <w:t>10</w:t>
      </w:r>
      <w:r>
        <w:rPr>
          <w:rFonts w:hint="eastAsia" w:ascii="宋体" w:hAnsi="宋体" w:cs="宋体"/>
          <w:color w:val="000000" w:themeColor="text1"/>
          <w:kern w:val="2"/>
          <w:highlight w:val="none"/>
          <w14:textFill>
            <w14:solidFill>
              <w14:schemeClr w14:val="tx1"/>
            </w14:solidFill>
          </w14:textFill>
        </w:rPr>
        <w:t>%的价格扣除，用扣除后的价格参与评审。</w:t>
      </w:r>
    </w:p>
    <w:p w14:paraId="699C56CF">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（2）监狱企业参加政府采购活动时，需提供由省级以上监狱管理局、戒毒管理局</w:t>
      </w:r>
      <w:r>
        <w:rPr>
          <w:rFonts w:hint="eastAsia" w:ascii="宋体" w:hAnsi="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含新疆生产建设兵团</w:t>
      </w:r>
      <w:r>
        <w:rPr>
          <w:rFonts w:hint="eastAsia" w:ascii="宋体" w:hAnsi="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14:textFill>
            <w14:solidFill>
              <w14:schemeClr w14:val="tx1"/>
            </w14:solidFill>
          </w14:textFill>
        </w:rPr>
        <w:t>出具的属于监狱企业的证明文件。</w:t>
      </w:r>
      <w:r>
        <w:rPr>
          <w:rFonts w:hint="eastAsia" w:ascii="宋体" w:hAnsi="宋体" w:cs="宋体"/>
          <w:color w:val="000000" w:themeColor="text1"/>
          <w:highlight w:val="none"/>
          <w14:textFill>
            <w14:solidFill>
              <w14:schemeClr w14:val="tx1"/>
            </w14:solidFill>
          </w14:textFill>
        </w:rPr>
        <w:t>供应商如不提供上述证明文件，价格将不做相应扣除</w:t>
      </w:r>
      <w:r>
        <w:rPr>
          <w:rFonts w:hint="eastAsia" w:ascii="宋体" w:hAnsi="宋体" w:cs="宋体"/>
          <w:color w:val="000000" w:themeColor="text1"/>
          <w:kern w:val="2"/>
          <w:highlight w:val="none"/>
          <w14:textFill>
            <w14:solidFill>
              <w14:schemeClr w14:val="tx1"/>
            </w14:solidFill>
          </w14:textFill>
        </w:rPr>
        <w:t>。</w:t>
      </w:r>
    </w:p>
    <w:p w14:paraId="0D390604">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（3）监狱企业标准请参照《关于政府采购支持监狱企业发展有关问题的通知》（财库</w:t>
      </w:r>
      <w:r>
        <w:rPr>
          <w:rFonts w:hint="eastAsia" w:ascii="宋体" w:hAnsi="宋体" w:cs="宋体"/>
          <w:color w:val="000000" w:themeColor="text1"/>
          <w:kern w:val="2"/>
          <w:highlight w:val="none"/>
          <w:lang w:eastAsia="zh-CN"/>
          <w14:textFill>
            <w14:solidFill>
              <w14:schemeClr w14:val="tx1"/>
            </w14:solidFill>
          </w14:textFill>
        </w:rPr>
        <w:t>〔2014〕68号</w:t>
      </w:r>
      <w:r>
        <w:rPr>
          <w:rFonts w:hint="eastAsia" w:ascii="宋体" w:hAnsi="宋体" w:cs="宋体"/>
          <w:color w:val="000000" w:themeColor="text1"/>
          <w:kern w:val="2"/>
          <w:highlight w:val="none"/>
          <w14:textFill>
            <w14:solidFill>
              <w14:schemeClr w14:val="tx1"/>
            </w14:solidFill>
          </w14:textFill>
        </w:rPr>
        <w:t>）。</w:t>
      </w:r>
    </w:p>
    <w:p w14:paraId="4AE31749">
      <w:pPr>
        <w:pStyle w:val="244"/>
        <w:keepNext w:val="0"/>
        <w:keepLines w:val="0"/>
        <w:pageBreakBefore w:val="0"/>
        <w:widowControl w:val="0"/>
        <w:kinsoku/>
        <w:wordWrap/>
        <w:overflowPunct/>
        <w:topLinePunct w:val="0"/>
        <w:autoSpaceDE/>
        <w:autoSpaceDN/>
        <w:bidi w:val="0"/>
        <w:snapToGrid/>
        <w:spacing w:before="0" w:after="0" w:line="360" w:lineRule="auto"/>
        <w:ind w:firstLine="480" w:firstLineChars="200"/>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eastAsia="zh-CN"/>
          <w14:textFill>
            <w14:solidFill>
              <w14:schemeClr w14:val="tx1"/>
            </w14:solidFill>
          </w14:textFill>
        </w:rPr>
        <w:t>4.</w:t>
      </w:r>
      <w:r>
        <w:rPr>
          <w:rFonts w:hint="eastAsia" w:ascii="宋体" w:hAnsi="宋体" w:cs="宋体"/>
          <w:color w:val="000000" w:themeColor="text1"/>
          <w:kern w:val="2"/>
          <w:highlight w:val="none"/>
          <w14:textFill>
            <w14:solidFill>
              <w14:schemeClr w14:val="tx1"/>
            </w14:solidFill>
          </w14:textFill>
        </w:rPr>
        <w:t>小微型企业、残疾人福利单位、监狱企业属于小型、微型企业的，不重复享受政策。</w:t>
      </w:r>
    </w:p>
    <w:p w14:paraId="7448729C">
      <w:pPr>
        <w:pStyle w:val="18"/>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5.对本国产品的支持政策。</w:t>
      </w:r>
    </w:p>
    <w:p w14:paraId="5F366AC2">
      <w:pPr>
        <w:pStyle w:val="18"/>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（1）政府采购活动中既有本国产品又有非本国产品参与竞争的，依法对本国产品给予价格评审优惠，对本国产品的报价给予</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的价格扣除，用扣除后的价格参与评审。</w:t>
      </w:r>
    </w:p>
    <w:p w14:paraId="398CF3DD">
      <w:pPr>
        <w:pStyle w:val="18"/>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80%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以上时（供应商需在“</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第六</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章 响应文件的组成和格式”的“附件</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四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投标产品配置及分项报价表”中填写比例数值），依法对该供应商提供的全部产品给予价格评审优惠，即对该供应商提供的全部产品的总报价给予</w:t>
      </w:r>
      <w:r>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20%的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价格扣除，用扣除后的价格参与评审。供应商未填写比例数值，或比例数值不足80%的，将不享受本国产品价格评审优惠。</w:t>
      </w:r>
    </w:p>
    <w:p w14:paraId="0754A4F7">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（2）产品在中国境内生产的组件成本核算规则。产品在中国境内生产的组件成本，按照《中国境内生产的组件成本核算基本规则》计算（见国办发〔2025〕34号文附件1）。</w:t>
      </w:r>
    </w:p>
    <w:p w14:paraId="14455B05">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（3）供应商需按照采购文件的要求对提供的产品出具《关于符合本国产品标准的声明函》。</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如未提供将不享受本国产品价格评审优惠。</w:t>
      </w:r>
      <w:r>
        <w:rPr>
          <w:rFonts w:hint="eastAsia" w:ascii="宋体" w:hAnsi="宋体" w:eastAsia="宋体" w:cs="宋体"/>
          <w:color w:val="000000" w:themeColor="text1"/>
          <w:sz w:val="24"/>
          <w:szCs w:val="24"/>
          <w:highlight w:val="none"/>
          <w14:textFill>
            <w14:solidFill>
              <w14:schemeClr w14:val="tx1"/>
            </w14:solidFill>
          </w14:textFill>
        </w:rPr>
        <w:t>供应商需在《声明函》中逐一、准确填写产品名称、厂名、生产厂址三项信息（</w:t>
      </w:r>
      <w:r>
        <w:rPr>
          <w:rFonts w:hint="eastAsia" w:ascii="宋体" w:hAnsi="宋体" w:eastAsia="宋体" w:cs="宋体"/>
          <w:color w:val="000000" w:themeColor="text1"/>
          <w:sz w:val="24"/>
          <w:szCs w:val="24"/>
          <w:highlight w:val="none"/>
          <w:lang w:val="en-US" w:eastAsia="zh-CN"/>
          <w14:textFill>
            <w14:solidFill>
              <w14:schemeClr w14:val="tx1"/>
            </w14:solidFill>
          </w14:textFill>
        </w:rPr>
        <w:t>《声明函》中标注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  ”</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的地方无需填写</w:t>
      </w:r>
      <w:r>
        <w:rPr>
          <w:rFonts w:hint="eastAsia" w:ascii="宋体" w:hAnsi="宋体" w:eastAsia="宋体" w:cs="宋体"/>
          <w:color w:val="000000" w:themeColor="text1"/>
          <w:sz w:val="24"/>
          <w:szCs w:val="24"/>
          <w:highlight w:val="none"/>
          <w14:textFill>
            <w14:solidFill>
              <w14:schemeClr w14:val="tx1"/>
            </w14:solidFill>
          </w14:textFill>
        </w:rPr>
        <w:t>），三项信息中任意一项未填写的视为该项产品不符合本国产品标准，不享受本国产品价格评审优惠。</w:t>
      </w:r>
    </w:p>
    <w:p w14:paraId="310DD3AC">
      <w:pPr>
        <w:keepNext w:val="0"/>
        <w:keepLines w:val="0"/>
        <w:pageBreakBefore w:val="0"/>
        <w:widowControl w:val="0"/>
        <w:kinsoku/>
        <w:wordWrap/>
        <w:overflowPunct/>
        <w:topLinePunct w:val="0"/>
        <w:autoSpaceDE/>
        <w:autoSpaceDN/>
        <w:bidi w:val="0"/>
        <w:snapToGrid w:val="0"/>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w:t>
      </w:r>
    </w:p>
    <w:p w14:paraId="0FBB3147">
      <w:pPr>
        <w:keepNext w:val="0"/>
        <w:keepLines w:val="0"/>
        <w:pageBreakBefore w:val="0"/>
        <w:widowControl w:val="0"/>
        <w:numPr>
          <w:ilvl w:val="0"/>
          <w:numId w:val="13"/>
        </w:numPr>
        <w:kinsoku/>
        <w:wordWrap/>
        <w:overflowPunct/>
        <w:topLinePunct w:val="0"/>
        <w:autoSpaceDE/>
        <w:autoSpaceDN/>
        <w:bidi w:val="0"/>
        <w:snapToGrid w:val="0"/>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6E9C92">
      <w:pPr>
        <w:keepNext w:val="0"/>
        <w:keepLines w:val="0"/>
        <w:pageBreakBefore w:val="0"/>
        <w:widowControl w:val="0"/>
        <w:numPr>
          <w:ilvl w:val="0"/>
          <w:numId w:val="13"/>
        </w:numPr>
        <w:kinsoku/>
        <w:wordWrap/>
        <w:overflowPunct/>
        <w:topLinePunct w:val="0"/>
        <w:autoSpaceDE/>
        <w:autoSpaceDN/>
        <w:bidi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4FE0BAA">
      <w:pPr>
        <w:keepNext w:val="0"/>
        <w:keepLines w:val="0"/>
        <w:pageBreakBefore w:val="0"/>
        <w:widowControl w:val="0"/>
        <w:numPr>
          <w:ilvl w:val="0"/>
          <w:numId w:val="13"/>
        </w:numPr>
        <w:kinsoku/>
        <w:wordWrap/>
        <w:overflowPunct/>
        <w:topLinePunct w:val="0"/>
        <w:autoSpaceDE/>
        <w:autoSpaceDN/>
        <w:bidi w:val="0"/>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评标过程中如发现供应商在《声明函》内容</w:t>
      </w:r>
      <w:r>
        <w:rPr>
          <w:rFonts w:hint="default" w:ascii="宋体" w:hAnsi="宋体" w:eastAsia="宋体" w:cs="宋体"/>
          <w:color w:val="000000" w:themeColor="text1"/>
          <w:sz w:val="24"/>
          <w:szCs w:val="24"/>
          <w:highlight w:val="none"/>
          <w:lang w:val="en-US" w:eastAsia="zh-CN"/>
          <w14:textFill>
            <w14:solidFill>
              <w14:schemeClr w14:val="tx1"/>
            </w14:solidFill>
          </w14:textFill>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A3C1FA5">
      <w:pPr>
        <w:pStyle w:val="244"/>
        <w:spacing w:line="400" w:lineRule="exact"/>
        <w:ind w:left="0" w:leftChars="0" w:firstLine="0" w:firstLineChars="0"/>
        <w:jc w:val="both"/>
        <w:rPr>
          <w:rFonts w:hint="eastAsia" w:ascii="宋体" w:hAnsi="宋体" w:eastAsia="宋体" w:cs="宋体"/>
          <w:bCs/>
          <w:color w:val="000000" w:themeColor="text1"/>
          <w:sz w:val="44"/>
          <w:highlight w:val="none"/>
          <w14:textFill>
            <w14:solidFill>
              <w14:schemeClr w14:val="tx1"/>
            </w14:solidFill>
          </w14:textFill>
        </w:rPr>
      </w:pPr>
      <w:r>
        <w:rPr>
          <w:rFonts w:hint="eastAsia" w:ascii="宋体" w:hAnsi="宋体" w:eastAsia="宋体" w:cs="宋体"/>
          <w:bCs/>
          <w:color w:val="000000" w:themeColor="text1"/>
          <w:sz w:val="44"/>
          <w:highlight w:val="none"/>
          <w14:textFill>
            <w14:solidFill>
              <w14:schemeClr w14:val="tx1"/>
            </w14:solidFill>
          </w14:textFill>
        </w:rPr>
        <w:br w:type="page"/>
      </w:r>
      <w:bookmarkStart w:id="463" w:name="_Toc19460"/>
    </w:p>
    <w:p w14:paraId="48268A5F">
      <w:pPr>
        <w:pStyle w:val="244"/>
        <w:spacing w:line="360" w:lineRule="auto"/>
        <w:ind w:left="0" w:leftChars="0" w:firstLine="0" w:firstLineChars="0"/>
        <w:jc w:val="center"/>
        <w:rPr>
          <w:rFonts w:hint="eastAsia" w:ascii="宋体" w:hAnsi="宋体" w:eastAsia="宋体" w:cs="宋体"/>
          <w:bCs/>
          <w:color w:val="000000" w:themeColor="text1"/>
          <w:sz w:val="44"/>
          <w:highlight w:val="none"/>
          <w14:textFill>
            <w14:solidFill>
              <w14:schemeClr w14:val="tx1"/>
            </w14:solidFill>
          </w14:textFill>
        </w:rPr>
      </w:pPr>
      <w:r>
        <w:rPr>
          <w:rFonts w:hint="eastAsia" w:ascii="宋体" w:hAnsi="宋体" w:eastAsia="宋体" w:cs="宋体"/>
          <w:bCs/>
          <w:color w:val="000000" w:themeColor="text1"/>
          <w:sz w:val="44"/>
          <w:highlight w:val="none"/>
          <w14:textFill>
            <w14:solidFill>
              <w14:schemeClr w14:val="tx1"/>
            </w14:solidFill>
          </w14:textFill>
        </w:rPr>
        <w:t xml:space="preserve">第六章  </w:t>
      </w:r>
      <w:bookmarkEnd w:id="453"/>
      <w:bookmarkEnd w:id="454"/>
      <w:bookmarkEnd w:id="455"/>
      <w:r>
        <w:rPr>
          <w:rFonts w:hint="eastAsia" w:ascii="宋体" w:hAnsi="宋体" w:eastAsia="宋体" w:cs="宋体"/>
          <w:bCs/>
          <w:color w:val="000000" w:themeColor="text1"/>
          <w:sz w:val="44"/>
          <w:highlight w:val="none"/>
          <w14:textFill>
            <w14:solidFill>
              <w14:schemeClr w14:val="tx1"/>
            </w14:solidFill>
          </w14:textFill>
        </w:rPr>
        <w:t>响应文件的组成和格式</w:t>
      </w:r>
      <w:bookmarkEnd w:id="463"/>
    </w:p>
    <w:p w14:paraId="46F2092F">
      <w:pPr>
        <w:jc w:val="center"/>
        <w:rPr>
          <w:rFonts w:hint="eastAsia" w:ascii="宋体" w:hAnsi="宋体" w:eastAsia="宋体" w:cs="宋体"/>
          <w:b/>
          <w:color w:val="000000" w:themeColor="text1"/>
          <w:sz w:val="72"/>
          <w:highlight w:val="none"/>
          <w14:textFill>
            <w14:solidFill>
              <w14:schemeClr w14:val="tx1"/>
            </w14:solidFill>
          </w14:textFill>
        </w:rPr>
      </w:pPr>
      <w:bookmarkStart w:id="464" w:name="_Hlt26955039"/>
      <w:bookmarkEnd w:id="464"/>
      <w:bookmarkStart w:id="465" w:name="_Hlt26671244"/>
      <w:bookmarkEnd w:id="465"/>
      <w:bookmarkStart w:id="466" w:name="_Toc26554094"/>
      <w:bookmarkStart w:id="467" w:name="_Toc49090576"/>
      <w:bookmarkStart w:id="468" w:name="_Toc120614282"/>
    </w:p>
    <w:p w14:paraId="28C3EDAE">
      <w:pPr>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竞争性磋商响应文件</w:t>
      </w:r>
    </w:p>
    <w:p w14:paraId="10E8DC12">
      <w:pPr>
        <w:jc w:val="center"/>
        <w:rPr>
          <w:rFonts w:hint="eastAsia" w:ascii="宋体" w:hAnsi="宋体" w:eastAsia="宋体" w:cs="宋体"/>
          <w:b/>
          <w:color w:val="000000" w:themeColor="text1"/>
          <w:sz w:val="72"/>
          <w:highlight w:val="none"/>
          <w14:textFill>
            <w14:solidFill>
              <w14:schemeClr w14:val="tx1"/>
            </w14:solidFill>
          </w14:textFill>
        </w:rPr>
      </w:pPr>
    </w:p>
    <w:p w14:paraId="41AB0B44">
      <w:pPr>
        <w:jc w:val="center"/>
        <w:rPr>
          <w:rFonts w:hint="eastAsia" w:ascii="宋体" w:hAnsi="宋体" w:eastAsia="宋体" w:cs="宋体"/>
          <w:b/>
          <w:color w:val="000000" w:themeColor="text1"/>
          <w:sz w:val="36"/>
          <w:highlight w:val="none"/>
          <w14:textFill>
            <w14:solidFill>
              <w14:schemeClr w14:val="tx1"/>
            </w14:solidFill>
          </w14:textFill>
        </w:rPr>
      </w:pPr>
    </w:p>
    <w:p w14:paraId="0660D719">
      <w:pPr>
        <w:jc w:val="center"/>
        <w:rPr>
          <w:rFonts w:hint="eastAsia" w:ascii="宋体" w:hAnsi="宋体" w:eastAsia="宋体" w:cs="宋体"/>
          <w:b/>
          <w:color w:val="000000" w:themeColor="text1"/>
          <w:sz w:val="36"/>
          <w:highlight w:val="none"/>
          <w14:textFill>
            <w14:solidFill>
              <w14:schemeClr w14:val="tx1"/>
            </w14:solidFill>
          </w14:textFill>
        </w:rPr>
      </w:pPr>
    </w:p>
    <w:p w14:paraId="71EEDFED">
      <w:pPr>
        <w:jc w:val="center"/>
        <w:rPr>
          <w:rFonts w:hint="eastAsia" w:ascii="宋体" w:hAnsi="宋体" w:eastAsia="宋体" w:cs="宋体"/>
          <w:b/>
          <w:color w:val="000000" w:themeColor="text1"/>
          <w:sz w:val="36"/>
          <w:highlight w:val="none"/>
          <w14:textFill>
            <w14:solidFill>
              <w14:schemeClr w14:val="tx1"/>
            </w14:solidFill>
          </w14:textFill>
        </w:rPr>
      </w:pPr>
    </w:p>
    <w:p w14:paraId="6E665119">
      <w:pPr>
        <w:ind w:firstLine="1084" w:firstLineChars="300"/>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项 目 名 称：</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4C4346D1">
      <w:pPr>
        <w:ind w:firstLine="1084" w:firstLineChars="300"/>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lang w:val="en-US" w:eastAsia="zh-CN"/>
          <w14:textFill>
            <w14:solidFill>
              <w14:schemeClr w14:val="tx1"/>
            </w14:solidFill>
          </w14:textFill>
        </w:rPr>
        <w:t>项 目</w:t>
      </w:r>
      <w:r>
        <w:rPr>
          <w:rFonts w:hint="eastAsia" w:ascii="宋体" w:hAnsi="宋体" w:eastAsia="宋体" w:cs="宋体"/>
          <w:b/>
          <w:color w:val="000000" w:themeColor="text1"/>
          <w:sz w:val="36"/>
          <w:highlight w:val="none"/>
          <w14:textFill>
            <w14:solidFill>
              <w14:schemeClr w14:val="tx1"/>
            </w14:solidFill>
          </w14:textFill>
        </w:rPr>
        <w:t xml:space="preserve"> 编 号：</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247813AB">
      <w:pPr>
        <w:rPr>
          <w:rFonts w:hint="eastAsia" w:ascii="宋体" w:hAnsi="宋体" w:eastAsia="宋体" w:cs="宋体"/>
          <w:b/>
          <w:color w:val="000000" w:themeColor="text1"/>
          <w:sz w:val="36"/>
          <w:highlight w:val="none"/>
          <w:u w:val="singl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w:t>
      </w:r>
      <w:r>
        <w:rPr>
          <w:rFonts w:hint="eastAsia" w:ascii="宋体" w:hAnsi="宋体" w:eastAsia="宋体" w:cs="宋体"/>
          <w:b/>
          <w:color w:val="000000" w:themeColor="text1"/>
          <w:sz w:val="36"/>
          <w:highlight w:val="none"/>
          <w:lang w:val="en-US" w:eastAsia="zh-CN"/>
          <w14:textFill>
            <w14:solidFill>
              <w14:schemeClr w14:val="tx1"/>
            </w14:solidFill>
          </w14:textFill>
        </w:rPr>
        <w:t>供应商</w:t>
      </w:r>
      <w:r>
        <w:rPr>
          <w:rFonts w:hint="eastAsia" w:ascii="宋体" w:hAnsi="宋体" w:eastAsia="宋体" w:cs="宋体"/>
          <w:b/>
          <w:color w:val="000000" w:themeColor="text1"/>
          <w:sz w:val="36"/>
          <w:highlight w:val="none"/>
          <w14:textFill>
            <w14:solidFill>
              <w14:schemeClr w14:val="tx1"/>
            </w14:solidFill>
          </w14:textFill>
        </w:rPr>
        <w:t>名称 ：</w:t>
      </w:r>
      <w:r>
        <w:rPr>
          <w:rFonts w:hint="eastAsia" w:ascii="宋体" w:hAnsi="宋体" w:eastAsia="宋体" w:cs="宋体"/>
          <w:b/>
          <w:color w:val="000000" w:themeColor="text1"/>
          <w:sz w:val="36"/>
          <w:highlight w:val="none"/>
          <w:u w:val="single"/>
          <w14:textFill>
            <w14:solidFill>
              <w14:schemeClr w14:val="tx1"/>
            </w14:solidFill>
          </w14:textFill>
        </w:rPr>
        <w:t>（电子签章）</w:t>
      </w:r>
      <w:r>
        <w:rPr>
          <w:rFonts w:hint="eastAsia" w:ascii="宋体" w:hAnsi="宋体" w:eastAsia="宋体" w:cs="宋体"/>
          <w:b/>
          <w:color w:val="000000" w:themeColor="text1"/>
          <w:sz w:val="36"/>
          <w:highlight w:val="none"/>
          <w:u w:val="none"/>
          <w:lang w:val="en-US" w:eastAsia="zh-CN"/>
          <w14:textFill>
            <w14:solidFill>
              <w14:schemeClr w14:val="tx1"/>
            </w14:solidFill>
          </w14:textFill>
        </w:rPr>
        <w:t xml:space="preserve">  </w:t>
      </w:r>
    </w:p>
    <w:p w14:paraId="4C5C14A3">
      <w:pPr>
        <w:ind w:firstLine="1084" w:firstLineChars="300"/>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日      期 ：</w:t>
      </w:r>
      <w:r>
        <w:rPr>
          <w:rFonts w:hint="eastAsia" w:ascii="宋体" w:hAnsi="宋体" w:eastAsia="宋体" w:cs="宋体"/>
          <w:b/>
          <w:color w:val="000000" w:themeColor="text1"/>
          <w:sz w:val="36"/>
          <w:highlight w:val="none"/>
          <w:u w:val="single"/>
          <w14:textFill>
            <w14:solidFill>
              <w14:schemeClr w14:val="tx1"/>
            </w14:solidFill>
          </w14:textFill>
        </w:rPr>
        <w:t xml:space="preserve">               </w:t>
      </w:r>
    </w:p>
    <w:p w14:paraId="476B25BF">
      <w:pPr>
        <w:ind w:firstLine="1084" w:firstLineChars="300"/>
        <w:rPr>
          <w:rFonts w:hint="eastAsia" w:ascii="宋体" w:hAnsi="宋体" w:eastAsia="宋体" w:cs="宋体"/>
          <w:b/>
          <w:color w:val="000000" w:themeColor="text1"/>
          <w:sz w:val="36"/>
          <w:highlight w:val="none"/>
          <w14:textFill>
            <w14:solidFill>
              <w14:schemeClr w14:val="tx1"/>
            </w14:solidFill>
          </w14:textFill>
        </w:rPr>
      </w:pPr>
    </w:p>
    <w:p w14:paraId="6E741F77">
      <w:pPr>
        <w:rPr>
          <w:rFonts w:hint="eastAsia" w:ascii="宋体" w:hAnsi="宋体" w:eastAsia="宋体" w:cs="宋体"/>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6"/>
          <w:highlight w:val="none"/>
          <w14:textFill>
            <w14:solidFill>
              <w14:schemeClr w14:val="tx1"/>
            </w14:solidFill>
          </w14:textFill>
        </w:rPr>
        <w:t xml:space="preserve">       </w:t>
      </w:r>
    </w:p>
    <w:p w14:paraId="634C928A">
      <w:pPr>
        <w:jc w:val="center"/>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0"/>
          <w:szCs w:val="30"/>
          <w:highlight w:val="none"/>
          <w14:textFill>
            <w14:solidFill>
              <w14:schemeClr w14:val="tx1"/>
            </w14:solidFill>
          </w14:textFill>
        </w:rPr>
        <w:t>评分索引表</w:t>
      </w:r>
    </w:p>
    <w:p w14:paraId="7FADBDE0">
      <w:pPr>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78A8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565AD159">
            <w:pPr>
              <w:pStyle w:val="213"/>
              <w:shd w:val="clear" w:color="auto" w:fill="FFFFFF"/>
              <w:spacing w:line="480" w:lineRule="auto"/>
              <w:ind w:left="420"/>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14:textFill>
                  <w14:solidFill>
                    <w14:schemeClr w14:val="tx1"/>
                  </w14:solidFill>
                </w14:textFill>
              </w:rPr>
              <w:t>评分项目</w:t>
            </w:r>
          </w:p>
        </w:tc>
        <w:tc>
          <w:tcPr>
            <w:tcW w:w="3711" w:type="dxa"/>
            <w:noWrap w:val="0"/>
            <w:vAlign w:val="top"/>
          </w:tcPr>
          <w:p w14:paraId="638DBBEA">
            <w:pPr>
              <w:spacing w:line="48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在</w:t>
            </w:r>
            <w:r>
              <w:rPr>
                <w:rFonts w:hint="eastAsia" w:ascii="宋体" w:hAnsi="宋体" w:eastAsia="宋体" w:cs="宋体"/>
                <w:b/>
                <w:color w:val="000000" w:themeColor="text1"/>
                <w:kern w:val="0"/>
                <w:sz w:val="24"/>
                <w:highlight w:val="none"/>
                <w:lang w:val="en-US" w:eastAsia="zh-CN" w:bidi="en-US"/>
                <w14:textFill>
                  <w14:solidFill>
                    <w14:schemeClr w14:val="tx1"/>
                  </w14:solidFill>
                </w14:textFill>
              </w:rPr>
              <w:t>响应</w:t>
            </w:r>
            <w:r>
              <w:rPr>
                <w:rFonts w:hint="eastAsia" w:ascii="宋体" w:hAnsi="宋体" w:eastAsia="宋体" w:cs="宋体"/>
                <w:b/>
                <w:color w:val="000000" w:themeColor="text1"/>
                <w:kern w:val="0"/>
                <w:sz w:val="24"/>
                <w:highlight w:val="none"/>
                <w:lang w:bidi="en-US"/>
                <w14:textFill>
                  <w14:solidFill>
                    <w14:schemeClr w14:val="tx1"/>
                  </w14:solidFill>
                </w14:textFill>
              </w:rPr>
              <w:t>文件中的页码位置（注明在**节点下第**页，如“技术参数响应及偏离表I”第**页）</w:t>
            </w:r>
          </w:p>
        </w:tc>
      </w:tr>
      <w:tr w14:paraId="051F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F6695CE">
            <w:pPr>
              <w:pStyle w:val="213"/>
              <w:shd w:val="clear" w:color="auto" w:fill="FFFFFF"/>
              <w:spacing w:line="480" w:lineRule="auto"/>
              <w:ind w:left="420"/>
              <w:jc w:val="both"/>
              <w:rPr>
                <w:rFonts w:hint="eastAsia" w:ascii="宋体" w:hAnsi="宋体" w:eastAsia="宋体" w:cs="宋体"/>
                <w:b/>
                <w:color w:val="000000" w:themeColor="text1"/>
                <w:highlight w:val="none"/>
                <w:lang w:val="en-US" w:eastAsia="zh-CN"/>
                <w14:textFill>
                  <w14:solidFill>
                    <w14:schemeClr w14:val="tx1"/>
                  </w14:solidFill>
                </w14:textFill>
              </w:rPr>
            </w:pPr>
          </w:p>
        </w:tc>
        <w:tc>
          <w:tcPr>
            <w:tcW w:w="3711" w:type="dxa"/>
            <w:noWrap w:val="0"/>
            <w:vAlign w:val="top"/>
          </w:tcPr>
          <w:p w14:paraId="38BCE642">
            <w:pPr>
              <w:spacing w:line="480" w:lineRule="auto"/>
              <w:rPr>
                <w:rFonts w:hint="eastAsia" w:ascii="宋体" w:hAnsi="宋体" w:eastAsia="宋体" w:cs="宋体"/>
                <w:b/>
                <w:color w:val="000000" w:themeColor="text1"/>
                <w:kern w:val="0"/>
                <w:sz w:val="24"/>
                <w:highlight w:val="none"/>
                <w:lang w:bidi="en-US"/>
                <w14:textFill>
                  <w14:solidFill>
                    <w14:schemeClr w14:val="tx1"/>
                  </w14:solidFill>
                </w14:textFill>
              </w:rPr>
            </w:pPr>
          </w:p>
        </w:tc>
      </w:tr>
      <w:tr w14:paraId="1635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3648E776">
            <w:pPr>
              <w:pStyle w:val="213"/>
              <w:shd w:val="clear" w:color="auto" w:fill="FFFFFF"/>
              <w:spacing w:line="480" w:lineRule="auto"/>
              <w:ind w:left="420"/>
              <w:jc w:val="both"/>
              <w:rPr>
                <w:rFonts w:hint="eastAsia" w:ascii="宋体" w:hAnsi="宋体" w:eastAsia="宋体" w:cs="宋体"/>
                <w:color w:val="000000" w:themeColor="text1"/>
                <w:highlight w:val="none"/>
                <w:lang w:val="en-US" w:eastAsia="zh-CN"/>
                <w14:textFill>
                  <w14:solidFill>
                    <w14:schemeClr w14:val="tx1"/>
                  </w14:solidFill>
                </w14:textFill>
              </w:rPr>
            </w:pPr>
          </w:p>
        </w:tc>
      </w:tr>
      <w:tr w14:paraId="15FB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5204CA7C">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00717667">
            <w:pPr>
              <w:spacing w:line="480" w:lineRule="auto"/>
              <w:rPr>
                <w:rFonts w:hint="eastAsia" w:ascii="宋体" w:hAnsi="宋体" w:eastAsia="宋体" w:cs="宋体"/>
                <w:color w:val="000000" w:themeColor="text1"/>
                <w:highlight w:val="none"/>
                <w14:textFill>
                  <w14:solidFill>
                    <w14:schemeClr w14:val="tx1"/>
                  </w14:solidFill>
                </w14:textFill>
              </w:rPr>
            </w:pPr>
          </w:p>
        </w:tc>
      </w:tr>
      <w:tr w14:paraId="2B2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6620DB8B">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16E6C9A9">
            <w:pPr>
              <w:spacing w:line="480" w:lineRule="auto"/>
              <w:rPr>
                <w:rFonts w:hint="eastAsia" w:ascii="宋体" w:hAnsi="宋体" w:eastAsia="宋体" w:cs="宋体"/>
                <w:color w:val="000000" w:themeColor="text1"/>
                <w:highlight w:val="none"/>
                <w14:textFill>
                  <w14:solidFill>
                    <w14:schemeClr w14:val="tx1"/>
                  </w14:solidFill>
                </w14:textFill>
              </w:rPr>
            </w:pPr>
          </w:p>
        </w:tc>
      </w:tr>
      <w:tr w14:paraId="61C8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2CF618DF">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716B1D32">
            <w:pPr>
              <w:spacing w:line="480" w:lineRule="auto"/>
              <w:rPr>
                <w:rFonts w:hint="eastAsia" w:ascii="宋体" w:hAnsi="宋体" w:eastAsia="宋体" w:cs="宋体"/>
                <w:color w:val="000000" w:themeColor="text1"/>
                <w:highlight w:val="none"/>
                <w14:textFill>
                  <w14:solidFill>
                    <w14:schemeClr w14:val="tx1"/>
                  </w14:solidFill>
                </w14:textFill>
              </w:rPr>
            </w:pPr>
          </w:p>
        </w:tc>
      </w:tr>
      <w:tr w14:paraId="1FBD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42CFB2A2">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0250C446">
            <w:pPr>
              <w:spacing w:line="480" w:lineRule="auto"/>
              <w:rPr>
                <w:rFonts w:hint="eastAsia" w:ascii="宋体" w:hAnsi="宋体" w:eastAsia="宋体" w:cs="宋体"/>
                <w:color w:val="000000" w:themeColor="text1"/>
                <w:highlight w:val="none"/>
                <w14:textFill>
                  <w14:solidFill>
                    <w14:schemeClr w14:val="tx1"/>
                  </w14:solidFill>
                </w14:textFill>
              </w:rPr>
            </w:pPr>
          </w:p>
        </w:tc>
      </w:tr>
      <w:tr w14:paraId="3B6F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D0D44BB">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620CF1A1">
            <w:pPr>
              <w:spacing w:line="480" w:lineRule="auto"/>
              <w:rPr>
                <w:rFonts w:hint="eastAsia" w:ascii="宋体" w:hAnsi="宋体" w:eastAsia="宋体" w:cs="宋体"/>
                <w:color w:val="000000" w:themeColor="text1"/>
                <w:highlight w:val="none"/>
                <w14:textFill>
                  <w14:solidFill>
                    <w14:schemeClr w14:val="tx1"/>
                  </w14:solidFill>
                </w14:textFill>
              </w:rPr>
            </w:pPr>
          </w:p>
        </w:tc>
      </w:tr>
      <w:tr w14:paraId="6222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6C333F93">
            <w:pPr>
              <w:pStyle w:val="213"/>
              <w:shd w:val="clear" w:color="auto" w:fill="FFFFFF"/>
              <w:spacing w:line="480" w:lineRule="auto"/>
              <w:ind w:left="420"/>
              <w:jc w:val="both"/>
              <w:rPr>
                <w:rFonts w:hint="eastAsia" w:ascii="宋体" w:hAnsi="宋体" w:eastAsia="宋体" w:cs="宋体"/>
                <w:color w:val="000000" w:themeColor="text1"/>
                <w:highlight w:val="none"/>
                <w:lang w:val="en-US" w:eastAsia="zh-CN"/>
                <w14:textFill>
                  <w14:solidFill>
                    <w14:schemeClr w14:val="tx1"/>
                  </w14:solidFill>
                </w14:textFill>
              </w:rPr>
            </w:pPr>
          </w:p>
        </w:tc>
      </w:tr>
      <w:tr w14:paraId="436F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0D4E3E4B">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66136B62">
            <w:pPr>
              <w:spacing w:line="480" w:lineRule="auto"/>
              <w:rPr>
                <w:rFonts w:hint="eastAsia" w:ascii="宋体" w:hAnsi="宋体" w:eastAsia="宋体" w:cs="宋体"/>
                <w:color w:val="000000" w:themeColor="text1"/>
                <w:highlight w:val="none"/>
                <w14:textFill>
                  <w14:solidFill>
                    <w14:schemeClr w14:val="tx1"/>
                  </w14:solidFill>
                </w14:textFill>
              </w:rPr>
            </w:pPr>
          </w:p>
        </w:tc>
      </w:tr>
      <w:tr w14:paraId="44EF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6017E51D">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398CB742">
            <w:pPr>
              <w:spacing w:line="480" w:lineRule="auto"/>
              <w:rPr>
                <w:rFonts w:hint="eastAsia" w:ascii="宋体" w:hAnsi="宋体" w:eastAsia="宋体" w:cs="宋体"/>
                <w:color w:val="000000" w:themeColor="text1"/>
                <w:highlight w:val="none"/>
                <w14:textFill>
                  <w14:solidFill>
                    <w14:schemeClr w14:val="tx1"/>
                  </w14:solidFill>
                </w14:textFill>
              </w:rPr>
            </w:pPr>
          </w:p>
        </w:tc>
      </w:tr>
      <w:tr w14:paraId="10EF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14:paraId="1570204E">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02EB4679">
            <w:pPr>
              <w:spacing w:line="480" w:lineRule="auto"/>
              <w:rPr>
                <w:rFonts w:hint="eastAsia" w:ascii="宋体" w:hAnsi="宋体" w:eastAsia="宋体" w:cs="宋体"/>
                <w:color w:val="000000" w:themeColor="text1"/>
                <w:highlight w:val="none"/>
                <w14:textFill>
                  <w14:solidFill>
                    <w14:schemeClr w14:val="tx1"/>
                  </w14:solidFill>
                </w14:textFill>
              </w:rPr>
            </w:pPr>
          </w:p>
        </w:tc>
      </w:tr>
      <w:tr w14:paraId="4A46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0022E769">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66530B5E">
            <w:pPr>
              <w:spacing w:line="480" w:lineRule="auto"/>
              <w:rPr>
                <w:rFonts w:hint="eastAsia" w:ascii="宋体" w:hAnsi="宋体" w:eastAsia="宋体" w:cs="宋体"/>
                <w:color w:val="000000" w:themeColor="text1"/>
                <w:highlight w:val="none"/>
                <w14:textFill>
                  <w14:solidFill>
                    <w14:schemeClr w14:val="tx1"/>
                  </w14:solidFill>
                </w14:textFill>
              </w:rPr>
            </w:pPr>
          </w:p>
        </w:tc>
      </w:tr>
      <w:tr w14:paraId="46CD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2F9F1DD1">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6A9D5413">
            <w:pPr>
              <w:spacing w:line="480" w:lineRule="auto"/>
              <w:rPr>
                <w:rFonts w:hint="eastAsia" w:ascii="宋体" w:hAnsi="宋体" w:eastAsia="宋体" w:cs="宋体"/>
                <w:color w:val="000000" w:themeColor="text1"/>
                <w:highlight w:val="none"/>
                <w14:textFill>
                  <w14:solidFill>
                    <w14:schemeClr w14:val="tx1"/>
                  </w14:solidFill>
                </w14:textFill>
              </w:rPr>
            </w:pPr>
          </w:p>
        </w:tc>
      </w:tr>
      <w:tr w14:paraId="79E2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0C8E63AE">
            <w:pPr>
              <w:pStyle w:val="213"/>
              <w:shd w:val="clear" w:color="auto" w:fill="FFFFFF"/>
              <w:spacing w:line="480" w:lineRule="auto"/>
              <w:ind w:left="420"/>
              <w:jc w:val="both"/>
              <w:rPr>
                <w:rFonts w:hint="eastAsia" w:ascii="宋体" w:hAnsi="宋体" w:eastAsia="宋体" w:cs="宋体"/>
                <w:b/>
                <w:color w:val="000000" w:themeColor="text1"/>
                <w:highlight w:val="none"/>
                <w:lang w:val="en-US" w:eastAsia="zh-CN"/>
                <w14:textFill>
                  <w14:solidFill>
                    <w14:schemeClr w14:val="tx1"/>
                  </w14:solidFill>
                </w14:textFill>
              </w:rPr>
            </w:pPr>
          </w:p>
        </w:tc>
      </w:tr>
      <w:tr w14:paraId="0939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2EBD86BC">
            <w:pPr>
              <w:pStyle w:val="213"/>
              <w:shd w:val="clear" w:color="auto" w:fill="FFFFFF"/>
              <w:spacing w:line="480" w:lineRule="auto"/>
              <w:ind w:left="420"/>
              <w:rPr>
                <w:rFonts w:hint="eastAsia" w:ascii="宋体" w:hAnsi="宋体" w:eastAsia="宋体" w:cs="宋体"/>
                <w:b/>
                <w:bCs/>
                <w:color w:val="000000" w:themeColor="text1"/>
                <w:highlight w:val="none"/>
                <w:lang w:val="en-US" w:eastAsia="zh-CN"/>
                <w14:textFill>
                  <w14:solidFill>
                    <w14:schemeClr w14:val="tx1"/>
                  </w14:solidFill>
                </w14:textFill>
              </w:rPr>
            </w:pPr>
          </w:p>
        </w:tc>
        <w:tc>
          <w:tcPr>
            <w:tcW w:w="3711" w:type="dxa"/>
            <w:noWrap w:val="0"/>
            <w:vAlign w:val="top"/>
          </w:tcPr>
          <w:p w14:paraId="0FCA789A">
            <w:pPr>
              <w:spacing w:line="480" w:lineRule="auto"/>
              <w:rPr>
                <w:rFonts w:hint="eastAsia" w:ascii="宋体" w:hAnsi="宋体" w:eastAsia="宋体" w:cs="宋体"/>
                <w:color w:val="000000" w:themeColor="text1"/>
                <w:highlight w:val="none"/>
                <w14:textFill>
                  <w14:solidFill>
                    <w14:schemeClr w14:val="tx1"/>
                  </w14:solidFill>
                </w14:textFill>
              </w:rPr>
            </w:pPr>
          </w:p>
        </w:tc>
      </w:tr>
      <w:tr w14:paraId="508E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FD1CE90">
            <w:pPr>
              <w:pStyle w:val="213"/>
              <w:shd w:val="clear" w:color="auto" w:fill="FFFFFF"/>
              <w:spacing w:line="480" w:lineRule="auto"/>
              <w:ind w:left="420"/>
              <w:rPr>
                <w:rFonts w:hint="eastAsia" w:ascii="宋体" w:hAnsi="宋体" w:eastAsia="宋体" w:cs="宋体"/>
                <w:color w:val="000000" w:themeColor="text1"/>
                <w:highlight w:val="none"/>
                <w:lang w:val="en-US" w:eastAsia="zh-CN"/>
                <w14:textFill>
                  <w14:solidFill>
                    <w14:schemeClr w14:val="tx1"/>
                  </w14:solidFill>
                </w14:textFill>
              </w:rPr>
            </w:pPr>
          </w:p>
        </w:tc>
        <w:tc>
          <w:tcPr>
            <w:tcW w:w="3711" w:type="dxa"/>
            <w:noWrap w:val="0"/>
            <w:vAlign w:val="top"/>
          </w:tcPr>
          <w:p w14:paraId="36B4655D">
            <w:pPr>
              <w:spacing w:line="480" w:lineRule="auto"/>
              <w:rPr>
                <w:rFonts w:hint="eastAsia" w:ascii="宋体" w:hAnsi="宋体" w:eastAsia="宋体" w:cs="宋体"/>
                <w:color w:val="000000" w:themeColor="text1"/>
                <w:highlight w:val="none"/>
                <w14:textFill>
                  <w14:solidFill>
                    <w14:schemeClr w14:val="tx1"/>
                  </w14:solidFill>
                </w14:textFill>
              </w:rPr>
            </w:pPr>
          </w:p>
        </w:tc>
      </w:tr>
    </w:tbl>
    <w:p w14:paraId="6EE1A772">
      <w:pPr>
        <w:spacing w:line="440" w:lineRule="exact"/>
        <w:ind w:firstLine="643"/>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14:textFill>
            <w14:solidFill>
              <w14:schemeClr w14:val="tx1"/>
            </w14:solidFill>
          </w14:textFill>
        </w:rPr>
        <w:t>响应文件主要目录</w:t>
      </w:r>
    </w:p>
    <w:p w14:paraId="3F2FBB96">
      <w:pPr>
        <w:spacing w:line="440" w:lineRule="exact"/>
        <w:ind w:firstLine="643"/>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585B9CC0">
      <w:pPr>
        <w:spacing w:line="24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一、资格审查响应对照表</w:t>
      </w:r>
    </w:p>
    <w:p w14:paraId="1832E18E">
      <w:pPr>
        <w:spacing w:line="240" w:lineRule="auto"/>
        <w:ind w:left="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二、符合性审查响应对照表</w:t>
      </w:r>
    </w:p>
    <w:p w14:paraId="619B2B4E">
      <w:pPr>
        <w:spacing w:line="240" w:lineRule="auto"/>
        <w:ind w:left="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三、非实质性响应对照表</w:t>
      </w:r>
    </w:p>
    <w:p w14:paraId="7CFF57EC">
      <w:pPr>
        <w:spacing w:line="24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磋商响应</w:t>
      </w:r>
      <w:r>
        <w:rPr>
          <w:rFonts w:hint="eastAsia" w:ascii="宋体" w:hAnsi="宋体" w:eastAsia="宋体" w:cs="宋体"/>
          <w:color w:val="000000" w:themeColor="text1"/>
          <w:sz w:val="24"/>
          <w:highlight w:val="none"/>
          <w14:textFill>
            <w14:solidFill>
              <w14:schemeClr w14:val="tx1"/>
            </w14:solidFill>
          </w14:textFill>
        </w:rPr>
        <w:t>分项报价表</w:t>
      </w:r>
    </w:p>
    <w:p w14:paraId="4CA5DAB2">
      <w:pPr>
        <w:spacing w:line="24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、技术参数响应及偏离表</w:t>
      </w:r>
    </w:p>
    <w:p w14:paraId="472C1484">
      <w:pPr>
        <w:spacing w:line="24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六、商务条款响应及偏离表</w:t>
      </w:r>
    </w:p>
    <w:p w14:paraId="39BBB805">
      <w:pPr>
        <w:spacing w:line="240" w:lineRule="auto"/>
        <w:ind w:firstLine="480" w:firstLineChars="200"/>
        <w:rPr>
          <w:rFonts w:hint="eastAsia" w:ascii="宋体" w:hAnsi="宋体" w:eastAsia="宋体" w:cs="宋体"/>
          <w:i/>
          <w:color w:val="000000" w:themeColor="text1"/>
          <w:sz w:val="24"/>
          <w:highlight w:val="none"/>
          <w:u w:val="single"/>
          <w14:textFill>
            <w14:solidFill>
              <w14:schemeClr w14:val="tx1"/>
            </w14:solidFill>
          </w14:textFill>
        </w:rPr>
      </w:pPr>
      <w:r>
        <w:rPr>
          <w:rFonts w:hint="eastAsia" w:ascii="宋体" w:hAnsi="宋体" w:eastAsia="宋体" w:cs="宋体"/>
          <w:i/>
          <w:color w:val="000000" w:themeColor="text1"/>
          <w:sz w:val="24"/>
          <w:highlight w:val="none"/>
          <w:u w:val="single"/>
          <w14:textFill>
            <w14:solidFill>
              <w14:schemeClr w14:val="tx1"/>
            </w14:solidFill>
          </w14:textFill>
        </w:rPr>
        <w:t>七、</w:t>
      </w:r>
      <w:r>
        <w:rPr>
          <w:rFonts w:hint="eastAsia" w:ascii="宋体" w:hAnsi="宋体" w:eastAsia="宋体" w:cs="宋体"/>
          <w:i/>
          <w:color w:val="000000" w:themeColor="text1"/>
          <w:sz w:val="24"/>
          <w:highlight w:val="none"/>
          <w:u w:val="single"/>
          <w:lang w:val="en-US" w:eastAsia="zh-CN"/>
          <w14:textFill>
            <w14:solidFill>
              <w14:schemeClr w14:val="tx1"/>
            </w14:solidFill>
          </w14:textFill>
        </w:rPr>
        <w:t>磋商报价</w:t>
      </w:r>
      <w:r>
        <w:rPr>
          <w:rFonts w:hint="eastAsia" w:ascii="宋体" w:hAnsi="宋体" w:eastAsia="宋体" w:cs="宋体"/>
          <w:i/>
          <w:color w:val="000000" w:themeColor="text1"/>
          <w:sz w:val="24"/>
          <w:highlight w:val="none"/>
          <w:u w:val="single"/>
          <w14:textFill>
            <w14:solidFill>
              <w14:schemeClr w14:val="tx1"/>
            </w14:solidFill>
          </w14:textFill>
        </w:rPr>
        <w:t>一览表</w:t>
      </w:r>
    </w:p>
    <w:p w14:paraId="4E129D8F">
      <w:pPr>
        <w:spacing w:line="240" w:lineRule="auto"/>
        <w:ind w:firstLine="480" w:firstLineChars="200"/>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八、供应商认为有必要提供的声明及文件资料</w:t>
      </w:r>
    </w:p>
    <w:bookmarkEnd w:id="153"/>
    <w:bookmarkEnd w:id="154"/>
    <w:bookmarkEnd w:id="466"/>
    <w:bookmarkEnd w:id="467"/>
    <w:bookmarkEnd w:id="468"/>
    <w:p w14:paraId="1F67B5BD">
      <w:pP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九、其他相关附表格式</w:t>
      </w:r>
    </w:p>
    <w:p w14:paraId="4849A1B1">
      <w:pPr>
        <w:pStyle w:val="18"/>
        <w:rPr>
          <w:rFonts w:hint="eastAsia" w:ascii="宋体" w:hAnsi="宋体" w:eastAsia="宋体" w:cs="宋体"/>
          <w:color w:val="000000" w:themeColor="text1"/>
          <w:szCs w:val="24"/>
          <w:highlight w:val="none"/>
          <w14:textFill>
            <w14:solidFill>
              <w14:schemeClr w14:val="tx1"/>
            </w14:solidFill>
          </w14:textFill>
        </w:rPr>
      </w:pPr>
    </w:p>
    <w:p w14:paraId="361C93E4">
      <w:pPr>
        <w:rPr>
          <w:rFonts w:hint="eastAsia" w:ascii="宋体" w:hAnsi="宋体" w:eastAsia="宋体" w:cs="宋体"/>
          <w:color w:val="000000" w:themeColor="text1"/>
          <w:szCs w:val="24"/>
          <w:highlight w:val="none"/>
          <w14:textFill>
            <w14:solidFill>
              <w14:schemeClr w14:val="tx1"/>
            </w14:solidFill>
          </w14:textFill>
        </w:rPr>
      </w:pPr>
    </w:p>
    <w:p w14:paraId="10C43141">
      <w:pPr>
        <w:pStyle w:val="18"/>
        <w:rPr>
          <w:rFonts w:hint="eastAsia" w:ascii="宋体" w:hAnsi="宋体" w:eastAsia="宋体" w:cs="宋体"/>
          <w:color w:val="000000" w:themeColor="text1"/>
          <w:szCs w:val="24"/>
          <w:highlight w:val="none"/>
          <w14:textFill>
            <w14:solidFill>
              <w14:schemeClr w14:val="tx1"/>
            </w14:solidFill>
          </w14:textFill>
        </w:rPr>
      </w:pPr>
    </w:p>
    <w:p w14:paraId="1FF03B29">
      <w:pPr>
        <w:rPr>
          <w:rFonts w:hint="eastAsia" w:ascii="宋体" w:hAnsi="宋体" w:eastAsia="宋体" w:cs="宋体"/>
          <w:color w:val="000000" w:themeColor="text1"/>
          <w:szCs w:val="24"/>
          <w:highlight w:val="none"/>
          <w14:textFill>
            <w14:solidFill>
              <w14:schemeClr w14:val="tx1"/>
            </w14:solidFill>
          </w14:textFill>
        </w:rPr>
      </w:pPr>
    </w:p>
    <w:p w14:paraId="72EB11AD">
      <w:pPr>
        <w:pStyle w:val="18"/>
        <w:rPr>
          <w:rFonts w:hint="eastAsia" w:ascii="宋体" w:hAnsi="宋体" w:eastAsia="宋体" w:cs="宋体"/>
          <w:color w:val="000000" w:themeColor="text1"/>
          <w:szCs w:val="24"/>
          <w:highlight w:val="none"/>
          <w14:textFill>
            <w14:solidFill>
              <w14:schemeClr w14:val="tx1"/>
            </w14:solidFill>
          </w14:textFill>
        </w:rPr>
      </w:pPr>
    </w:p>
    <w:p w14:paraId="6A659566">
      <w:pPr>
        <w:rPr>
          <w:rFonts w:hint="eastAsia" w:ascii="宋体" w:hAnsi="宋体" w:eastAsia="宋体" w:cs="宋体"/>
          <w:color w:val="000000" w:themeColor="text1"/>
          <w:szCs w:val="24"/>
          <w:highlight w:val="none"/>
          <w14:textFill>
            <w14:solidFill>
              <w14:schemeClr w14:val="tx1"/>
            </w14:solidFill>
          </w14:textFill>
        </w:rPr>
      </w:pPr>
    </w:p>
    <w:p w14:paraId="5B4661B2">
      <w:pPr>
        <w:pStyle w:val="18"/>
        <w:rPr>
          <w:rFonts w:hint="eastAsia" w:ascii="宋体" w:hAnsi="宋体" w:eastAsia="宋体" w:cs="宋体"/>
          <w:color w:val="000000" w:themeColor="text1"/>
          <w:szCs w:val="24"/>
          <w:highlight w:val="none"/>
          <w14:textFill>
            <w14:solidFill>
              <w14:schemeClr w14:val="tx1"/>
            </w14:solidFill>
          </w14:textFill>
        </w:rPr>
      </w:pPr>
    </w:p>
    <w:p w14:paraId="4F1544FC">
      <w:pPr>
        <w:rPr>
          <w:rFonts w:hint="eastAsia" w:ascii="宋体" w:hAnsi="宋体" w:eastAsia="宋体" w:cs="宋体"/>
          <w:color w:val="000000" w:themeColor="text1"/>
          <w:szCs w:val="24"/>
          <w:highlight w:val="none"/>
          <w14:textFill>
            <w14:solidFill>
              <w14:schemeClr w14:val="tx1"/>
            </w14:solidFill>
          </w14:textFill>
        </w:rPr>
      </w:pPr>
    </w:p>
    <w:p w14:paraId="0A0BA74A">
      <w:pPr>
        <w:pStyle w:val="18"/>
        <w:rPr>
          <w:rFonts w:hint="eastAsia" w:ascii="宋体" w:hAnsi="宋体" w:eastAsia="宋体" w:cs="宋体"/>
          <w:color w:val="000000" w:themeColor="text1"/>
          <w:szCs w:val="24"/>
          <w:highlight w:val="none"/>
          <w14:textFill>
            <w14:solidFill>
              <w14:schemeClr w14:val="tx1"/>
            </w14:solidFill>
          </w14:textFill>
        </w:rPr>
      </w:pPr>
    </w:p>
    <w:p w14:paraId="000D72DC">
      <w:pPr>
        <w:rPr>
          <w:rFonts w:hint="eastAsia" w:ascii="宋体" w:hAnsi="宋体" w:eastAsia="宋体" w:cs="宋体"/>
          <w:color w:val="000000" w:themeColor="text1"/>
          <w:szCs w:val="24"/>
          <w:highlight w:val="none"/>
          <w14:textFill>
            <w14:solidFill>
              <w14:schemeClr w14:val="tx1"/>
            </w14:solidFill>
          </w14:textFill>
        </w:rPr>
      </w:pPr>
    </w:p>
    <w:p w14:paraId="06C745A5">
      <w:pPr>
        <w:pStyle w:val="18"/>
        <w:rPr>
          <w:rFonts w:hint="eastAsia" w:ascii="宋体" w:hAnsi="宋体" w:eastAsia="宋体" w:cs="宋体"/>
          <w:color w:val="000000" w:themeColor="text1"/>
          <w:szCs w:val="24"/>
          <w:highlight w:val="none"/>
          <w14:textFill>
            <w14:solidFill>
              <w14:schemeClr w14:val="tx1"/>
            </w14:solidFill>
          </w14:textFill>
        </w:rPr>
      </w:pPr>
    </w:p>
    <w:p w14:paraId="110166BA">
      <w:pPr>
        <w:rPr>
          <w:rFonts w:hint="eastAsia" w:ascii="宋体" w:hAnsi="宋体" w:eastAsia="宋体" w:cs="宋体"/>
          <w:color w:val="000000" w:themeColor="text1"/>
          <w:szCs w:val="24"/>
          <w:highlight w:val="none"/>
          <w14:textFill>
            <w14:solidFill>
              <w14:schemeClr w14:val="tx1"/>
            </w14:solidFill>
          </w14:textFill>
        </w:rPr>
      </w:pPr>
    </w:p>
    <w:p w14:paraId="1858D3CC">
      <w:pPr>
        <w:pStyle w:val="18"/>
        <w:rPr>
          <w:rFonts w:hint="eastAsia" w:ascii="宋体" w:hAnsi="宋体" w:eastAsia="宋体" w:cs="宋体"/>
          <w:color w:val="000000" w:themeColor="text1"/>
          <w:szCs w:val="24"/>
          <w:highlight w:val="none"/>
          <w14:textFill>
            <w14:solidFill>
              <w14:schemeClr w14:val="tx1"/>
            </w14:solidFill>
          </w14:textFill>
        </w:rPr>
      </w:pPr>
    </w:p>
    <w:p w14:paraId="2E040E9D">
      <w:pPr>
        <w:pStyle w:val="5"/>
        <w:jc w:val="center"/>
        <w:rPr>
          <w:rFonts w:hint="eastAsia" w:ascii="宋体" w:hAnsi="宋体" w:eastAsia="宋体" w:cs="宋体"/>
          <w:b/>
          <w:bCs/>
          <w:color w:val="000000" w:themeColor="text1"/>
          <w:sz w:val="44"/>
          <w:highlight w:val="none"/>
          <w14:textFill>
            <w14:solidFill>
              <w14:schemeClr w14:val="tx1"/>
            </w14:solidFill>
          </w14:textFill>
        </w:rPr>
      </w:pPr>
      <w:bookmarkStart w:id="469" w:name="_Toc534725612"/>
      <w:bookmarkStart w:id="470" w:name="_Toc534816641"/>
      <w:r>
        <w:rPr>
          <w:rFonts w:hint="eastAsia" w:ascii="宋体" w:hAnsi="宋体" w:eastAsia="宋体" w:cs="宋体"/>
          <w:b/>
          <w:bCs w:val="0"/>
          <w:color w:val="000000" w:themeColor="text1"/>
          <w:highlight w:val="none"/>
          <w14:textFill>
            <w14:solidFill>
              <w14:schemeClr w14:val="tx1"/>
            </w14:solidFill>
          </w14:textFill>
        </w:rPr>
        <w:t>一、</w:t>
      </w:r>
      <w:bookmarkEnd w:id="469"/>
      <w:bookmarkEnd w:id="470"/>
      <w:r>
        <w:rPr>
          <w:rFonts w:hint="eastAsia" w:ascii="宋体" w:hAnsi="宋体" w:eastAsia="宋体" w:cs="宋体"/>
          <w:b/>
          <w:bCs w:val="0"/>
          <w:color w:val="000000" w:themeColor="text1"/>
          <w:highlight w:val="none"/>
          <w14:textFill>
            <w14:solidFill>
              <w14:schemeClr w14:val="tx1"/>
            </w14:solidFill>
          </w14:textFill>
        </w:rPr>
        <w:t>资格审查响应对照表</w:t>
      </w:r>
    </w:p>
    <w:p w14:paraId="3521B97F">
      <w:pPr>
        <w:snapToGrid w:val="0"/>
        <w:spacing w:before="50" w:after="50"/>
        <w:rPr>
          <w:rFonts w:hint="eastAsia" w:ascii="宋体" w:hAnsi="宋体" w:eastAsia="宋体" w:cs="宋体"/>
          <w:color w:val="000000" w:themeColor="text1"/>
          <w:sz w:val="44"/>
          <w:highlight w:val="none"/>
          <w14:textFill>
            <w14:solidFill>
              <w14:schemeClr w14:val="tx1"/>
            </w14:solidFill>
          </w14:textFil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6459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5C767528">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5447" w:type="dxa"/>
            <w:noWrap w:val="0"/>
            <w:vAlign w:val="center"/>
          </w:tcPr>
          <w:p w14:paraId="0E2C3C4B">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资格审查响应内容</w:t>
            </w:r>
          </w:p>
        </w:tc>
        <w:tc>
          <w:tcPr>
            <w:tcW w:w="1103" w:type="dxa"/>
            <w:noWrap w:val="0"/>
            <w:vAlign w:val="center"/>
          </w:tcPr>
          <w:p w14:paraId="0CFE067C">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是否响应</w:t>
            </w:r>
          </w:p>
          <w:p w14:paraId="2ADE56E6">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（填是或否）</w:t>
            </w:r>
          </w:p>
        </w:tc>
        <w:tc>
          <w:tcPr>
            <w:tcW w:w="1916" w:type="dxa"/>
            <w:noWrap w:val="0"/>
            <w:vAlign w:val="center"/>
          </w:tcPr>
          <w:p w14:paraId="37080C94">
            <w:pPr>
              <w:snapToGrid w:val="0"/>
              <w:spacing w:line="240" w:lineRule="atLeas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上传证明材料的图片</w:t>
            </w:r>
            <w:r>
              <w:rPr>
                <w:rFonts w:hint="eastAsia" w:ascii="宋体" w:hAnsi="宋体" w:eastAsia="宋体" w:cs="宋体"/>
                <w:b/>
                <w:color w:val="000000" w:themeColor="text1"/>
                <w:highlight w:val="none"/>
                <w:lang w:eastAsia="zh-CN"/>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按顺序附到此对照表后面</w:t>
            </w:r>
            <w:r>
              <w:rPr>
                <w:rFonts w:hint="eastAsia" w:ascii="宋体" w:hAnsi="宋体" w:eastAsia="宋体" w:cs="宋体"/>
                <w:b/>
                <w:color w:val="000000" w:themeColor="text1"/>
                <w:highlight w:val="none"/>
                <w:lang w:eastAsia="zh-CN"/>
                <w14:textFill>
                  <w14:solidFill>
                    <w14:schemeClr w14:val="tx1"/>
                  </w14:solidFill>
                </w14:textFill>
              </w:rPr>
              <w:t>）</w:t>
            </w:r>
          </w:p>
        </w:tc>
      </w:tr>
      <w:tr w14:paraId="5BE0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14:paraId="1656222A">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通用资格条件</w:t>
            </w:r>
          </w:p>
        </w:tc>
      </w:tr>
      <w:tr w14:paraId="09E6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1939789E">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1</w:t>
            </w:r>
          </w:p>
        </w:tc>
        <w:tc>
          <w:tcPr>
            <w:tcW w:w="5447" w:type="dxa"/>
            <w:noWrap w:val="0"/>
            <w:vAlign w:val="center"/>
          </w:tcPr>
          <w:p w14:paraId="683B6707">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法人或者其他组织的营业执照等证明文件，自然人的身份证明（身份证为正、反面）</w:t>
            </w:r>
          </w:p>
        </w:tc>
        <w:tc>
          <w:tcPr>
            <w:tcW w:w="1103" w:type="dxa"/>
            <w:noWrap w:val="0"/>
            <w:vAlign w:val="center"/>
          </w:tcPr>
          <w:p w14:paraId="29D9E660">
            <w:pPr>
              <w:rPr>
                <w:rFonts w:hint="eastAsia" w:ascii="宋体" w:hAnsi="宋体" w:eastAsia="宋体" w:cs="宋体"/>
                <w:b/>
                <w:color w:val="000000" w:themeColor="text1"/>
                <w:highlight w:val="none"/>
                <w14:textFill>
                  <w14:solidFill>
                    <w14:schemeClr w14:val="tx1"/>
                  </w14:solidFill>
                </w14:textFill>
              </w:rPr>
            </w:pPr>
          </w:p>
        </w:tc>
        <w:tc>
          <w:tcPr>
            <w:tcW w:w="1916" w:type="dxa"/>
            <w:noWrap w:val="0"/>
            <w:vAlign w:val="center"/>
          </w:tcPr>
          <w:p w14:paraId="455B5273">
            <w:pPr>
              <w:rPr>
                <w:rFonts w:hint="eastAsia" w:ascii="宋体" w:hAnsi="宋体" w:eastAsia="宋体" w:cs="宋体"/>
                <w:b/>
                <w:color w:val="000000" w:themeColor="text1"/>
                <w:highlight w:val="none"/>
                <w14:textFill>
                  <w14:solidFill>
                    <w14:schemeClr w14:val="tx1"/>
                  </w14:solidFill>
                </w14:textFill>
              </w:rPr>
            </w:pPr>
          </w:p>
        </w:tc>
      </w:tr>
      <w:tr w14:paraId="0FF8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62428D0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5447" w:type="dxa"/>
            <w:noWrap w:val="0"/>
            <w:vAlign w:val="center"/>
          </w:tcPr>
          <w:p w14:paraId="66DC3E03">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最近一个年度的财务状况报告（成立不满一年不需提供）</w:t>
            </w:r>
          </w:p>
        </w:tc>
        <w:tc>
          <w:tcPr>
            <w:tcW w:w="1103" w:type="dxa"/>
            <w:noWrap w:val="0"/>
            <w:vAlign w:val="center"/>
          </w:tcPr>
          <w:p w14:paraId="3E2A3B55">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1571787F">
            <w:pPr>
              <w:rPr>
                <w:rFonts w:hint="eastAsia" w:ascii="宋体" w:hAnsi="宋体" w:eastAsia="宋体" w:cs="宋体"/>
                <w:color w:val="000000" w:themeColor="text1"/>
                <w:highlight w:val="none"/>
                <w14:textFill>
                  <w14:solidFill>
                    <w14:schemeClr w14:val="tx1"/>
                  </w14:solidFill>
                </w14:textFill>
              </w:rPr>
            </w:pPr>
          </w:p>
        </w:tc>
      </w:tr>
      <w:tr w14:paraId="5BEE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F0279B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5447" w:type="dxa"/>
            <w:noWrap w:val="0"/>
            <w:vAlign w:val="center"/>
          </w:tcPr>
          <w:p w14:paraId="295248E2">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依法缴纳税收和社会保障资金的相关材料（提供提交</w:t>
            </w:r>
            <w:r>
              <w:rPr>
                <w:rFonts w:hint="eastAsia" w:ascii="宋体" w:hAnsi="宋体" w:eastAsia="宋体" w:cs="宋体"/>
                <w:i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iCs/>
                <w:color w:val="000000" w:themeColor="text1"/>
                <w:sz w:val="24"/>
                <w:szCs w:val="24"/>
                <w:highlight w:val="none"/>
                <w14:textFill>
                  <w14:solidFill>
                    <w14:schemeClr w14:val="tx1"/>
                  </w14:solidFill>
                </w14:textFill>
              </w:rPr>
              <w:t>文件截止时间前一年内至少一个月依法缴纳税收及缴纳社会保障资金的证明材料。</w:t>
            </w:r>
            <w:r>
              <w:rPr>
                <w:rFonts w:hint="eastAsia" w:ascii="宋体" w:hAnsi="宋体" w:eastAsia="宋体" w:cs="宋体"/>
                <w:i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iCs/>
                <w:color w:val="000000" w:themeColor="text1"/>
                <w:sz w:val="24"/>
                <w:szCs w:val="24"/>
                <w:highlight w:val="none"/>
                <w14:textFill>
                  <w14:solidFill>
                    <w14:schemeClr w14:val="tx1"/>
                  </w14:solidFill>
                </w14:textFill>
              </w:rPr>
              <w:t>依法享受缓缴、免缴税收、社会保障资金的提供证明材料。）</w:t>
            </w:r>
          </w:p>
        </w:tc>
        <w:tc>
          <w:tcPr>
            <w:tcW w:w="1103" w:type="dxa"/>
            <w:noWrap w:val="0"/>
            <w:vAlign w:val="center"/>
          </w:tcPr>
          <w:p w14:paraId="4D3ADC60">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53A06193">
            <w:pPr>
              <w:rPr>
                <w:rFonts w:hint="eastAsia" w:ascii="宋体" w:hAnsi="宋体" w:eastAsia="宋体" w:cs="宋体"/>
                <w:color w:val="000000" w:themeColor="text1"/>
                <w:highlight w:val="none"/>
                <w14:textFill>
                  <w14:solidFill>
                    <w14:schemeClr w14:val="tx1"/>
                  </w14:solidFill>
                </w14:textFill>
              </w:rPr>
            </w:pPr>
          </w:p>
        </w:tc>
      </w:tr>
      <w:tr w14:paraId="3184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14:paraId="6315D120">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5447" w:type="dxa"/>
            <w:noWrap w:val="0"/>
            <w:vAlign w:val="center"/>
          </w:tcPr>
          <w:p w14:paraId="3DB6DF5A">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具备履行合同所必需的设备和专业技术能力的书面声明</w:t>
            </w:r>
          </w:p>
        </w:tc>
        <w:tc>
          <w:tcPr>
            <w:tcW w:w="1103" w:type="dxa"/>
            <w:noWrap w:val="0"/>
            <w:vAlign w:val="center"/>
          </w:tcPr>
          <w:p w14:paraId="59A467C3">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07A66600">
            <w:pPr>
              <w:rPr>
                <w:rFonts w:hint="eastAsia" w:ascii="宋体" w:hAnsi="宋体" w:eastAsia="宋体" w:cs="宋体"/>
                <w:color w:val="000000" w:themeColor="text1"/>
                <w:highlight w:val="none"/>
                <w14:textFill>
                  <w14:solidFill>
                    <w14:schemeClr w14:val="tx1"/>
                  </w14:solidFill>
                </w14:textFill>
              </w:rPr>
            </w:pPr>
          </w:p>
        </w:tc>
      </w:tr>
      <w:tr w14:paraId="2769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6CF0B1A4">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5447" w:type="dxa"/>
            <w:noWrap w:val="0"/>
            <w:vAlign w:val="center"/>
          </w:tcPr>
          <w:p w14:paraId="2F8F7EE9">
            <w:pPr>
              <w:snapToGrid w:val="0"/>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参加政府采购活动前 3 年内在经营活动中没有重大违法记录的书面声明</w:t>
            </w:r>
          </w:p>
        </w:tc>
        <w:tc>
          <w:tcPr>
            <w:tcW w:w="1103" w:type="dxa"/>
            <w:noWrap w:val="0"/>
            <w:vAlign w:val="center"/>
          </w:tcPr>
          <w:p w14:paraId="25E7D6C9">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11E50D51">
            <w:pPr>
              <w:rPr>
                <w:rFonts w:hint="eastAsia" w:ascii="宋体" w:hAnsi="宋体" w:eastAsia="宋体" w:cs="宋体"/>
                <w:color w:val="000000" w:themeColor="text1"/>
                <w:highlight w:val="none"/>
                <w14:textFill>
                  <w14:solidFill>
                    <w14:schemeClr w14:val="tx1"/>
                  </w14:solidFill>
                </w14:textFill>
              </w:rPr>
            </w:pPr>
          </w:p>
        </w:tc>
      </w:tr>
      <w:tr w14:paraId="52BB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1E2CC6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5447" w:type="dxa"/>
            <w:noWrap w:val="0"/>
            <w:vAlign w:val="center"/>
          </w:tcPr>
          <w:p w14:paraId="71F2C62A">
            <w:pPr>
              <w:snapToGrid w:val="0"/>
              <w:spacing w:line="0" w:lineRule="atLeast"/>
              <w:rPr>
                <w:rFonts w:hint="eastAsia" w:ascii="宋体" w:hAnsi="宋体" w:eastAsia="宋体" w:cs="宋体"/>
                <w:iCs/>
                <w:color w:val="000000" w:themeColor="text1"/>
                <w:sz w:val="24"/>
                <w:szCs w:val="24"/>
                <w:highlight w:val="none"/>
                <w:lang w:eastAsia="zh-CN"/>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未被“信用中国”网站（www.creditchina.gov.cn）</w:t>
            </w:r>
            <w:r>
              <w:rPr>
                <w:rFonts w:hint="eastAsia" w:ascii="宋体" w:hAnsi="宋体" w:eastAsia="宋体" w:cs="宋体"/>
                <w:iCs/>
                <w:color w:val="000000" w:themeColor="text1"/>
                <w:sz w:val="24"/>
                <w:szCs w:val="24"/>
                <w:highlight w:val="none"/>
                <w:lang w:eastAsia="zh-CN"/>
                <w14:textFill>
                  <w14:solidFill>
                    <w14:schemeClr w14:val="tx1"/>
                  </w14:solidFill>
                </w14:textFill>
              </w:rPr>
              <w:t>、“中国政府采购网”(www.ccgp.gov.cn）</w:t>
            </w:r>
            <w:r>
              <w:rPr>
                <w:rFonts w:hint="eastAsia" w:ascii="宋体" w:hAnsi="宋体" w:eastAsia="宋体" w:cs="宋体"/>
                <w:iCs/>
                <w:color w:val="000000" w:themeColor="text1"/>
                <w:sz w:val="24"/>
                <w:szCs w:val="24"/>
                <w:highlight w:val="none"/>
                <w14:textFill>
                  <w14:solidFill>
                    <w14:schemeClr w14:val="tx1"/>
                  </w14:solidFill>
                </w14:textFill>
              </w:rPr>
              <w:t>列入失信被执行人、重大税收违法案件当事人名单、政府采购严重失信行为记录名单</w:t>
            </w:r>
            <w:r>
              <w:rPr>
                <w:rFonts w:hint="eastAsia" w:ascii="宋体" w:hAnsi="宋体" w:eastAsia="宋体" w:cs="宋体"/>
                <w:color w:val="000000" w:themeColor="text1"/>
                <w:sz w:val="24"/>
                <w:szCs w:val="24"/>
                <w:highlight w:val="none"/>
                <w14:textFill>
                  <w14:solidFill>
                    <w14:schemeClr w14:val="tx1"/>
                  </w14:solidFill>
                </w14:textFill>
              </w:rPr>
              <w:t>（提供网页截图</w:t>
            </w:r>
            <w:r>
              <w:rPr>
                <w:rFonts w:hint="eastAsia" w:ascii="宋体" w:hAnsi="宋体" w:eastAsia="宋体" w:cs="宋体"/>
                <w:color w:val="000000" w:themeColor="text1"/>
                <w:sz w:val="24"/>
                <w:szCs w:val="24"/>
                <w:highlight w:val="none"/>
                <w:lang w:val="en-US" w:eastAsia="zh-CN"/>
                <w14:textFill>
                  <w14:solidFill>
                    <w14:schemeClr w14:val="tx1"/>
                  </w14:solidFill>
                </w14:textFill>
              </w:rPr>
              <w:t>或自拟承诺函</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103" w:type="dxa"/>
            <w:noWrap w:val="0"/>
            <w:vAlign w:val="center"/>
          </w:tcPr>
          <w:p w14:paraId="726E85CB">
            <w:pPr>
              <w:rPr>
                <w:rFonts w:hint="eastAsia" w:ascii="宋体" w:hAnsi="宋体" w:eastAsia="宋体" w:cs="宋体"/>
                <w:color w:val="000000" w:themeColor="text1"/>
                <w:highlight w:val="none"/>
                <w14:textFill>
                  <w14:solidFill>
                    <w14:schemeClr w14:val="tx1"/>
                  </w14:solidFill>
                </w14:textFill>
              </w:rPr>
            </w:pPr>
          </w:p>
        </w:tc>
        <w:tc>
          <w:tcPr>
            <w:tcW w:w="1916" w:type="dxa"/>
            <w:noWrap w:val="0"/>
            <w:vAlign w:val="center"/>
          </w:tcPr>
          <w:p w14:paraId="286CB974">
            <w:pPr>
              <w:rPr>
                <w:rFonts w:hint="eastAsia" w:ascii="宋体" w:hAnsi="宋体" w:eastAsia="宋体" w:cs="宋体"/>
                <w:color w:val="000000" w:themeColor="text1"/>
                <w:highlight w:val="none"/>
                <w14:textFill>
                  <w14:solidFill>
                    <w14:schemeClr w14:val="tx1"/>
                  </w14:solidFill>
                </w14:textFill>
              </w:rPr>
            </w:pPr>
          </w:p>
        </w:tc>
      </w:tr>
      <w:tr w14:paraId="62E1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14:paraId="7378B75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特定资格条件</w:t>
            </w:r>
          </w:p>
        </w:tc>
      </w:tr>
      <w:tr w14:paraId="7E31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088C08A">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5447" w:type="dxa"/>
            <w:noWrap w:val="0"/>
            <w:vAlign w:val="center"/>
          </w:tcPr>
          <w:p w14:paraId="1CFB84A2">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3019" w:type="dxa"/>
            <w:gridSpan w:val="2"/>
            <w:noWrap w:val="0"/>
            <w:vAlign w:val="center"/>
          </w:tcPr>
          <w:p w14:paraId="13CEAC44">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如该项目设定</w:t>
            </w:r>
          </w:p>
        </w:tc>
      </w:tr>
      <w:tr w14:paraId="077E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1D36BF5C">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落实政府采购政策需满足的资格要求</w:t>
            </w:r>
          </w:p>
        </w:tc>
      </w:tr>
      <w:tr w14:paraId="05F8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1DA7B0AC">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5447" w:type="dxa"/>
            <w:noWrap w:val="0"/>
            <w:vAlign w:val="center"/>
          </w:tcPr>
          <w:p w14:paraId="3C486176">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3019" w:type="dxa"/>
            <w:gridSpan w:val="2"/>
            <w:noWrap w:val="0"/>
            <w:vAlign w:val="center"/>
          </w:tcPr>
          <w:p w14:paraId="4F6651C2">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如该项目设定</w:t>
            </w:r>
          </w:p>
        </w:tc>
      </w:tr>
      <w:tr w14:paraId="582E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14:paraId="5078E2D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其他资格条件</w:t>
            </w:r>
          </w:p>
        </w:tc>
      </w:tr>
      <w:tr w14:paraId="1C32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636E0D68">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5447" w:type="dxa"/>
            <w:noWrap w:val="0"/>
            <w:vAlign w:val="center"/>
          </w:tcPr>
          <w:p w14:paraId="7B9169CB">
            <w:pPr>
              <w:snapToGrid w:val="0"/>
              <w:spacing w:line="0" w:lineRule="atLeast"/>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法人授权书</w:t>
            </w:r>
          </w:p>
        </w:tc>
        <w:tc>
          <w:tcPr>
            <w:tcW w:w="3019" w:type="dxa"/>
            <w:gridSpan w:val="2"/>
            <w:noWrap w:val="0"/>
            <w:vAlign w:val="center"/>
          </w:tcPr>
          <w:p w14:paraId="2B9A8C30">
            <w:pPr>
              <w:rPr>
                <w:rFonts w:hint="eastAsia" w:ascii="宋体" w:hAnsi="宋体" w:eastAsia="宋体" w:cs="宋体"/>
                <w:color w:val="000000" w:themeColor="text1"/>
                <w:highlight w:val="none"/>
                <w14:textFill>
                  <w14:solidFill>
                    <w14:schemeClr w14:val="tx1"/>
                  </w14:solidFill>
                </w14:textFill>
              </w:rPr>
            </w:pPr>
          </w:p>
        </w:tc>
      </w:tr>
      <w:tr w14:paraId="2E2D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3962DE51">
            <w:pPr>
              <w:jc w:val="cente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5447" w:type="dxa"/>
            <w:noWrap w:val="0"/>
            <w:vAlign w:val="center"/>
          </w:tcPr>
          <w:p w14:paraId="207BE87B">
            <w:pPr>
              <w:snapToGrid w:val="0"/>
              <w:spacing w:line="0" w:lineRule="atLeast"/>
              <w:jc w:val="left"/>
              <w:rPr>
                <w:rFonts w:hint="eastAsia" w:ascii="宋体" w:hAnsi="宋体" w:eastAsia="宋体" w:cs="宋体"/>
                <w:i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iCs/>
                <w:color w:val="000000" w:themeColor="text1"/>
                <w:sz w:val="24"/>
                <w:szCs w:val="24"/>
                <w:highlight w:val="none"/>
                <w:lang w:val="en-US" w:eastAsia="zh-CN"/>
                <w14:textFill>
                  <w14:solidFill>
                    <w14:schemeClr w14:val="tx1"/>
                  </w14:solidFill>
                </w14:textFill>
              </w:rPr>
              <w:t>磋商保证金缴纳凭证</w:t>
            </w:r>
          </w:p>
        </w:tc>
        <w:tc>
          <w:tcPr>
            <w:tcW w:w="3019" w:type="dxa"/>
            <w:gridSpan w:val="2"/>
            <w:noWrap w:val="0"/>
            <w:vAlign w:val="center"/>
          </w:tcPr>
          <w:p w14:paraId="1A466AC7">
            <w:pP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如该项目收取</w:t>
            </w:r>
          </w:p>
        </w:tc>
      </w:tr>
      <w:tr w14:paraId="67D3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4D1B8B7D">
            <w:pPr>
              <w:jc w:val="center"/>
              <w:rPr>
                <w:rFonts w:hint="eastAsia" w:ascii="宋体" w:hAnsi="宋体" w:eastAsia="宋体" w:cs="宋体"/>
                <w:color w:val="000000" w:themeColor="text1"/>
                <w:highlight w:val="none"/>
                <w14:textFill>
                  <w14:solidFill>
                    <w14:schemeClr w14:val="tx1"/>
                  </w14:solidFill>
                </w14:textFill>
              </w:rPr>
            </w:pPr>
          </w:p>
        </w:tc>
        <w:tc>
          <w:tcPr>
            <w:tcW w:w="5447" w:type="dxa"/>
            <w:noWrap w:val="0"/>
            <w:vAlign w:val="center"/>
          </w:tcPr>
          <w:p w14:paraId="05E4B9BD">
            <w:pPr>
              <w:snapToGrid w:val="0"/>
              <w:spacing w:line="0" w:lineRule="atLeas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019" w:type="dxa"/>
            <w:gridSpan w:val="2"/>
            <w:noWrap w:val="0"/>
            <w:vAlign w:val="center"/>
          </w:tcPr>
          <w:p w14:paraId="11325185">
            <w:pPr>
              <w:rPr>
                <w:rFonts w:hint="eastAsia" w:ascii="宋体" w:hAnsi="宋体" w:eastAsia="宋体" w:cs="宋体"/>
                <w:color w:val="000000" w:themeColor="text1"/>
                <w:highlight w:val="none"/>
                <w14:textFill>
                  <w14:solidFill>
                    <w14:schemeClr w14:val="tx1"/>
                  </w14:solidFill>
                </w14:textFill>
              </w:rPr>
            </w:pPr>
          </w:p>
        </w:tc>
      </w:tr>
    </w:tbl>
    <w:p w14:paraId="1E903FD1">
      <w:pPr>
        <w:pStyle w:val="49"/>
        <w:rPr>
          <w:rFonts w:hint="eastAsia" w:ascii="宋体" w:hAnsi="宋体" w:eastAsia="宋体" w:cs="宋体"/>
          <w:color w:val="000000" w:themeColor="text1"/>
          <w:highlight w:val="none"/>
          <w14:textFill>
            <w14:solidFill>
              <w14:schemeClr w14:val="tx1"/>
            </w14:solidFill>
          </w14:textFill>
        </w:rPr>
        <w:sectPr>
          <w:footerReference r:id="rId10" w:type="first"/>
          <w:footerReference r:id="rId9" w:type="default"/>
          <w:pgSz w:w="11906" w:h="16838"/>
          <w:pgMar w:top="1440" w:right="1080" w:bottom="1440" w:left="1080" w:header="851" w:footer="907" w:gutter="0"/>
          <w:cols w:space="720" w:num="1"/>
          <w:titlePg/>
          <w:docGrid w:type="lines" w:linePitch="290" w:charSpace="0"/>
        </w:sectPr>
      </w:pPr>
    </w:p>
    <w:p w14:paraId="2650B788">
      <w:pPr>
        <w:spacing w:line="24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二、符合性审查响应对照表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773B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62EE2290">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序号</w:t>
            </w:r>
          </w:p>
        </w:tc>
        <w:tc>
          <w:tcPr>
            <w:tcW w:w="5447" w:type="dxa"/>
            <w:noWrap w:val="0"/>
            <w:vAlign w:val="center"/>
          </w:tcPr>
          <w:p w14:paraId="7D34239D">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符合性审查响应内容</w:t>
            </w:r>
          </w:p>
        </w:tc>
        <w:tc>
          <w:tcPr>
            <w:tcW w:w="1680" w:type="dxa"/>
            <w:noWrap w:val="0"/>
            <w:vAlign w:val="center"/>
          </w:tcPr>
          <w:p w14:paraId="78D99047">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是否响应</w:t>
            </w:r>
          </w:p>
          <w:p w14:paraId="4051B743">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（填是或否）</w:t>
            </w:r>
          </w:p>
        </w:tc>
        <w:tc>
          <w:tcPr>
            <w:tcW w:w="1308" w:type="dxa"/>
            <w:noWrap w:val="0"/>
            <w:vAlign w:val="center"/>
          </w:tcPr>
          <w:p w14:paraId="3D7F04CB">
            <w:pPr>
              <w:snapToGrid w:val="0"/>
              <w:spacing w:line="240" w:lineRule="auto"/>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在</w:t>
            </w:r>
            <w:r>
              <w:rPr>
                <w:rFonts w:hint="eastAsia" w:ascii="宋体" w:hAnsi="宋体" w:eastAsia="宋体" w:cs="宋体"/>
                <w:b/>
                <w:color w:val="000000" w:themeColor="text1"/>
                <w:sz w:val="21"/>
                <w:highlight w:val="none"/>
                <w:lang w:val="en-US" w:eastAsia="zh-CN"/>
                <w14:textFill>
                  <w14:solidFill>
                    <w14:schemeClr w14:val="tx1"/>
                  </w14:solidFill>
                </w14:textFill>
              </w:rPr>
              <w:t>响应</w:t>
            </w:r>
            <w:r>
              <w:rPr>
                <w:rFonts w:hint="eastAsia" w:ascii="宋体" w:hAnsi="宋体" w:eastAsia="宋体" w:cs="宋体"/>
                <w:b/>
                <w:color w:val="000000" w:themeColor="text1"/>
                <w:sz w:val="21"/>
                <w:highlight w:val="none"/>
                <w14:textFill>
                  <w14:solidFill>
                    <w14:schemeClr w14:val="tx1"/>
                  </w14:solidFill>
                </w14:textFill>
              </w:rPr>
              <w:t>文件中的页码位置（注明在**节点下第**页，如“技术参数响应及偏离表I”第**页）</w:t>
            </w:r>
          </w:p>
        </w:tc>
      </w:tr>
      <w:tr w14:paraId="42D6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0E3F9AA1">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1</w:t>
            </w:r>
          </w:p>
        </w:tc>
        <w:tc>
          <w:tcPr>
            <w:tcW w:w="5447" w:type="dxa"/>
            <w:noWrap w:val="0"/>
            <w:vAlign w:val="center"/>
          </w:tcPr>
          <w:p w14:paraId="360E9A2A">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报价未超预算</w:t>
            </w:r>
          </w:p>
        </w:tc>
        <w:tc>
          <w:tcPr>
            <w:tcW w:w="1680" w:type="dxa"/>
            <w:noWrap w:val="0"/>
            <w:vAlign w:val="center"/>
          </w:tcPr>
          <w:p w14:paraId="33B6E979">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53C4B824">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6B0E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67FC4FD">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2</w:t>
            </w:r>
          </w:p>
        </w:tc>
        <w:tc>
          <w:tcPr>
            <w:tcW w:w="5447" w:type="dxa"/>
            <w:noWrap w:val="0"/>
            <w:vAlign w:val="center"/>
          </w:tcPr>
          <w:p w14:paraId="25A65957">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按照磋商文件规定要求签署、盖章</w:t>
            </w:r>
          </w:p>
        </w:tc>
        <w:tc>
          <w:tcPr>
            <w:tcW w:w="1680" w:type="dxa"/>
            <w:noWrap w:val="0"/>
            <w:vAlign w:val="center"/>
          </w:tcPr>
          <w:p w14:paraId="15F4292D">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3C3F6C72">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3FC9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7196A43">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3</w:t>
            </w:r>
          </w:p>
        </w:tc>
        <w:tc>
          <w:tcPr>
            <w:tcW w:w="5447" w:type="dxa"/>
            <w:noWrap w:val="0"/>
            <w:vAlign w:val="center"/>
          </w:tcPr>
          <w:p w14:paraId="3075D41E">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供应商在报价时</w:t>
            </w:r>
            <w:r>
              <w:rPr>
                <w:rFonts w:hint="eastAsia" w:ascii="宋体" w:hAnsi="宋体" w:eastAsia="宋体" w:cs="宋体"/>
                <w:color w:val="000000" w:themeColor="text1"/>
                <w:sz w:val="24"/>
                <w:szCs w:val="24"/>
                <w:highlight w:val="none"/>
                <w:lang w:val="en-US" w:eastAsia="zh-CN"/>
                <w14:textFill>
                  <w14:solidFill>
                    <w14:schemeClr w14:val="tx1"/>
                  </w14:solidFill>
                </w14:textFill>
              </w:rPr>
              <w:t>未</w:t>
            </w:r>
            <w:r>
              <w:rPr>
                <w:rFonts w:hint="eastAsia" w:ascii="宋体" w:hAnsi="宋体" w:eastAsia="宋体" w:cs="宋体"/>
                <w:color w:val="000000" w:themeColor="text1"/>
                <w:sz w:val="24"/>
                <w:szCs w:val="24"/>
                <w:highlight w:val="none"/>
                <w14:textFill>
                  <w14:solidFill>
                    <w14:schemeClr w14:val="tx1"/>
                  </w14:solidFill>
                </w14:textFill>
              </w:rPr>
              <w:t>采用选择性报价</w:t>
            </w:r>
          </w:p>
          <w:p w14:paraId="0A7AEC62">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p>
        </w:tc>
        <w:tc>
          <w:tcPr>
            <w:tcW w:w="1680" w:type="dxa"/>
            <w:noWrap w:val="0"/>
            <w:vAlign w:val="center"/>
          </w:tcPr>
          <w:p w14:paraId="46866BB6">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54040B59">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72CE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1A9D735E">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4</w:t>
            </w:r>
          </w:p>
        </w:tc>
        <w:tc>
          <w:tcPr>
            <w:tcW w:w="5447" w:type="dxa"/>
            <w:noWrap w:val="0"/>
            <w:vAlign w:val="center"/>
          </w:tcPr>
          <w:p w14:paraId="535753D8">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符合磋商文件中规定的实质性要求和条件的（本磋商文件中斜体且有下划线部分为实质性要求和条件）</w:t>
            </w:r>
          </w:p>
        </w:tc>
        <w:tc>
          <w:tcPr>
            <w:tcW w:w="1680" w:type="dxa"/>
            <w:noWrap w:val="0"/>
            <w:vAlign w:val="center"/>
          </w:tcPr>
          <w:p w14:paraId="6D87FD51">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0963F792">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6959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379D2501">
            <w:pPr>
              <w:spacing w:line="240" w:lineRule="auto"/>
              <w:jc w:val="center"/>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5</w:t>
            </w:r>
          </w:p>
        </w:tc>
        <w:tc>
          <w:tcPr>
            <w:tcW w:w="5447" w:type="dxa"/>
            <w:noWrap w:val="0"/>
            <w:vAlign w:val="center"/>
          </w:tcPr>
          <w:p w14:paraId="13745DC1">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未含有采购人不能接受的附加条件的</w:t>
            </w:r>
          </w:p>
        </w:tc>
        <w:tc>
          <w:tcPr>
            <w:tcW w:w="1680" w:type="dxa"/>
            <w:noWrap w:val="0"/>
            <w:vAlign w:val="center"/>
          </w:tcPr>
          <w:p w14:paraId="6CCFD971">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02C66956">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2B82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7D594AC9">
            <w:pPr>
              <w:spacing w:line="240" w:lineRule="auto"/>
              <w:jc w:val="center"/>
              <w:rPr>
                <w:rFonts w:hint="default"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6</w:t>
            </w:r>
          </w:p>
        </w:tc>
        <w:tc>
          <w:tcPr>
            <w:tcW w:w="5447" w:type="dxa"/>
            <w:noWrap w:val="0"/>
            <w:vAlign w:val="center"/>
          </w:tcPr>
          <w:p w14:paraId="387109FA">
            <w:pPr>
              <w:spacing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法律、法规和招标文件规定的其他无效情形。</w:t>
            </w:r>
          </w:p>
        </w:tc>
        <w:tc>
          <w:tcPr>
            <w:tcW w:w="1680" w:type="dxa"/>
            <w:noWrap w:val="0"/>
            <w:vAlign w:val="center"/>
          </w:tcPr>
          <w:p w14:paraId="3485BE47">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1A166E85">
            <w:pPr>
              <w:spacing w:line="240" w:lineRule="auto"/>
              <w:rPr>
                <w:rFonts w:hint="eastAsia" w:ascii="宋体" w:hAnsi="宋体" w:eastAsia="宋体" w:cs="宋体"/>
                <w:color w:val="000000" w:themeColor="text1"/>
                <w:sz w:val="21"/>
                <w:highlight w:val="none"/>
                <w14:textFill>
                  <w14:solidFill>
                    <w14:schemeClr w14:val="tx1"/>
                  </w14:solidFill>
                </w14:textFill>
              </w:rPr>
            </w:pPr>
          </w:p>
        </w:tc>
      </w:tr>
    </w:tbl>
    <w:p w14:paraId="65B10DF6">
      <w:pPr>
        <w:snapToGrid w:val="0"/>
        <w:spacing w:before="50" w:after="50" w:line="240" w:lineRule="auto"/>
        <w:rPr>
          <w:rFonts w:hint="eastAsia" w:ascii="宋体" w:hAnsi="宋体" w:eastAsia="宋体" w:cs="宋体"/>
          <w:b/>
          <w:color w:val="000000" w:themeColor="text1"/>
          <w:sz w:val="24"/>
          <w:highlight w:val="none"/>
          <w14:textFill>
            <w14:solidFill>
              <w14:schemeClr w14:val="tx1"/>
            </w14:solidFill>
          </w14:textFill>
        </w:rPr>
      </w:pPr>
    </w:p>
    <w:p w14:paraId="77D3F681">
      <w:pPr>
        <w:spacing w:line="24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三、非实质性响应对照表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6B84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129550DE">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序号</w:t>
            </w:r>
          </w:p>
        </w:tc>
        <w:tc>
          <w:tcPr>
            <w:tcW w:w="5447" w:type="dxa"/>
            <w:noWrap w:val="0"/>
            <w:vAlign w:val="center"/>
          </w:tcPr>
          <w:p w14:paraId="707DC953">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非实质性响应内容</w:t>
            </w:r>
          </w:p>
        </w:tc>
        <w:tc>
          <w:tcPr>
            <w:tcW w:w="1680" w:type="dxa"/>
            <w:noWrap w:val="0"/>
            <w:vAlign w:val="center"/>
          </w:tcPr>
          <w:p w14:paraId="5D31DE09">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是否响应</w:t>
            </w:r>
          </w:p>
          <w:p w14:paraId="3A964A93">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（填是或者否）</w:t>
            </w:r>
          </w:p>
        </w:tc>
        <w:tc>
          <w:tcPr>
            <w:tcW w:w="1308" w:type="dxa"/>
            <w:noWrap w:val="0"/>
            <w:vAlign w:val="center"/>
          </w:tcPr>
          <w:p w14:paraId="3A5F49B6">
            <w:pPr>
              <w:snapToGrid w:val="0"/>
              <w:spacing w:line="240" w:lineRule="atLeast"/>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上传证明材料的图片</w:t>
            </w:r>
            <w:r>
              <w:rPr>
                <w:rFonts w:hint="eastAsia" w:ascii="宋体" w:hAnsi="宋体" w:eastAsia="宋体" w:cs="宋体"/>
                <w:b/>
                <w:color w:val="000000" w:themeColor="text1"/>
                <w:sz w:val="21"/>
                <w:highlight w:val="none"/>
                <w:lang w:eastAsia="zh-CN"/>
                <w14:textFill>
                  <w14:solidFill>
                    <w14:schemeClr w14:val="tx1"/>
                  </w14:solidFill>
                </w14:textFill>
              </w:rPr>
              <w:t>（</w:t>
            </w:r>
            <w:r>
              <w:rPr>
                <w:rFonts w:hint="eastAsia" w:ascii="宋体" w:hAnsi="宋体" w:eastAsia="宋体" w:cs="宋体"/>
                <w:b/>
                <w:color w:val="000000" w:themeColor="text1"/>
                <w:sz w:val="21"/>
                <w:highlight w:val="none"/>
                <w14:textFill>
                  <w14:solidFill>
                    <w14:schemeClr w14:val="tx1"/>
                  </w14:solidFill>
                </w14:textFill>
              </w:rPr>
              <w:t>按顺序附到此对照表后面</w:t>
            </w:r>
            <w:r>
              <w:rPr>
                <w:rFonts w:hint="eastAsia" w:ascii="宋体" w:hAnsi="宋体" w:eastAsia="宋体" w:cs="宋体"/>
                <w:b/>
                <w:color w:val="000000" w:themeColor="text1"/>
                <w:sz w:val="21"/>
                <w:highlight w:val="none"/>
                <w:lang w:eastAsia="zh-CN"/>
                <w14:textFill>
                  <w14:solidFill>
                    <w14:schemeClr w14:val="tx1"/>
                  </w14:solidFill>
                </w14:textFill>
              </w:rPr>
              <w:t>）</w:t>
            </w:r>
          </w:p>
        </w:tc>
      </w:tr>
      <w:tr w14:paraId="5B08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496DDE7">
            <w:pPr>
              <w:spacing w:line="240" w:lineRule="auto"/>
              <w:jc w:val="center"/>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w:t>
            </w:r>
          </w:p>
        </w:tc>
        <w:tc>
          <w:tcPr>
            <w:tcW w:w="5447" w:type="dxa"/>
            <w:noWrap w:val="0"/>
            <w:vAlign w:val="center"/>
          </w:tcPr>
          <w:p w14:paraId="56465ECF">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《企业声明函》</w:t>
            </w:r>
          </w:p>
        </w:tc>
        <w:tc>
          <w:tcPr>
            <w:tcW w:w="1680" w:type="dxa"/>
            <w:noWrap w:val="0"/>
            <w:vAlign w:val="center"/>
          </w:tcPr>
          <w:p w14:paraId="788E6577">
            <w:pPr>
              <w:spacing w:line="240" w:lineRule="auto"/>
              <w:rPr>
                <w:rFonts w:hint="eastAsia" w:ascii="宋体" w:hAnsi="宋体" w:eastAsia="宋体" w:cs="宋体"/>
                <w:b/>
                <w:color w:val="000000" w:themeColor="text1"/>
                <w:sz w:val="21"/>
                <w:highlight w:val="none"/>
                <w14:textFill>
                  <w14:solidFill>
                    <w14:schemeClr w14:val="tx1"/>
                  </w14:solidFill>
                </w14:textFill>
              </w:rPr>
            </w:pPr>
          </w:p>
        </w:tc>
        <w:tc>
          <w:tcPr>
            <w:tcW w:w="1308" w:type="dxa"/>
            <w:noWrap w:val="0"/>
            <w:vAlign w:val="center"/>
          </w:tcPr>
          <w:p w14:paraId="18CEFA96">
            <w:pPr>
              <w:spacing w:line="240" w:lineRule="auto"/>
              <w:rPr>
                <w:rFonts w:hint="eastAsia" w:ascii="宋体" w:hAnsi="宋体" w:eastAsia="宋体" w:cs="宋体"/>
                <w:b/>
                <w:color w:val="000000" w:themeColor="text1"/>
                <w:sz w:val="21"/>
                <w:highlight w:val="none"/>
                <w14:textFill>
                  <w14:solidFill>
                    <w14:schemeClr w14:val="tx1"/>
                  </w14:solidFill>
                </w14:textFill>
              </w:rPr>
            </w:pPr>
          </w:p>
        </w:tc>
      </w:tr>
      <w:tr w14:paraId="6320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2D3857EA">
            <w:pPr>
              <w:spacing w:line="240" w:lineRule="auto"/>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w:t>
            </w:r>
          </w:p>
        </w:tc>
        <w:tc>
          <w:tcPr>
            <w:tcW w:w="5447" w:type="dxa"/>
            <w:noWrap w:val="0"/>
            <w:vAlign w:val="center"/>
          </w:tcPr>
          <w:p w14:paraId="2D97BC9B">
            <w:pPr>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《残疾人福利性单位声明函》</w:t>
            </w:r>
          </w:p>
        </w:tc>
        <w:tc>
          <w:tcPr>
            <w:tcW w:w="1680" w:type="dxa"/>
            <w:noWrap w:val="0"/>
            <w:vAlign w:val="center"/>
          </w:tcPr>
          <w:p w14:paraId="0897060B">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5D2EE70F">
            <w:pPr>
              <w:spacing w:line="240" w:lineRule="auto"/>
              <w:rPr>
                <w:rFonts w:hint="eastAsia" w:ascii="宋体" w:hAnsi="宋体" w:eastAsia="宋体" w:cs="宋体"/>
                <w:color w:val="000000" w:themeColor="text1"/>
                <w:sz w:val="21"/>
                <w:highlight w:val="none"/>
                <w14:textFill>
                  <w14:solidFill>
                    <w14:schemeClr w14:val="tx1"/>
                  </w14:solidFill>
                </w14:textFill>
              </w:rPr>
            </w:pPr>
          </w:p>
        </w:tc>
      </w:tr>
      <w:tr w14:paraId="1DA6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14:paraId="4B6C03A5">
            <w:pPr>
              <w:spacing w:line="240" w:lineRule="auto"/>
              <w:jc w:val="center"/>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w:t>
            </w:r>
          </w:p>
        </w:tc>
        <w:tc>
          <w:tcPr>
            <w:tcW w:w="5447" w:type="dxa"/>
            <w:noWrap w:val="0"/>
            <w:vAlign w:val="center"/>
          </w:tcPr>
          <w:p w14:paraId="0E6B4CD7">
            <w:pPr>
              <w:snapToGrid w:val="0"/>
              <w:spacing w:line="0" w:lineRule="atLeas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w:t>
            </w:r>
          </w:p>
        </w:tc>
        <w:tc>
          <w:tcPr>
            <w:tcW w:w="1680" w:type="dxa"/>
            <w:noWrap w:val="0"/>
            <w:vAlign w:val="center"/>
          </w:tcPr>
          <w:p w14:paraId="6F0702DD">
            <w:pPr>
              <w:spacing w:line="240" w:lineRule="auto"/>
              <w:rPr>
                <w:rFonts w:hint="eastAsia" w:ascii="宋体" w:hAnsi="宋体" w:eastAsia="宋体" w:cs="宋体"/>
                <w:color w:val="000000" w:themeColor="text1"/>
                <w:sz w:val="21"/>
                <w:highlight w:val="none"/>
                <w14:textFill>
                  <w14:solidFill>
                    <w14:schemeClr w14:val="tx1"/>
                  </w14:solidFill>
                </w14:textFill>
              </w:rPr>
            </w:pPr>
          </w:p>
        </w:tc>
        <w:tc>
          <w:tcPr>
            <w:tcW w:w="1308" w:type="dxa"/>
            <w:noWrap w:val="0"/>
            <w:vAlign w:val="center"/>
          </w:tcPr>
          <w:p w14:paraId="2B0CED76">
            <w:pPr>
              <w:spacing w:line="240" w:lineRule="auto"/>
              <w:rPr>
                <w:rFonts w:hint="eastAsia" w:ascii="宋体" w:hAnsi="宋体" w:eastAsia="宋体" w:cs="宋体"/>
                <w:color w:val="000000" w:themeColor="text1"/>
                <w:sz w:val="21"/>
                <w:highlight w:val="none"/>
                <w14:textFill>
                  <w14:solidFill>
                    <w14:schemeClr w14:val="tx1"/>
                  </w14:solidFill>
                </w14:textFill>
              </w:rPr>
            </w:pPr>
          </w:p>
        </w:tc>
      </w:tr>
    </w:tbl>
    <w:p w14:paraId="139AEC78">
      <w:pPr>
        <w:pStyle w:val="7"/>
        <w:ind w:firstLine="0"/>
        <w:jc w:val="center"/>
        <w:rPr>
          <w:rFonts w:hint="eastAsia" w:ascii="宋体" w:hAnsi="宋体" w:eastAsia="宋体" w:cs="宋体"/>
          <w:b/>
          <w:bCs/>
          <w:color w:val="000000" w:themeColor="text1"/>
          <w:sz w:val="30"/>
          <w:szCs w:val="30"/>
          <w:highlight w:val="none"/>
          <w:lang w:eastAsia="zh-CN"/>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471" w:name="_Toc534816643"/>
      <w:bookmarkStart w:id="472" w:name="_Toc534725614"/>
      <w:bookmarkStart w:id="473" w:name="_Toc120614284"/>
    </w:p>
    <w:bookmarkEnd w:id="471"/>
    <w:bookmarkEnd w:id="472"/>
    <w:p w14:paraId="684660F1">
      <w:pPr>
        <w:pStyle w:val="5"/>
        <w:jc w:val="both"/>
        <w:rPr>
          <w:rFonts w:hint="eastAsia" w:ascii="宋体" w:hAnsi="宋体" w:eastAsia="宋体" w:cs="宋体"/>
          <w:color w:val="000000" w:themeColor="text1"/>
          <w:highlight w:val="none"/>
          <w14:textFill>
            <w14:solidFill>
              <w14:schemeClr w14:val="tx1"/>
            </w14:solidFill>
          </w14:textFill>
        </w:rPr>
      </w:pPr>
      <w:bookmarkStart w:id="474" w:name="_Toc534816648"/>
      <w:bookmarkStart w:id="475" w:name="_Toc534725619"/>
      <w:r>
        <w:rPr>
          <w:rFonts w:hint="eastAsia" w:ascii="宋体" w:hAnsi="宋体" w:eastAsia="宋体" w:cs="宋体"/>
          <w:color w:val="000000" w:themeColor="text1"/>
          <w:highlight w:val="none"/>
          <w:lang w:val="en-US" w:eastAsia="zh-CN"/>
          <w14:textFill>
            <w14:solidFill>
              <w14:schemeClr w14:val="tx1"/>
            </w14:solidFill>
          </w14:textFill>
        </w:rPr>
        <w:t>四</w:t>
      </w:r>
      <w:r>
        <w:rPr>
          <w:rFonts w:hint="eastAsia" w:ascii="宋体" w:hAnsi="宋体" w:eastAsia="宋体" w:cs="宋体"/>
          <w:color w:val="000000" w:themeColor="text1"/>
          <w:highlight w:val="none"/>
          <w14:textFill>
            <w14:solidFill>
              <w14:schemeClr w14:val="tx1"/>
            </w14:solidFill>
          </w14:textFill>
        </w:rPr>
        <w:t>、投标产品配置及分项报价表</w:t>
      </w:r>
    </w:p>
    <w:tbl>
      <w:tblPr>
        <w:tblStyle w:val="51"/>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1A83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noWrap w:val="0"/>
            <w:vAlign w:val="center"/>
          </w:tcPr>
          <w:p w14:paraId="40D0A473">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4032" w:type="dxa"/>
            <w:noWrap w:val="0"/>
            <w:vAlign w:val="center"/>
          </w:tcPr>
          <w:p w14:paraId="294B069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标的物名称</w:t>
            </w:r>
          </w:p>
        </w:tc>
        <w:tc>
          <w:tcPr>
            <w:tcW w:w="3217" w:type="dxa"/>
            <w:noWrap w:val="0"/>
            <w:vAlign w:val="center"/>
          </w:tcPr>
          <w:p w14:paraId="78289AA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品牌、规格、型号</w:t>
            </w:r>
          </w:p>
        </w:tc>
        <w:tc>
          <w:tcPr>
            <w:tcW w:w="993" w:type="dxa"/>
            <w:noWrap w:val="0"/>
            <w:vAlign w:val="center"/>
          </w:tcPr>
          <w:p w14:paraId="4DF5552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708" w:type="dxa"/>
            <w:noWrap w:val="0"/>
            <w:vAlign w:val="top"/>
          </w:tcPr>
          <w:p w14:paraId="4752E2F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993" w:type="dxa"/>
            <w:noWrap w:val="0"/>
            <w:vAlign w:val="center"/>
          </w:tcPr>
          <w:p w14:paraId="227A02C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w:t>
            </w:r>
          </w:p>
        </w:tc>
        <w:tc>
          <w:tcPr>
            <w:tcW w:w="1134" w:type="dxa"/>
            <w:noWrap w:val="0"/>
            <w:vAlign w:val="center"/>
          </w:tcPr>
          <w:p w14:paraId="7EA505C5">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交付期/服务期</w:t>
            </w:r>
          </w:p>
        </w:tc>
        <w:tc>
          <w:tcPr>
            <w:tcW w:w="1134" w:type="dxa"/>
            <w:noWrap w:val="0"/>
            <w:vAlign w:val="center"/>
          </w:tcPr>
          <w:p w14:paraId="45C19EF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产地</w:t>
            </w:r>
          </w:p>
        </w:tc>
        <w:tc>
          <w:tcPr>
            <w:tcW w:w="1387" w:type="dxa"/>
            <w:noWrap w:val="0"/>
            <w:vAlign w:val="center"/>
          </w:tcPr>
          <w:p w14:paraId="0C09E3C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w:t>
            </w:r>
          </w:p>
        </w:tc>
      </w:tr>
      <w:tr w14:paraId="4EBB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2998017E">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032" w:type="dxa"/>
            <w:noWrap w:val="0"/>
            <w:vAlign w:val="center"/>
          </w:tcPr>
          <w:p w14:paraId="2D435856">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734241D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6EADD3A6">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21F11719">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4C4A292C">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36327007">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49187245">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16A01252">
            <w:pPr>
              <w:rPr>
                <w:rFonts w:hint="eastAsia" w:ascii="宋体" w:hAnsi="宋体" w:eastAsia="宋体" w:cs="宋体"/>
                <w:color w:val="000000" w:themeColor="text1"/>
                <w:sz w:val="24"/>
                <w:szCs w:val="24"/>
                <w:highlight w:val="none"/>
                <w14:textFill>
                  <w14:solidFill>
                    <w14:schemeClr w14:val="tx1"/>
                  </w14:solidFill>
                </w14:textFill>
              </w:rPr>
            </w:pPr>
          </w:p>
        </w:tc>
      </w:tr>
      <w:tr w14:paraId="1D2E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7737D5FD">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032" w:type="dxa"/>
            <w:noWrap w:val="0"/>
            <w:vAlign w:val="center"/>
          </w:tcPr>
          <w:p w14:paraId="714DF0C3">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02E888C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659171E5">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74B8DCFA">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3EED2691">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486F2BC1">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429D1494">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793FF5A3">
            <w:pPr>
              <w:rPr>
                <w:rFonts w:hint="eastAsia" w:ascii="宋体" w:hAnsi="宋体" w:eastAsia="宋体" w:cs="宋体"/>
                <w:color w:val="000000" w:themeColor="text1"/>
                <w:sz w:val="24"/>
                <w:szCs w:val="24"/>
                <w:highlight w:val="none"/>
                <w14:textFill>
                  <w14:solidFill>
                    <w14:schemeClr w14:val="tx1"/>
                  </w14:solidFill>
                </w14:textFill>
              </w:rPr>
            </w:pPr>
          </w:p>
        </w:tc>
      </w:tr>
      <w:tr w14:paraId="74E1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14:paraId="02971E52">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032" w:type="dxa"/>
            <w:noWrap w:val="0"/>
            <w:vAlign w:val="center"/>
          </w:tcPr>
          <w:p w14:paraId="040D9D9B">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1995D4D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7B216630">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26229179">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1B8AA83D">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1AA7AC38">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1AAE6B16">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3E6A7AA1">
            <w:pPr>
              <w:rPr>
                <w:rFonts w:hint="eastAsia" w:ascii="宋体" w:hAnsi="宋体" w:eastAsia="宋体" w:cs="宋体"/>
                <w:color w:val="000000" w:themeColor="text1"/>
                <w:sz w:val="24"/>
                <w:szCs w:val="24"/>
                <w:highlight w:val="none"/>
                <w14:textFill>
                  <w14:solidFill>
                    <w14:schemeClr w14:val="tx1"/>
                  </w14:solidFill>
                </w14:textFill>
              </w:rPr>
            </w:pPr>
          </w:p>
        </w:tc>
      </w:tr>
      <w:tr w14:paraId="6CE7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14:paraId="5318E1AA">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4032" w:type="dxa"/>
            <w:noWrap w:val="0"/>
            <w:vAlign w:val="center"/>
          </w:tcPr>
          <w:p w14:paraId="7297598B">
            <w:pPr>
              <w:rPr>
                <w:rFonts w:hint="eastAsia" w:ascii="宋体" w:hAnsi="宋体" w:eastAsia="宋体" w:cs="宋体"/>
                <w:color w:val="000000" w:themeColor="text1"/>
                <w:sz w:val="24"/>
                <w:szCs w:val="24"/>
                <w:highlight w:val="none"/>
                <w14:textFill>
                  <w14:solidFill>
                    <w14:schemeClr w14:val="tx1"/>
                  </w14:solidFill>
                </w14:textFill>
              </w:rPr>
            </w:pPr>
          </w:p>
        </w:tc>
        <w:tc>
          <w:tcPr>
            <w:tcW w:w="3217" w:type="dxa"/>
            <w:noWrap w:val="0"/>
            <w:vAlign w:val="center"/>
          </w:tcPr>
          <w:p w14:paraId="008E304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61918A99">
            <w:pPr>
              <w:rPr>
                <w:rFonts w:hint="eastAsia" w:ascii="宋体" w:hAnsi="宋体" w:eastAsia="宋体" w:cs="宋体"/>
                <w:color w:val="000000" w:themeColor="text1"/>
                <w:sz w:val="24"/>
                <w:szCs w:val="24"/>
                <w:highlight w:val="none"/>
                <w14:textFill>
                  <w14:solidFill>
                    <w14:schemeClr w14:val="tx1"/>
                  </w14:solidFill>
                </w14:textFill>
              </w:rPr>
            </w:pPr>
          </w:p>
        </w:tc>
        <w:tc>
          <w:tcPr>
            <w:tcW w:w="708" w:type="dxa"/>
            <w:noWrap w:val="0"/>
            <w:vAlign w:val="top"/>
          </w:tcPr>
          <w:p w14:paraId="36A2DCE4">
            <w:pP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noWrap w:val="0"/>
            <w:vAlign w:val="center"/>
          </w:tcPr>
          <w:p w14:paraId="123F8397">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14201046">
            <w:pPr>
              <w:rPr>
                <w:rFonts w:hint="eastAsia" w:ascii="宋体" w:hAnsi="宋体" w:eastAsia="宋体" w:cs="宋体"/>
                <w:color w:val="000000" w:themeColor="text1"/>
                <w:sz w:val="24"/>
                <w:szCs w:val="24"/>
                <w:highlight w:val="none"/>
                <w14:textFill>
                  <w14:solidFill>
                    <w14:schemeClr w14:val="tx1"/>
                  </w14:solidFill>
                </w14:textFill>
              </w:rPr>
            </w:pPr>
          </w:p>
        </w:tc>
        <w:tc>
          <w:tcPr>
            <w:tcW w:w="1134" w:type="dxa"/>
            <w:noWrap w:val="0"/>
            <w:vAlign w:val="center"/>
          </w:tcPr>
          <w:p w14:paraId="544FD8DA">
            <w:pPr>
              <w:rPr>
                <w:rFonts w:hint="eastAsia" w:ascii="宋体" w:hAnsi="宋体" w:eastAsia="宋体" w:cs="宋体"/>
                <w:color w:val="000000" w:themeColor="text1"/>
                <w:sz w:val="24"/>
                <w:szCs w:val="24"/>
                <w:highlight w:val="none"/>
                <w14:textFill>
                  <w14:solidFill>
                    <w14:schemeClr w14:val="tx1"/>
                  </w14:solidFill>
                </w14:textFill>
              </w:rPr>
            </w:pPr>
          </w:p>
        </w:tc>
        <w:tc>
          <w:tcPr>
            <w:tcW w:w="1387" w:type="dxa"/>
            <w:noWrap w:val="0"/>
            <w:vAlign w:val="center"/>
          </w:tcPr>
          <w:p w14:paraId="6C5E58F9">
            <w:pPr>
              <w:rPr>
                <w:rFonts w:hint="eastAsia" w:ascii="宋体" w:hAnsi="宋体" w:eastAsia="宋体" w:cs="宋体"/>
                <w:color w:val="000000" w:themeColor="text1"/>
                <w:sz w:val="24"/>
                <w:szCs w:val="24"/>
                <w:highlight w:val="none"/>
                <w14:textFill>
                  <w14:solidFill>
                    <w14:schemeClr w14:val="tx1"/>
                  </w14:solidFill>
                </w14:textFill>
              </w:rPr>
            </w:pPr>
          </w:p>
        </w:tc>
      </w:tr>
      <w:tr w14:paraId="55CA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noWrap w:val="0"/>
            <w:vAlign w:val="center"/>
          </w:tcPr>
          <w:p w14:paraId="229F9BA6">
            <w:pP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w:t>
            </w:r>
          </w:p>
        </w:tc>
        <w:tc>
          <w:tcPr>
            <w:tcW w:w="6349" w:type="dxa"/>
            <w:gridSpan w:val="6"/>
            <w:noWrap w:val="0"/>
            <w:vAlign w:val="top"/>
          </w:tcPr>
          <w:p w14:paraId="797E028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5C38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noWrap w:val="0"/>
            <w:vAlign w:val="center"/>
          </w:tcPr>
          <w:p w14:paraId="02FEF15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本</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采购包</w:t>
            </w:r>
            <w:r>
              <w:rPr>
                <w:rFonts w:hint="eastAsia" w:ascii="方正魏碑_GBK" w:hAnsi="方正魏碑_GBK" w:eastAsia="方正魏碑_GBK" w:cs="方正魏碑_GBK"/>
                <w:i w:val="0"/>
                <w:iCs w:val="0"/>
                <w:caps w:val="0"/>
                <w:color w:val="000000" w:themeColor="text1"/>
                <w:spacing w:val="0"/>
                <w:sz w:val="28"/>
                <w:szCs w:val="28"/>
                <w:highlight w:val="none"/>
                <w:u w:val="none"/>
                <w:lang w:val="en-US" w:eastAsia="zh-CN"/>
                <w14:textFill>
                  <w14:solidFill>
                    <w14:schemeClr w14:val="tx1"/>
                  </w14:solidFill>
                </w14:textFill>
              </w:rPr>
              <w:t>中</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提供的符合本国产品标准的产品成本之和占</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该采购包</w:t>
            </w:r>
            <w:r>
              <w:rPr>
                <w:rFonts w:hint="eastAsia" w:ascii="方正魏碑_GBK" w:hAnsi="方正魏碑_GBK" w:eastAsia="方正魏碑_GBK" w:cs="方正魏碑_GBK"/>
                <w:i w:val="0"/>
                <w:iCs w:val="0"/>
                <w:caps w:val="0"/>
                <w:color w:val="000000" w:themeColor="text1"/>
                <w:spacing w:val="0"/>
                <w:sz w:val="28"/>
                <w:szCs w:val="28"/>
                <w:highlight w:val="none"/>
                <w14:textFill>
                  <w14:solidFill>
                    <w14:schemeClr w14:val="tx1"/>
                  </w14:solidFill>
                </w14:textFill>
              </w:rPr>
              <w:t>提供的全部产品成本之和的比例</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为</w:t>
            </w:r>
            <w:r>
              <w:rPr>
                <w:rFonts w:hint="eastAsia" w:ascii="方正魏碑_GBK" w:hAnsi="方正魏碑_GBK" w:eastAsia="方正魏碑_GBK" w:cs="方正魏碑_GBK"/>
                <w:i w:val="0"/>
                <w:iCs w:val="0"/>
                <w:caps w:val="0"/>
                <w:color w:val="000000" w:themeColor="text1"/>
                <w:spacing w:val="0"/>
                <w:sz w:val="28"/>
                <w:szCs w:val="28"/>
                <w:highlight w:val="none"/>
                <w:u w:val="single"/>
                <w:lang w:val="en-US" w:eastAsia="zh-CN"/>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8"/>
                <w:szCs w:val="28"/>
                <w:highlight w:val="none"/>
                <w:u w:val="none"/>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8"/>
                <w:szCs w:val="28"/>
                <w:highlight w:val="none"/>
                <w:lang w:eastAsia="zh-CN"/>
                <w14:textFill>
                  <w14:solidFill>
                    <w14:schemeClr w14:val="tx1"/>
                  </w14:solidFill>
                </w14:textFill>
              </w:rPr>
              <w:t>。</w:t>
            </w:r>
          </w:p>
        </w:tc>
      </w:tr>
    </w:tbl>
    <w:p w14:paraId="075A8A55">
      <w:pP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注：</w:t>
      </w:r>
    </w:p>
    <w:p w14:paraId="142A1B84">
      <w:pP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单价和总价采用人民币报价，以元为单位。</w:t>
      </w:r>
    </w:p>
    <w:p w14:paraId="05EF79FD">
      <w:pPr>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2.货物项目填写“交付期”，服务项目填写“服务期”，只填写一个期限。</w:t>
      </w:r>
    </w:p>
    <w:p w14:paraId="60B7E96F">
      <w:pPr>
        <w:pStyle w:val="49"/>
        <w:widowControl w:val="0"/>
        <w:numPr>
          <w:ilvl w:val="0"/>
          <w:numId w:val="0"/>
        </w:numPr>
        <w:spacing w:line="360" w:lineRule="auto"/>
        <w:jc w:val="both"/>
        <w:rPr>
          <w:rFonts w:hint="eastAsia" w:ascii="宋体" w:hAnsi="宋体" w:eastAsia="宋体" w:cs="宋体"/>
          <w:color w:val="000000" w:themeColor="text1"/>
          <w:highlight w:val="none"/>
          <w14:textFill>
            <w14:solidFill>
              <w14:schemeClr w14:val="tx1"/>
            </w14:solidFill>
          </w14:textFill>
        </w:rPr>
        <w:sectPr>
          <w:pgSz w:w="16838" w:h="11906" w:orient="landscape"/>
          <w:pgMar w:top="1365" w:right="1418" w:bottom="1588" w:left="1418" w:header="851" w:footer="907" w:gutter="0"/>
          <w:cols w:space="720" w:num="1"/>
          <w:titlePg/>
          <w:docGrid w:type="lines" w:linePitch="290" w:charSpace="0"/>
        </w:sectPr>
      </w:pPr>
    </w:p>
    <w:p w14:paraId="41B1F1D3">
      <w:pPr>
        <w:pStyle w:val="5"/>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五</w:t>
      </w:r>
      <w:r>
        <w:rPr>
          <w:rFonts w:hint="eastAsia" w:ascii="宋体" w:hAnsi="宋体" w:eastAsia="宋体" w:cs="宋体"/>
          <w:b/>
          <w:bCs/>
          <w:color w:val="000000" w:themeColor="text1"/>
          <w:highlight w:val="none"/>
          <w14:textFill>
            <w14:solidFill>
              <w14:schemeClr w14:val="tx1"/>
            </w14:solidFill>
          </w14:textFill>
        </w:rPr>
        <w:t>、技术参数响应及偏离表</w:t>
      </w:r>
      <w:bookmarkEnd w:id="474"/>
      <w:bookmarkEnd w:id="475"/>
    </w:p>
    <w:p w14:paraId="7C7B7373">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7890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407C7E16">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852" w:type="dxa"/>
            <w:noWrap w:val="0"/>
            <w:vAlign w:val="center"/>
          </w:tcPr>
          <w:p w14:paraId="6F7142F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2852" w:type="dxa"/>
            <w:noWrap w:val="0"/>
            <w:vAlign w:val="center"/>
          </w:tcPr>
          <w:p w14:paraId="645E65C8">
            <w:pPr>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文件对应规范</w:t>
            </w:r>
          </w:p>
        </w:tc>
        <w:tc>
          <w:tcPr>
            <w:tcW w:w="1308" w:type="dxa"/>
            <w:noWrap w:val="0"/>
            <w:vAlign w:val="center"/>
          </w:tcPr>
          <w:p w14:paraId="0CBA078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超出、符合或偏离</w:t>
            </w:r>
          </w:p>
        </w:tc>
        <w:tc>
          <w:tcPr>
            <w:tcW w:w="1173" w:type="dxa"/>
            <w:noWrap w:val="0"/>
            <w:vAlign w:val="center"/>
          </w:tcPr>
          <w:p w14:paraId="5468A22C">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原因</w:t>
            </w:r>
          </w:p>
        </w:tc>
      </w:tr>
      <w:tr w14:paraId="772B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12DC84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46062D78">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63241B6C">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5D2E45F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54469BC1">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DA6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4CABD7A">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576A7D52">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41064CE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7D58E13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4E1D3F2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C16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444ED0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7B896AC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6BB39AC0">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7C7B53B1">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0C0D6E52">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CC0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E121EBA">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6A9393F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363AD470">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3C904A3B">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71C9F5FC">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8F3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BBE787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744758CC">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21E9DDD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6A0D3B95">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5C2CF708">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EAC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3B6BB5A3">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4ED458FE">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1F61C994">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390F4F7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0F00167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AD3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7BFF0A5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19BD295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3F2705BA">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2A20D9B4">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3CB6A9FE">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FF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14:paraId="12ECB52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02BE043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52" w:type="dxa"/>
            <w:noWrap w:val="0"/>
            <w:vAlign w:val="top"/>
          </w:tcPr>
          <w:p w14:paraId="0E71EECC">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08" w:type="dxa"/>
            <w:noWrap w:val="0"/>
            <w:vAlign w:val="top"/>
          </w:tcPr>
          <w:p w14:paraId="23A52686">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3" w:type="dxa"/>
            <w:noWrap w:val="0"/>
            <w:vAlign w:val="top"/>
          </w:tcPr>
          <w:p w14:paraId="43EBF72B">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16D4DABD">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590E25A0">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66D857F1">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注：1、按照基本技术要求详细填列。</w:t>
      </w:r>
    </w:p>
    <w:p w14:paraId="6652E9B2">
      <w:pPr>
        <w:spacing w:line="24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行数不够，可自行添加。</w:t>
      </w:r>
    </w:p>
    <w:p w14:paraId="6EE06BD6">
      <w:pPr>
        <w:rPr>
          <w:rFonts w:hint="eastAsia" w:ascii="宋体" w:hAnsi="宋体" w:eastAsia="宋体" w:cs="宋体"/>
          <w:color w:val="000000" w:themeColor="text1"/>
          <w:sz w:val="32"/>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p>
    <w:bookmarkEnd w:id="473"/>
    <w:p w14:paraId="42F1AE8F">
      <w:pPr>
        <w:pStyle w:val="5"/>
        <w:jc w:val="center"/>
        <w:rPr>
          <w:rFonts w:hint="eastAsia" w:ascii="宋体" w:hAnsi="宋体" w:eastAsia="宋体" w:cs="宋体"/>
          <w:b/>
          <w:bCs/>
          <w:color w:val="000000" w:themeColor="text1"/>
          <w:highlight w:val="none"/>
          <w14:textFill>
            <w14:solidFill>
              <w14:schemeClr w14:val="tx1"/>
            </w14:solidFill>
          </w14:textFill>
        </w:rPr>
      </w:pPr>
      <w:bookmarkStart w:id="476" w:name="_Hlt26955054"/>
      <w:bookmarkEnd w:id="476"/>
      <w:bookmarkStart w:id="477" w:name="_Toc534725620"/>
      <w:bookmarkStart w:id="478" w:name="_Toc534816649"/>
      <w:r>
        <w:rPr>
          <w:rFonts w:hint="eastAsia" w:ascii="宋体" w:hAnsi="宋体" w:eastAsia="宋体" w:cs="宋体"/>
          <w:b/>
          <w:bCs/>
          <w:color w:val="000000" w:themeColor="text1"/>
          <w:highlight w:val="none"/>
          <w:lang w:val="en-US" w:eastAsia="zh-CN"/>
          <w14:textFill>
            <w14:solidFill>
              <w14:schemeClr w14:val="tx1"/>
            </w14:solidFill>
          </w14:textFill>
        </w:rPr>
        <w:t>六</w:t>
      </w:r>
      <w:r>
        <w:rPr>
          <w:rFonts w:hint="eastAsia" w:ascii="宋体" w:hAnsi="宋体" w:eastAsia="宋体" w:cs="宋体"/>
          <w:b/>
          <w:bCs/>
          <w:color w:val="000000" w:themeColor="text1"/>
          <w:highlight w:val="none"/>
          <w14:textFill>
            <w14:solidFill>
              <w14:schemeClr w14:val="tx1"/>
            </w14:solidFill>
          </w14:textFill>
        </w:rPr>
        <w:t>、商务条款响应及偏离表</w:t>
      </w:r>
      <w:bookmarkEnd w:id="477"/>
      <w:bookmarkEnd w:id="478"/>
    </w:p>
    <w:tbl>
      <w:tblPr>
        <w:tblStyle w:val="5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59076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6A84C81F">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14:paraId="7AC169BC">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4B29ED80">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14:paraId="43671722">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的承诺或说明</w:t>
            </w:r>
          </w:p>
        </w:tc>
      </w:tr>
      <w:tr w14:paraId="7BA98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F0E8BD8">
            <w:pPr>
              <w:snapToGrid w:val="0"/>
              <w:spacing w:before="145" w:beforeLines="50" w:line="240" w:lineRule="auto"/>
              <w:jc w:val="center"/>
              <w:rPr>
                <w:rFonts w:hint="eastAsia" w:ascii="宋体" w:hAnsi="宋体" w:eastAsia="宋体" w:cs="宋体"/>
                <w:color w:val="000000" w:themeColor="text1"/>
                <w:sz w:val="24"/>
                <w:szCs w:val="20"/>
                <w:highlight w:val="none"/>
                <w:lang w:val="en-US" w:eastAsia="zh-CN"/>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58EA1AF0">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14F585EF">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443B5559">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1511F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0BB9259E">
            <w:pPr>
              <w:snapToGrid w:val="0"/>
              <w:spacing w:before="145" w:beforeLines="50" w:line="24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E18BEE3">
            <w:pPr>
              <w:snapToGrid w:val="0"/>
              <w:spacing w:before="145" w:beforeLines="50" w:line="240" w:lineRule="auto"/>
              <w:rPr>
                <w:rFonts w:hint="eastAsia" w:ascii="宋体" w:hAnsi="宋体" w:eastAsia="宋体" w:cs="宋体"/>
                <w:color w:val="000000" w:themeColor="text1"/>
                <w:sz w:val="24"/>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39074653">
            <w:pPr>
              <w:snapToGrid w:val="0"/>
              <w:spacing w:before="145" w:beforeLines="50" w:line="240" w:lineRule="auto"/>
              <w:ind w:left="43"/>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19067A49">
            <w:pPr>
              <w:snapToGrid w:val="0"/>
              <w:spacing w:before="145" w:beforeLines="50" w:line="240" w:lineRule="auto"/>
              <w:ind w:left="43"/>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78085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F403966">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5FA8BCEB">
            <w:pPr>
              <w:snapToGrid w:val="0"/>
              <w:spacing w:before="145" w:beforeLines="50" w:line="240" w:lineRule="auto"/>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3BC69552">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600F48D1">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1C820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14:paraId="59837BB5">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30113499">
            <w:pPr>
              <w:snapToGrid w:val="0"/>
              <w:spacing w:before="145" w:beforeLines="50" w:line="240" w:lineRule="auto"/>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5D835C0A">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01C63701">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13852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048EDE71">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07283126">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1837" w:type="dxa"/>
            <w:tcBorders>
              <w:top w:val="single" w:color="auto" w:sz="4" w:space="0"/>
              <w:left w:val="single" w:color="auto" w:sz="4" w:space="0"/>
              <w:bottom w:val="single" w:color="auto" w:sz="4" w:space="0"/>
              <w:right w:val="single" w:color="auto" w:sz="4" w:space="0"/>
            </w:tcBorders>
            <w:noWrap w:val="0"/>
            <w:vAlign w:val="top"/>
          </w:tcPr>
          <w:p w14:paraId="4506A8FF">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4044B86B">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r w14:paraId="06851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14:paraId="12740202">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4CE7540">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14:paraId="5ED6C2CD">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c>
          <w:tcPr>
            <w:tcW w:w="2982" w:type="dxa"/>
            <w:tcBorders>
              <w:top w:val="single" w:color="auto" w:sz="4" w:space="0"/>
              <w:left w:val="single" w:color="auto" w:sz="4" w:space="0"/>
              <w:bottom w:val="single" w:color="auto" w:sz="4" w:space="0"/>
              <w:right w:val="single" w:color="auto" w:sz="4" w:space="0"/>
            </w:tcBorders>
            <w:noWrap w:val="0"/>
            <w:vAlign w:val="top"/>
          </w:tcPr>
          <w:p w14:paraId="0CFDFAE2">
            <w:pPr>
              <w:snapToGrid w:val="0"/>
              <w:spacing w:before="145" w:beforeLines="50" w:line="240" w:lineRule="auto"/>
              <w:jc w:val="center"/>
              <w:rPr>
                <w:rFonts w:hint="eastAsia" w:ascii="宋体" w:hAnsi="宋体" w:eastAsia="宋体" w:cs="宋体"/>
                <w:color w:val="000000" w:themeColor="text1"/>
                <w:sz w:val="24"/>
                <w:szCs w:val="20"/>
                <w:highlight w:val="none"/>
                <w14:textFill>
                  <w14:solidFill>
                    <w14:schemeClr w14:val="tx1"/>
                  </w14:solidFill>
                </w14:textFill>
              </w:rPr>
            </w:pPr>
          </w:p>
        </w:tc>
      </w:tr>
    </w:tbl>
    <w:p w14:paraId="779322F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0C20C0A6">
      <w:pPr>
        <w:spacing w:line="480" w:lineRule="auto"/>
        <w:rPr>
          <w:rFonts w:hint="eastAsia" w:ascii="宋体" w:hAnsi="宋体" w:eastAsia="宋体" w:cs="宋体"/>
          <w:color w:val="000000" w:themeColor="text1"/>
          <w:sz w:val="24"/>
          <w:highlight w:val="none"/>
          <w14:textFill>
            <w14:solidFill>
              <w14:schemeClr w14:val="tx1"/>
            </w14:solidFill>
          </w14:textFill>
        </w:rPr>
      </w:pPr>
      <w:bookmarkStart w:id="479" w:name="_Hlt26955064"/>
      <w:bookmarkEnd w:id="479"/>
      <w:bookmarkStart w:id="480" w:name="_Hlt26609391"/>
      <w:bookmarkEnd w:id="480"/>
      <w:bookmarkStart w:id="481" w:name="_Hlt24879081"/>
      <w:bookmarkEnd w:id="481"/>
      <w:bookmarkStart w:id="482" w:name="_Hlt26955056"/>
      <w:bookmarkEnd w:id="482"/>
      <w:bookmarkStart w:id="483" w:name="_Hlt26671372"/>
      <w:bookmarkEnd w:id="483"/>
      <w:bookmarkStart w:id="484" w:name="_Hlt26782999"/>
      <w:bookmarkEnd w:id="484"/>
      <w:bookmarkStart w:id="485" w:name="_Hlt26671343"/>
      <w:bookmarkEnd w:id="485"/>
      <w:bookmarkStart w:id="486" w:name="_Hlt26580838"/>
      <w:bookmarkEnd w:id="486"/>
    </w:p>
    <w:p w14:paraId="5665F7E7">
      <w:pPr>
        <w:pStyle w:val="7"/>
        <w:ind w:firstLine="0"/>
        <w:rPr>
          <w:rFonts w:hint="eastAsia" w:ascii="宋体" w:hAnsi="宋体" w:eastAsia="宋体" w:cs="宋体"/>
          <w:color w:val="000000" w:themeColor="text1"/>
          <w:sz w:val="24"/>
          <w:highlight w:val="none"/>
          <w14:textFill>
            <w14:solidFill>
              <w14:schemeClr w14:val="tx1"/>
            </w14:solidFill>
          </w14:textFill>
        </w:rPr>
        <w:sectPr>
          <w:pgSz w:w="11906" w:h="16838"/>
          <w:pgMar w:top="1418" w:right="1588" w:bottom="1418" w:left="1365" w:header="851" w:footer="907" w:gutter="0"/>
          <w:cols w:space="720" w:num="1"/>
          <w:titlePg/>
          <w:docGrid w:type="lines" w:linePitch="290" w:charSpace="0"/>
        </w:sectPr>
      </w:pPr>
      <w:bookmarkStart w:id="487" w:name="_Toc462564146"/>
    </w:p>
    <w:bookmarkEnd w:id="487"/>
    <w:p w14:paraId="3D35CFC7">
      <w:pPr>
        <w:pStyle w:val="5"/>
        <w:jc w:val="center"/>
        <w:rPr>
          <w:rFonts w:hint="eastAsia" w:ascii="宋体" w:hAnsi="宋体" w:eastAsia="宋体" w:cs="宋体"/>
          <w:b/>
          <w:bCs/>
          <w:color w:val="000000" w:themeColor="text1"/>
          <w:sz w:val="24"/>
          <w:szCs w:val="20"/>
          <w:highlight w:val="none"/>
          <w14:textFill>
            <w14:solidFill>
              <w14:schemeClr w14:val="tx1"/>
            </w14:solidFill>
          </w14:textFill>
        </w:rPr>
      </w:pPr>
      <w:bookmarkStart w:id="488" w:name="_格式2__法定代表人授权书"/>
      <w:bookmarkEnd w:id="488"/>
      <w:bookmarkStart w:id="489" w:name="_Toc460901585"/>
      <w:bookmarkStart w:id="490" w:name="_Toc513029276"/>
      <w:bookmarkStart w:id="491" w:name="_Toc120614283"/>
      <w:bookmarkStart w:id="492" w:name="_Toc23828478"/>
      <w:bookmarkStart w:id="493" w:name="_Toc26554095"/>
      <w:bookmarkStart w:id="494" w:name="_Toc22356580"/>
      <w:bookmarkStart w:id="495" w:name="_Toc49090577"/>
      <w:bookmarkStart w:id="496" w:name="_Toc534725621"/>
      <w:bookmarkStart w:id="497" w:name="_Toc534816650"/>
      <w:r>
        <w:rPr>
          <w:rFonts w:hint="eastAsia" w:ascii="宋体" w:hAnsi="宋体" w:eastAsia="宋体" w:cs="宋体"/>
          <w:b/>
          <w:bCs/>
          <w:color w:val="000000" w:themeColor="text1"/>
          <w:highlight w:val="none"/>
          <w:lang w:val="en-US" w:eastAsia="zh-CN"/>
          <w14:textFill>
            <w14:solidFill>
              <w14:schemeClr w14:val="tx1"/>
            </w14:solidFill>
          </w14:textFill>
        </w:rPr>
        <w:t>七</w:t>
      </w:r>
      <w:r>
        <w:rPr>
          <w:rFonts w:hint="eastAsia" w:ascii="宋体" w:hAnsi="宋体" w:eastAsia="宋体" w:cs="宋体"/>
          <w:b/>
          <w:bCs/>
          <w:color w:val="000000" w:themeColor="text1"/>
          <w:highlight w:val="none"/>
          <w14:textFill>
            <w14:solidFill>
              <w14:schemeClr w14:val="tx1"/>
            </w14:solidFill>
          </w14:textFill>
        </w:rPr>
        <w:t>、</w:t>
      </w:r>
      <w:bookmarkEnd w:id="489"/>
      <w:bookmarkEnd w:id="490"/>
      <w:bookmarkEnd w:id="491"/>
      <w:bookmarkEnd w:id="492"/>
      <w:bookmarkEnd w:id="493"/>
      <w:bookmarkEnd w:id="494"/>
      <w:bookmarkEnd w:id="495"/>
      <w:r>
        <w:rPr>
          <w:rFonts w:hint="eastAsia" w:ascii="宋体" w:hAnsi="宋体" w:eastAsia="宋体" w:cs="宋体"/>
          <w:b/>
          <w:bCs/>
          <w:color w:val="000000" w:themeColor="text1"/>
          <w:highlight w:val="none"/>
          <w:lang w:val="en-US" w:eastAsia="zh-CN"/>
          <w14:textFill>
            <w14:solidFill>
              <w14:schemeClr w14:val="tx1"/>
            </w14:solidFill>
          </w14:textFill>
        </w:rPr>
        <w:t>磋商报价</w:t>
      </w:r>
      <w:r>
        <w:rPr>
          <w:rFonts w:hint="eastAsia" w:ascii="宋体" w:hAnsi="宋体" w:eastAsia="宋体" w:cs="宋体"/>
          <w:b/>
          <w:bCs/>
          <w:color w:val="000000" w:themeColor="text1"/>
          <w:highlight w:val="none"/>
          <w14:textFill>
            <w14:solidFill>
              <w14:schemeClr w14:val="tx1"/>
            </w14:solidFill>
          </w14:textFill>
        </w:rPr>
        <w:t>一览表</w:t>
      </w:r>
      <w:bookmarkEnd w:id="496"/>
      <w:bookmarkEnd w:id="497"/>
    </w:p>
    <w:tbl>
      <w:tblPr>
        <w:tblStyle w:val="51"/>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3D49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14:paraId="58419341">
            <w:pPr>
              <w:tabs>
                <w:tab w:val="left" w:pos="142"/>
              </w:tabs>
              <w:spacing w:line="360" w:lineRule="auto"/>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6035" w:type="dxa"/>
            <w:noWrap w:val="0"/>
            <w:vAlign w:val="center"/>
          </w:tcPr>
          <w:p w14:paraId="1C544656">
            <w:pPr>
              <w:tabs>
                <w:tab w:val="left" w:pos="142"/>
              </w:tabs>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03B6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14:paraId="4B7F45B1">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6035" w:type="dxa"/>
            <w:noWrap w:val="0"/>
            <w:vAlign w:val="center"/>
          </w:tcPr>
          <w:p w14:paraId="44B2A37B">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3B38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14:paraId="4FB70229">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报价</w:t>
            </w:r>
          </w:p>
        </w:tc>
        <w:tc>
          <w:tcPr>
            <w:tcW w:w="6035" w:type="dxa"/>
            <w:noWrap w:val="0"/>
            <w:vAlign w:val="center"/>
          </w:tcPr>
          <w:p w14:paraId="19207F30">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6B879D08">
            <w:pPr>
              <w:tabs>
                <w:tab w:val="left" w:pos="142"/>
              </w:tabs>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人民币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r>
      <w:tr w14:paraId="50F0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14:paraId="3C2F54D2">
            <w:pPr>
              <w:tabs>
                <w:tab w:val="left" w:pos="142"/>
              </w:tabs>
              <w:spacing w:line="50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交货期限/</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期限</w:t>
            </w:r>
          </w:p>
        </w:tc>
        <w:tc>
          <w:tcPr>
            <w:tcW w:w="6035" w:type="dxa"/>
            <w:noWrap w:val="0"/>
            <w:vAlign w:val="center"/>
          </w:tcPr>
          <w:p w14:paraId="2B1387AF">
            <w:pPr>
              <w:tabs>
                <w:tab w:val="left" w:pos="142"/>
              </w:tabs>
              <w:spacing w:line="5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天</w:t>
            </w:r>
          </w:p>
        </w:tc>
      </w:tr>
    </w:tbl>
    <w:p w14:paraId="12B8C5A9">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供应商全称（公章）：        </w:t>
      </w:r>
    </w:p>
    <w:p w14:paraId="49B392E9">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法定代表人（授权代表）（签字或盖章）：</w:t>
      </w:r>
    </w:p>
    <w:p w14:paraId="7F9D0669">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p>
    <w:p w14:paraId="529406C5">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p w14:paraId="5C47C509">
      <w:pPr>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lang w:eastAsia="zh-CN"/>
          <w14:textFill>
            <w14:solidFill>
              <w14:schemeClr w14:val="tx1"/>
            </w14:solidFill>
          </w14:textFill>
        </w:rPr>
        <w:t>：</w:t>
      </w:r>
    </w:p>
    <w:p w14:paraId="49809F28">
      <w:pPr>
        <w:bidi w:val="0"/>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总报价应包含本项目实施期间的所有含税费用。</w:t>
      </w:r>
    </w:p>
    <w:p w14:paraId="6A785BFF">
      <w:pPr>
        <w:numPr>
          <w:ilvl w:val="0"/>
          <w:numId w:val="14"/>
        </w:numPr>
        <w:spacing w:line="240" w:lineRule="auto"/>
        <w:ind w:firstLine="480" w:firstLineChars="200"/>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498" w:name="_Toc534725623"/>
      <w:bookmarkStart w:id="499" w:name="_Toc534816652"/>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供应商认为有必要提供的声明及文件资料</w:t>
      </w:r>
    </w:p>
    <w:p w14:paraId="537E3415">
      <w:pPr>
        <w:widowControl w:val="0"/>
        <w:numPr>
          <w:ilvl w:val="0"/>
          <w:numId w:val="0"/>
        </w:numPr>
        <w:jc w:val="cente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（格式自拟）</w:t>
      </w:r>
    </w:p>
    <w:p w14:paraId="3812A88A">
      <w:pPr>
        <w:pStyle w:val="5"/>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48F064E">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p>
    <w:p w14:paraId="5FF55691">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2807EB2">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7773B51F">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1D55FD1">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7070F287">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BD3A481">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87DF07B">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5EF6903">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D9E01E4">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72A297DE">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EDE0AFE">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8A1FFC7">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6C2C7CC">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136C8ED">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1DCCFEC">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76A1931">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BCF0BD1">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F3762D4">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97B800F">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05857D9">
      <w:pPr>
        <w:widowControl w:val="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40B2F872">
      <w:pPr>
        <w:pStyle w:val="18"/>
        <w:rPr>
          <w:rFonts w:hint="eastAsia" w:ascii="宋体" w:hAnsi="宋体" w:eastAsia="宋体" w:cs="宋体"/>
          <w:color w:val="000000" w:themeColor="text1"/>
          <w:highlight w:val="none"/>
          <w:lang w:val="en-US" w:eastAsia="zh-CN"/>
          <w14:textFill>
            <w14:solidFill>
              <w14:schemeClr w14:val="tx1"/>
            </w14:solidFill>
          </w14:textFill>
        </w:rPr>
      </w:pPr>
    </w:p>
    <w:p w14:paraId="453E1B5C">
      <w:pPr>
        <w:pStyle w:val="7"/>
        <w:spacing w:line="240" w:lineRule="auto"/>
        <w:ind w:firstLine="0"/>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九、其他相关附表格式</w:t>
      </w:r>
    </w:p>
    <w:p w14:paraId="517D8A2D">
      <w:pPr>
        <w:pStyle w:val="7"/>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表1</w:t>
      </w:r>
    </w:p>
    <w:p w14:paraId="1C67B821">
      <w:pPr>
        <w:pStyle w:val="7"/>
        <w:spacing w:line="240" w:lineRule="auto"/>
        <w:ind w:firstLine="0"/>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0A6210DC">
      <w:pPr>
        <w:pStyle w:val="7"/>
        <w:spacing w:line="240" w:lineRule="auto"/>
        <w:ind w:firstLine="0"/>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具备履行合同所必需的设备和专业技术能力的书面声明</w:t>
      </w:r>
    </w:p>
    <w:p w14:paraId="51CD4A3E">
      <w:pPr>
        <w:pStyle w:val="7"/>
        <w:spacing w:line="240" w:lineRule="auto"/>
        <w:ind w:firstLine="0"/>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2D6CC681">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14:paraId="5257631D">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主要设备有：</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14:paraId="08B2B6A5">
      <w:pPr>
        <w:spacing w:before="145" w:beforeLines="50" w:after="145" w:afterLines="50" w:line="300" w:lineRule="auto"/>
        <w:ind w:firstLine="49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主要专业技术能力有：</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14:paraId="064C2C8B">
      <w:pPr>
        <w:widowControl w:val="0"/>
        <w:adjustRightInd w:val="0"/>
        <w:spacing w:before="145" w:beforeLines="50" w:after="145" w:afterLines="50" w:line="300" w:lineRule="auto"/>
        <w:ind w:left="6480" w:leftChars="2400" w:hanging="720" w:hangingChars="300"/>
        <w:jc w:val="left"/>
        <w:textAlignment w:val="baseline"/>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 xml:space="preserve">供应商名称（盖章）： </w:t>
      </w:r>
    </w:p>
    <w:p w14:paraId="6DBDB21D">
      <w:pPr>
        <w:spacing w:before="145" w:beforeLines="50" w:after="145" w:afterLines="50" w:line="300" w:lineRule="auto"/>
        <w:ind w:firstLine="6405" w:firstLineChars="30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______年____月____日</w:t>
      </w:r>
    </w:p>
    <w:p w14:paraId="6D9141DE">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472B5A93">
      <w:pPr>
        <w:pStyle w:val="7"/>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bookmarkStart w:id="500" w:name="_Toc534816644"/>
      <w:bookmarkStart w:id="501" w:name="_Toc534725615"/>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表2</w:t>
      </w:r>
    </w:p>
    <w:p w14:paraId="23AAE5E2">
      <w:pPr>
        <w:pStyle w:val="7"/>
        <w:spacing w:line="240" w:lineRule="auto"/>
        <w:ind w:firstLine="0"/>
        <w:jc w:val="left"/>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pPr>
    </w:p>
    <w:p w14:paraId="46F007C3">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38A254F4">
      <w:pPr>
        <w:spacing w:before="145" w:beforeLines="50" w:after="145" w:afterLines="50" w:line="300" w:lineRule="auto"/>
        <w:jc w:val="cente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参加政府采购活动前 3 年内在经营活动中没有重大违法记录的</w:t>
      </w:r>
    </w:p>
    <w:p w14:paraId="1548738B">
      <w:pPr>
        <w:spacing w:before="145" w:beforeLines="50" w:after="145" w:afterLines="50" w:line="300" w:lineRule="auto"/>
        <w:jc w:val="cente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highlight w:val="none"/>
          <w:lang w:val="en-US" w:eastAsia="zh-CN" w:bidi="ar-SA"/>
          <w14:textFill>
            <w14:solidFill>
              <w14:schemeClr w14:val="tx1"/>
            </w14:solidFill>
          </w14:textFill>
        </w:rPr>
        <w:t>书面声明</w:t>
      </w:r>
      <w:bookmarkEnd w:id="500"/>
      <w:bookmarkEnd w:id="501"/>
    </w:p>
    <w:p w14:paraId="7BA06955">
      <w:pPr>
        <w:widowControl w:val="0"/>
        <w:jc w:val="both"/>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63C5291C">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557FBFDF">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6D831C3B">
      <w:pPr>
        <w:widowControl w:val="0"/>
        <w:adjustRightInd w:val="0"/>
        <w:spacing w:before="145" w:beforeLines="50" w:after="145" w:afterLines="50" w:line="300" w:lineRule="auto"/>
        <w:ind w:left="480" w:leftChars="200" w:firstLine="5280" w:firstLineChars="2200"/>
        <w:jc w:val="left"/>
        <w:textAlignment w:val="baseline"/>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t xml:space="preserve">供应商名称（盖章）： </w:t>
      </w:r>
    </w:p>
    <w:p w14:paraId="495CD6F1">
      <w:pPr>
        <w:spacing w:before="145" w:beforeLines="50" w:after="145" w:afterLines="50" w:line="300" w:lineRule="auto"/>
        <w:ind w:firstLine="5775" w:firstLineChars="27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______年____月____日</w:t>
      </w:r>
    </w:p>
    <w:p w14:paraId="16975DA8">
      <w:pPr>
        <w:spacing w:before="145" w:beforeLines="50" w:after="145" w:afterLines="50" w:line="300" w:lineRule="auto"/>
        <w:rPr>
          <w:rFonts w:hint="eastAsia" w:ascii="宋体" w:hAnsi="宋体" w:eastAsia="宋体" w:cs="宋体"/>
          <w:bCs/>
          <w:color w:val="000000" w:themeColor="text1"/>
          <w:sz w:val="24"/>
          <w:highlight w:val="none"/>
          <w14:textFill>
            <w14:solidFill>
              <w14:schemeClr w14:val="tx1"/>
            </w14:solidFill>
          </w14:textFill>
        </w:rPr>
      </w:pPr>
    </w:p>
    <w:p w14:paraId="0079FCF3">
      <w:pPr>
        <w:pStyle w:val="7"/>
        <w:spacing w:line="240" w:lineRule="auto"/>
        <w:ind w:firstLine="0"/>
        <w:jc w:val="left"/>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br w:type="page"/>
      </w:r>
      <w:bookmarkStart w:id="502" w:name="_Toc534725616"/>
      <w:bookmarkStart w:id="503" w:name="_Toc534816645"/>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表3</w:t>
      </w:r>
    </w:p>
    <w:p w14:paraId="66B79D01">
      <w:pPr>
        <w:spacing w:before="145" w:beforeLines="50" w:after="145" w:afterLines="50" w:line="300" w:lineRule="auto"/>
        <w:jc w:val="center"/>
        <w:rPr>
          <w:rFonts w:hint="eastAsia" w:ascii="宋体" w:hAnsi="宋体" w:eastAsia="宋体" w:cs="宋体"/>
          <w:bCs/>
          <w:color w:val="000000" w:themeColor="text1"/>
          <w:sz w:val="24"/>
          <w:highlight w:val="none"/>
          <w14:textFill>
            <w14:solidFill>
              <w14:schemeClr w14:val="tx1"/>
            </w14:solidFill>
          </w14:textFill>
        </w:rPr>
      </w:pPr>
    </w:p>
    <w:p w14:paraId="7C526A02">
      <w:pPr>
        <w:spacing w:before="145" w:beforeLines="50" w:after="145" w:afterLines="50"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法人授权书</w:t>
      </w:r>
      <w:bookmarkEnd w:id="502"/>
      <w:bookmarkEnd w:id="503"/>
    </w:p>
    <w:p w14:paraId="3C12BC9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本授权委托书声明：注册于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（供应商地址） </w:t>
      </w:r>
      <w:r>
        <w:rPr>
          <w:rFonts w:hint="eastAsia" w:ascii="宋体" w:hAnsi="宋体" w:eastAsia="宋体" w:cs="宋体"/>
          <w:color w:val="000000" w:themeColor="text1"/>
          <w:sz w:val="24"/>
          <w:szCs w:val="24"/>
          <w:highlight w:val="none"/>
          <w14:textFill>
            <w14:solidFill>
              <w14:schemeClr w14:val="tx1"/>
            </w14:solidFill>
          </w14:textFill>
        </w:rPr>
        <w:t xml:space="preserve"> 的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（供应商名称）    </w:t>
      </w:r>
      <w:r>
        <w:rPr>
          <w:rFonts w:hint="eastAsia" w:ascii="宋体" w:hAnsi="宋体" w:eastAsia="宋体" w:cs="宋体"/>
          <w:color w:val="000000" w:themeColor="text1"/>
          <w:sz w:val="24"/>
          <w:szCs w:val="24"/>
          <w:highlight w:val="none"/>
          <w14:textFill>
            <w14:solidFill>
              <w14:schemeClr w14:val="tx1"/>
            </w14:solidFill>
          </w14:textFill>
        </w:rPr>
        <w:t>在下面签名的（</w:t>
      </w:r>
      <w:r>
        <w:rPr>
          <w:rFonts w:hint="eastAsia" w:ascii="宋体" w:hAnsi="宋体" w:eastAsia="宋体" w:cs="宋体"/>
          <w:color w:val="000000" w:themeColor="text1"/>
          <w:sz w:val="24"/>
          <w:szCs w:val="24"/>
          <w:highlight w:val="none"/>
          <w:u w:val="single"/>
          <w14:textFill>
            <w14:solidFill>
              <w14:schemeClr w14:val="tx1"/>
            </w14:solidFill>
          </w14:textFill>
        </w:rPr>
        <w:t>法定代表人姓名、职务</w:t>
      </w:r>
      <w:r>
        <w:rPr>
          <w:rFonts w:hint="eastAsia" w:ascii="宋体" w:hAnsi="宋体" w:eastAsia="宋体" w:cs="宋体"/>
          <w:color w:val="000000" w:themeColor="text1"/>
          <w:sz w:val="24"/>
          <w:szCs w:val="24"/>
          <w:highlight w:val="none"/>
          <w14:textFill>
            <w14:solidFill>
              <w14:schemeClr w14:val="tx1"/>
            </w14:solidFill>
          </w14:textFill>
        </w:rPr>
        <w:t>），现任我单位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职务，为法定代表人。在此授权（</w:t>
      </w:r>
      <w:r>
        <w:rPr>
          <w:rFonts w:hint="eastAsia" w:ascii="宋体" w:hAnsi="宋体" w:eastAsia="宋体" w:cs="宋体"/>
          <w:color w:val="000000" w:themeColor="text1"/>
          <w:sz w:val="24"/>
          <w:szCs w:val="24"/>
          <w:highlight w:val="none"/>
          <w:u w:val="single"/>
          <w14:textFill>
            <w14:solidFill>
              <w14:schemeClr w14:val="tx1"/>
            </w14:solidFill>
          </w14:textFill>
        </w:rPr>
        <w:t>被授权人姓名、职务</w:t>
      </w:r>
      <w:r>
        <w:rPr>
          <w:rFonts w:hint="eastAsia" w:ascii="宋体" w:hAnsi="宋体" w:eastAsia="宋体" w:cs="宋体"/>
          <w:color w:val="000000" w:themeColor="text1"/>
          <w:sz w:val="24"/>
          <w:szCs w:val="24"/>
          <w:highlight w:val="none"/>
          <w14:textFill>
            <w14:solidFill>
              <w14:schemeClr w14:val="tx1"/>
            </w14:solidFill>
          </w14:textFill>
        </w:rPr>
        <w:t>）作为我公司的合法代理人，就（</w:t>
      </w:r>
      <w:r>
        <w:rPr>
          <w:rFonts w:hint="eastAsia" w:ascii="宋体" w:hAnsi="宋体" w:eastAsia="宋体" w:cs="宋体"/>
          <w:color w:val="000000" w:themeColor="text1"/>
          <w:sz w:val="24"/>
          <w:szCs w:val="24"/>
          <w:highlight w:val="none"/>
          <w:u w:val="single"/>
          <w14:textFill>
            <w14:solidFill>
              <w14:schemeClr w14:val="tx1"/>
            </w14:solidFill>
          </w14:textFill>
        </w:rPr>
        <w:t>采购项目名称、采购项目编号</w:t>
      </w:r>
      <w:r>
        <w:rPr>
          <w:rFonts w:hint="eastAsia" w:ascii="宋体" w:hAnsi="宋体" w:eastAsia="宋体" w:cs="宋体"/>
          <w:color w:val="000000" w:themeColor="text1"/>
          <w:sz w:val="24"/>
          <w:szCs w:val="24"/>
          <w:highlight w:val="none"/>
          <w14:textFill>
            <w14:solidFill>
              <w14:schemeClr w14:val="tx1"/>
            </w14:solidFill>
          </w14:textFill>
        </w:rPr>
        <w:t>）采购活动相关的响应、</w:t>
      </w:r>
      <w:r>
        <w:rPr>
          <w:rFonts w:hint="eastAsia" w:ascii="宋体" w:hAnsi="宋体" w:eastAsia="宋体" w:cs="宋体"/>
          <w:color w:val="000000" w:themeColor="text1"/>
          <w:sz w:val="24"/>
          <w:szCs w:val="24"/>
          <w:highlight w:val="none"/>
          <w:lang w:val="en-US"/>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 xml:space="preserve">、合同执行，以我公司的名义处理一切与之有关的事务。 </w:t>
      </w:r>
    </w:p>
    <w:p w14:paraId="2D6DDC2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被授权人（供应商授权代表）无转委托权限。 </w:t>
      </w:r>
    </w:p>
    <w:p w14:paraId="4E50415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0DA8403A">
                            <w:pPr>
                              <w:pStyle w:val="20"/>
                              <w:spacing w:line="211" w:lineRule="exact"/>
                            </w:pPr>
                            <w:r>
                              <w:t xml:space="preserve"> </w:t>
                            </w:r>
                          </w:p>
                        </w:txbxContent>
                      </wps:txbx>
                      <wps:bodyPr wrap="square" lIns="0" tIns="0" rIns="0" bIns="0" upright="1"/>
                    </wps:wsp>
                  </a:graphicData>
                </a:graphic>
              </wp:anchor>
            </w:drawing>
          </mc:Choice>
          <mc:Fallback>
            <w:pict>
              <v:shape id="文本框 2"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FAy+jZAAAACwEAAA8AAAAAAAAAAQAgAAAAIgAAAGRycy9kb3ducmV2&#10;LnhtbFBLAQIUABQAAAAIAIdO4kAhvaN2wgEAAH4DAAAOAAAAAAAAAAEAIAAAACgBAABkcnMvZTJv&#10;RG9jLnhtbFBLBQYAAAAABgAGAFkBAABcBQAAAAA=&#10;">
                <v:fill on="f" focussize="0,0"/>
                <v:stroke on="f"/>
                <v:imagedata o:title=""/>
                <o:lock v:ext="edit" aspectratio="f"/>
                <v:textbox inset="0mm,0mm,0mm,0mm">
                  <w:txbxContent>
                    <w:p w14:paraId="0DA8403A">
                      <w:pPr>
                        <w:pStyle w:val="20"/>
                        <w:spacing w:line="211" w:lineRule="exact"/>
                      </w:pPr>
                      <w:r>
                        <w:t xml:space="preserve"> </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6" name="文本框 3"/>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3CD0E4F3">
                            <w:pPr>
                              <w:pStyle w:val="20"/>
                              <w:rPr>
                                <w:sz w:val="20"/>
                              </w:rPr>
                            </w:pPr>
                          </w:p>
                          <w:p w14:paraId="586A3FFD">
                            <w:pPr>
                              <w:pStyle w:val="20"/>
                              <w:rPr>
                                <w:sz w:val="20"/>
                              </w:rPr>
                            </w:pPr>
                          </w:p>
                          <w:p w14:paraId="16E0257F">
                            <w:pPr>
                              <w:pStyle w:val="20"/>
                              <w:spacing w:before="1"/>
                              <w:rPr>
                                <w:sz w:val="16"/>
                              </w:rPr>
                            </w:pPr>
                          </w:p>
                          <w:p w14:paraId="27104E2B">
                            <w:pPr>
                              <w:pStyle w:val="20"/>
                              <w:spacing w:line="278" w:lineRule="auto"/>
                              <w:ind w:left="1091" w:right="1498" w:firstLine="314"/>
                            </w:pPr>
                            <w:r>
                              <w:rPr>
                                <w:spacing w:val="-1"/>
                              </w:rPr>
                              <w:t xml:space="preserve">法定代表人  </w:t>
                            </w:r>
                            <w:r>
                              <w:rPr>
                                <w:spacing w:val="-5"/>
                              </w:rPr>
                              <w:t>居民身份证复印件</w:t>
                            </w:r>
                          </w:p>
                          <w:p w14:paraId="2BC2BE54">
                            <w:pPr>
                              <w:pStyle w:val="20"/>
                              <w:spacing w:before="4"/>
                              <w:rPr>
                                <w:sz w:val="24"/>
                              </w:rPr>
                            </w:pPr>
                          </w:p>
                          <w:p w14:paraId="3DE52A43">
                            <w:pPr>
                              <w:pStyle w:val="20"/>
                              <w:spacing w:before="1"/>
                              <w:ind w:left="1405"/>
                            </w:pPr>
                            <w:r>
                              <w:t>（反面）</w:t>
                            </w:r>
                          </w:p>
                        </w:txbxContent>
                      </wps:txbx>
                      <wps:bodyPr wrap="square" lIns="0" tIns="0" rIns="0" bIns="0" upright="1"/>
                    </wps:wsp>
                  </a:graphicData>
                </a:graphic>
              </wp:anchor>
            </w:drawing>
          </mc:Choice>
          <mc:Fallback>
            <w:pict>
              <v:shape id="文本框 3"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1UC1l&#10;2gAAAAoBAAAPAAAAAAAAAAEAIAAAACIAAABkcnMvZG93bnJldi54bWxQSwECFAAUAAAACACHTuJA&#10;yU+i8B8CAABABAAADgAAAAAAAAABACAAAAApAQAAZHJzL2Uyb0RvYy54bWxQSwUGAAAAAAYABgBZ&#10;AQAAugUAAAAA&#10;">
                <v:fill on="f" focussize="0,0"/>
                <v:stroke color="#000000" joinstyle="miter"/>
                <v:imagedata o:title=""/>
                <o:lock v:ext="edit" aspectratio="f"/>
                <v:textbox inset="0mm,0mm,0mm,0mm">
                  <w:txbxContent>
                    <w:p w14:paraId="3CD0E4F3">
                      <w:pPr>
                        <w:pStyle w:val="20"/>
                        <w:rPr>
                          <w:sz w:val="20"/>
                        </w:rPr>
                      </w:pPr>
                    </w:p>
                    <w:p w14:paraId="586A3FFD">
                      <w:pPr>
                        <w:pStyle w:val="20"/>
                        <w:rPr>
                          <w:sz w:val="20"/>
                        </w:rPr>
                      </w:pPr>
                    </w:p>
                    <w:p w14:paraId="16E0257F">
                      <w:pPr>
                        <w:pStyle w:val="20"/>
                        <w:spacing w:before="1"/>
                        <w:rPr>
                          <w:sz w:val="16"/>
                        </w:rPr>
                      </w:pPr>
                    </w:p>
                    <w:p w14:paraId="27104E2B">
                      <w:pPr>
                        <w:pStyle w:val="20"/>
                        <w:spacing w:line="278" w:lineRule="auto"/>
                        <w:ind w:left="1091" w:right="1498" w:firstLine="314"/>
                      </w:pPr>
                      <w:r>
                        <w:rPr>
                          <w:spacing w:val="-1"/>
                        </w:rPr>
                        <w:t xml:space="preserve">法定代表人  </w:t>
                      </w:r>
                      <w:r>
                        <w:rPr>
                          <w:spacing w:val="-5"/>
                        </w:rPr>
                        <w:t>居民身份证复印件</w:t>
                      </w:r>
                    </w:p>
                    <w:p w14:paraId="2BC2BE54">
                      <w:pPr>
                        <w:pStyle w:val="20"/>
                        <w:spacing w:before="4"/>
                        <w:rPr>
                          <w:sz w:val="24"/>
                        </w:rPr>
                      </w:pPr>
                    </w:p>
                    <w:p w14:paraId="3DE52A43">
                      <w:pPr>
                        <w:pStyle w:val="20"/>
                        <w:spacing w:before="1"/>
                        <w:ind w:left="1405"/>
                      </w:pPr>
                      <w:r>
                        <w:t>（反面）</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w:t>本授权书自法定代表人签字之日起生效，特此声明。</w:t>
      </w:r>
    </w:p>
    <w:p w14:paraId="605542DD">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5" name="组合 4"/>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3" name="矩形 5"/>
                        <wps:cNvSpPr/>
                        <wps:spPr>
                          <a:xfrm>
                            <a:off x="1222" y="896"/>
                            <a:ext cx="4275" cy="2754"/>
                          </a:xfrm>
                          <a:prstGeom prst="rect">
                            <a:avLst/>
                          </a:prstGeom>
                          <a:solidFill>
                            <a:srgbClr val="FFFFFF"/>
                          </a:solidFill>
                          <a:ln>
                            <a:noFill/>
                          </a:ln>
                        </wps:spPr>
                        <wps:bodyPr wrap="square" upright="1"/>
                      </wps:wsp>
                      <wps:wsp>
                        <wps:cNvPr id="4" name="文本框 6"/>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561D504C">
                              <w:pPr>
                                <w:rPr>
                                  <w:sz w:val="20"/>
                                </w:rPr>
                              </w:pPr>
                            </w:p>
                            <w:p w14:paraId="0879109B">
                              <w:pPr>
                                <w:rPr>
                                  <w:sz w:val="20"/>
                                </w:rPr>
                              </w:pPr>
                            </w:p>
                            <w:p w14:paraId="6A0073E1">
                              <w:pPr>
                                <w:spacing w:before="1"/>
                                <w:rPr>
                                  <w:sz w:val="16"/>
                                </w:rPr>
                              </w:pPr>
                            </w:p>
                            <w:p w14:paraId="69C15307">
                              <w:pPr>
                                <w:spacing w:line="278" w:lineRule="auto"/>
                                <w:ind w:left="1194" w:right="1380" w:firstLine="314"/>
                                <w:rPr>
                                  <w:sz w:val="21"/>
                                </w:rPr>
                              </w:pPr>
                              <w:r>
                                <w:rPr>
                                  <w:spacing w:val="-1"/>
                                  <w:sz w:val="21"/>
                                </w:rPr>
                                <w:t xml:space="preserve">法定代表人  </w:t>
                              </w:r>
                              <w:r>
                                <w:rPr>
                                  <w:spacing w:val="-5"/>
                                  <w:sz w:val="21"/>
                                </w:rPr>
                                <w:t>居民身份证复印件</w:t>
                              </w:r>
                            </w:p>
                            <w:p w14:paraId="674FEDEA">
                              <w:pPr>
                                <w:spacing w:before="4"/>
                                <w:rPr>
                                  <w:sz w:val="24"/>
                                </w:rPr>
                              </w:pPr>
                            </w:p>
                            <w:p w14:paraId="15A5F741">
                              <w:pPr>
                                <w:spacing w:before="1"/>
                                <w:ind w:left="1491" w:right="1888"/>
                                <w:jc w:val="center"/>
                                <w:rPr>
                                  <w:sz w:val="21"/>
                                </w:rPr>
                              </w:pPr>
                              <w:r>
                                <w:rPr>
                                  <w:sz w:val="21"/>
                                </w:rPr>
                                <w:t>（</w:t>
                              </w:r>
                              <w:r>
                                <w:rPr>
                                  <w:spacing w:val="-2"/>
                                  <w:sz w:val="21"/>
                                </w:rPr>
                                <w:t>正面</w:t>
                              </w:r>
                              <w:r>
                                <w:rPr>
                                  <w:sz w:val="21"/>
                                </w:rPr>
                                <w:t>）</w:t>
                              </w:r>
                            </w:p>
                          </w:txbxContent>
                        </wps:txbx>
                        <wps:bodyPr wrap="square" lIns="0" tIns="0" rIns="0" bIns="0" upright="1"/>
                      </wps:wsp>
                    </wpg:wgp>
                  </a:graphicData>
                </a:graphic>
              </wp:anchor>
            </w:drawing>
          </mc:Choice>
          <mc:Fallback>
            <w:pict>
              <v:group id="组合 4"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BKEyLB2QAAAAoBAAAPAAAAAAAAAAEAIAAAACIAAABkcnMvZG93bnJldi54bWxQSwECFAAUAAAA&#10;CACHTuJAjp/M+dECAAD+BgAADgAAAAAAAAABACAAAAAoAQAAZHJzL2Uyb0RvYy54bWxQSwUGAAAA&#10;AAYABgBZAQAAawYAAAAA&#10;">
                <o:lock v:ext="edit" aspectratio="f"/>
                <v:rect id="矩形 5" o:spid="_x0000_s1026" o:spt="1" style="position:absolute;left:1222;top:896;height:2754;width:4275;" fillcolor="#FFFFFF" filled="t" stroked="f" coordsize="21600,21600" o:gfxdata="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0kXOvQAA&#10;ANoAAAAPAAAAAAAAAAEAIAAAACIAAABkcnMvZG93bnJldi54bWxQSwECFAAUAAAACACHTuJAMy8F&#10;njsAAAA5AAAAEAAAAAAAAAABACAAAAAMAQAAZHJzL3NoYXBleG1sLnhtbFBLBQYAAAAABgAGAFsB&#10;AAC2AwAAAAA=&#10;">
                  <v:fill on="t" focussize="0,0"/>
                  <v:stroke on="f"/>
                  <v:imagedata o:title=""/>
                  <o:lock v:ext="edit" aspectratio="f"/>
                </v:rect>
                <v:shape id="文本框 6" o:spid="_x0000_s1026" o:spt="202" type="#_x0000_t202" style="position:absolute;left:1222;top:896;height:2754;width:4275;" filled="f" stroked="t" coordsize="21600,21600" o:gfxdata="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jblvQAA&#10;ANo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561D504C">
                        <w:pPr>
                          <w:rPr>
                            <w:sz w:val="20"/>
                          </w:rPr>
                        </w:pPr>
                      </w:p>
                      <w:p w14:paraId="0879109B">
                        <w:pPr>
                          <w:rPr>
                            <w:sz w:val="20"/>
                          </w:rPr>
                        </w:pPr>
                      </w:p>
                      <w:p w14:paraId="6A0073E1">
                        <w:pPr>
                          <w:spacing w:before="1"/>
                          <w:rPr>
                            <w:sz w:val="16"/>
                          </w:rPr>
                        </w:pPr>
                      </w:p>
                      <w:p w14:paraId="69C15307">
                        <w:pPr>
                          <w:spacing w:line="278" w:lineRule="auto"/>
                          <w:ind w:left="1194" w:right="1380" w:firstLine="314"/>
                          <w:rPr>
                            <w:sz w:val="21"/>
                          </w:rPr>
                        </w:pPr>
                        <w:r>
                          <w:rPr>
                            <w:spacing w:val="-1"/>
                            <w:sz w:val="21"/>
                          </w:rPr>
                          <w:t xml:space="preserve">法定代表人  </w:t>
                        </w:r>
                        <w:r>
                          <w:rPr>
                            <w:spacing w:val="-5"/>
                            <w:sz w:val="21"/>
                          </w:rPr>
                          <w:t>居民身份证复印件</w:t>
                        </w:r>
                      </w:p>
                      <w:p w14:paraId="674FEDEA">
                        <w:pPr>
                          <w:spacing w:before="4"/>
                          <w:rPr>
                            <w:sz w:val="24"/>
                          </w:rPr>
                        </w:pPr>
                      </w:p>
                      <w:p w14:paraId="15A5F741">
                        <w:pPr>
                          <w:spacing w:before="1"/>
                          <w:ind w:left="1491" w:right="1888"/>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000000" w:themeColor="text1"/>
          <w:sz w:val="24"/>
          <w:szCs w:val="24"/>
          <w:highlight w:val="none"/>
          <w14:textFill>
            <w14:solidFill>
              <w14:schemeClr w14:val="tx1"/>
            </w14:solidFill>
          </w14:textFill>
        </w:rPr>
        <w:t>附：法定代表人身份证复印件</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41D5ADE">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4B1723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CF42B4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D40608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0A7FB7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B13BB47">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p>
    <w:p w14:paraId="709D0105">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336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9" name="组合 7"/>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7" name="矩形 8"/>
                        <wps:cNvSpPr/>
                        <wps:spPr>
                          <a:xfrm>
                            <a:off x="1104" y="469"/>
                            <a:ext cx="4448" cy="2775"/>
                          </a:xfrm>
                          <a:prstGeom prst="rect">
                            <a:avLst/>
                          </a:prstGeom>
                          <a:solidFill>
                            <a:srgbClr val="FFFFFF"/>
                          </a:solidFill>
                          <a:ln>
                            <a:noFill/>
                          </a:ln>
                        </wps:spPr>
                        <wps:bodyPr wrap="square" upright="1"/>
                      </wps:wsp>
                      <wps:wsp>
                        <wps:cNvPr id="8" name="文本框 9"/>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596F417D">
                              <w:pPr>
                                <w:rPr>
                                  <w:rFonts w:ascii="微软雅黑"/>
                                  <w:b/>
                                  <w:sz w:val="20"/>
                                </w:rPr>
                              </w:pPr>
                            </w:p>
                            <w:p w14:paraId="6C2F1AE0">
                              <w:pPr>
                                <w:spacing w:before="1"/>
                                <w:rPr>
                                  <w:rFonts w:ascii="微软雅黑"/>
                                  <w:b/>
                                  <w:sz w:val="19"/>
                                </w:rPr>
                              </w:pPr>
                            </w:p>
                            <w:p w14:paraId="7144A1D9">
                              <w:pPr>
                                <w:spacing w:line="278" w:lineRule="auto"/>
                                <w:ind w:left="1166" w:right="1161"/>
                                <w:jc w:val="center"/>
                                <w:rPr>
                                  <w:sz w:val="21"/>
                                </w:rPr>
                              </w:pPr>
                              <w:r>
                                <w:rPr>
                                  <w:sz w:val="21"/>
                                </w:rPr>
                                <w:t>被授权人（授权代表） 居民身份证复印件</w:t>
                              </w:r>
                            </w:p>
                            <w:p w14:paraId="3EEE366D">
                              <w:pPr>
                                <w:spacing w:before="16"/>
                                <w:rPr>
                                  <w:rFonts w:ascii="微软雅黑"/>
                                  <w:b/>
                                  <w:sz w:val="16"/>
                                </w:rPr>
                              </w:pPr>
                            </w:p>
                            <w:p w14:paraId="608E2B7B">
                              <w:pPr>
                                <w:spacing w:before="1"/>
                                <w:ind w:left="1161" w:right="1161"/>
                                <w:jc w:val="center"/>
                                <w:rPr>
                                  <w:sz w:val="21"/>
                                </w:rPr>
                              </w:pPr>
                              <w:r>
                                <w:rPr>
                                  <w:sz w:val="21"/>
                                </w:rPr>
                                <w:t>（正面）</w:t>
                              </w:r>
                            </w:p>
                          </w:txbxContent>
                        </wps:txbx>
                        <wps:bodyPr wrap="square" lIns="0" tIns="0" rIns="0" bIns="0" upright="1"/>
                      </wps:wsp>
                    </wpg:wgp>
                  </a:graphicData>
                </a:graphic>
              </wp:anchor>
            </w:drawing>
          </mc:Choice>
          <mc:Fallback>
            <w:pict>
              <v:group id="组合 7" o:spid="_x0000_s1026" o:spt="203" style="position:absolute;left:0pt;margin-left:54.8pt;margin-top:23.1pt;height:123.8pt;width:223.15pt;mso-position-horizontal-relative:page;mso-wrap-distance-bottom:0pt;mso-wrap-distance-top:0pt;z-index:-25165312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9t6/CdoAAAAKAQAADwAAAAAAAAABACAAAAAiAAAAZHJzL2Rvd25yZXYueG1sUEsBAhQA&#10;FAAAAAgAh07iQKGcp87UAgAA/gYAAA4AAAAAAAAAAQAgAAAAKQEAAGRycy9lMm9Eb2MueG1sUEsF&#10;BgAAAAAGAAYAWQEAAG8GAAAAAA==&#10;">
                <o:lock v:ext="edit" aspectratio="f"/>
                <v:rect id="矩形 8" o:spid="_x0000_s1026" o:spt="1" style="position:absolute;left:1104;top:469;height:2775;width:4448;"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shape id="文本框 9" o:spid="_x0000_s1026" o:spt="202" type="#_x0000_t202" style="position:absolute;left:1104;top:469;height:2775;width:4448;" filled="f" stroked="t" coordsize="21600,21600" o:gfxdata="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Kzzg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96F417D">
                        <w:pPr>
                          <w:rPr>
                            <w:rFonts w:ascii="微软雅黑"/>
                            <w:b/>
                            <w:sz w:val="20"/>
                          </w:rPr>
                        </w:pPr>
                      </w:p>
                      <w:p w14:paraId="6C2F1AE0">
                        <w:pPr>
                          <w:spacing w:before="1"/>
                          <w:rPr>
                            <w:rFonts w:ascii="微软雅黑"/>
                            <w:b/>
                            <w:sz w:val="19"/>
                          </w:rPr>
                        </w:pPr>
                      </w:p>
                      <w:p w14:paraId="7144A1D9">
                        <w:pPr>
                          <w:spacing w:line="278" w:lineRule="auto"/>
                          <w:ind w:left="1166" w:right="1161"/>
                          <w:jc w:val="center"/>
                          <w:rPr>
                            <w:sz w:val="21"/>
                          </w:rPr>
                        </w:pPr>
                        <w:r>
                          <w:rPr>
                            <w:sz w:val="21"/>
                          </w:rPr>
                          <w:t>被授权人（授权代表） 居民身份证复印件</w:t>
                        </w:r>
                      </w:p>
                      <w:p w14:paraId="3EEE366D">
                        <w:pPr>
                          <w:spacing w:before="16"/>
                          <w:rPr>
                            <w:rFonts w:ascii="微软雅黑"/>
                            <w:b/>
                            <w:sz w:val="16"/>
                          </w:rPr>
                        </w:pPr>
                      </w:p>
                      <w:p w14:paraId="608E2B7B">
                        <w:pPr>
                          <w:spacing w:before="1"/>
                          <w:ind w:left="1161" w:right="1161"/>
                          <w:jc w:val="center"/>
                          <w:rPr>
                            <w:sz w:val="21"/>
                          </w:rPr>
                        </w:pPr>
                        <w:r>
                          <w:rPr>
                            <w:sz w:val="21"/>
                          </w:rPr>
                          <w:t>（正面）</w:t>
                        </w:r>
                      </w:p>
                    </w:txbxContent>
                  </v:textbox>
                </v:shape>
                <w10:wrap type="topAndBottom"/>
              </v:group>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10" name="文本框 10"/>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3F8194F3">
                            <w:pPr>
                              <w:pStyle w:val="20"/>
                              <w:rPr>
                                <w:rFonts w:ascii="微软雅黑"/>
                                <w:b/>
                                <w:sz w:val="20"/>
                              </w:rPr>
                            </w:pPr>
                          </w:p>
                          <w:p w14:paraId="4F660F23">
                            <w:pPr>
                              <w:pStyle w:val="20"/>
                              <w:spacing w:before="1"/>
                              <w:rPr>
                                <w:rFonts w:ascii="微软雅黑"/>
                                <w:b/>
                                <w:sz w:val="19"/>
                              </w:rPr>
                            </w:pPr>
                          </w:p>
                          <w:p w14:paraId="09FE3979">
                            <w:pPr>
                              <w:pStyle w:val="20"/>
                              <w:spacing w:line="278" w:lineRule="auto"/>
                              <w:ind w:left="1168" w:right="1159"/>
                              <w:jc w:val="center"/>
                            </w:pPr>
                            <w:r>
                              <w:t>被授权人（授权代表） 居民身份证复印件</w:t>
                            </w:r>
                          </w:p>
                          <w:p w14:paraId="7F2B1917">
                            <w:pPr>
                              <w:pStyle w:val="20"/>
                              <w:spacing w:before="16"/>
                              <w:rPr>
                                <w:rFonts w:ascii="微软雅黑"/>
                                <w:b/>
                                <w:sz w:val="16"/>
                              </w:rPr>
                            </w:pPr>
                          </w:p>
                          <w:p w14:paraId="5D996211">
                            <w:pPr>
                              <w:pStyle w:val="20"/>
                              <w:spacing w:before="1"/>
                              <w:ind w:left="1165" w:right="1161"/>
                              <w:jc w:val="center"/>
                            </w:pPr>
                            <w:r>
                              <w:t>（反面）</w:t>
                            </w:r>
                          </w:p>
                        </w:txbxContent>
                      </wps:txbx>
                      <wps:bodyPr wrap="square"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209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nBpw&#10;2wAAAAsBAAAPAAAAAAAAAAEAIAAAACIAAABkcnMvZG93bnJldi54bWxQSwECFAAUAAAACACHTuJA&#10;6t1n8x4CAABCBAAADgAAAAAAAAABACAAAAAqAQAAZHJzL2Uyb0RvYy54bWxQSwUGAAAAAAYABgBZ&#10;AQAAugUAAAAA&#10;">
                <v:fill on="f" focussize="0,0"/>
                <v:stroke color="#000000" joinstyle="miter"/>
                <v:imagedata o:title=""/>
                <o:lock v:ext="edit" aspectratio="f"/>
                <v:textbox inset="0mm,0mm,0mm,0mm">
                  <w:txbxContent>
                    <w:p w14:paraId="3F8194F3">
                      <w:pPr>
                        <w:pStyle w:val="20"/>
                        <w:rPr>
                          <w:rFonts w:ascii="微软雅黑"/>
                          <w:b/>
                          <w:sz w:val="20"/>
                        </w:rPr>
                      </w:pPr>
                    </w:p>
                    <w:p w14:paraId="4F660F23">
                      <w:pPr>
                        <w:pStyle w:val="20"/>
                        <w:spacing w:before="1"/>
                        <w:rPr>
                          <w:rFonts w:ascii="微软雅黑"/>
                          <w:b/>
                          <w:sz w:val="19"/>
                        </w:rPr>
                      </w:pPr>
                    </w:p>
                    <w:p w14:paraId="09FE3979">
                      <w:pPr>
                        <w:pStyle w:val="20"/>
                        <w:spacing w:line="278" w:lineRule="auto"/>
                        <w:ind w:left="1168" w:right="1159"/>
                        <w:jc w:val="center"/>
                      </w:pPr>
                      <w:r>
                        <w:t>被授权人（授权代表） 居民身份证复印件</w:t>
                      </w:r>
                    </w:p>
                    <w:p w14:paraId="7F2B1917">
                      <w:pPr>
                        <w:pStyle w:val="20"/>
                        <w:spacing w:before="16"/>
                        <w:rPr>
                          <w:rFonts w:ascii="微软雅黑"/>
                          <w:b/>
                          <w:sz w:val="16"/>
                        </w:rPr>
                      </w:pPr>
                    </w:p>
                    <w:p w14:paraId="5D996211">
                      <w:pPr>
                        <w:pStyle w:val="20"/>
                        <w:spacing w:before="1"/>
                        <w:ind w:left="1165" w:right="1161"/>
                        <w:jc w:val="center"/>
                      </w:pPr>
                      <w:r>
                        <w:t>（反面）</w:t>
                      </w:r>
                    </w:p>
                  </w:txbxContent>
                </v:textbox>
                <w10:wrap type="topAndBottom"/>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4F8F9160">
                            <w:pPr>
                              <w:pStyle w:val="20"/>
                              <w:spacing w:line="241" w:lineRule="exact"/>
                            </w:pPr>
                            <w:r>
                              <w:t xml:space="preserve"> </w:t>
                            </w:r>
                          </w:p>
                          <w:p w14:paraId="5986235D">
                            <w:pPr>
                              <w:pStyle w:val="20"/>
                              <w:spacing w:before="6"/>
                              <w:rPr>
                                <w:sz w:val="15"/>
                              </w:rPr>
                            </w:pPr>
                          </w:p>
                          <w:p w14:paraId="613A50AD">
                            <w:pPr>
                              <w:pStyle w:val="20"/>
                            </w:pPr>
                            <w:r>
                              <w:t xml:space="preserve"> </w:t>
                            </w:r>
                          </w:p>
                          <w:p w14:paraId="20140444">
                            <w:pPr>
                              <w:pStyle w:val="20"/>
                              <w:spacing w:before="7"/>
                              <w:rPr>
                                <w:sz w:val="15"/>
                              </w:rPr>
                            </w:pPr>
                          </w:p>
                          <w:p w14:paraId="6A3104A6">
                            <w:pPr>
                              <w:pStyle w:val="20"/>
                            </w:pPr>
                            <w:r>
                              <w:t xml:space="preserve"> </w:t>
                            </w:r>
                          </w:p>
                          <w:p w14:paraId="0448A1F1">
                            <w:pPr>
                              <w:pStyle w:val="20"/>
                              <w:spacing w:before="7"/>
                              <w:rPr>
                                <w:sz w:val="15"/>
                              </w:rPr>
                            </w:pPr>
                          </w:p>
                          <w:p w14:paraId="551670D4">
                            <w:pPr>
                              <w:pStyle w:val="20"/>
                            </w:pPr>
                            <w:r>
                              <w:t xml:space="preserve"> </w:t>
                            </w:r>
                          </w:p>
                          <w:p w14:paraId="50F8257F">
                            <w:pPr>
                              <w:pStyle w:val="20"/>
                              <w:spacing w:before="7"/>
                              <w:rPr>
                                <w:sz w:val="15"/>
                              </w:rPr>
                            </w:pPr>
                          </w:p>
                          <w:p w14:paraId="77954492">
                            <w:pPr>
                              <w:pStyle w:val="20"/>
                            </w:pPr>
                            <w:r>
                              <w:t xml:space="preserve"> </w:t>
                            </w:r>
                          </w:p>
                          <w:p w14:paraId="74435593">
                            <w:pPr>
                              <w:pStyle w:val="20"/>
                              <w:spacing w:before="6"/>
                              <w:rPr>
                                <w:sz w:val="15"/>
                              </w:rPr>
                            </w:pPr>
                          </w:p>
                          <w:p w14:paraId="314000A3">
                            <w:pPr>
                              <w:pStyle w:val="20"/>
                              <w:spacing w:line="240" w:lineRule="exact"/>
                            </w:pPr>
                            <w:r>
                              <w:t xml:space="preserve"> </w:t>
                            </w:r>
                          </w:p>
                        </w:txbxContent>
                      </wps:txbx>
                      <wps:bodyPr wrap="square" lIns="0" tIns="0" rIns="0" bIns="0" upright="1"/>
                    </wps:wsp>
                  </a:graphicData>
                </a:graphic>
              </wp:anchor>
            </w:drawing>
          </mc:Choice>
          <mc:Fallback>
            <w:pict>
              <v:shape id="文本框 11"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eVQx9cAAAAKAQAADwAAAAAAAAABACAAAAAiAAAAZHJzL2Rvd25yZXYu&#10;eG1sUEsBAhQAFAAAAAgAh07iQCSo1GfDAQAAgAMAAA4AAAAAAAAAAQAgAAAAJgEAAGRycy9lMm9E&#10;b2MueG1sUEsFBgAAAAAGAAYAWQEAAFsFAAAAAA==&#10;">
                <v:fill on="f" focussize="0,0"/>
                <v:stroke on="f"/>
                <v:imagedata o:title=""/>
                <o:lock v:ext="edit" aspectratio="f"/>
                <v:textbox inset="0mm,0mm,0mm,0mm">
                  <w:txbxContent>
                    <w:p w14:paraId="4F8F9160">
                      <w:pPr>
                        <w:pStyle w:val="20"/>
                        <w:spacing w:line="241" w:lineRule="exact"/>
                      </w:pPr>
                      <w:r>
                        <w:t xml:space="preserve"> </w:t>
                      </w:r>
                    </w:p>
                    <w:p w14:paraId="5986235D">
                      <w:pPr>
                        <w:pStyle w:val="20"/>
                        <w:spacing w:before="6"/>
                        <w:rPr>
                          <w:sz w:val="15"/>
                        </w:rPr>
                      </w:pPr>
                    </w:p>
                    <w:p w14:paraId="613A50AD">
                      <w:pPr>
                        <w:pStyle w:val="20"/>
                      </w:pPr>
                      <w:r>
                        <w:t xml:space="preserve"> </w:t>
                      </w:r>
                    </w:p>
                    <w:p w14:paraId="20140444">
                      <w:pPr>
                        <w:pStyle w:val="20"/>
                        <w:spacing w:before="7"/>
                        <w:rPr>
                          <w:sz w:val="15"/>
                        </w:rPr>
                      </w:pPr>
                    </w:p>
                    <w:p w14:paraId="6A3104A6">
                      <w:pPr>
                        <w:pStyle w:val="20"/>
                      </w:pPr>
                      <w:r>
                        <w:t xml:space="preserve"> </w:t>
                      </w:r>
                    </w:p>
                    <w:p w14:paraId="0448A1F1">
                      <w:pPr>
                        <w:pStyle w:val="20"/>
                        <w:spacing w:before="7"/>
                        <w:rPr>
                          <w:sz w:val="15"/>
                        </w:rPr>
                      </w:pPr>
                    </w:p>
                    <w:p w14:paraId="551670D4">
                      <w:pPr>
                        <w:pStyle w:val="20"/>
                      </w:pPr>
                      <w:r>
                        <w:t xml:space="preserve"> </w:t>
                      </w:r>
                    </w:p>
                    <w:p w14:paraId="50F8257F">
                      <w:pPr>
                        <w:pStyle w:val="20"/>
                        <w:spacing w:before="7"/>
                        <w:rPr>
                          <w:sz w:val="15"/>
                        </w:rPr>
                      </w:pPr>
                    </w:p>
                    <w:p w14:paraId="77954492">
                      <w:pPr>
                        <w:pStyle w:val="20"/>
                      </w:pPr>
                      <w:r>
                        <w:t xml:space="preserve"> </w:t>
                      </w:r>
                    </w:p>
                    <w:p w14:paraId="74435593">
                      <w:pPr>
                        <w:pStyle w:val="20"/>
                        <w:spacing w:before="6"/>
                        <w:rPr>
                          <w:sz w:val="15"/>
                        </w:rPr>
                      </w:pPr>
                    </w:p>
                    <w:p w14:paraId="314000A3">
                      <w:pPr>
                        <w:pStyle w:val="20"/>
                        <w:spacing w:line="240" w:lineRule="exact"/>
                      </w:pPr>
                      <w:r>
                        <w:t xml:space="preserve"> </w:t>
                      </w:r>
                    </w:p>
                  </w:txbxContent>
                </v:textbox>
              </v:shape>
            </w:pict>
          </mc:Fallback>
        </mc:AlternateContent>
      </w:r>
      <w:r>
        <w:rPr>
          <w:rFonts w:hint="eastAsia" w:ascii="宋体" w:hAnsi="宋体" w:eastAsia="宋体" w:cs="宋体"/>
          <w:color w:val="000000" w:themeColor="text1"/>
          <w:sz w:val="24"/>
          <w:szCs w:val="24"/>
          <w:highlight w:val="none"/>
          <w14:textFill>
            <w14:solidFill>
              <w14:schemeClr w14:val="tx1"/>
            </w14:solidFill>
          </w14:textFill>
        </w:rPr>
        <w:t xml:space="preserve">附：被授权代表人身份证复印件 </w:t>
      </w:r>
    </w:p>
    <w:p w14:paraId="5FD2C638">
      <w:pPr>
        <w:spacing w:line="440" w:lineRule="exact"/>
        <w:ind w:firstLine="480" w:firstLineChars="200"/>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法定代表人（签名或盖章）：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职务：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p>
    <w:p w14:paraId="40D2ADC1">
      <w:pPr>
        <w:spacing w:line="44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被授权人（签名）：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819782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供应商名称（单位盖公章）：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1A4EA58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headerReference r:id="rId11" w:type="default"/>
          <w:pgSz w:w="11910" w:h="16840"/>
          <w:pgMar w:top="1984" w:right="1531" w:bottom="2098" w:left="1531" w:header="670" w:footer="1041" w:gutter="0"/>
          <w:cols w:space="720" w:num="1"/>
          <w:docGrid w:linePitch="1" w:charSpace="0"/>
        </w:sect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 xml:space="preserve">  </w:t>
      </w:r>
    </w:p>
    <w:p w14:paraId="3A49BD3C">
      <w:pPr>
        <w:widowControl w:val="0"/>
        <w:spacing w:before="145" w:beforeLines="50" w:after="145" w:afterLines="50" w:line="300" w:lineRule="auto"/>
        <w:jc w:val="both"/>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p>
    <w:p w14:paraId="39E4891D">
      <w:pPr>
        <w:pStyle w:val="7"/>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表4</w:t>
      </w:r>
    </w:p>
    <w:p w14:paraId="6C40ABDE">
      <w:pPr>
        <w:keepNext/>
        <w:keepLines/>
        <w:widowControl w:val="0"/>
        <w:spacing w:before="260" w:after="260" w:line="416" w:lineRule="auto"/>
        <w:jc w:val="center"/>
        <w:outlineLvl w:val="1"/>
        <w:rPr>
          <w:rFonts w:hint="eastAsia" w:ascii="宋体" w:hAnsi="宋体" w:eastAsia="宋体" w:cs="宋体"/>
          <w:b/>
          <w:bCs w:val="0"/>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32"/>
          <w:szCs w:val="32"/>
          <w:highlight w:val="none"/>
          <w:lang w:val="en-US" w:eastAsia="zh-CN" w:bidi="ar-SA"/>
          <w14:textFill>
            <w14:solidFill>
              <w14:schemeClr w14:val="tx1"/>
            </w14:solidFill>
          </w14:textFill>
        </w:rPr>
        <w:t>磋商响应函</w:t>
      </w:r>
    </w:p>
    <w:p w14:paraId="0A44D7D3">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致：</w:t>
      </w:r>
      <w:r>
        <w:rPr>
          <w:rFonts w:hint="eastAsia" w:ascii="宋体" w:hAnsi="宋体" w:eastAsia="宋体" w:cs="宋体"/>
          <w:color w:val="000000" w:themeColor="text1"/>
          <w:highlight w:val="none"/>
          <w:lang w:eastAsia="zh-CN"/>
          <w14:textFill>
            <w14:solidFill>
              <w14:schemeClr w14:val="tx1"/>
            </w14:solidFill>
          </w14:textFill>
        </w:rPr>
        <w:t>新疆维吾尔自治区公共资源交易中心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根据贵方的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号磋商文件，正式授权下述签字人_________（授权代表人姓名）代表我方______________（供应商的名称），全权处理本次项目磋商采购的有关事宜。</w:t>
      </w:r>
    </w:p>
    <w:p w14:paraId="03FE2590">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据此函，__________（授权代表人姓名）兹宣布同意如下：</w:t>
      </w:r>
    </w:p>
    <w:p w14:paraId="51C296BB">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1.按磋商文件规定的各项要求，向买方提供所需服务。</w:t>
      </w:r>
    </w:p>
    <w:p w14:paraId="233342E2">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2.我们完全理解贵方不一定将合同授予最低报价的磋商供应商。</w:t>
      </w:r>
    </w:p>
    <w:p w14:paraId="4F794CAE">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3.我们已详细审核全部磋商文件及其有效补充文件，我们知道必须放弃提出含糊不清或误解问题的权利。</w:t>
      </w:r>
    </w:p>
    <w:p w14:paraId="1230EDF3">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4.我们同意从规定的响应文件接收截止时间起遵循本响应文件，并在规定的磋商有效期期满之前均具有约束力。</w:t>
      </w:r>
    </w:p>
    <w:p w14:paraId="29ED1A6D">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5.如果在响应文件接收截止时间后规定的磋商有效期内撤回响应文件或成交后拒绝签订合同，我们的磋商保证金可被贵方没收。</w:t>
      </w:r>
    </w:p>
    <w:p w14:paraId="17813D5E">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6.同意向贵方提供贵方可能另外要求的与磋商采购有关的任何证据或资料，并保证我方已提供和将要提供的文件是真实的、准确的。</w:t>
      </w:r>
    </w:p>
    <w:p w14:paraId="0F9ED7A7">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7.一旦我方成交，我方将根据磋商文件的规定，严格履行合同的责任和义务，并保证在磋商文件规定的时间完成项目，交付买方验收、使用。</w:t>
      </w:r>
    </w:p>
    <w:p w14:paraId="317247A0">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8.满足磋商文件“项目需求”的相关要求。</w:t>
      </w:r>
    </w:p>
    <w:p w14:paraId="152F009F">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9.与本磋商采购有关的正式通讯地址为：</w:t>
      </w:r>
    </w:p>
    <w:p w14:paraId="53A6B512">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                         邮 编：</w:t>
      </w:r>
    </w:p>
    <w:p w14:paraId="31BDD866">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 话：                         传 真：</w:t>
      </w:r>
    </w:p>
    <w:p w14:paraId="46D95B6A">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供应商开户行：                  账 户： </w:t>
      </w:r>
    </w:p>
    <w:p w14:paraId="434AC0E4">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授权代表人（签字）：            联系电话：</w:t>
      </w:r>
    </w:p>
    <w:p w14:paraId="66D44B31">
      <w:pPr>
        <w:widowControl w:val="0"/>
        <w:tabs>
          <w:tab w:val="left" w:pos="360"/>
        </w:tabs>
        <w:spacing w:line="480" w:lineRule="exact"/>
        <w:ind w:firstLine="482"/>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磋商供应商名称（公章）：            </w:t>
      </w:r>
    </w:p>
    <w:p w14:paraId="6A1D04B5">
      <w:pPr>
        <w:spacing w:line="480" w:lineRule="exact"/>
        <w:jc w:val="center"/>
        <w:rPr>
          <w:rFonts w:hint="eastAsia" w:ascii="宋体" w:hAnsi="宋体" w:eastAsia="宋体" w:cs="宋体"/>
          <w:color w:val="000000" w:themeColor="text1"/>
          <w:highlight w:val="none"/>
          <w14:textFill>
            <w14:solidFill>
              <w14:schemeClr w14:val="tx1"/>
            </w14:solidFill>
          </w14:textFill>
        </w:rPr>
        <w:sectPr>
          <w:footerReference r:id="rId13" w:type="first"/>
          <w:footerReference r:id="rId12" w:type="default"/>
          <w:pgSz w:w="11906" w:h="16838"/>
          <w:pgMar w:top="1015" w:right="1196" w:bottom="868" w:left="1259" w:header="851" w:footer="907" w:gutter="0"/>
          <w:cols w:space="720" w:num="1"/>
          <w:titlePg/>
          <w:docGrid w:type="lines" w:linePitch="286" w:charSpace="0"/>
        </w:sectPr>
      </w:pPr>
      <w:r>
        <w:rPr>
          <w:rFonts w:hint="eastAsia" w:ascii="宋体" w:hAnsi="宋体" w:eastAsia="宋体" w:cs="宋体"/>
          <w:color w:val="000000" w:themeColor="text1"/>
          <w:highlight w:val="none"/>
          <w14:textFill>
            <w14:solidFill>
              <w14:schemeClr w14:val="tx1"/>
            </w14:solidFill>
          </w14:textFill>
        </w:rPr>
        <w:t>日 期：________年____月____日</w:t>
      </w:r>
    </w:p>
    <w:p w14:paraId="59C4610D">
      <w:pPr>
        <w:widowControl w:val="0"/>
        <w:adjustRightInd w:val="0"/>
        <w:spacing w:before="145" w:beforeLines="50" w:after="145" w:afterLines="50" w:line="300" w:lineRule="auto"/>
        <w:ind w:left="480" w:leftChars="200" w:firstLine="480" w:firstLineChars="200"/>
        <w:jc w:val="left"/>
        <w:textAlignment w:val="baseline"/>
        <w:rPr>
          <w:rFonts w:hint="eastAsia" w:ascii="宋体" w:hAnsi="宋体" w:eastAsia="宋体" w:cs="宋体"/>
          <w:color w:val="000000" w:themeColor="text1"/>
          <w:kern w:val="2"/>
          <w:sz w:val="24"/>
          <w:szCs w:val="21"/>
          <w:highlight w:val="none"/>
          <w:lang w:val="en-US" w:eastAsia="zh-CN" w:bidi="ar-SA"/>
          <w14:textFill>
            <w14:solidFill>
              <w14:schemeClr w14:val="tx1"/>
            </w14:solidFill>
          </w14:textFill>
        </w:rPr>
      </w:pPr>
    </w:p>
    <w:p w14:paraId="623A94A6">
      <w:pPr>
        <w:pStyle w:val="7"/>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表5</w:t>
      </w:r>
    </w:p>
    <w:p w14:paraId="79FB6E9B">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w:t>
      </w:r>
      <w:r>
        <w:rPr>
          <w:rFonts w:hint="eastAsia" w:ascii="宋体" w:hAnsi="宋体" w:eastAsia="宋体" w:cs="宋体"/>
          <w:color w:val="000000" w:themeColor="text1"/>
          <w:sz w:val="36"/>
          <w:highlight w:val="none"/>
          <w14:textFill>
            <w14:solidFill>
              <w14:schemeClr w14:val="tx1"/>
            </w14:solidFill>
          </w14:textFill>
        </w:rPr>
        <w:t>中小企业声明函（货物）</w:t>
      </w:r>
    </w:p>
    <w:p w14:paraId="59749F42">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highlight w:val="none"/>
          <w14:textFill>
            <w14:solidFill>
              <w14:schemeClr w14:val="tx1"/>
            </w14:solidFill>
          </w14:textFill>
        </w:rPr>
      </w:pPr>
    </w:p>
    <w:p w14:paraId="6B0C3F02">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Cs/>
          <w:i/>
          <w:iCs/>
          <w:color w:val="000000" w:themeColor="text1"/>
          <w:sz w:val="24"/>
          <w:highlight w:val="none"/>
          <w:u w:val="single"/>
          <w14:textFill>
            <w14:solidFill>
              <w14:schemeClr w14:val="tx1"/>
            </w14:solidFill>
          </w14:textFill>
        </w:rPr>
        <w:t>单位名称</w:t>
      </w:r>
      <w:r>
        <w:rPr>
          <w:rFonts w:hint="eastAsia" w:ascii="宋体" w:hAnsi="宋体" w:eastAsia="宋体" w:cs="宋体"/>
          <w:bCs/>
          <w:color w:val="000000" w:themeColor="text1"/>
          <w:sz w:val="24"/>
          <w:highlight w:val="none"/>
          <w14:textFill>
            <w14:solidFill>
              <w14:schemeClr w14:val="tx1"/>
            </w14:solidFill>
          </w14:textFill>
        </w:rPr>
        <w:t>）的（</w:t>
      </w:r>
      <w:r>
        <w:rPr>
          <w:rFonts w:hint="eastAsia" w:ascii="宋体" w:hAnsi="宋体" w:eastAsia="宋体" w:cs="宋体"/>
          <w:bCs/>
          <w:i/>
          <w:iCs/>
          <w:color w:val="000000" w:themeColor="text1"/>
          <w:sz w:val="24"/>
          <w:highlight w:val="none"/>
          <w:u w:val="single"/>
          <w14:textFill>
            <w14:solidFill>
              <w14:schemeClr w14:val="tx1"/>
            </w14:solidFill>
          </w14:textFill>
        </w:rPr>
        <w:t>项目名称</w:t>
      </w:r>
      <w:r>
        <w:rPr>
          <w:rFonts w:hint="eastAsia" w:ascii="宋体" w:hAnsi="宋体" w:eastAsia="宋体" w:cs="宋体"/>
          <w:bCs/>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857EE32">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）行业；制造商为（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08CB66DB">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）行业；制造商为（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168A3E02">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p>
    <w:p w14:paraId="347A8A97">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2B91CDE5">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本企业对上述声明内容的真实性负责。如有虚假，将依法承担相应责任。</w:t>
      </w:r>
    </w:p>
    <w:p w14:paraId="2D71F4A7">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p>
    <w:p w14:paraId="09F2393C">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p>
    <w:p w14:paraId="284F90F5">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080" w:firstLineChars="17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企业名称（盖章）：</w:t>
      </w:r>
    </w:p>
    <w:p w14:paraId="5A7A497F">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080" w:firstLineChars="17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日期：</w:t>
      </w:r>
    </w:p>
    <w:p w14:paraId="4C11216D">
      <w:pPr>
        <w:keepNext w:val="0"/>
        <w:keepLines w:val="0"/>
        <w:pageBreakBefore w:val="0"/>
        <w:widowControl w:val="0"/>
        <w:kinsoku/>
        <w:wordWrap/>
        <w:overflowPunct/>
        <w:topLinePunct w:val="0"/>
        <w:autoSpaceDE/>
        <w:autoSpaceDN/>
        <w:bidi w:val="0"/>
        <w:adjustRightInd/>
        <w:snapToGrid/>
        <w:spacing w:line="400" w:lineRule="exact"/>
        <w:ind w:left="21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048D995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highlight w:val="none"/>
          <w14:textFill>
            <w14:solidFill>
              <w14:schemeClr w14:val="tx1"/>
            </w14:solidFill>
          </w14:textFill>
        </w:rPr>
      </w:pPr>
    </w:p>
    <w:p w14:paraId="5315FF7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lang w:val="en-US" w:eastAsia="zh-CN"/>
          <w14:textFill>
            <w14:solidFill>
              <w14:schemeClr w14:val="tx1"/>
            </w14:solidFill>
          </w14:textFill>
        </w:rPr>
        <w:t>备注：1、</w:t>
      </w:r>
      <w:r>
        <w:rPr>
          <w:rFonts w:hint="eastAsia" w:ascii="宋体" w:hAnsi="宋体" w:eastAsia="宋体" w:cs="宋体"/>
          <w:b/>
          <w:bCs/>
          <w:color w:val="000000" w:themeColor="text1"/>
          <w:sz w:val="18"/>
          <w:highlight w:val="none"/>
          <w14:textFill>
            <w14:solidFill>
              <w14:schemeClr w14:val="tx1"/>
            </w14:solidFill>
          </w14:textFill>
        </w:rPr>
        <w:t>从业人员、营业收入、资产总额填报上一年度数据，无上一年度数据的新成立企业可不填报。</w:t>
      </w:r>
    </w:p>
    <w:p w14:paraId="430FA1CC">
      <w:pPr>
        <w:keepNext w:val="0"/>
        <w:keepLines w:val="0"/>
        <w:pageBreakBefore w:val="0"/>
        <w:widowControl/>
        <w:numPr>
          <w:ilvl w:val="0"/>
          <w:numId w:val="15"/>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000000" w:themeColor="text1"/>
          <w:sz w:val="18"/>
          <w:szCs w:val="22"/>
          <w:highlight w:val="none"/>
          <w:lang w:val="en-US" w:eastAsia="zh-CN"/>
          <w14:textFill>
            <w14:solidFill>
              <w14:schemeClr w14:val="tx1"/>
            </w14:solidFill>
          </w14:textFill>
        </w:rPr>
      </w:pPr>
      <w:r>
        <w:rPr>
          <w:rFonts w:hint="eastAsia" w:ascii="宋体" w:hAnsi="宋体" w:eastAsia="宋体" w:cs="宋体"/>
          <w:b/>
          <w:bCs/>
          <w:color w:val="000000" w:themeColor="text1"/>
          <w:sz w:val="18"/>
          <w:szCs w:val="22"/>
          <w:highlight w:val="none"/>
          <w:lang w:val="en-US" w:eastAsia="zh-CN"/>
          <w14:textFill>
            <w14:solidFill>
              <w14:schemeClr w14:val="tx1"/>
            </w14:solidFill>
          </w14:textFill>
        </w:rPr>
        <w:t>供应商为中小企业时需提供本声明函，并完整填写从业人员、营业收入、资产总额等内容，否则评审时不能享受相应的价格扣除。</w:t>
      </w:r>
    </w:p>
    <w:p w14:paraId="2F7073F4">
      <w:pPr>
        <w:widowControl w:val="0"/>
        <w:numPr>
          <w:ilvl w:val="0"/>
          <w:numId w:val="0"/>
        </w:numPr>
        <w:ind w:left="21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7C60D393">
      <w:pPr>
        <w:spacing w:line="240" w:lineRule="auto"/>
        <w:rPr>
          <w:rFonts w:hint="eastAsia" w:ascii="宋体" w:hAnsi="宋体" w:eastAsia="宋体" w:cs="宋体"/>
          <w:color w:val="000000" w:themeColor="text1"/>
          <w:sz w:val="21"/>
          <w:highlight w:val="none"/>
          <w:lang w:val="en-US" w:eastAsia="zh-CN"/>
          <w14:textFill>
            <w14:solidFill>
              <w14:schemeClr w14:val="tx1"/>
            </w14:solidFill>
          </w14:textFill>
        </w:rPr>
      </w:pPr>
    </w:p>
    <w:p w14:paraId="229E574E">
      <w:pPr>
        <w:pStyle w:val="7"/>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表6</w:t>
      </w:r>
    </w:p>
    <w:p w14:paraId="28AAD61A">
      <w:pPr>
        <w:spacing w:line="240" w:lineRule="auto"/>
        <w:rPr>
          <w:rFonts w:hint="eastAsia" w:ascii="宋体" w:hAnsi="宋体" w:eastAsia="宋体" w:cs="宋体"/>
          <w:color w:val="000000" w:themeColor="text1"/>
          <w:sz w:val="21"/>
          <w:highlight w:val="none"/>
          <w:lang w:val="en-US" w:eastAsia="zh-CN"/>
          <w14:textFill>
            <w14:solidFill>
              <w14:schemeClr w14:val="tx1"/>
            </w14:solidFill>
          </w14:textFill>
        </w:rPr>
      </w:pPr>
    </w:p>
    <w:p w14:paraId="1E673C2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18"/>
          <w:highlight w:val="none"/>
          <w14:textFill>
            <w14:solidFill>
              <w14:schemeClr w14:val="tx1"/>
            </w14:solidFill>
          </w14:textFill>
        </w:rPr>
      </w:pPr>
    </w:p>
    <w:p w14:paraId="170C4CC8">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szCs w:val="22"/>
          <w:highlight w:val="none"/>
          <w14:textFill>
            <w14:solidFill>
              <w14:schemeClr w14:val="tx1"/>
            </w14:solidFill>
          </w14:textFill>
        </w:rPr>
      </w:pPr>
      <w:r>
        <w:rPr>
          <w:rFonts w:hint="eastAsia" w:ascii="宋体" w:hAnsi="宋体" w:eastAsia="宋体" w:cs="宋体"/>
          <w:b/>
          <w:bCs/>
          <w:color w:val="000000" w:themeColor="text1"/>
          <w:sz w:val="36"/>
          <w:szCs w:val="22"/>
          <w:highlight w:val="none"/>
          <w14:textFill>
            <w14:solidFill>
              <w14:schemeClr w14:val="tx1"/>
            </w14:solidFill>
          </w14:textFill>
        </w:rPr>
        <w:t>中小企业声明函（工程、服务）</w:t>
      </w:r>
    </w:p>
    <w:p w14:paraId="19B69E08">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000000" w:themeColor="text1"/>
          <w:sz w:val="36"/>
          <w:szCs w:val="22"/>
          <w:highlight w:val="none"/>
          <w14:textFill>
            <w14:solidFill>
              <w14:schemeClr w14:val="tx1"/>
            </w14:solidFill>
          </w14:textFill>
        </w:rPr>
      </w:pPr>
    </w:p>
    <w:p w14:paraId="16528D80">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bCs/>
          <w:i/>
          <w:iCs/>
          <w:color w:val="000000" w:themeColor="text1"/>
          <w:sz w:val="24"/>
          <w:highlight w:val="none"/>
          <w:u w:val="single"/>
          <w14:textFill>
            <w14:solidFill>
              <w14:schemeClr w14:val="tx1"/>
            </w14:solidFill>
          </w14:textFill>
        </w:rPr>
        <w:t>单位名称</w:t>
      </w:r>
      <w:r>
        <w:rPr>
          <w:rFonts w:hint="eastAsia" w:ascii="宋体" w:hAnsi="宋体" w:eastAsia="宋体" w:cs="宋体"/>
          <w:bCs/>
          <w:color w:val="000000" w:themeColor="text1"/>
          <w:sz w:val="24"/>
          <w:highlight w:val="none"/>
          <w14:textFill>
            <w14:solidFill>
              <w14:schemeClr w14:val="tx1"/>
            </w14:solidFill>
          </w14:textFill>
        </w:rPr>
        <w:t>）的（</w:t>
      </w:r>
      <w:r>
        <w:rPr>
          <w:rFonts w:hint="eastAsia" w:ascii="宋体" w:hAnsi="宋体" w:eastAsia="宋体" w:cs="宋体"/>
          <w:bCs/>
          <w:i/>
          <w:iCs/>
          <w:color w:val="000000" w:themeColor="text1"/>
          <w:sz w:val="24"/>
          <w:highlight w:val="none"/>
          <w:u w:val="single"/>
          <w14:textFill>
            <w14:solidFill>
              <w14:schemeClr w14:val="tx1"/>
            </w14:solidFill>
          </w14:textFill>
        </w:rPr>
        <w:t>项目名称</w:t>
      </w:r>
      <w:r>
        <w:rPr>
          <w:rFonts w:hint="eastAsia" w:ascii="宋体" w:hAnsi="宋体" w:eastAsia="宋体" w:cs="宋体"/>
          <w:bCs/>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CB2D682">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 （</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）；承建（承接）企业为（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285A3B38">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 （</w:t>
      </w:r>
      <w:r>
        <w:rPr>
          <w:rFonts w:hint="eastAsia" w:ascii="宋体" w:hAnsi="宋体" w:eastAsia="宋体" w:cs="宋体"/>
          <w:bCs/>
          <w:i/>
          <w:iCs/>
          <w:color w:val="000000" w:themeColor="text1"/>
          <w:sz w:val="24"/>
          <w:highlight w:val="none"/>
          <w:u w:val="single"/>
          <w14:textFill>
            <w14:solidFill>
              <w14:schemeClr w14:val="tx1"/>
            </w14:solidFill>
          </w14:textFill>
        </w:rPr>
        <w:t>标的名称</w:t>
      </w:r>
      <w:r>
        <w:rPr>
          <w:rFonts w:hint="eastAsia" w:ascii="宋体" w:hAnsi="宋体" w:eastAsia="宋体" w:cs="宋体"/>
          <w:bCs/>
          <w:color w:val="000000" w:themeColor="text1"/>
          <w:sz w:val="24"/>
          <w:highlight w:val="none"/>
          <w14:textFill>
            <w14:solidFill>
              <w14:schemeClr w14:val="tx1"/>
            </w14:solidFill>
          </w14:textFill>
        </w:rPr>
        <w:t>） ，属于（</w:t>
      </w:r>
      <w:r>
        <w:rPr>
          <w:rFonts w:hint="eastAsia" w:ascii="宋体" w:hAnsi="宋体" w:eastAsia="宋体" w:cs="宋体"/>
          <w:bCs/>
          <w:i/>
          <w:iCs/>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bCs/>
          <w:color w:val="000000" w:themeColor="text1"/>
          <w:sz w:val="24"/>
          <w:highlight w:val="none"/>
          <w14:textFill>
            <w14:solidFill>
              <w14:schemeClr w14:val="tx1"/>
            </w14:solidFill>
          </w14:textFill>
        </w:rPr>
        <w:t>）；承建（承接）企业为（</w:t>
      </w:r>
      <w:r>
        <w:rPr>
          <w:rFonts w:hint="eastAsia" w:ascii="宋体" w:hAnsi="宋体" w:eastAsia="宋体" w:cs="宋体"/>
          <w:bCs/>
          <w:i/>
          <w:iCs/>
          <w:color w:val="000000" w:themeColor="text1"/>
          <w:sz w:val="24"/>
          <w:highlight w:val="none"/>
          <w:u w:val="single"/>
          <w14:textFill>
            <w14:solidFill>
              <w14:schemeClr w14:val="tx1"/>
            </w14:solidFill>
          </w14:textFill>
        </w:rPr>
        <w:t>企业名称</w:t>
      </w:r>
      <w:r>
        <w:rPr>
          <w:rFonts w:hint="eastAsia" w:ascii="宋体" w:hAnsi="宋体" w:eastAsia="宋体" w:cs="宋体"/>
          <w:bCs/>
          <w:color w:val="000000" w:themeColor="text1"/>
          <w:sz w:val="24"/>
          <w:highlight w:val="none"/>
          <w14:textFill>
            <w14:solidFill>
              <w14:schemeClr w14:val="tx1"/>
            </w14:solidFill>
          </w14:textFill>
        </w:rPr>
        <w:t>），从业人员</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人，营业收入为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万元，资产总额为</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万元，属于（</w:t>
      </w:r>
      <w:r>
        <w:rPr>
          <w:rFonts w:hint="eastAsia" w:ascii="宋体" w:hAnsi="宋体" w:eastAsia="宋体" w:cs="宋体"/>
          <w:bCs/>
          <w:i/>
          <w:iCs/>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bCs/>
          <w:color w:val="000000" w:themeColor="text1"/>
          <w:sz w:val="24"/>
          <w:highlight w:val="none"/>
          <w14:textFill>
            <w14:solidFill>
              <w14:schemeClr w14:val="tx1"/>
            </w14:solidFill>
          </w14:textFill>
        </w:rPr>
        <w:t>）；</w:t>
      </w:r>
    </w:p>
    <w:p w14:paraId="09AAD48F">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p>
    <w:p w14:paraId="62D82846">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C1B2046">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本企业对上述声明内容的真实性负责。如有虚假，将依法承担相应责任。</w:t>
      </w:r>
    </w:p>
    <w:p w14:paraId="3F737B5B">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p>
    <w:p w14:paraId="7384CDBD">
      <w:pPr>
        <w:keepNext w:val="0"/>
        <w:keepLines w:val="0"/>
        <w:pageBreakBefore w:val="0"/>
        <w:kinsoku/>
        <w:wordWrap/>
        <w:overflowPunct/>
        <w:topLinePunct w:val="0"/>
        <w:autoSpaceDE/>
        <w:autoSpaceDN/>
        <w:bidi w:val="0"/>
        <w:adjustRightInd/>
        <w:snapToGrid/>
        <w:spacing w:before="145" w:beforeLines="50" w:after="145" w:afterLines="50" w:line="400" w:lineRule="exact"/>
        <w:textAlignment w:val="auto"/>
        <w:rPr>
          <w:rFonts w:hint="eastAsia" w:ascii="宋体" w:hAnsi="宋体" w:eastAsia="宋体" w:cs="宋体"/>
          <w:bCs/>
          <w:color w:val="000000" w:themeColor="text1"/>
          <w:sz w:val="24"/>
          <w:highlight w:val="none"/>
          <w14:textFill>
            <w14:solidFill>
              <w14:schemeClr w14:val="tx1"/>
            </w14:solidFill>
          </w14:textFill>
        </w:rPr>
      </w:pPr>
    </w:p>
    <w:p w14:paraId="3243F46B">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320" w:firstLineChars="18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企业名称（盖章）：</w:t>
      </w:r>
    </w:p>
    <w:p w14:paraId="48DFDE72">
      <w:pPr>
        <w:keepNext w:val="0"/>
        <w:keepLines w:val="0"/>
        <w:pageBreakBefore w:val="0"/>
        <w:kinsoku/>
        <w:wordWrap/>
        <w:overflowPunct/>
        <w:topLinePunct w:val="0"/>
        <w:autoSpaceDE/>
        <w:autoSpaceDN/>
        <w:bidi w:val="0"/>
        <w:adjustRightInd/>
        <w:snapToGrid/>
        <w:spacing w:before="145" w:beforeLines="50" w:after="145" w:afterLines="50" w:line="400" w:lineRule="exact"/>
        <w:ind w:firstLine="4320" w:firstLineChars="18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日期：</w:t>
      </w:r>
    </w:p>
    <w:p w14:paraId="165F0AA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7D2D87D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highlight w:val="none"/>
          <w:lang w:val="en-US" w:eastAsia="zh-CN"/>
          <w14:textFill>
            <w14:solidFill>
              <w14:schemeClr w14:val="tx1"/>
            </w14:solidFill>
          </w14:textFill>
        </w:rPr>
      </w:pPr>
    </w:p>
    <w:p w14:paraId="3AE5CD5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lang w:val="en-US" w:eastAsia="zh-CN"/>
          <w14:textFill>
            <w14:solidFill>
              <w14:schemeClr w14:val="tx1"/>
            </w14:solidFill>
          </w14:textFill>
        </w:rPr>
        <w:t>备注：1、</w:t>
      </w:r>
      <w:r>
        <w:rPr>
          <w:rFonts w:hint="eastAsia" w:ascii="宋体" w:hAnsi="宋体" w:eastAsia="宋体" w:cs="宋体"/>
          <w:b/>
          <w:bCs/>
          <w:color w:val="000000" w:themeColor="text1"/>
          <w:sz w:val="18"/>
          <w:highlight w:val="none"/>
          <w14:textFill>
            <w14:solidFill>
              <w14:schemeClr w14:val="tx1"/>
            </w14:solidFill>
          </w14:textFill>
        </w:rPr>
        <w:t>从业人员、营业收入、资产总额填报上一年度数据，无上一年度数据的新成立企业可不填报。</w:t>
      </w:r>
    </w:p>
    <w:p w14:paraId="772C3F0C">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cs="宋体"/>
          <w:b/>
          <w:bCs/>
          <w:color w:val="000000" w:themeColor="text1"/>
          <w:sz w:val="18"/>
          <w:szCs w:val="22"/>
          <w:highlight w:val="none"/>
          <w:lang w:val="en-US" w:eastAsia="zh-CN"/>
          <w14:textFill>
            <w14:solidFill>
              <w14:schemeClr w14:val="tx1"/>
            </w14:solidFill>
          </w14:textFill>
        </w:rPr>
      </w:pPr>
      <w:r>
        <w:rPr>
          <w:rFonts w:hint="eastAsia" w:ascii="宋体" w:hAnsi="宋体" w:eastAsia="宋体" w:cs="宋体"/>
          <w:b/>
          <w:bCs/>
          <w:color w:val="000000" w:themeColor="text1"/>
          <w:sz w:val="18"/>
          <w:szCs w:val="22"/>
          <w:highlight w:val="none"/>
          <w:lang w:val="en-US" w:eastAsia="zh-CN"/>
          <w14:textFill>
            <w14:solidFill>
              <w14:schemeClr w14:val="tx1"/>
            </w14:solidFill>
          </w14:textFill>
        </w:rPr>
        <w:t>2.供应商为中小企业时需提供本声明函，并完整填写从业人员、营业收入、资产总额等内容，否则评审时不能享受相应的价格扣除。</w:t>
      </w:r>
    </w:p>
    <w:p w14:paraId="07C1B00F">
      <w:pPr>
        <w:widowControl w:val="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7A904A10">
      <w:pPr>
        <w:pStyle w:val="7"/>
        <w:spacing w:line="240" w:lineRule="auto"/>
        <w:ind w:firstLine="0"/>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表7</w:t>
      </w:r>
    </w:p>
    <w:p w14:paraId="51F7CE21">
      <w:pPr>
        <w:spacing w:before="145" w:beforeLines="50" w:after="145" w:afterLines="50" w:line="30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残疾人福利性单位声明函</w:t>
      </w:r>
    </w:p>
    <w:p w14:paraId="4F96FC4A">
      <w:pPr>
        <w:spacing w:before="145" w:beforeLines="50" w:after="145" w:afterLines="50" w:line="300" w:lineRule="auto"/>
        <w:ind w:firstLine="624" w:firstLineChars="200"/>
        <w:rPr>
          <w:rFonts w:hint="eastAsia" w:ascii="宋体" w:hAnsi="宋体" w:eastAsia="宋体" w:cs="宋体"/>
          <w:color w:val="000000" w:themeColor="text1"/>
          <w:spacing w:val="6"/>
          <w:sz w:val="30"/>
          <w:szCs w:val="30"/>
          <w:highlight w:val="none"/>
          <w14:textFill>
            <w14:solidFill>
              <w14:schemeClr w14:val="tx1"/>
            </w14:solidFill>
          </w14:textFill>
        </w:rPr>
      </w:pPr>
    </w:p>
    <w:p w14:paraId="4FBEDA3E">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lang w:eastAsia="zh-CN"/>
          <w14:textFill>
            <w14:solidFill>
              <w14:schemeClr w14:val="tx1"/>
            </w14:solidFill>
          </w14:textFill>
        </w:rPr>
        <w:t>〔2017〕141号</w:t>
      </w:r>
      <w:r>
        <w:rPr>
          <w:rFonts w:hint="eastAsia" w:ascii="宋体" w:hAnsi="宋体" w:eastAsia="宋体" w:cs="宋体"/>
          <w:color w:val="000000" w:themeColor="text1"/>
          <w:sz w:val="24"/>
          <w:highlight w:val="none"/>
          <w14:textFill>
            <w14:solidFill>
              <w14:schemeClr w14:val="tx1"/>
            </w14:solidFill>
          </w14:textFill>
        </w:rPr>
        <w:t>）的规定，本单位为符合条件的残疾人福利性单位，且本单位参加______单位的采购文件编号为______的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项目采购活动提供本单位制造的服务或产品（由本单位承担工程/提供服务），或者提供其他残疾人福利性单位制造的服务或产品（不包括使用非残疾人福利性单位注册商标的服务或产品）。</w:t>
      </w:r>
    </w:p>
    <w:p w14:paraId="2339A937">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本单位在本次政府采购活动中提供的残疾人福利单位产品报价合计为人民币（大写）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圆整（￥：     ）。</w:t>
      </w:r>
    </w:p>
    <w:p w14:paraId="58BAF874">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4082659B">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2A5506D5">
      <w:pPr>
        <w:spacing w:before="145" w:beforeLines="50" w:after="145" w:afterLines="50" w:line="30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（备注：1、供应商如不提供此声明函，价格将不做相应扣除。2、中标供应商为残疾人福利单位的，此声明函将随中标结果同时公告，接受社会监督）</w:t>
      </w:r>
    </w:p>
    <w:p w14:paraId="47554A4D">
      <w:pPr>
        <w:spacing w:before="145" w:beforeLines="50" w:after="145" w:afterLines="50" w:line="300" w:lineRule="auto"/>
        <w:ind w:firstLine="624" w:firstLineChars="200"/>
        <w:rPr>
          <w:rFonts w:hint="eastAsia" w:ascii="宋体" w:hAnsi="宋体" w:eastAsia="宋体" w:cs="宋体"/>
          <w:color w:val="000000" w:themeColor="text1"/>
          <w:spacing w:val="6"/>
          <w:sz w:val="30"/>
          <w:szCs w:val="30"/>
          <w:highlight w:val="none"/>
          <w14:textFill>
            <w14:solidFill>
              <w14:schemeClr w14:val="tx1"/>
            </w14:solidFill>
          </w14:textFill>
        </w:rPr>
      </w:pPr>
    </w:p>
    <w:p w14:paraId="79312345">
      <w:pPr>
        <w:tabs>
          <w:tab w:val="left" w:pos="4860"/>
        </w:tabs>
        <w:spacing w:before="145" w:beforeLines="50" w:after="145" w:afterLines="50" w:line="300" w:lineRule="auto"/>
        <w:ind w:right="1560" w:firstLine="624" w:firstLine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30"/>
          <w:szCs w:val="30"/>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供应商全称（盖章）：</w:t>
      </w:r>
    </w:p>
    <w:p w14:paraId="284B1D9A">
      <w:pPr>
        <w:tabs>
          <w:tab w:val="left" w:pos="4860"/>
        </w:tabs>
        <w:spacing w:before="145" w:beforeLines="50" w:after="145" w:afterLines="50" w:line="300" w:lineRule="auto"/>
        <w:ind w:right="1560" w:firstLine="480" w:firstLine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p>
    <w:p w14:paraId="7CEF3AD7">
      <w:pPr>
        <w:spacing w:before="145" w:beforeLines="50" w:after="145" w:afterLines="50" w:line="30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（备注：</w:t>
      </w:r>
      <w:r>
        <w:rPr>
          <w:rFonts w:hint="eastAsia" w:ascii="宋体" w:hAnsi="宋体" w:eastAsia="宋体" w:cs="宋体"/>
          <w:b/>
          <w:bCs/>
          <w:color w:val="000000" w:themeColor="text1"/>
          <w:sz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如未提供此声明函，价格将不做相应扣除，但</w:t>
      </w:r>
      <w:r>
        <w:rPr>
          <w:rFonts w:hint="eastAsia" w:ascii="宋体" w:hAnsi="宋体" w:eastAsia="宋体" w:cs="宋体"/>
          <w:b/>
          <w:bCs/>
          <w:color w:val="000000" w:themeColor="text1"/>
          <w:sz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highlight w:val="none"/>
          <w14:textFill>
            <w14:solidFill>
              <w14:schemeClr w14:val="tx1"/>
            </w14:solidFill>
          </w14:textFill>
        </w:rPr>
        <w:t>不会被拒绝；如未如实声明，需承担相应法律责任。）</w:t>
      </w:r>
    </w:p>
    <w:bookmarkEnd w:id="498"/>
    <w:bookmarkEnd w:id="499"/>
    <w:p w14:paraId="65FBCBFF">
      <w:pPr>
        <w:pStyle w:val="7"/>
        <w:spacing w:line="240" w:lineRule="auto"/>
        <w:ind w:firstLine="0"/>
        <w:jc w:val="left"/>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br w:type="page"/>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表8</w:t>
      </w:r>
    </w:p>
    <w:p w14:paraId="4925A419">
      <w:pPr>
        <w:spacing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质疑函范本</w:t>
      </w: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93"/>
        <w:gridCol w:w="1261"/>
        <w:gridCol w:w="694"/>
        <w:gridCol w:w="1411"/>
        <w:gridCol w:w="2159"/>
        <w:gridCol w:w="1211"/>
        <w:gridCol w:w="1534"/>
      </w:tblGrid>
      <w:tr w14:paraId="610C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596009">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质疑项目</w:t>
            </w:r>
          </w:p>
          <w:p w14:paraId="5ECA4B89">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基本情况</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CF8A159">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项目名称</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FADF478">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74C61E1">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229A6C6">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5D77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76C9089">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E2128B6">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项目编号</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36688E">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5399B37">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包 号</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7ADE80B">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05BF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2D51A5">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D59402">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采购人名称</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94443C0">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47F2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D7A81E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42F6BAE">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采购公告时间</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0B72399">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5D2B941">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中标（成交）公告时间</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239E997">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r>
      <w:tr w14:paraId="5614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FA12994">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9257504">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更正公告时间</w:t>
            </w:r>
          </w:p>
          <w:p w14:paraId="48CCADBD">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（包含采购文件和采购结果更正公告）</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A064D5">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8693587">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终止公告时间（包含废标和采购任务取消）</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9E786B">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年</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月</w:t>
            </w:r>
            <w:r>
              <w:rPr>
                <w:rFonts w:hint="default" w:ascii="方正仿宋简体" w:hAnsi="方正仿宋简体" w:eastAsia="方正仿宋简体" w:cs="方正仿宋简体"/>
                <w:i w:val="0"/>
                <w:iCs w:val="0"/>
                <w:caps w:val="0"/>
                <w:color w:val="000000" w:themeColor="text1"/>
                <w:spacing w:val="0"/>
                <w:sz w:val="21"/>
                <w:szCs w:val="21"/>
                <w:highlight w:val="none"/>
                <w:u w:val="single"/>
                <w14:textFill>
                  <w14:solidFill>
                    <w14:schemeClr w14:val="tx1"/>
                  </w14:solidFill>
                </w14:textFill>
              </w:rPr>
              <w:t>  </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w:t>
            </w:r>
          </w:p>
        </w:tc>
      </w:tr>
      <w:tr w14:paraId="607C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4897A41">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质疑供应商基本信息</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23BA2CA">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单位名称</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9B990DC">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5925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ECC8980">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75BBC2">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地址</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8A74D6">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9AFCDB3">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邮编</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3EE2C7">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02A3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3C7EFBC">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0F71667">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联系人</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CA4A638">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FE52921">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联系电话</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F957B8A">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1C38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08EF0ED">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5E94F55">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授权代表</w:t>
            </w:r>
          </w:p>
        </w:tc>
        <w:tc>
          <w:tcPr>
            <w:tcW w:w="210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72FEA0">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3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755805E">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联系电话</w:t>
            </w:r>
          </w:p>
        </w:tc>
        <w:tc>
          <w:tcPr>
            <w:tcW w:w="1534"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2D9419F">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2851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354BD10">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质疑事项及相关请求（纸张不够另附）</w:t>
            </w:r>
          </w:p>
        </w:tc>
        <w:tc>
          <w:tcPr>
            <w:tcW w:w="1261"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90ECE1">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分    类</w:t>
            </w:r>
          </w:p>
        </w:tc>
        <w:tc>
          <w:tcPr>
            <w:tcW w:w="7009"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525105FF">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 采购文件 □ 采购过程 □ 中标或成交结果</w:t>
            </w:r>
          </w:p>
        </w:tc>
      </w:tr>
      <w:tr w14:paraId="1BC5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9AB49E">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8270"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03812D05">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请逐条列明质疑事项、事实依据和法律依据，并提供必要的证明材料。</w:t>
            </w:r>
          </w:p>
          <w:p w14:paraId="3A5F5AED">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1</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p>
          <w:p w14:paraId="5204A099">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事实依据：</w:t>
            </w:r>
          </w:p>
          <w:p w14:paraId="6F3D39AE">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法律依据：</w:t>
            </w:r>
          </w:p>
          <w:p w14:paraId="6DF76201">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相关请求：</w:t>
            </w:r>
          </w:p>
          <w:p w14:paraId="7B2C965F">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质疑事项</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2</w:t>
            </w:r>
          </w:p>
          <w:p w14:paraId="444143D1">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p>
        </w:tc>
      </w:tr>
      <w:tr w14:paraId="3CE2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9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82CD82">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签字</w:t>
            </w:r>
          </w:p>
          <w:p w14:paraId="5DC320D0">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或盖人名章</w:t>
            </w:r>
          </w:p>
        </w:tc>
        <w:tc>
          <w:tcPr>
            <w:tcW w:w="1955"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477D098">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5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52FFE6F">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公章</w:t>
            </w:r>
          </w:p>
        </w:tc>
        <w:tc>
          <w:tcPr>
            <w:tcW w:w="274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EE60F7D">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0B16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9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40101B">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1955"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254D11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c>
          <w:tcPr>
            <w:tcW w:w="3570"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4FB1023">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日期</w:t>
            </w:r>
          </w:p>
        </w:tc>
        <w:tc>
          <w:tcPr>
            <w:tcW w:w="274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1481DC2">
            <w:pP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p>
        </w:tc>
      </w:tr>
      <w:tr w14:paraId="7004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9163"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5D0F6F">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000000" w:themeColor="text1"/>
                <w:highlight w:val="none"/>
                <w14:textFill>
                  <w14:solidFill>
                    <w14:schemeClr w14:val="tx1"/>
                  </w14:solidFill>
                </w14:textFill>
              </w:rPr>
            </w:pP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质疑函制作说明：</w:t>
            </w:r>
          </w:p>
          <w:p w14:paraId="28CF9C57">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1.</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供应商提出质疑时，应提交质疑函和必要的证明材料</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或有效线索</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；质疑函存在《</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自治区政务服务和公共资源交易中心公共资源交易质疑异议投诉举报处理实施细则</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》（新政资内发〔202</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2</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12</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号）第十</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四</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条所列情形的，</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交易</w:t>
            </w:r>
            <w:r>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中心不予受理。</w:t>
            </w:r>
          </w:p>
          <w:p w14:paraId="3C50C34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2.</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质疑函的质疑事项应具体、明确，并有必要的事实依据和法律依据</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p>
          <w:p w14:paraId="3614BE5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3.</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质疑函的质疑请求应与质疑事项相关。</w:t>
            </w:r>
          </w:p>
          <w:p w14:paraId="445B5D7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4</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一份质疑函只能针对一个项目提出质疑，且针对同一</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交易</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程序环节的质疑应当一次性提出。</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质疑对一个项目的不同包提出质疑的</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应当将各包质疑事项集中在一份质疑函中提出</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并在</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质疑函中列明具体分包号。</w:t>
            </w:r>
          </w:p>
          <w:p w14:paraId="2EEBD8E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5</w:t>
            </w:r>
            <w:r>
              <w:rPr>
                <w:rFonts w:hint="eastAsia"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质疑供应商若委托代理人进行质疑的，质疑函应按要求列明</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授权代表”的有关内容，并在附件中提交由质疑供应商签署的授权委托书。授权委托书应载明代理人的姓名或者名称、代理事项、具体权限、期限和相关事项。</w:t>
            </w:r>
          </w:p>
          <w:p w14:paraId="6B06E8C9">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pPr>
            <w:r>
              <w:rPr>
                <w:rFonts w:hint="eastAsia" w:eastAsia="宋体" w:cs="宋体"/>
                <w:i w:val="0"/>
                <w:iCs w:val="0"/>
                <w:caps w:val="0"/>
                <w:color w:val="000000" w:themeColor="text1"/>
                <w:spacing w:val="0"/>
                <w:sz w:val="21"/>
                <w:szCs w:val="21"/>
                <w:highlight w:val="no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质疑供应商为自然人的，质疑函应由本人签字</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提供本人及代理人身份证复印件，并在复印件上签字</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000000" w:themeColor="text1"/>
                <w:spacing w:val="0"/>
                <w:sz w:val="21"/>
                <w:szCs w:val="21"/>
                <w:highlight w:val="none"/>
                <w:lang w:eastAsia="zh-CN"/>
                <w14:textFill>
                  <w14:solidFill>
                    <w14:schemeClr w14:val="tx1"/>
                  </w14:solidFill>
                </w14:textFill>
              </w:rPr>
              <w:t>，</w:t>
            </w:r>
            <w:r>
              <w:rPr>
                <w:rFonts w:hint="eastAsia"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t>同时提供法人证书（营业执照）复印件、代理人身份证复印件并加盖法人公章</w:t>
            </w:r>
            <w:r>
              <w:rPr>
                <w:rFonts w:hint="default" w:ascii="方正仿宋简体" w:hAnsi="方正仿宋简体" w:eastAsia="方正仿宋简体" w:cs="方正仿宋简体"/>
                <w:i w:val="0"/>
                <w:iCs w:val="0"/>
                <w:caps w:val="0"/>
                <w:color w:val="000000" w:themeColor="text1"/>
                <w:spacing w:val="0"/>
                <w:sz w:val="21"/>
                <w:szCs w:val="21"/>
                <w:highlight w:val="none"/>
                <w14:textFill>
                  <w14:solidFill>
                    <w14:schemeClr w14:val="tx1"/>
                  </w14:solidFill>
                </w14:textFill>
              </w:rPr>
              <w:t>。</w:t>
            </w:r>
          </w:p>
          <w:p w14:paraId="2F90D603">
            <w:pPr>
              <w:widowControl/>
              <w:spacing w:line="400" w:lineRule="exact"/>
              <w:ind w:firstLine="420" w:firstLineChars="200"/>
              <w:jc w:val="left"/>
              <w:rPr>
                <w:rFonts w:hint="default" w:ascii="方正仿宋简体" w:hAnsi="方正仿宋简体" w:eastAsia="方正仿宋简体" w:cs="方正仿宋简体"/>
                <w:i w:val="0"/>
                <w:iCs w:val="0"/>
                <w:caps w:val="0"/>
                <w:color w:val="000000" w:themeColor="text1"/>
                <w:spacing w:val="0"/>
                <w:sz w:val="21"/>
                <w:szCs w:val="21"/>
                <w:highlight w:val="none"/>
                <w:lang w:val="en-US" w:eastAsia="zh-CN"/>
                <w14:textFill>
                  <w14:solidFill>
                    <w14:schemeClr w14:val="tx1"/>
                  </w14:solidFill>
                </w14:textFill>
              </w:rPr>
            </w:pPr>
            <w:r>
              <w:rPr>
                <w:rFonts w:hint="eastAsia" w:ascii="方正仿宋简体" w:hAnsi="方正仿宋简体" w:eastAsia="方正仿宋简体" w:cs="方正仿宋简体"/>
                <w:b/>
                <w:bCs/>
                <w:i w:val="0"/>
                <w:iCs w:val="0"/>
                <w:caps w:val="0"/>
                <w:color w:val="000000" w:themeColor="text1"/>
                <w:spacing w:val="0"/>
                <w:kern w:val="0"/>
                <w:sz w:val="21"/>
                <w:szCs w:val="21"/>
                <w:highlight w:val="none"/>
                <w:lang w:val="en-US" w:eastAsia="zh-CN" w:bidi="ar-SA"/>
                <w14:textFill>
                  <w14:solidFill>
                    <w14:schemeClr w14:val="tx1"/>
                  </w14:solidFill>
                </w14:textFill>
              </w:rPr>
              <w:t>7.质疑函份数要求：一式四份</w:t>
            </w:r>
            <w:r>
              <w:rPr>
                <w:rFonts w:hint="eastAsia" w:ascii="方正仿宋简体" w:hAnsi="方正仿宋简体" w:eastAsia="方正仿宋简体" w:cs="方正仿宋简体"/>
                <w:i w:val="0"/>
                <w:iCs w:val="0"/>
                <w:caps w:val="0"/>
                <w:color w:val="000000" w:themeColor="text1"/>
                <w:spacing w:val="0"/>
                <w:kern w:val="0"/>
                <w:sz w:val="21"/>
                <w:szCs w:val="21"/>
                <w:highlight w:val="none"/>
                <w:lang w:val="en-US" w:eastAsia="zh-CN" w:bidi="ar-SA"/>
                <w14:textFill>
                  <w14:solidFill>
                    <w14:schemeClr w14:val="tx1"/>
                  </w14:solidFill>
                </w14:textFill>
              </w:rPr>
              <w:t>。</w:t>
            </w:r>
          </w:p>
        </w:tc>
      </w:tr>
    </w:tbl>
    <w:p w14:paraId="7F2604BC">
      <w:pPr>
        <w:pStyle w:val="4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31"/>
          <w:szCs w:val="31"/>
          <w:highlight w:val="none"/>
          <w:shd w:val="clear" w:color="auto" w:fill="FFFFFF"/>
          <w14:textFill>
            <w14:solidFill>
              <w14:schemeClr w14:val="tx1"/>
            </w14:solidFill>
          </w14:textFill>
        </w:rPr>
        <w:t> </w:t>
      </w:r>
    </w:p>
    <w:p w14:paraId="5F8427A5">
      <w:pPr>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7ECC38FB">
      <w:pPr>
        <w:bidi w:val="0"/>
        <w:rPr>
          <w:rFonts w:hint="eastAsia"/>
          <w:color w:val="000000" w:themeColor="text1"/>
          <w:highlight w:val="none"/>
          <w14:textFill>
            <w14:solidFill>
              <w14:schemeClr w14:val="tx1"/>
            </w14:solidFill>
          </w14:textFill>
        </w:rPr>
      </w:pPr>
    </w:p>
    <w:p w14:paraId="7D96A72A">
      <w:pPr>
        <w:pStyle w:val="18"/>
        <w:rPr>
          <w:rFonts w:hint="eastAsia"/>
          <w:color w:val="000000" w:themeColor="text1"/>
          <w:highlight w:val="none"/>
          <w14:textFill>
            <w14:solidFill>
              <w14:schemeClr w14:val="tx1"/>
            </w14:solidFill>
          </w14:textFill>
        </w:rPr>
      </w:pPr>
    </w:p>
    <w:p w14:paraId="1CC05B1B">
      <w:pPr>
        <w:rPr>
          <w:rFonts w:hint="eastAsia"/>
          <w:color w:val="000000" w:themeColor="text1"/>
          <w:highlight w:val="none"/>
          <w14:textFill>
            <w14:solidFill>
              <w14:schemeClr w14:val="tx1"/>
            </w14:solidFill>
          </w14:textFill>
        </w:rPr>
      </w:pPr>
    </w:p>
    <w:p w14:paraId="34F6AA74">
      <w:pPr>
        <w:pStyle w:val="18"/>
        <w:rPr>
          <w:rFonts w:hint="eastAsia"/>
          <w:color w:val="000000" w:themeColor="text1"/>
          <w:highlight w:val="none"/>
          <w14:textFill>
            <w14:solidFill>
              <w14:schemeClr w14:val="tx1"/>
            </w14:solidFill>
          </w14:textFill>
        </w:rPr>
      </w:pPr>
    </w:p>
    <w:p w14:paraId="7E790E5D">
      <w:pPr>
        <w:rPr>
          <w:rFonts w:hint="eastAsia"/>
          <w:color w:val="000000" w:themeColor="text1"/>
          <w:highlight w:val="none"/>
          <w14:textFill>
            <w14:solidFill>
              <w14:schemeClr w14:val="tx1"/>
            </w14:solidFill>
          </w14:textFill>
        </w:rPr>
      </w:pPr>
    </w:p>
    <w:p w14:paraId="0BDEC70F">
      <w:pPr>
        <w:pStyle w:val="18"/>
        <w:rPr>
          <w:rFonts w:hint="eastAsia"/>
          <w:color w:val="000000" w:themeColor="text1"/>
          <w:highlight w:val="none"/>
          <w14:textFill>
            <w14:solidFill>
              <w14:schemeClr w14:val="tx1"/>
            </w14:solidFill>
          </w14:textFill>
        </w:rPr>
      </w:pPr>
    </w:p>
    <w:p w14:paraId="2B4954E6">
      <w:pPr>
        <w:rPr>
          <w:rFonts w:hint="eastAsia"/>
          <w:color w:val="000000" w:themeColor="text1"/>
          <w:highlight w:val="none"/>
          <w14:textFill>
            <w14:solidFill>
              <w14:schemeClr w14:val="tx1"/>
            </w14:solidFill>
          </w14:textFill>
        </w:rPr>
      </w:pPr>
    </w:p>
    <w:p w14:paraId="3FC04437">
      <w:pPr>
        <w:pStyle w:val="18"/>
        <w:rPr>
          <w:rFonts w:hint="eastAsia"/>
          <w:color w:val="000000" w:themeColor="text1"/>
          <w:highlight w:val="none"/>
          <w14:textFill>
            <w14:solidFill>
              <w14:schemeClr w14:val="tx1"/>
            </w14:solidFill>
          </w14:textFill>
        </w:rPr>
      </w:pPr>
    </w:p>
    <w:p w14:paraId="30B280C2">
      <w:pPr>
        <w:rPr>
          <w:rFonts w:hint="eastAsia"/>
          <w:color w:val="000000" w:themeColor="text1"/>
          <w:highlight w:val="none"/>
          <w14:textFill>
            <w14:solidFill>
              <w14:schemeClr w14:val="tx1"/>
            </w14:solidFill>
          </w14:textFill>
        </w:rPr>
      </w:pPr>
    </w:p>
    <w:p w14:paraId="000F08FA">
      <w:pPr>
        <w:pStyle w:val="18"/>
        <w:rPr>
          <w:rFonts w:hint="eastAsia"/>
          <w:color w:val="000000" w:themeColor="text1"/>
          <w:highlight w:val="none"/>
          <w14:textFill>
            <w14:solidFill>
              <w14:schemeClr w14:val="tx1"/>
            </w14:solidFill>
          </w14:textFill>
        </w:rPr>
      </w:pPr>
    </w:p>
    <w:p w14:paraId="160F7196">
      <w:pPr>
        <w:rPr>
          <w:rFonts w:hint="eastAsia"/>
          <w:color w:val="000000" w:themeColor="text1"/>
          <w:highlight w:val="none"/>
          <w14:textFill>
            <w14:solidFill>
              <w14:schemeClr w14:val="tx1"/>
            </w14:solidFill>
          </w14:textFill>
        </w:rPr>
      </w:pPr>
    </w:p>
    <w:p w14:paraId="67E2387D">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5318CA9F">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02219CFA">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1D69187B">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5F400F98">
      <w:pPr>
        <w:jc w:val="left"/>
        <w:rPr>
          <w:rFonts w:hint="eastAsia" w:ascii="宋体" w:hAnsi="宋体" w:eastAsia="宋体" w:cs="宋体"/>
          <w:b w:val="0"/>
          <w:bCs w:val="0"/>
          <w:color w:val="000000" w:themeColor="text1"/>
          <w:kern w:val="2"/>
          <w:sz w:val="30"/>
          <w:szCs w:val="30"/>
          <w:highlight w:val="none"/>
          <w:lang w:val="en-US" w:eastAsia="zh-CN" w:bidi="ar-SA"/>
          <w14:textFill>
            <w14:solidFill>
              <w14:schemeClr w14:val="tx1"/>
            </w14:solidFill>
          </w14:textFill>
        </w:rPr>
      </w:pPr>
    </w:p>
    <w:p w14:paraId="13A1A278">
      <w:pPr>
        <w:jc w:val="left"/>
        <w:rPr>
          <w:rFonts w:hint="default" w:ascii="宋体" w:hAnsi="宋体" w:eastAsia="宋体" w:cs="宋体"/>
          <w:i w:val="0"/>
          <w:iCs w:val="0"/>
          <w:caps w:val="0"/>
          <w:color w:val="000000" w:themeColor="text1"/>
          <w:spacing w:val="0"/>
          <w:sz w:val="28"/>
          <w:szCs w:val="28"/>
          <w:highlight w:val="none"/>
          <w:u w:val="none"/>
          <w:lang w:val="en-US"/>
          <w14:textFill>
            <w14:solidFill>
              <w14:schemeClr w14:val="tx1"/>
            </w14:solidFill>
          </w14:textFill>
        </w:rPr>
      </w:pPr>
      <w:r>
        <w:rPr>
          <w:rFonts w:hint="eastAsia" w:ascii="宋体" w:hAnsi="宋体" w:eastAsia="宋体" w:cs="宋体"/>
          <w:b w:val="0"/>
          <w:bCs w:val="0"/>
          <w:color w:val="000000" w:themeColor="text1"/>
          <w:kern w:val="2"/>
          <w:sz w:val="28"/>
          <w:szCs w:val="28"/>
          <w:highlight w:val="none"/>
          <w:lang w:val="en-US" w:eastAsia="zh-CN" w:bidi="ar-SA"/>
          <w14:textFill>
            <w14:solidFill>
              <w14:schemeClr w14:val="tx1"/>
            </w14:solidFill>
          </w14:textFill>
        </w:rPr>
        <w:t>表9</w:t>
      </w:r>
    </w:p>
    <w:p w14:paraId="53584A07">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55"/>
          <w:rFonts w:hint="eastAsia" w:ascii="宋体" w:hAnsi="宋体" w:eastAsia="宋体" w:cs="宋体"/>
          <w:i w:val="0"/>
          <w:iCs w:val="0"/>
          <w:caps w:val="0"/>
          <w:color w:val="000000" w:themeColor="text1"/>
          <w:spacing w:val="0"/>
          <w:sz w:val="32"/>
          <w:szCs w:val="32"/>
          <w:highlight w:val="none"/>
          <w:u w:val="none"/>
          <w:lang w:val="en-US" w:eastAsia="zh-CN"/>
          <w14:textFill>
            <w14:solidFill>
              <w14:schemeClr w14:val="tx1"/>
            </w14:solidFill>
          </w14:textFill>
        </w:rPr>
      </w:pPr>
      <w:r>
        <w:rPr>
          <w:rStyle w:val="55"/>
          <w:rFonts w:hint="eastAsia" w:ascii="宋体" w:hAnsi="宋体" w:eastAsia="宋体" w:cs="宋体"/>
          <w:i w:val="0"/>
          <w:iCs w:val="0"/>
          <w:caps w:val="0"/>
          <w:color w:val="000000" w:themeColor="text1"/>
          <w:spacing w:val="0"/>
          <w:sz w:val="32"/>
          <w:szCs w:val="32"/>
          <w:highlight w:val="none"/>
          <w:u w:val="none"/>
          <w:lang w:val="en-US" w:eastAsia="zh-CN"/>
          <w14:textFill>
            <w14:solidFill>
              <w14:schemeClr w14:val="tx1"/>
            </w14:solidFill>
          </w14:textFill>
        </w:rPr>
        <w:t>关于符合本国产品标准的声明函</w:t>
      </w:r>
    </w:p>
    <w:p w14:paraId="15D5643B">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1783FB75">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1.</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（产品名称1）</w:t>
      </w:r>
      <w:r>
        <w:rPr>
          <w:rStyle w:val="58"/>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1</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，生产厂为</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（厂名）</w:t>
      </w:r>
      <w:r>
        <w:rPr>
          <w:rStyle w:val="58"/>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2</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，厂址为</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（生产厂址）</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的中国境内生产的组件成本占比≥</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3</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4</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在中国境内生产。</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none"/>
          <w:shd w:val="clear" w:color="auto" w:fill="FFFFFF"/>
          <w:vertAlign w:val="superscript"/>
          <w14:textFill>
            <w14:solidFill>
              <w14:schemeClr w14:val="tx1"/>
            </w14:solidFill>
          </w14:textFill>
        </w:rPr>
        <w:t>5</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在中国境内完成。</w:t>
      </w:r>
    </w:p>
    <w:p w14:paraId="0CD05A1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2</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（产品名称</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2</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，生产厂为</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（厂名）</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，厂址为</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14:textFill>
            <w14:solidFill>
              <w14:schemeClr w14:val="tx1"/>
            </w14:solidFill>
          </w14:textFill>
        </w:rPr>
        <w:t>（生产厂址）</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的中国境内生产的组件成本占比≥</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在中国境内生产。</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的</w:t>
      </w:r>
      <w:r>
        <w:rPr>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Style w:val="58"/>
          <w:rFonts w:hint="eastAsia" w:ascii="方正魏碑_GBK" w:hAnsi="方正魏碑_GBK" w:eastAsia="方正魏碑_GBK" w:cs="方正魏碑_GBK"/>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在中国境内完成。</w:t>
      </w:r>
    </w:p>
    <w:p w14:paraId="7180E27C">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w:t>
      </w:r>
    </w:p>
    <w:p w14:paraId="7ADEC9ED">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本公司（单位）对上述声明内容的真实性负责。如有虚假，愿承担相应法律责任。</w:t>
      </w:r>
    </w:p>
    <w:p w14:paraId="4E1C0A75">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p>
    <w:p w14:paraId="21AE6E2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000000" w:themeColor="text1"/>
          <w:spacing w:val="0"/>
          <w:sz w:val="24"/>
          <w:szCs w:val="24"/>
          <w:highlight w:val="none"/>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公司（单位）名称（</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eastAsia="zh-CN"/>
          <w14:textFill>
            <w14:solidFill>
              <w14:schemeClr w14:val="tx1"/>
            </w14:solidFill>
          </w14:textFill>
        </w:rPr>
        <w:t>加盖</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CA电子公章</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　        </w:t>
      </w:r>
    </w:p>
    <w:p w14:paraId="00B72A47">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pP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         </w:t>
      </w:r>
      <w:r>
        <w:rPr>
          <w:rFonts w:hint="eastAsia" w:ascii="方正魏碑_GBK" w:hAnsi="方正魏碑_GBK" w:eastAsia="方正魏碑_GBK" w:cs="方正魏碑_GBK"/>
          <w:i w:val="0"/>
          <w:iCs w:val="0"/>
          <w:caps w:val="0"/>
          <w:color w:val="000000" w:themeColor="text1"/>
          <w:spacing w:val="0"/>
          <w:sz w:val="24"/>
          <w:szCs w:val="24"/>
          <w:highlight w:val="none"/>
          <w:shd w:val="clear" w:color="auto" w:fill="FFFFFF"/>
          <w14:textFill>
            <w14:solidFill>
              <w14:schemeClr w14:val="tx1"/>
            </w14:solidFill>
          </w14:textFill>
        </w:rPr>
        <w:t>日期：　     年　  月　  日       </w:t>
      </w:r>
    </w:p>
    <w:p w14:paraId="21D7DB30">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none"/>
          <w14:textFill>
            <w14:solidFill>
              <w14:schemeClr w14:val="tx1"/>
            </w14:solidFill>
          </w14:textFill>
        </w:rPr>
        <w:t>__________________</w:t>
      </w:r>
    </w:p>
    <w:p w14:paraId="6D7D9976">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1.产品如有型号，请在“产品名称”栏一并填写。</w:t>
      </w:r>
    </w:p>
    <w:p w14:paraId="5C919F4B">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2.生产厂名与厂址应与生产厂营业执照载明的相关信息保持一致。</w:t>
      </w:r>
    </w:p>
    <w:p w14:paraId="5AF09320">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3.该产品的中国境内生产的组件成本占比相关要求实施前，“规定比例”栏可不填，下同。</w:t>
      </w:r>
    </w:p>
    <w:p w14:paraId="44CF1C5B">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4.该产品的关键组件要求实施前，“关键组件”栏可不填，下同。</w:t>
      </w:r>
    </w:p>
    <w:p w14:paraId="08CA14D1">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t>5.该产品的关键工序要求实施前，“关键工序”栏可不填，下同。</w:t>
      </w:r>
    </w:p>
    <w:p w14:paraId="5D82D456">
      <w:pPr>
        <w:pStyle w:val="46"/>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lang w:val="en-US" w:eastAsia="zh-CN"/>
          <w14:textFill>
            <w14:solidFill>
              <w14:schemeClr w14:val="tx1"/>
            </w14:solidFill>
          </w14:textFill>
        </w:rPr>
        <w:t>6.《声明函》中标注“  /  ”的地方无需填写。</w:t>
      </w:r>
    </w:p>
    <w:p w14:paraId="5E8F7EDA">
      <w:pPr>
        <w:pStyle w:val="244"/>
        <w:spacing w:line="0" w:lineRule="atLeast"/>
        <w:ind w:left="0" w:leftChars="0" w:firstLine="440" w:firstLineChars="200"/>
        <w:rPr>
          <w:rFonts w:hint="eastAsia" w:ascii="宋体" w:hAnsi="宋体" w:eastAsia="宋体" w:cs="宋体"/>
          <w:b/>
          <w:bCs/>
          <w:i w:val="0"/>
          <w:iCs w:val="0"/>
          <w:caps w:val="0"/>
          <w:color w:val="000000" w:themeColor="text1"/>
          <w:spacing w:val="0"/>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2"/>
          <w:sz w:val="22"/>
          <w:szCs w:val="22"/>
          <w:highlight w:val="none"/>
          <w:lang w:val="en-US" w:eastAsia="zh-CN"/>
          <w14:textFill>
            <w14:solidFill>
              <w14:schemeClr w14:val="tx1"/>
            </w14:solidFill>
          </w14:textFill>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sectPr>
      <w:footerReference r:id="rId16" w:type="first"/>
      <w:footerReference r:id="rId14" w:type="default"/>
      <w:footerReference r:id="rId15" w:type="even"/>
      <w:pgSz w:w="11906" w:h="16838"/>
      <w:pgMar w:top="1418" w:right="1588" w:bottom="1418" w:left="1365" w:header="851" w:footer="907" w:gutter="0"/>
      <w:cols w:space="720" w:num="1"/>
      <w:titlePg/>
      <w:docGrid w:type="lines" w:linePitch="2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00"/>
    <w:family w:val="script"/>
    <w:pitch w:val="default"/>
    <w:sig w:usb0="00000000" w:usb1="00000000" w:usb2="00082016" w:usb3="00000000" w:csb0="00040001" w:csb1="00000000"/>
  </w:font>
  <w:font w:name="Segoe UI Symbol">
    <w:panose1 w:val="020B0502040204020203"/>
    <w:charset w:val="00"/>
    <w:family w:val="swiss"/>
    <w:pitch w:val="default"/>
    <w:sig w:usb0="800001E3" w:usb1="1200FFEF" w:usb2="00040000" w:usb3="04000000" w:csb0="00000001" w:csb1="40000000"/>
  </w:font>
  <w:font w:name="方正魏碑_GBK">
    <w:altName w:val="宋体"/>
    <w:panose1 w:val="03000509000000000000"/>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KSOF8080F95D">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 w:name="KSOF44523572">
    <w:panose1 w:val="020B07030202040202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33DC">
    <w:pPr>
      <w:pStyle w:val="3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18"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7ED01C09">
                          <w:pPr>
                            <w:pStyle w:val="31"/>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CI1mEiCgIAAAQEAAAOAAAAAAAAAAEAIAAAAB8BAABk&#10;cnMvZTJvRG9jLnhtbFBLBQYAAAAABgAGAFkBAACbBQAAAAA=&#10;">
              <v:fill on="f" focussize="0,0"/>
              <v:stroke on="f"/>
              <v:imagedata o:title=""/>
              <o:lock v:ext="edit" aspectratio="f"/>
              <v:textbox inset="0mm,0mm,0mm,0mm" style="mso-fit-shape-to-text:t;">
                <w:txbxContent>
                  <w:p w14:paraId="7ED01C09">
                    <w:pPr>
                      <w:pStyle w:val="31"/>
                    </w:pPr>
                    <w:r>
                      <w:fldChar w:fldCharType="begin"/>
                    </w:r>
                    <w:r>
                      <w:instrText xml:space="preserve"> PAGE  \* MERGEFORMAT </w:instrText>
                    </w:r>
                    <w:r>
                      <w:fldChar w:fldCharType="separate"/>
                    </w:r>
                    <w:r>
                      <w:t>43</w:t>
                    </w:r>
                    <w:r>
                      <w:fldChar w:fldCharType="end"/>
                    </w:r>
                  </w:p>
                </w:txbxContent>
              </v:textbox>
            </v:shape>
          </w:pict>
        </mc:Fallback>
      </mc:AlternateContent>
    </w:r>
  </w:p>
  <w:p w14:paraId="163C8E62">
    <w:pPr>
      <w:pStyle w:val="3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2006">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E17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m3HN4BAADAAwAADgAAAGRycy9lMm9Eb2MueG1srVNBrtMwEN0jcQfL&#10;e5q0Eq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uE5Z05Ymvjl+7fLj1+Xn1/Z&#10;cpUE6j1WlHfnKTMOr2Cg5NmP5Ey8hzbY9CdGjOIk7/kqrxoik+nSerVelxSSFJsPhF/cX/cB4xsF&#10;liWj5oHml2UVp3cYx9Q5JVVzcKuNyTM07i8HYSZPkXofe0xWHPbDRGgPzZn40EOgOh2EL5z1tAY1&#10;d7T1nJm3jlROGzMbYTb2syGcpIs1j5yN5us4btbRB33o8q6lptC/PEbqNBNIbYy1p+5osFmCaQnT&#10;5vx5zln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4ybcc3gEAAMADAAAOAAAAAAAA&#10;AAEAIAAAAB4BAABkcnMvZTJvRG9jLnhtbFBLBQYAAAAABgAGAFkBAABuBQAAAAA=&#10;">
              <v:fill on="f" focussize="0,0"/>
              <v:stroke on="f"/>
              <v:imagedata o:title=""/>
              <o:lock v:ext="edit" aspectratio="f"/>
              <v:textbox inset="0mm,0mm,0mm,0mm" style="mso-fit-shape-to-text:t;">
                <w:txbxContent>
                  <w:p w14:paraId="138E178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E65BA">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9E7D">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E876">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30ACD">
                          <w:pPr>
                            <w:pStyle w:val="31"/>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CMH3gEAAMADAAAOAAAAAAAA&#10;AAEAIAAAAB4BAABkcnMvZTJvRG9jLnhtbFBLBQYAAAAABgAGAFkBAABuBQAAAAA=&#10;">
              <v:fill on="f" focussize="0,0"/>
              <v:stroke on="f"/>
              <v:imagedata o:title=""/>
              <o:lock v:ext="edit" aspectratio="f"/>
              <v:textbox inset="0mm,0mm,0mm,0mm" style="mso-fit-shape-to-text:t;">
                <w:txbxContent>
                  <w:p w14:paraId="79A30ACD">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50B7">
    <w:pPr>
      <w:pStyle w:val="31"/>
      <w:tabs>
        <w:tab w:val="center" w:pos="4140"/>
        <w:tab w:val="right" w:pos="8300"/>
      </w:tabs>
      <w:spacing w:line="240" w:lineRule="auto"/>
      <w:jc w:val="center"/>
      <w:rPr>
        <w:rFonts w:ascii="Times New Roman" w:hAnsi="Times New Roman" w:eastAsia="宋体"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4CC71">
                          <w:pPr>
                            <w:pStyle w:val="31"/>
                            <w:tabs>
                              <w:tab w:val="center" w:pos="4140"/>
                              <w:tab w:val="right" w:pos="8300"/>
                            </w:tabs>
                            <w:spacing w:line="240" w:lineRule="auto"/>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25</w:t>
                          </w:r>
                          <w:r>
                            <w:rPr>
                              <w:rFonts w:ascii="Times New Roman" w:hAnsi="Times New Roman" w:eastAsia="宋体" w:cs="Times New Roman"/>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fh8B3dAQAAwAMAAA4AAAAAAAAA&#10;AQAgAAAAHgEAAGRycy9lMm9Eb2MueG1sUEsFBgAAAAAGAAYAWQEAAG0FAAAAAA==&#10;">
              <v:fill on="f" focussize="0,0"/>
              <v:stroke on="f"/>
              <v:imagedata o:title=""/>
              <o:lock v:ext="edit" aspectratio="f"/>
              <v:textbox inset="0mm,0mm,0mm,0mm" style="mso-fit-shape-to-text:t;">
                <w:txbxContent>
                  <w:p w14:paraId="28A4CC71">
                    <w:pPr>
                      <w:pStyle w:val="31"/>
                      <w:tabs>
                        <w:tab w:val="center" w:pos="4140"/>
                        <w:tab w:val="right" w:pos="8300"/>
                      </w:tabs>
                      <w:spacing w:line="240" w:lineRule="auto"/>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25</w:t>
                    </w:r>
                    <w:r>
                      <w:rPr>
                        <w:rFonts w:ascii="Times New Roman" w:hAnsi="Times New Roman" w:eastAsia="宋体"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9543">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5F0257">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TQTq3gEAAL8DAAAOAAAAAAAA&#10;AAEAIAAAAB4BAABkcnMvZTJvRG9jLnhtbFBLBQYAAAAABgAGAFkBAABuBQAAAAA=&#10;">
              <v:fill on="f" focussize="0,0"/>
              <v:stroke on="f"/>
              <v:imagedata o:title=""/>
              <o:lock v:ext="edit" aspectratio="f"/>
              <v:textbox inset="0mm,0mm,0mm,0mm" style="mso-fit-shape-to-text:t;">
                <w:txbxContent>
                  <w:p w14:paraId="135F0257">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40</w:t>
                    </w:r>
                    <w:r>
                      <w:rPr>
                        <w:rFonts w:hint="eastAsia" w:ascii="Times New Roman" w:hAnsi="Times New Roman" w:eastAsia="宋体" w:cs="Times New Roman"/>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D6FFF">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878E5B">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XJDQPdAQAAvwMAAA4AAAAAAAAA&#10;AQAgAAAAHgEAAGRycy9lMm9Eb2MueG1sUEsFBgAAAAAGAAYAWQEAAG0FAAAAAA==&#10;">
              <v:fill on="f" focussize="0,0"/>
              <v:stroke on="f"/>
              <v:imagedata o:title=""/>
              <o:lock v:ext="edit" aspectratio="f"/>
              <v:textbox inset="0mm,0mm,0mm,0mm" style="mso-fit-shape-to-text:t;">
                <w:txbxContent>
                  <w:p w14:paraId="4C878E5B">
                    <w:pPr>
                      <w:snapToGrid w:val="0"/>
                      <w:rPr>
                        <w:rFonts w:hint="eastAsia" w:ascii="Times New Roman" w:hAnsi="Times New Roman" w:eastAsia="宋体" w:cs="Times New Roman"/>
                        <w:sz w:val="18"/>
                      </w:rPr>
                    </w:pPr>
                    <w:r>
                      <w:rPr>
                        <w:rFonts w:hint="eastAsia" w:ascii="Times New Roman" w:hAnsi="Times New Roman" w:eastAsia="宋体" w:cs="Times New Roman"/>
                        <w:sz w:val="18"/>
                      </w:rPr>
                      <w:fldChar w:fldCharType="begin"/>
                    </w:r>
                    <w:r>
                      <w:rPr>
                        <w:rFonts w:hint="eastAsia" w:ascii="Times New Roman" w:hAnsi="Times New Roman" w:eastAsia="宋体" w:cs="Times New Roman"/>
                        <w:sz w:val="18"/>
                      </w:rPr>
                      <w:instrText xml:space="preserve"> PAGE  \* MERGEFORMAT </w:instrText>
                    </w:r>
                    <w:r>
                      <w:rPr>
                        <w:rFonts w:hint="eastAsia" w:ascii="Times New Roman" w:hAnsi="Times New Roman" w:eastAsia="宋体" w:cs="Times New Roman"/>
                        <w:sz w:val="18"/>
                      </w:rPr>
                      <w:fldChar w:fldCharType="separate"/>
                    </w:r>
                    <w:r>
                      <w:rPr>
                        <w:rFonts w:ascii="Times New Roman" w:hAnsi="Times New Roman" w:eastAsia="宋体" w:cs="Times New Roman"/>
                        <w:sz w:val="18"/>
                      </w:rPr>
                      <w:t>17</w:t>
                    </w:r>
                    <w:r>
                      <w:rPr>
                        <w:rFonts w:hint="eastAsia" w:ascii="Times New Roman" w:hAnsi="Times New Roman" w:eastAsia="宋体" w:cs="Times New Roman"/>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B2D6">
    <w:pPr>
      <w:pStyle w:val="31"/>
      <w:rPr>
        <w:rFonts w:hint="eastAsia"/>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A3DE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AMCtt8BAADAAwAADgAAAAAA&#10;AAABACAAAAAeAQAAZHJzL2Uyb0RvYy54bWxQSwUGAAAAAAYABgBZAQAAbwUAAAAA&#10;">
              <v:fill on="f" focussize="0,0"/>
              <v:stroke on="f"/>
              <v:imagedata o:title=""/>
              <o:lock v:ext="edit" aspectratio="f"/>
              <v:textbox inset="0mm,0mm,0mm,0mm" style="mso-fit-shape-to-text:t;">
                <w:txbxContent>
                  <w:p w14:paraId="1EEA3DE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63</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FAC56">
    <w:pPr>
      <w:pStyle w:val="31"/>
      <w:framePr w:wrap="around" w:vAnchor="text" w:hAnchor="margin" w:xAlign="center" w:y="1"/>
      <w:rPr>
        <w:rStyle w:val="56"/>
      </w:rPr>
    </w:pPr>
    <w:r>
      <w:fldChar w:fldCharType="begin"/>
    </w:r>
    <w:r>
      <w:rPr>
        <w:rStyle w:val="56"/>
      </w:rPr>
      <w:instrText xml:space="preserve">PAGE  </w:instrText>
    </w:r>
    <w:r>
      <w:fldChar w:fldCharType="separate"/>
    </w:r>
    <w:r>
      <w:rPr>
        <w:rStyle w:val="56"/>
      </w:rPr>
      <w:t>1</w:t>
    </w:r>
    <w:r>
      <w:fldChar w:fldCharType="end"/>
    </w:r>
  </w:p>
  <w:p w14:paraId="385B8E9F">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25B9">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2078">
    <w:pPr>
      <w:pStyle w:val="2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1" name="文本框 21"/>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4502ABD8"/>
                      </w:txbxContent>
                    </wps:txbx>
                    <wps:bodyPr wrap="square" lIns="0" tIns="0" rIns="0" bIns="0" upright="1"/>
                  </wps:wsp>
                </a:graphicData>
              </a:graphic>
            </wp:anchor>
          </w:drawing>
        </mc:Choice>
        <mc:Fallback>
          <w:pict>
            <v:shape id="文本框 21"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ah7OdgAAAAJAQAADwAAAAAAAAABACAAAAAiAAAAZHJzL2Rvd25y&#10;ZXYueG1sUEsBAhQAFAAAAAgAh07iQFPaBavFAQAAggMAAA4AAAAAAAAAAQAgAAAAJwEAAGRycy9l&#10;Mm9Eb2MueG1sUEsFBgAAAAAGAAYAWQEAAF4FAAAAAA==&#10;">
              <v:fill on="f" focussize="0,0"/>
              <v:stroke on="f"/>
              <v:imagedata o:title=""/>
              <o:lock v:ext="edit" aspectratio="f"/>
              <v:textbox inset="0mm,0mm,0mm,0mm">
                <w:txbxContent>
                  <w:p w14:paraId="4502ABD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A2A3BEC8"/>
    <w:multiLevelType w:val="singleLevel"/>
    <w:tmpl w:val="A2A3BEC8"/>
    <w:lvl w:ilvl="0" w:tentative="0">
      <w:start w:val="1"/>
      <w:numFmt w:val="chineseCounting"/>
      <w:suff w:val="space"/>
      <w:lvlText w:val="第%1章"/>
      <w:lvlJc w:val="left"/>
      <w:rPr>
        <w:rFonts w:hint="eastAsia"/>
      </w:rPr>
    </w:lvl>
  </w:abstractNum>
  <w:abstractNum w:abstractNumId="2">
    <w:nsid w:val="E2DDDB29"/>
    <w:multiLevelType w:val="singleLevel"/>
    <w:tmpl w:val="E2DDDB29"/>
    <w:lvl w:ilvl="0" w:tentative="0">
      <w:start w:val="1"/>
      <w:numFmt w:val="decimal"/>
      <w:lvlText w:val="%1."/>
      <w:lvlJc w:val="left"/>
      <w:pPr>
        <w:tabs>
          <w:tab w:val="left" w:pos="312"/>
        </w:tabs>
      </w:pPr>
    </w:lvl>
  </w:abstractNum>
  <w:abstractNum w:abstractNumId="3">
    <w:nsid w:val="EFB2EA4C"/>
    <w:multiLevelType w:val="singleLevel"/>
    <w:tmpl w:val="EFB2EA4C"/>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8"/>
      <w:numFmt w:val="chineseCounting"/>
      <w:suff w:val="nothing"/>
      <w:lvlText w:val="%1、"/>
      <w:lvlJc w:val="left"/>
      <w:rPr>
        <w:rFonts w:hint="eastAsia"/>
      </w:rPr>
    </w:lvl>
  </w:abstractNum>
  <w:abstractNum w:abstractNumId="5">
    <w:nsid w:val="00000008"/>
    <w:multiLevelType w:val="multilevel"/>
    <w:tmpl w:val="00000008"/>
    <w:lvl w:ilvl="0" w:tentative="0">
      <w:start w:val="1"/>
      <w:numFmt w:val="decimal"/>
      <w:pStyle w:val="160"/>
      <w:lvlText w:val="（%1）"/>
      <w:lvlJc w:val="left"/>
      <w:pPr>
        <w:ind w:left="1155" w:hanging="420"/>
      </w:pPr>
      <w:rPr>
        <w:rFonts w:hint="default" w:ascii="Times New Roman" w:hAnsi="Times New Roman" w:cs="Times New Roman"/>
        <w:lang w:val="en-US"/>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6">
    <w:nsid w:val="0000000E"/>
    <w:multiLevelType w:val="singleLevel"/>
    <w:tmpl w:val="0000000E"/>
    <w:lvl w:ilvl="0" w:tentative="0">
      <w:start w:val="1"/>
      <w:numFmt w:val="decimal"/>
      <w:pStyle w:val="169"/>
      <w:lvlText w:val="%1."/>
      <w:lvlJc w:val="left"/>
      <w:pPr>
        <w:tabs>
          <w:tab w:val="left" w:pos="680"/>
        </w:tabs>
        <w:ind w:left="0" w:firstLine="284"/>
      </w:pPr>
      <w:rPr>
        <w:rFonts w:hint="eastAsia"/>
      </w:rPr>
    </w:lvl>
  </w:abstractNum>
  <w:abstractNum w:abstractNumId="7">
    <w:nsid w:val="00000016"/>
    <w:multiLevelType w:val="multilevel"/>
    <w:tmpl w:val="00000016"/>
    <w:lvl w:ilvl="0" w:tentative="0">
      <w:start w:val="1"/>
      <w:numFmt w:val="bullet"/>
      <w:pStyle w:val="111"/>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8">
    <w:nsid w:val="0000001D"/>
    <w:multiLevelType w:val="multilevel"/>
    <w:tmpl w:val="0000001D"/>
    <w:lvl w:ilvl="0" w:tentative="0">
      <w:start w:val="1"/>
      <w:numFmt w:val="decimal"/>
      <w:pStyle w:val="120"/>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06784D56"/>
    <w:multiLevelType w:val="singleLevel"/>
    <w:tmpl w:val="06784D56"/>
    <w:lvl w:ilvl="0" w:tentative="0">
      <w:start w:val="1"/>
      <w:numFmt w:val="upperLetter"/>
      <w:pStyle w:val="195"/>
      <w:lvlText w:val="附录%1."/>
      <w:lvlJc w:val="left"/>
      <w:pPr>
        <w:tabs>
          <w:tab w:val="left" w:pos="907"/>
        </w:tabs>
        <w:ind w:left="907" w:hanging="907"/>
      </w:pPr>
      <w:rPr>
        <w:rFonts w:hint="eastAsia"/>
      </w:rPr>
    </w:lvl>
  </w:abstractNum>
  <w:abstractNum w:abstractNumId="10">
    <w:nsid w:val="1E4D3A01"/>
    <w:multiLevelType w:val="multilevel"/>
    <w:tmpl w:val="1E4D3A01"/>
    <w:lvl w:ilvl="0" w:tentative="0">
      <w:start w:val="1"/>
      <w:numFmt w:val="decimal"/>
      <w:lvlText w:val="%1."/>
      <w:lvlJc w:val="left"/>
      <w:pPr>
        <w:ind w:left="420" w:hanging="420"/>
      </w:pPr>
      <w:rPr>
        <w:rFonts w:hint="default" w:ascii="宋体" w:hAnsi="宋体" w:eastAsia="宋体" w:cs="宋体"/>
        <w:b w:val="0"/>
        <w:bCs w:val="0"/>
        <w:color w:val="auto"/>
      </w:rPr>
    </w:lvl>
    <w:lvl w:ilvl="1" w:tentative="0">
      <w:start w:val="5"/>
      <w:numFmt w:val="bullet"/>
      <w:lvlText w:val="★"/>
      <w:lvlJc w:val="left"/>
      <w:pPr>
        <w:ind w:left="780" w:hanging="360"/>
      </w:pPr>
      <w:rPr>
        <w:rFonts w:hint="default" w:ascii="Segoe UI Symbol" w:hAnsi="Segoe UI Symbol" w:eastAsia="宋体" w:cs="Segoe UI 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20C153B"/>
    <w:multiLevelType w:val="multilevel"/>
    <w:tmpl w:val="420C153B"/>
    <w:lvl w:ilvl="0" w:tentative="0">
      <w:start w:val="1"/>
      <w:numFmt w:val="decimal"/>
      <w:pStyle w:val="10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45C14845"/>
    <w:multiLevelType w:val="multilevel"/>
    <w:tmpl w:val="45C14845"/>
    <w:lvl w:ilvl="0" w:tentative="0">
      <w:start w:val="1"/>
      <w:numFmt w:val="bullet"/>
      <w:pStyle w:val="127"/>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3">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4">
    <w:nsid w:val="730719B5"/>
    <w:multiLevelType w:val="multilevel"/>
    <w:tmpl w:val="730719B5"/>
    <w:lvl w:ilvl="0" w:tentative="0">
      <w:start w:val="1"/>
      <w:numFmt w:val="decimal"/>
      <w:pStyle w:val="172"/>
      <w:suff w:val="space"/>
      <w:lvlText w:val="第%1章"/>
      <w:lvlJc w:val="left"/>
      <w:pPr>
        <w:ind w:left="567" w:firstLine="0"/>
      </w:pPr>
      <w:rPr>
        <w:rFonts w:hint="eastAsia" w:ascii="黑体" w:eastAsia="黑体"/>
        <w:b w:val="0"/>
        <w:i w:val="0"/>
      </w:rPr>
    </w:lvl>
    <w:lvl w:ilvl="1" w:tentative="0">
      <w:start w:val="1"/>
      <w:numFmt w:val="decimal"/>
      <w:pStyle w:val="171"/>
      <w:suff w:val="space"/>
      <w:lvlText w:val="%1.%2"/>
      <w:lvlJc w:val="left"/>
      <w:pPr>
        <w:ind w:left="426" w:firstLine="0"/>
      </w:pPr>
      <w:rPr>
        <w:rFonts w:hint="eastAsia" w:ascii="黑体" w:eastAsia="黑体"/>
        <w:b w:val="0"/>
        <w:i w:val="0"/>
      </w:rPr>
    </w:lvl>
    <w:lvl w:ilvl="2" w:tentative="0">
      <w:start w:val="1"/>
      <w:numFmt w:val="decimal"/>
      <w:pStyle w:val="219"/>
      <w:suff w:val="space"/>
      <w:lvlText w:val="%1.%2.%3"/>
      <w:lvlJc w:val="left"/>
      <w:pPr>
        <w:ind w:left="-54" w:firstLine="0"/>
      </w:pPr>
      <w:rPr>
        <w:rFonts w:hint="eastAsia" w:ascii="黑体" w:eastAsia="黑体"/>
        <w:b w:val="0"/>
        <w:i w:val="0"/>
      </w:rPr>
    </w:lvl>
    <w:lvl w:ilvl="3" w:tentative="0">
      <w:start w:val="1"/>
      <w:numFmt w:val="decimal"/>
      <w:pStyle w:val="181"/>
      <w:suff w:val="space"/>
      <w:lvlText w:val="%1.%2.%3.%4"/>
      <w:lvlJc w:val="left"/>
      <w:pPr>
        <w:ind w:left="-54" w:firstLine="0"/>
      </w:pPr>
      <w:rPr>
        <w:rFonts w:hint="eastAsia" w:ascii="黑体" w:eastAsia="黑体"/>
        <w:b w:val="0"/>
        <w:i w:val="0"/>
      </w:rPr>
    </w:lvl>
    <w:lvl w:ilvl="4" w:tentative="0">
      <w:start w:val="1"/>
      <w:numFmt w:val="decimal"/>
      <w:pStyle w:val="180"/>
      <w:suff w:val="space"/>
      <w:lvlText w:val="%1.%2.%3.%4.%5"/>
      <w:lvlJc w:val="left"/>
      <w:pPr>
        <w:ind w:left="851" w:firstLine="0"/>
      </w:pPr>
      <w:rPr>
        <w:rFonts w:hint="eastAsia" w:ascii="黑体" w:eastAsia="黑体"/>
        <w:b w:val="0"/>
        <w:i w:val="0"/>
      </w:rPr>
    </w:lvl>
    <w:lvl w:ilvl="5" w:tentative="0">
      <w:start w:val="1"/>
      <w:numFmt w:val="decimal"/>
      <w:pStyle w:val="187"/>
      <w:suff w:val="space"/>
      <w:lvlText w:val="%1.%2.%3.%4.%5.%6"/>
      <w:lvlJc w:val="left"/>
      <w:pPr>
        <w:ind w:left="-54" w:firstLine="0"/>
      </w:pPr>
      <w:rPr>
        <w:rFonts w:hint="eastAsia" w:ascii="黑体" w:eastAsia="黑体"/>
        <w:b w:val="0"/>
        <w:i w:val="0"/>
      </w:rPr>
    </w:lvl>
    <w:lvl w:ilvl="6" w:tentative="0">
      <w:start w:val="1"/>
      <w:numFmt w:val="none"/>
      <w:suff w:val="nothing"/>
      <w:lvlText w:val=""/>
      <w:lvlJc w:val="left"/>
      <w:pPr>
        <w:ind w:left="-54" w:firstLine="0"/>
      </w:pPr>
      <w:rPr>
        <w:rFonts w:hint="eastAsia"/>
      </w:rPr>
    </w:lvl>
    <w:lvl w:ilvl="7" w:tentative="0">
      <w:start w:val="1"/>
      <w:numFmt w:val="none"/>
      <w:suff w:val="nothing"/>
      <w:lvlText w:val=""/>
      <w:lvlJc w:val="left"/>
      <w:pPr>
        <w:ind w:left="-54" w:firstLine="0"/>
      </w:pPr>
      <w:rPr>
        <w:rFonts w:hint="eastAsia"/>
      </w:rPr>
    </w:lvl>
    <w:lvl w:ilvl="8" w:tentative="0">
      <w:start w:val="1"/>
      <w:numFmt w:val="none"/>
      <w:suff w:val="nothing"/>
      <w:lvlText w:val=""/>
      <w:lvlJc w:val="left"/>
      <w:pPr>
        <w:ind w:left="-54" w:firstLine="0"/>
      </w:pPr>
      <w:rPr>
        <w:rFonts w:hint="eastAsia"/>
      </w:rPr>
    </w:lvl>
  </w:abstractNum>
  <w:num w:numId="1">
    <w:abstractNumId w:val="13"/>
  </w:num>
  <w:num w:numId="2">
    <w:abstractNumId w:val="11"/>
  </w:num>
  <w:num w:numId="3">
    <w:abstractNumId w:val="7"/>
  </w:num>
  <w:num w:numId="4">
    <w:abstractNumId w:val="8"/>
  </w:num>
  <w:num w:numId="5">
    <w:abstractNumId w:val="12"/>
  </w:num>
  <w:num w:numId="6">
    <w:abstractNumId w:val="5"/>
  </w:num>
  <w:num w:numId="7">
    <w:abstractNumId w:val="6"/>
  </w:num>
  <w:num w:numId="8">
    <w:abstractNumId w:val="14"/>
  </w:num>
  <w:num w:numId="9">
    <w:abstractNumId w:val="9"/>
  </w:num>
  <w:num w:numId="10">
    <w:abstractNumId w:val="1"/>
  </w:num>
  <w:num w:numId="11">
    <w:abstractNumId w:val="3"/>
  </w:num>
  <w:num w:numId="12">
    <w:abstractNumId w:val="10"/>
  </w:num>
  <w:num w:numId="13">
    <w:abstractNumId w:val="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14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YWE4YjJhYmM1MjkwMzFhYWVjNzVkMmU4ZDU1MTQifQ=="/>
    <w:docVar w:name="KSO_WPS_MARK_KEY" w:val="7eeb6853-ebd6-447c-8357-a27ec5c25c58"/>
  </w:docVars>
  <w:rsids>
    <w:rsidRoot w:val="00822AF1"/>
    <w:rsid w:val="0000101B"/>
    <w:rsid w:val="0000116F"/>
    <w:rsid w:val="000021F1"/>
    <w:rsid w:val="00003796"/>
    <w:rsid w:val="000041B4"/>
    <w:rsid w:val="00005139"/>
    <w:rsid w:val="00005349"/>
    <w:rsid w:val="00005B82"/>
    <w:rsid w:val="000060F1"/>
    <w:rsid w:val="000060F7"/>
    <w:rsid w:val="000065AD"/>
    <w:rsid w:val="00006910"/>
    <w:rsid w:val="00006B61"/>
    <w:rsid w:val="00006BCB"/>
    <w:rsid w:val="0000758D"/>
    <w:rsid w:val="000111FD"/>
    <w:rsid w:val="0001178E"/>
    <w:rsid w:val="000118CC"/>
    <w:rsid w:val="00012B1C"/>
    <w:rsid w:val="00013708"/>
    <w:rsid w:val="00013F1C"/>
    <w:rsid w:val="0001556C"/>
    <w:rsid w:val="00016776"/>
    <w:rsid w:val="00020760"/>
    <w:rsid w:val="00021BC0"/>
    <w:rsid w:val="00021C78"/>
    <w:rsid w:val="00022034"/>
    <w:rsid w:val="0002276C"/>
    <w:rsid w:val="00022FE6"/>
    <w:rsid w:val="00023FC6"/>
    <w:rsid w:val="00024E29"/>
    <w:rsid w:val="00025259"/>
    <w:rsid w:val="000270C3"/>
    <w:rsid w:val="000276E8"/>
    <w:rsid w:val="00027F43"/>
    <w:rsid w:val="0003021E"/>
    <w:rsid w:val="00030861"/>
    <w:rsid w:val="00031AC0"/>
    <w:rsid w:val="00031B96"/>
    <w:rsid w:val="00031E43"/>
    <w:rsid w:val="00033307"/>
    <w:rsid w:val="0003542C"/>
    <w:rsid w:val="00035573"/>
    <w:rsid w:val="000360FD"/>
    <w:rsid w:val="00036863"/>
    <w:rsid w:val="00036CF8"/>
    <w:rsid w:val="00040F3C"/>
    <w:rsid w:val="00041022"/>
    <w:rsid w:val="00041AC0"/>
    <w:rsid w:val="00042D33"/>
    <w:rsid w:val="00042D7F"/>
    <w:rsid w:val="000437E3"/>
    <w:rsid w:val="000440A4"/>
    <w:rsid w:val="00045AE2"/>
    <w:rsid w:val="00045EFB"/>
    <w:rsid w:val="000463AD"/>
    <w:rsid w:val="00046716"/>
    <w:rsid w:val="00046B9E"/>
    <w:rsid w:val="00046CFF"/>
    <w:rsid w:val="000479A5"/>
    <w:rsid w:val="00047D1A"/>
    <w:rsid w:val="00047D8D"/>
    <w:rsid w:val="00050E5A"/>
    <w:rsid w:val="00051E56"/>
    <w:rsid w:val="00051F7F"/>
    <w:rsid w:val="00052824"/>
    <w:rsid w:val="000529AA"/>
    <w:rsid w:val="000530A2"/>
    <w:rsid w:val="000549D4"/>
    <w:rsid w:val="000550E5"/>
    <w:rsid w:val="0005578A"/>
    <w:rsid w:val="00055BC4"/>
    <w:rsid w:val="00055C8A"/>
    <w:rsid w:val="000569C0"/>
    <w:rsid w:val="00056AE9"/>
    <w:rsid w:val="00056C24"/>
    <w:rsid w:val="000573FC"/>
    <w:rsid w:val="00057ADA"/>
    <w:rsid w:val="00057C6B"/>
    <w:rsid w:val="00060172"/>
    <w:rsid w:val="00060E19"/>
    <w:rsid w:val="0006121F"/>
    <w:rsid w:val="00061C48"/>
    <w:rsid w:val="00061E5E"/>
    <w:rsid w:val="00062851"/>
    <w:rsid w:val="00062D97"/>
    <w:rsid w:val="000633D3"/>
    <w:rsid w:val="0006657E"/>
    <w:rsid w:val="00066BEC"/>
    <w:rsid w:val="00070187"/>
    <w:rsid w:val="00071631"/>
    <w:rsid w:val="00072F54"/>
    <w:rsid w:val="00073351"/>
    <w:rsid w:val="00073680"/>
    <w:rsid w:val="00073CD4"/>
    <w:rsid w:val="0007675D"/>
    <w:rsid w:val="00076A17"/>
    <w:rsid w:val="000772EE"/>
    <w:rsid w:val="00082C5C"/>
    <w:rsid w:val="00082F11"/>
    <w:rsid w:val="0008366C"/>
    <w:rsid w:val="000837A2"/>
    <w:rsid w:val="00084B83"/>
    <w:rsid w:val="00085AAC"/>
    <w:rsid w:val="0008726F"/>
    <w:rsid w:val="00087F68"/>
    <w:rsid w:val="0009098A"/>
    <w:rsid w:val="00090BB5"/>
    <w:rsid w:val="00091DA6"/>
    <w:rsid w:val="000945EF"/>
    <w:rsid w:val="00094CD5"/>
    <w:rsid w:val="00096324"/>
    <w:rsid w:val="00096A17"/>
    <w:rsid w:val="0009734F"/>
    <w:rsid w:val="000A1555"/>
    <w:rsid w:val="000A1668"/>
    <w:rsid w:val="000A1A3E"/>
    <w:rsid w:val="000A1F46"/>
    <w:rsid w:val="000A2FC6"/>
    <w:rsid w:val="000A32B1"/>
    <w:rsid w:val="000A3842"/>
    <w:rsid w:val="000A41F7"/>
    <w:rsid w:val="000A49C1"/>
    <w:rsid w:val="000A517B"/>
    <w:rsid w:val="000A5684"/>
    <w:rsid w:val="000A61A0"/>
    <w:rsid w:val="000A6E7E"/>
    <w:rsid w:val="000A70C7"/>
    <w:rsid w:val="000A7647"/>
    <w:rsid w:val="000A79FC"/>
    <w:rsid w:val="000B0307"/>
    <w:rsid w:val="000B0B86"/>
    <w:rsid w:val="000B1146"/>
    <w:rsid w:val="000B1517"/>
    <w:rsid w:val="000B333F"/>
    <w:rsid w:val="000B5130"/>
    <w:rsid w:val="000B56A2"/>
    <w:rsid w:val="000B5DA8"/>
    <w:rsid w:val="000B6F56"/>
    <w:rsid w:val="000B7669"/>
    <w:rsid w:val="000B79A9"/>
    <w:rsid w:val="000C0CA5"/>
    <w:rsid w:val="000C1440"/>
    <w:rsid w:val="000C19AD"/>
    <w:rsid w:val="000C2226"/>
    <w:rsid w:val="000C2F07"/>
    <w:rsid w:val="000C3ED6"/>
    <w:rsid w:val="000C4A8C"/>
    <w:rsid w:val="000C4FD7"/>
    <w:rsid w:val="000C5D8F"/>
    <w:rsid w:val="000C6026"/>
    <w:rsid w:val="000C6B55"/>
    <w:rsid w:val="000C6DBE"/>
    <w:rsid w:val="000C7FC9"/>
    <w:rsid w:val="000D004D"/>
    <w:rsid w:val="000D046B"/>
    <w:rsid w:val="000D0ADD"/>
    <w:rsid w:val="000D12F6"/>
    <w:rsid w:val="000D1FA9"/>
    <w:rsid w:val="000D24A9"/>
    <w:rsid w:val="000D25D8"/>
    <w:rsid w:val="000D3A42"/>
    <w:rsid w:val="000D494C"/>
    <w:rsid w:val="000D4EA8"/>
    <w:rsid w:val="000D5CD6"/>
    <w:rsid w:val="000D640F"/>
    <w:rsid w:val="000D70D7"/>
    <w:rsid w:val="000E0296"/>
    <w:rsid w:val="000E0F58"/>
    <w:rsid w:val="000E2EB1"/>
    <w:rsid w:val="000E3533"/>
    <w:rsid w:val="000E37FB"/>
    <w:rsid w:val="000E3D58"/>
    <w:rsid w:val="000E3E6D"/>
    <w:rsid w:val="000E4002"/>
    <w:rsid w:val="000E4679"/>
    <w:rsid w:val="000E4E9B"/>
    <w:rsid w:val="000F058F"/>
    <w:rsid w:val="000F09FC"/>
    <w:rsid w:val="000F299B"/>
    <w:rsid w:val="000F2B5A"/>
    <w:rsid w:val="000F2ED0"/>
    <w:rsid w:val="000F2F9F"/>
    <w:rsid w:val="000F338B"/>
    <w:rsid w:val="000F3822"/>
    <w:rsid w:val="000F3FD9"/>
    <w:rsid w:val="000F5749"/>
    <w:rsid w:val="000F59C4"/>
    <w:rsid w:val="000F5F40"/>
    <w:rsid w:val="000F6C1F"/>
    <w:rsid w:val="000F7090"/>
    <w:rsid w:val="001011DE"/>
    <w:rsid w:val="00101213"/>
    <w:rsid w:val="001022C6"/>
    <w:rsid w:val="00102860"/>
    <w:rsid w:val="001040BE"/>
    <w:rsid w:val="0010432D"/>
    <w:rsid w:val="00104895"/>
    <w:rsid w:val="00104F71"/>
    <w:rsid w:val="00105121"/>
    <w:rsid w:val="001054AE"/>
    <w:rsid w:val="001062AB"/>
    <w:rsid w:val="001062AE"/>
    <w:rsid w:val="00106A54"/>
    <w:rsid w:val="001079AF"/>
    <w:rsid w:val="00107D1A"/>
    <w:rsid w:val="001100CC"/>
    <w:rsid w:val="0011059D"/>
    <w:rsid w:val="00112ABF"/>
    <w:rsid w:val="00112FE1"/>
    <w:rsid w:val="001130F3"/>
    <w:rsid w:val="001136DC"/>
    <w:rsid w:val="00113C44"/>
    <w:rsid w:val="00115161"/>
    <w:rsid w:val="00115439"/>
    <w:rsid w:val="00116CC8"/>
    <w:rsid w:val="001172FC"/>
    <w:rsid w:val="0011794C"/>
    <w:rsid w:val="001209A8"/>
    <w:rsid w:val="00120B27"/>
    <w:rsid w:val="0012335D"/>
    <w:rsid w:val="001241F0"/>
    <w:rsid w:val="001256CB"/>
    <w:rsid w:val="00126079"/>
    <w:rsid w:val="00127CC7"/>
    <w:rsid w:val="00130214"/>
    <w:rsid w:val="00131763"/>
    <w:rsid w:val="001319A2"/>
    <w:rsid w:val="001321FB"/>
    <w:rsid w:val="001331C3"/>
    <w:rsid w:val="0013449F"/>
    <w:rsid w:val="00134C5A"/>
    <w:rsid w:val="00136065"/>
    <w:rsid w:val="0013619B"/>
    <w:rsid w:val="00136201"/>
    <w:rsid w:val="001367C6"/>
    <w:rsid w:val="00136837"/>
    <w:rsid w:val="00136B22"/>
    <w:rsid w:val="001373E6"/>
    <w:rsid w:val="00137CE9"/>
    <w:rsid w:val="00137CF4"/>
    <w:rsid w:val="00140873"/>
    <w:rsid w:val="00140AFD"/>
    <w:rsid w:val="00140DFF"/>
    <w:rsid w:val="00140F9F"/>
    <w:rsid w:val="00141865"/>
    <w:rsid w:val="00141BA2"/>
    <w:rsid w:val="00141F72"/>
    <w:rsid w:val="0014305A"/>
    <w:rsid w:val="0014483C"/>
    <w:rsid w:val="0014509A"/>
    <w:rsid w:val="00145F1D"/>
    <w:rsid w:val="001462D7"/>
    <w:rsid w:val="001462E5"/>
    <w:rsid w:val="001471B3"/>
    <w:rsid w:val="001474D5"/>
    <w:rsid w:val="00147B72"/>
    <w:rsid w:val="001501E4"/>
    <w:rsid w:val="00151674"/>
    <w:rsid w:val="00151BCA"/>
    <w:rsid w:val="0015339B"/>
    <w:rsid w:val="0015366A"/>
    <w:rsid w:val="00153900"/>
    <w:rsid w:val="001542EE"/>
    <w:rsid w:val="00155193"/>
    <w:rsid w:val="001551B7"/>
    <w:rsid w:val="001553EC"/>
    <w:rsid w:val="00155CB8"/>
    <w:rsid w:val="001560EA"/>
    <w:rsid w:val="001561ED"/>
    <w:rsid w:val="0015664E"/>
    <w:rsid w:val="001569DC"/>
    <w:rsid w:val="0015739A"/>
    <w:rsid w:val="00157965"/>
    <w:rsid w:val="00157B65"/>
    <w:rsid w:val="001607E7"/>
    <w:rsid w:val="0016081F"/>
    <w:rsid w:val="00160917"/>
    <w:rsid w:val="00161885"/>
    <w:rsid w:val="00161E66"/>
    <w:rsid w:val="001621CE"/>
    <w:rsid w:val="00162263"/>
    <w:rsid w:val="00162767"/>
    <w:rsid w:val="001635BB"/>
    <w:rsid w:val="00163DB6"/>
    <w:rsid w:val="00163ED5"/>
    <w:rsid w:val="00164ABA"/>
    <w:rsid w:val="001677B9"/>
    <w:rsid w:val="00167B47"/>
    <w:rsid w:val="001705EF"/>
    <w:rsid w:val="00170855"/>
    <w:rsid w:val="00170CA0"/>
    <w:rsid w:val="001733ED"/>
    <w:rsid w:val="00173FB7"/>
    <w:rsid w:val="00174249"/>
    <w:rsid w:val="001745F7"/>
    <w:rsid w:val="00174916"/>
    <w:rsid w:val="001752DD"/>
    <w:rsid w:val="001772AC"/>
    <w:rsid w:val="00177679"/>
    <w:rsid w:val="00180009"/>
    <w:rsid w:val="001817DC"/>
    <w:rsid w:val="00181970"/>
    <w:rsid w:val="00184417"/>
    <w:rsid w:val="00184627"/>
    <w:rsid w:val="00184A48"/>
    <w:rsid w:val="001854A2"/>
    <w:rsid w:val="00185B7D"/>
    <w:rsid w:val="001860E5"/>
    <w:rsid w:val="0018667B"/>
    <w:rsid w:val="001877A7"/>
    <w:rsid w:val="001916EA"/>
    <w:rsid w:val="0019175E"/>
    <w:rsid w:val="00191EC8"/>
    <w:rsid w:val="00192491"/>
    <w:rsid w:val="00192793"/>
    <w:rsid w:val="001933FA"/>
    <w:rsid w:val="001943E8"/>
    <w:rsid w:val="001962F5"/>
    <w:rsid w:val="00196324"/>
    <w:rsid w:val="00197156"/>
    <w:rsid w:val="001971AA"/>
    <w:rsid w:val="00197325"/>
    <w:rsid w:val="001975E0"/>
    <w:rsid w:val="00197B96"/>
    <w:rsid w:val="00197CAA"/>
    <w:rsid w:val="001A0859"/>
    <w:rsid w:val="001A0F57"/>
    <w:rsid w:val="001A121B"/>
    <w:rsid w:val="001A146E"/>
    <w:rsid w:val="001A16F7"/>
    <w:rsid w:val="001A1B79"/>
    <w:rsid w:val="001A1F51"/>
    <w:rsid w:val="001A2318"/>
    <w:rsid w:val="001A2797"/>
    <w:rsid w:val="001A2877"/>
    <w:rsid w:val="001A301F"/>
    <w:rsid w:val="001A4872"/>
    <w:rsid w:val="001A4911"/>
    <w:rsid w:val="001A4929"/>
    <w:rsid w:val="001A4FF9"/>
    <w:rsid w:val="001A50F3"/>
    <w:rsid w:val="001A5BDF"/>
    <w:rsid w:val="001A646F"/>
    <w:rsid w:val="001A6AB0"/>
    <w:rsid w:val="001B05DA"/>
    <w:rsid w:val="001B10A2"/>
    <w:rsid w:val="001B18C2"/>
    <w:rsid w:val="001B2178"/>
    <w:rsid w:val="001B2C97"/>
    <w:rsid w:val="001B2DEF"/>
    <w:rsid w:val="001B3A1C"/>
    <w:rsid w:val="001B3DE0"/>
    <w:rsid w:val="001B4B13"/>
    <w:rsid w:val="001B53D3"/>
    <w:rsid w:val="001B5969"/>
    <w:rsid w:val="001B5A3E"/>
    <w:rsid w:val="001B5F9F"/>
    <w:rsid w:val="001B625C"/>
    <w:rsid w:val="001B6AA7"/>
    <w:rsid w:val="001B6C0C"/>
    <w:rsid w:val="001B6F30"/>
    <w:rsid w:val="001B7361"/>
    <w:rsid w:val="001B7760"/>
    <w:rsid w:val="001B7E61"/>
    <w:rsid w:val="001C09A9"/>
    <w:rsid w:val="001C14B1"/>
    <w:rsid w:val="001C1CBD"/>
    <w:rsid w:val="001C1F7E"/>
    <w:rsid w:val="001C2127"/>
    <w:rsid w:val="001C2331"/>
    <w:rsid w:val="001C4CF0"/>
    <w:rsid w:val="001C512C"/>
    <w:rsid w:val="001C58F1"/>
    <w:rsid w:val="001C5C56"/>
    <w:rsid w:val="001C5F27"/>
    <w:rsid w:val="001C6927"/>
    <w:rsid w:val="001C6A7E"/>
    <w:rsid w:val="001D01DB"/>
    <w:rsid w:val="001D10E3"/>
    <w:rsid w:val="001D1657"/>
    <w:rsid w:val="001D2302"/>
    <w:rsid w:val="001D29BD"/>
    <w:rsid w:val="001D370B"/>
    <w:rsid w:val="001D5B9E"/>
    <w:rsid w:val="001D6B89"/>
    <w:rsid w:val="001E0D20"/>
    <w:rsid w:val="001E1355"/>
    <w:rsid w:val="001E13DE"/>
    <w:rsid w:val="001E1449"/>
    <w:rsid w:val="001E1981"/>
    <w:rsid w:val="001E1FB2"/>
    <w:rsid w:val="001E2637"/>
    <w:rsid w:val="001E2BCC"/>
    <w:rsid w:val="001E34E5"/>
    <w:rsid w:val="001E3B8D"/>
    <w:rsid w:val="001E4B11"/>
    <w:rsid w:val="001E4C01"/>
    <w:rsid w:val="001E5118"/>
    <w:rsid w:val="001E5303"/>
    <w:rsid w:val="001E5FC7"/>
    <w:rsid w:val="001F077E"/>
    <w:rsid w:val="001F08B7"/>
    <w:rsid w:val="001F0D1C"/>
    <w:rsid w:val="001F15A6"/>
    <w:rsid w:val="001F1964"/>
    <w:rsid w:val="001F1D68"/>
    <w:rsid w:val="001F22C9"/>
    <w:rsid w:val="001F2621"/>
    <w:rsid w:val="001F2972"/>
    <w:rsid w:val="001F3E1F"/>
    <w:rsid w:val="001F4275"/>
    <w:rsid w:val="001F4523"/>
    <w:rsid w:val="001F47F5"/>
    <w:rsid w:val="001F5DF5"/>
    <w:rsid w:val="001F67AA"/>
    <w:rsid w:val="001F6CBA"/>
    <w:rsid w:val="001F7B91"/>
    <w:rsid w:val="00200240"/>
    <w:rsid w:val="002003AA"/>
    <w:rsid w:val="002015B0"/>
    <w:rsid w:val="00201E97"/>
    <w:rsid w:val="0020229B"/>
    <w:rsid w:val="0020246F"/>
    <w:rsid w:val="00202BE2"/>
    <w:rsid w:val="0020370F"/>
    <w:rsid w:val="00203A07"/>
    <w:rsid w:val="00203EBA"/>
    <w:rsid w:val="00204177"/>
    <w:rsid w:val="00204C01"/>
    <w:rsid w:val="00205639"/>
    <w:rsid w:val="002063F6"/>
    <w:rsid w:val="002065D1"/>
    <w:rsid w:val="00207D3A"/>
    <w:rsid w:val="00210B62"/>
    <w:rsid w:val="00210C9C"/>
    <w:rsid w:val="00210D8E"/>
    <w:rsid w:val="00210E64"/>
    <w:rsid w:val="00210ECA"/>
    <w:rsid w:val="002118B3"/>
    <w:rsid w:val="00211C8B"/>
    <w:rsid w:val="00211DED"/>
    <w:rsid w:val="002125B1"/>
    <w:rsid w:val="00212D6F"/>
    <w:rsid w:val="00213A2C"/>
    <w:rsid w:val="00213E9A"/>
    <w:rsid w:val="002147DB"/>
    <w:rsid w:val="00215255"/>
    <w:rsid w:val="0021551F"/>
    <w:rsid w:val="00215C57"/>
    <w:rsid w:val="0021708F"/>
    <w:rsid w:val="002173E8"/>
    <w:rsid w:val="00217582"/>
    <w:rsid w:val="00217817"/>
    <w:rsid w:val="002178D7"/>
    <w:rsid w:val="00217A24"/>
    <w:rsid w:val="00220E13"/>
    <w:rsid w:val="002214FF"/>
    <w:rsid w:val="00221565"/>
    <w:rsid w:val="002215A8"/>
    <w:rsid w:val="0022162A"/>
    <w:rsid w:val="00222915"/>
    <w:rsid w:val="002245A4"/>
    <w:rsid w:val="00225956"/>
    <w:rsid w:val="00225AFD"/>
    <w:rsid w:val="002276F9"/>
    <w:rsid w:val="00227CB8"/>
    <w:rsid w:val="00230D01"/>
    <w:rsid w:val="002311F6"/>
    <w:rsid w:val="00233012"/>
    <w:rsid w:val="002330E9"/>
    <w:rsid w:val="00233D48"/>
    <w:rsid w:val="00234032"/>
    <w:rsid w:val="00234200"/>
    <w:rsid w:val="002343F4"/>
    <w:rsid w:val="00234965"/>
    <w:rsid w:val="00234CD4"/>
    <w:rsid w:val="00234D38"/>
    <w:rsid w:val="002407B4"/>
    <w:rsid w:val="00242AA0"/>
    <w:rsid w:val="00243056"/>
    <w:rsid w:val="0024324A"/>
    <w:rsid w:val="0024382E"/>
    <w:rsid w:val="00243A10"/>
    <w:rsid w:val="002440FD"/>
    <w:rsid w:val="00244357"/>
    <w:rsid w:val="00244890"/>
    <w:rsid w:val="00244C9A"/>
    <w:rsid w:val="00244FFE"/>
    <w:rsid w:val="0024501D"/>
    <w:rsid w:val="002464AC"/>
    <w:rsid w:val="002474C9"/>
    <w:rsid w:val="00247653"/>
    <w:rsid w:val="002508C5"/>
    <w:rsid w:val="002517F6"/>
    <w:rsid w:val="0025318B"/>
    <w:rsid w:val="00255061"/>
    <w:rsid w:val="0025532B"/>
    <w:rsid w:val="002561D3"/>
    <w:rsid w:val="00256269"/>
    <w:rsid w:val="00256710"/>
    <w:rsid w:val="00256A99"/>
    <w:rsid w:val="002574B5"/>
    <w:rsid w:val="00260723"/>
    <w:rsid w:val="00260D6C"/>
    <w:rsid w:val="00262541"/>
    <w:rsid w:val="00262FF0"/>
    <w:rsid w:val="00263795"/>
    <w:rsid w:val="00265528"/>
    <w:rsid w:val="002664E2"/>
    <w:rsid w:val="00267142"/>
    <w:rsid w:val="0026796B"/>
    <w:rsid w:val="00270048"/>
    <w:rsid w:val="0027038C"/>
    <w:rsid w:val="00272913"/>
    <w:rsid w:val="0027301F"/>
    <w:rsid w:val="0027394B"/>
    <w:rsid w:val="00274389"/>
    <w:rsid w:val="0027505D"/>
    <w:rsid w:val="002763C7"/>
    <w:rsid w:val="002769CA"/>
    <w:rsid w:val="00276F29"/>
    <w:rsid w:val="002800D9"/>
    <w:rsid w:val="00281581"/>
    <w:rsid w:val="00281B60"/>
    <w:rsid w:val="00281BFF"/>
    <w:rsid w:val="002822C5"/>
    <w:rsid w:val="00283281"/>
    <w:rsid w:val="002860CC"/>
    <w:rsid w:val="00287FB2"/>
    <w:rsid w:val="00290193"/>
    <w:rsid w:val="00290B58"/>
    <w:rsid w:val="0029219F"/>
    <w:rsid w:val="002923DD"/>
    <w:rsid w:val="00292A5B"/>
    <w:rsid w:val="00292D6E"/>
    <w:rsid w:val="002936C7"/>
    <w:rsid w:val="00293E8A"/>
    <w:rsid w:val="002948BA"/>
    <w:rsid w:val="00294A84"/>
    <w:rsid w:val="002963F9"/>
    <w:rsid w:val="00296F36"/>
    <w:rsid w:val="002975F4"/>
    <w:rsid w:val="00297ECE"/>
    <w:rsid w:val="002A0B0C"/>
    <w:rsid w:val="002A10C0"/>
    <w:rsid w:val="002A1D98"/>
    <w:rsid w:val="002A26D8"/>
    <w:rsid w:val="002A2FE1"/>
    <w:rsid w:val="002A31C4"/>
    <w:rsid w:val="002A39C6"/>
    <w:rsid w:val="002A4679"/>
    <w:rsid w:val="002A50D6"/>
    <w:rsid w:val="002A5229"/>
    <w:rsid w:val="002A5EB4"/>
    <w:rsid w:val="002A61A0"/>
    <w:rsid w:val="002A6906"/>
    <w:rsid w:val="002A74A9"/>
    <w:rsid w:val="002A790F"/>
    <w:rsid w:val="002B0A63"/>
    <w:rsid w:val="002B3493"/>
    <w:rsid w:val="002B3A14"/>
    <w:rsid w:val="002B48FF"/>
    <w:rsid w:val="002B537F"/>
    <w:rsid w:val="002B5887"/>
    <w:rsid w:val="002B6BF8"/>
    <w:rsid w:val="002B71B3"/>
    <w:rsid w:val="002B7C5D"/>
    <w:rsid w:val="002B7D3A"/>
    <w:rsid w:val="002C133B"/>
    <w:rsid w:val="002C1644"/>
    <w:rsid w:val="002C299B"/>
    <w:rsid w:val="002C3168"/>
    <w:rsid w:val="002C39DB"/>
    <w:rsid w:val="002C57E1"/>
    <w:rsid w:val="002C639D"/>
    <w:rsid w:val="002C6BBC"/>
    <w:rsid w:val="002C7CB6"/>
    <w:rsid w:val="002D028C"/>
    <w:rsid w:val="002D0B3B"/>
    <w:rsid w:val="002D2D7E"/>
    <w:rsid w:val="002D3160"/>
    <w:rsid w:val="002D337E"/>
    <w:rsid w:val="002D3407"/>
    <w:rsid w:val="002D34A2"/>
    <w:rsid w:val="002D5A0E"/>
    <w:rsid w:val="002D6130"/>
    <w:rsid w:val="002D6427"/>
    <w:rsid w:val="002D66A0"/>
    <w:rsid w:val="002D6EB7"/>
    <w:rsid w:val="002D7C63"/>
    <w:rsid w:val="002E0C3C"/>
    <w:rsid w:val="002E0D36"/>
    <w:rsid w:val="002E1BAA"/>
    <w:rsid w:val="002E206A"/>
    <w:rsid w:val="002E2759"/>
    <w:rsid w:val="002E32E7"/>
    <w:rsid w:val="002E3D64"/>
    <w:rsid w:val="002E4084"/>
    <w:rsid w:val="002E41C6"/>
    <w:rsid w:val="002E4557"/>
    <w:rsid w:val="002E6E04"/>
    <w:rsid w:val="002E7D17"/>
    <w:rsid w:val="002E7D32"/>
    <w:rsid w:val="002E7FAC"/>
    <w:rsid w:val="002F2388"/>
    <w:rsid w:val="002F3393"/>
    <w:rsid w:val="002F39C9"/>
    <w:rsid w:val="002F5991"/>
    <w:rsid w:val="002F5BA4"/>
    <w:rsid w:val="002F5EBE"/>
    <w:rsid w:val="002F661A"/>
    <w:rsid w:val="002F6A71"/>
    <w:rsid w:val="002F7DBF"/>
    <w:rsid w:val="0030004D"/>
    <w:rsid w:val="003003F3"/>
    <w:rsid w:val="00302087"/>
    <w:rsid w:val="0030300C"/>
    <w:rsid w:val="00303765"/>
    <w:rsid w:val="00303822"/>
    <w:rsid w:val="00303B22"/>
    <w:rsid w:val="003047C3"/>
    <w:rsid w:val="00304AC7"/>
    <w:rsid w:val="00304E03"/>
    <w:rsid w:val="003057C2"/>
    <w:rsid w:val="00305902"/>
    <w:rsid w:val="0030704A"/>
    <w:rsid w:val="00307D8B"/>
    <w:rsid w:val="003102E4"/>
    <w:rsid w:val="003106BA"/>
    <w:rsid w:val="00311F7A"/>
    <w:rsid w:val="00312999"/>
    <w:rsid w:val="003135E3"/>
    <w:rsid w:val="00313C47"/>
    <w:rsid w:val="00314893"/>
    <w:rsid w:val="00314AFE"/>
    <w:rsid w:val="00314CE0"/>
    <w:rsid w:val="003158B0"/>
    <w:rsid w:val="00317690"/>
    <w:rsid w:val="00317EFB"/>
    <w:rsid w:val="0032003D"/>
    <w:rsid w:val="00320AF9"/>
    <w:rsid w:val="0032174A"/>
    <w:rsid w:val="00321FE3"/>
    <w:rsid w:val="0032284B"/>
    <w:rsid w:val="00322C31"/>
    <w:rsid w:val="0032383B"/>
    <w:rsid w:val="00323CA9"/>
    <w:rsid w:val="003247E2"/>
    <w:rsid w:val="0032481E"/>
    <w:rsid w:val="00324942"/>
    <w:rsid w:val="00325476"/>
    <w:rsid w:val="00325F10"/>
    <w:rsid w:val="00326A4D"/>
    <w:rsid w:val="0032714A"/>
    <w:rsid w:val="00327C90"/>
    <w:rsid w:val="00330653"/>
    <w:rsid w:val="00330AC9"/>
    <w:rsid w:val="00330C29"/>
    <w:rsid w:val="003312C4"/>
    <w:rsid w:val="0033200B"/>
    <w:rsid w:val="00332162"/>
    <w:rsid w:val="003323C4"/>
    <w:rsid w:val="00332E5F"/>
    <w:rsid w:val="00333380"/>
    <w:rsid w:val="003359AF"/>
    <w:rsid w:val="0033684C"/>
    <w:rsid w:val="003403C7"/>
    <w:rsid w:val="00340404"/>
    <w:rsid w:val="00340B84"/>
    <w:rsid w:val="00340F4B"/>
    <w:rsid w:val="00342232"/>
    <w:rsid w:val="00342F58"/>
    <w:rsid w:val="003430E5"/>
    <w:rsid w:val="003440F4"/>
    <w:rsid w:val="00344306"/>
    <w:rsid w:val="00344411"/>
    <w:rsid w:val="00344A42"/>
    <w:rsid w:val="003452B5"/>
    <w:rsid w:val="00345847"/>
    <w:rsid w:val="003462EC"/>
    <w:rsid w:val="00346642"/>
    <w:rsid w:val="00346DB2"/>
    <w:rsid w:val="00350BF5"/>
    <w:rsid w:val="00351E99"/>
    <w:rsid w:val="00352E10"/>
    <w:rsid w:val="00354DA9"/>
    <w:rsid w:val="00355089"/>
    <w:rsid w:val="00355DD7"/>
    <w:rsid w:val="00356E49"/>
    <w:rsid w:val="00357F76"/>
    <w:rsid w:val="003607D2"/>
    <w:rsid w:val="003610C2"/>
    <w:rsid w:val="00361414"/>
    <w:rsid w:val="0036165A"/>
    <w:rsid w:val="0036204F"/>
    <w:rsid w:val="00362885"/>
    <w:rsid w:val="00362FE1"/>
    <w:rsid w:val="0036323C"/>
    <w:rsid w:val="003637A9"/>
    <w:rsid w:val="00363E2D"/>
    <w:rsid w:val="00364257"/>
    <w:rsid w:val="00364C10"/>
    <w:rsid w:val="00364D92"/>
    <w:rsid w:val="0036697F"/>
    <w:rsid w:val="00367D1F"/>
    <w:rsid w:val="00367E13"/>
    <w:rsid w:val="0037087A"/>
    <w:rsid w:val="00370885"/>
    <w:rsid w:val="00370927"/>
    <w:rsid w:val="00370EE3"/>
    <w:rsid w:val="00371669"/>
    <w:rsid w:val="00372781"/>
    <w:rsid w:val="00374A1A"/>
    <w:rsid w:val="00374FED"/>
    <w:rsid w:val="0037542D"/>
    <w:rsid w:val="003756D3"/>
    <w:rsid w:val="003757DC"/>
    <w:rsid w:val="003757FE"/>
    <w:rsid w:val="0037640F"/>
    <w:rsid w:val="00376672"/>
    <w:rsid w:val="00376BFC"/>
    <w:rsid w:val="00376D97"/>
    <w:rsid w:val="00376ED0"/>
    <w:rsid w:val="00377975"/>
    <w:rsid w:val="00380075"/>
    <w:rsid w:val="003813A4"/>
    <w:rsid w:val="0038206F"/>
    <w:rsid w:val="00382C6A"/>
    <w:rsid w:val="00383877"/>
    <w:rsid w:val="00384AA6"/>
    <w:rsid w:val="00384B1E"/>
    <w:rsid w:val="003857BD"/>
    <w:rsid w:val="00386BE7"/>
    <w:rsid w:val="00386DF4"/>
    <w:rsid w:val="00387E47"/>
    <w:rsid w:val="00387E7E"/>
    <w:rsid w:val="00391A1F"/>
    <w:rsid w:val="00392CFC"/>
    <w:rsid w:val="00393083"/>
    <w:rsid w:val="003952FB"/>
    <w:rsid w:val="00397944"/>
    <w:rsid w:val="00397E40"/>
    <w:rsid w:val="003A09F4"/>
    <w:rsid w:val="003A0E83"/>
    <w:rsid w:val="003A10F5"/>
    <w:rsid w:val="003A1A6E"/>
    <w:rsid w:val="003A1DE9"/>
    <w:rsid w:val="003A2503"/>
    <w:rsid w:val="003A3304"/>
    <w:rsid w:val="003A454B"/>
    <w:rsid w:val="003A4C4C"/>
    <w:rsid w:val="003A570C"/>
    <w:rsid w:val="003A5ED9"/>
    <w:rsid w:val="003A72E5"/>
    <w:rsid w:val="003B08BD"/>
    <w:rsid w:val="003B149A"/>
    <w:rsid w:val="003B211A"/>
    <w:rsid w:val="003B2D46"/>
    <w:rsid w:val="003B367D"/>
    <w:rsid w:val="003B3E7D"/>
    <w:rsid w:val="003B4FC9"/>
    <w:rsid w:val="003B559E"/>
    <w:rsid w:val="003B59D9"/>
    <w:rsid w:val="003B5E20"/>
    <w:rsid w:val="003B6721"/>
    <w:rsid w:val="003B6952"/>
    <w:rsid w:val="003B75F1"/>
    <w:rsid w:val="003B7752"/>
    <w:rsid w:val="003C10DD"/>
    <w:rsid w:val="003C1190"/>
    <w:rsid w:val="003C1894"/>
    <w:rsid w:val="003C30CD"/>
    <w:rsid w:val="003C3164"/>
    <w:rsid w:val="003C3481"/>
    <w:rsid w:val="003C422D"/>
    <w:rsid w:val="003C4A2B"/>
    <w:rsid w:val="003C5168"/>
    <w:rsid w:val="003C5265"/>
    <w:rsid w:val="003C7C36"/>
    <w:rsid w:val="003D020C"/>
    <w:rsid w:val="003D033E"/>
    <w:rsid w:val="003D10D2"/>
    <w:rsid w:val="003D1281"/>
    <w:rsid w:val="003D137A"/>
    <w:rsid w:val="003D1435"/>
    <w:rsid w:val="003D1AE4"/>
    <w:rsid w:val="003D1F69"/>
    <w:rsid w:val="003D21A9"/>
    <w:rsid w:val="003D2841"/>
    <w:rsid w:val="003D300E"/>
    <w:rsid w:val="003D430B"/>
    <w:rsid w:val="003D4A2C"/>
    <w:rsid w:val="003D4B81"/>
    <w:rsid w:val="003D55FC"/>
    <w:rsid w:val="003D647D"/>
    <w:rsid w:val="003D73E0"/>
    <w:rsid w:val="003D7A35"/>
    <w:rsid w:val="003D7B1B"/>
    <w:rsid w:val="003E01CB"/>
    <w:rsid w:val="003E01D7"/>
    <w:rsid w:val="003E0433"/>
    <w:rsid w:val="003E05F7"/>
    <w:rsid w:val="003E11C1"/>
    <w:rsid w:val="003E15AA"/>
    <w:rsid w:val="003E28D6"/>
    <w:rsid w:val="003E3DE3"/>
    <w:rsid w:val="003E429B"/>
    <w:rsid w:val="003E43B0"/>
    <w:rsid w:val="003E46E0"/>
    <w:rsid w:val="003E51CC"/>
    <w:rsid w:val="003E5EC9"/>
    <w:rsid w:val="003E5F8D"/>
    <w:rsid w:val="003E67A9"/>
    <w:rsid w:val="003E6989"/>
    <w:rsid w:val="003E6AF8"/>
    <w:rsid w:val="003E6F91"/>
    <w:rsid w:val="003E7467"/>
    <w:rsid w:val="003E7D2E"/>
    <w:rsid w:val="003F0B43"/>
    <w:rsid w:val="003F0CF3"/>
    <w:rsid w:val="003F0E5A"/>
    <w:rsid w:val="003F0E82"/>
    <w:rsid w:val="003F139E"/>
    <w:rsid w:val="003F27F3"/>
    <w:rsid w:val="003F2F87"/>
    <w:rsid w:val="003F3A88"/>
    <w:rsid w:val="003F3D20"/>
    <w:rsid w:val="003F3D3D"/>
    <w:rsid w:val="003F41D4"/>
    <w:rsid w:val="003F4477"/>
    <w:rsid w:val="003F4A55"/>
    <w:rsid w:val="003F4B1C"/>
    <w:rsid w:val="003F5CA7"/>
    <w:rsid w:val="003F5E84"/>
    <w:rsid w:val="00400305"/>
    <w:rsid w:val="004007DB"/>
    <w:rsid w:val="00400C8B"/>
    <w:rsid w:val="004024F1"/>
    <w:rsid w:val="004033C2"/>
    <w:rsid w:val="004036F8"/>
    <w:rsid w:val="00403E22"/>
    <w:rsid w:val="00403EE9"/>
    <w:rsid w:val="004043A2"/>
    <w:rsid w:val="00404E4E"/>
    <w:rsid w:val="00405121"/>
    <w:rsid w:val="0040554C"/>
    <w:rsid w:val="00407EB0"/>
    <w:rsid w:val="00410D40"/>
    <w:rsid w:val="00410EBB"/>
    <w:rsid w:val="00411141"/>
    <w:rsid w:val="00411903"/>
    <w:rsid w:val="00412922"/>
    <w:rsid w:val="00412A51"/>
    <w:rsid w:val="00414707"/>
    <w:rsid w:val="00414E62"/>
    <w:rsid w:val="00415122"/>
    <w:rsid w:val="00416102"/>
    <w:rsid w:val="00416743"/>
    <w:rsid w:val="0041786D"/>
    <w:rsid w:val="00417C75"/>
    <w:rsid w:val="00420ECB"/>
    <w:rsid w:val="0042200D"/>
    <w:rsid w:val="00422355"/>
    <w:rsid w:val="00423691"/>
    <w:rsid w:val="0042489D"/>
    <w:rsid w:val="004248EB"/>
    <w:rsid w:val="00424D03"/>
    <w:rsid w:val="00425A90"/>
    <w:rsid w:val="00425C11"/>
    <w:rsid w:val="00427452"/>
    <w:rsid w:val="0042787B"/>
    <w:rsid w:val="00427B1F"/>
    <w:rsid w:val="0043056D"/>
    <w:rsid w:val="004311DE"/>
    <w:rsid w:val="00431297"/>
    <w:rsid w:val="00433227"/>
    <w:rsid w:val="00433B0D"/>
    <w:rsid w:val="00434521"/>
    <w:rsid w:val="00435338"/>
    <w:rsid w:val="00435C59"/>
    <w:rsid w:val="0043621F"/>
    <w:rsid w:val="004369EC"/>
    <w:rsid w:val="00436A23"/>
    <w:rsid w:val="00437A7F"/>
    <w:rsid w:val="0044025A"/>
    <w:rsid w:val="004405F2"/>
    <w:rsid w:val="00440B4C"/>
    <w:rsid w:val="00440C79"/>
    <w:rsid w:val="004410D0"/>
    <w:rsid w:val="0044141B"/>
    <w:rsid w:val="00441801"/>
    <w:rsid w:val="00441A24"/>
    <w:rsid w:val="00441EA1"/>
    <w:rsid w:val="00442C53"/>
    <w:rsid w:val="00442F22"/>
    <w:rsid w:val="0044338F"/>
    <w:rsid w:val="0044426B"/>
    <w:rsid w:val="00444AAB"/>
    <w:rsid w:val="00445268"/>
    <w:rsid w:val="004457A7"/>
    <w:rsid w:val="00445A89"/>
    <w:rsid w:val="00445FB5"/>
    <w:rsid w:val="0044627D"/>
    <w:rsid w:val="004467D3"/>
    <w:rsid w:val="0045101A"/>
    <w:rsid w:val="0045101C"/>
    <w:rsid w:val="00452051"/>
    <w:rsid w:val="0045355F"/>
    <w:rsid w:val="00453833"/>
    <w:rsid w:val="004541C8"/>
    <w:rsid w:val="0045494F"/>
    <w:rsid w:val="00455782"/>
    <w:rsid w:val="004577A2"/>
    <w:rsid w:val="00460489"/>
    <w:rsid w:val="004607DB"/>
    <w:rsid w:val="00460AC7"/>
    <w:rsid w:val="0046115B"/>
    <w:rsid w:val="00461C07"/>
    <w:rsid w:val="0046208D"/>
    <w:rsid w:val="00462184"/>
    <w:rsid w:val="00462AD6"/>
    <w:rsid w:val="00463526"/>
    <w:rsid w:val="00464994"/>
    <w:rsid w:val="0046530D"/>
    <w:rsid w:val="0046596F"/>
    <w:rsid w:val="00465E64"/>
    <w:rsid w:val="00467772"/>
    <w:rsid w:val="00467D41"/>
    <w:rsid w:val="00470102"/>
    <w:rsid w:val="0047040E"/>
    <w:rsid w:val="004705FF"/>
    <w:rsid w:val="0047140D"/>
    <w:rsid w:val="00471AD1"/>
    <w:rsid w:val="00471C01"/>
    <w:rsid w:val="00471FE9"/>
    <w:rsid w:val="00472192"/>
    <w:rsid w:val="00472C2A"/>
    <w:rsid w:val="00472D10"/>
    <w:rsid w:val="00472FDE"/>
    <w:rsid w:val="00474B80"/>
    <w:rsid w:val="00475C95"/>
    <w:rsid w:val="00475F59"/>
    <w:rsid w:val="00476014"/>
    <w:rsid w:val="004765B6"/>
    <w:rsid w:val="00477EA8"/>
    <w:rsid w:val="0048056C"/>
    <w:rsid w:val="0048134F"/>
    <w:rsid w:val="00481AF9"/>
    <w:rsid w:val="00481BCD"/>
    <w:rsid w:val="0048224C"/>
    <w:rsid w:val="00482715"/>
    <w:rsid w:val="004830CA"/>
    <w:rsid w:val="00483293"/>
    <w:rsid w:val="004837DF"/>
    <w:rsid w:val="00485CE6"/>
    <w:rsid w:val="00485ECF"/>
    <w:rsid w:val="0048610F"/>
    <w:rsid w:val="004907EA"/>
    <w:rsid w:val="004912A5"/>
    <w:rsid w:val="0049146C"/>
    <w:rsid w:val="00491A79"/>
    <w:rsid w:val="0049301E"/>
    <w:rsid w:val="004939DA"/>
    <w:rsid w:val="00494C4F"/>
    <w:rsid w:val="00495719"/>
    <w:rsid w:val="00495C04"/>
    <w:rsid w:val="00495D24"/>
    <w:rsid w:val="0049644E"/>
    <w:rsid w:val="00496859"/>
    <w:rsid w:val="00496BCE"/>
    <w:rsid w:val="004A099A"/>
    <w:rsid w:val="004A09F9"/>
    <w:rsid w:val="004A1565"/>
    <w:rsid w:val="004A1B9F"/>
    <w:rsid w:val="004A1D70"/>
    <w:rsid w:val="004A293C"/>
    <w:rsid w:val="004A5357"/>
    <w:rsid w:val="004A5947"/>
    <w:rsid w:val="004A59F9"/>
    <w:rsid w:val="004A5A84"/>
    <w:rsid w:val="004A5B1A"/>
    <w:rsid w:val="004A642D"/>
    <w:rsid w:val="004A66BD"/>
    <w:rsid w:val="004A677C"/>
    <w:rsid w:val="004A6AEA"/>
    <w:rsid w:val="004A74D6"/>
    <w:rsid w:val="004A7991"/>
    <w:rsid w:val="004A7AA3"/>
    <w:rsid w:val="004A7C68"/>
    <w:rsid w:val="004B02A6"/>
    <w:rsid w:val="004B0612"/>
    <w:rsid w:val="004B0715"/>
    <w:rsid w:val="004B076D"/>
    <w:rsid w:val="004B091D"/>
    <w:rsid w:val="004B18BE"/>
    <w:rsid w:val="004B23E3"/>
    <w:rsid w:val="004B32DC"/>
    <w:rsid w:val="004B4BBB"/>
    <w:rsid w:val="004B4CC4"/>
    <w:rsid w:val="004B4EFA"/>
    <w:rsid w:val="004B57E2"/>
    <w:rsid w:val="004B5A87"/>
    <w:rsid w:val="004B5E0A"/>
    <w:rsid w:val="004B642D"/>
    <w:rsid w:val="004B6B7F"/>
    <w:rsid w:val="004B6BE7"/>
    <w:rsid w:val="004B7CFB"/>
    <w:rsid w:val="004C08EC"/>
    <w:rsid w:val="004C1A8F"/>
    <w:rsid w:val="004C241B"/>
    <w:rsid w:val="004C3016"/>
    <w:rsid w:val="004C37E9"/>
    <w:rsid w:val="004C38CB"/>
    <w:rsid w:val="004C426F"/>
    <w:rsid w:val="004C4882"/>
    <w:rsid w:val="004C6730"/>
    <w:rsid w:val="004D0436"/>
    <w:rsid w:val="004D139B"/>
    <w:rsid w:val="004D21EC"/>
    <w:rsid w:val="004D2366"/>
    <w:rsid w:val="004D2C72"/>
    <w:rsid w:val="004D32A3"/>
    <w:rsid w:val="004D36A3"/>
    <w:rsid w:val="004D389E"/>
    <w:rsid w:val="004D407F"/>
    <w:rsid w:val="004D41BF"/>
    <w:rsid w:val="004D42CA"/>
    <w:rsid w:val="004D510B"/>
    <w:rsid w:val="004D64E0"/>
    <w:rsid w:val="004D758C"/>
    <w:rsid w:val="004D79C6"/>
    <w:rsid w:val="004D7B19"/>
    <w:rsid w:val="004E0BF0"/>
    <w:rsid w:val="004E1463"/>
    <w:rsid w:val="004E1696"/>
    <w:rsid w:val="004E17C3"/>
    <w:rsid w:val="004E26D4"/>
    <w:rsid w:val="004E352A"/>
    <w:rsid w:val="004E395D"/>
    <w:rsid w:val="004E4130"/>
    <w:rsid w:val="004E4E6C"/>
    <w:rsid w:val="004E5663"/>
    <w:rsid w:val="004E6338"/>
    <w:rsid w:val="004E67EA"/>
    <w:rsid w:val="004E6D99"/>
    <w:rsid w:val="004E6F03"/>
    <w:rsid w:val="004E6F8D"/>
    <w:rsid w:val="004E7A48"/>
    <w:rsid w:val="004F0058"/>
    <w:rsid w:val="004F0085"/>
    <w:rsid w:val="004F05B3"/>
    <w:rsid w:val="004F12D5"/>
    <w:rsid w:val="004F2BF9"/>
    <w:rsid w:val="004F33B3"/>
    <w:rsid w:val="004F34A8"/>
    <w:rsid w:val="004F43E3"/>
    <w:rsid w:val="004F4AE0"/>
    <w:rsid w:val="004F526C"/>
    <w:rsid w:val="004F54BA"/>
    <w:rsid w:val="004F5CBE"/>
    <w:rsid w:val="004F6AA7"/>
    <w:rsid w:val="004F7592"/>
    <w:rsid w:val="005000FE"/>
    <w:rsid w:val="00500D41"/>
    <w:rsid w:val="005030A5"/>
    <w:rsid w:val="00503685"/>
    <w:rsid w:val="005039D9"/>
    <w:rsid w:val="00504FB2"/>
    <w:rsid w:val="00506B42"/>
    <w:rsid w:val="005072A0"/>
    <w:rsid w:val="0050793E"/>
    <w:rsid w:val="005107A1"/>
    <w:rsid w:val="005118AB"/>
    <w:rsid w:val="00512034"/>
    <w:rsid w:val="00512A9E"/>
    <w:rsid w:val="00512BA3"/>
    <w:rsid w:val="005131E8"/>
    <w:rsid w:val="00513ABF"/>
    <w:rsid w:val="005142D5"/>
    <w:rsid w:val="00514F73"/>
    <w:rsid w:val="00515083"/>
    <w:rsid w:val="005157AC"/>
    <w:rsid w:val="005157FB"/>
    <w:rsid w:val="00517311"/>
    <w:rsid w:val="0051755B"/>
    <w:rsid w:val="00517CA5"/>
    <w:rsid w:val="00521A2F"/>
    <w:rsid w:val="00523F29"/>
    <w:rsid w:val="00526E91"/>
    <w:rsid w:val="00527C3A"/>
    <w:rsid w:val="00530675"/>
    <w:rsid w:val="005308AB"/>
    <w:rsid w:val="005310B0"/>
    <w:rsid w:val="005328F6"/>
    <w:rsid w:val="00532ED5"/>
    <w:rsid w:val="00533803"/>
    <w:rsid w:val="00533FB8"/>
    <w:rsid w:val="005340AF"/>
    <w:rsid w:val="00534507"/>
    <w:rsid w:val="00534522"/>
    <w:rsid w:val="00534749"/>
    <w:rsid w:val="005348D8"/>
    <w:rsid w:val="005357B5"/>
    <w:rsid w:val="005361E9"/>
    <w:rsid w:val="005366D9"/>
    <w:rsid w:val="005368B3"/>
    <w:rsid w:val="005368B9"/>
    <w:rsid w:val="00537E3E"/>
    <w:rsid w:val="00540961"/>
    <w:rsid w:val="00541484"/>
    <w:rsid w:val="00541D5A"/>
    <w:rsid w:val="00542A4C"/>
    <w:rsid w:val="00543838"/>
    <w:rsid w:val="005448F9"/>
    <w:rsid w:val="005460FF"/>
    <w:rsid w:val="00546111"/>
    <w:rsid w:val="0054631A"/>
    <w:rsid w:val="005474A7"/>
    <w:rsid w:val="00547B39"/>
    <w:rsid w:val="00550F10"/>
    <w:rsid w:val="00551078"/>
    <w:rsid w:val="00551B82"/>
    <w:rsid w:val="005528D7"/>
    <w:rsid w:val="00552FE1"/>
    <w:rsid w:val="0055319A"/>
    <w:rsid w:val="00553390"/>
    <w:rsid w:val="00553607"/>
    <w:rsid w:val="00553E41"/>
    <w:rsid w:val="00554735"/>
    <w:rsid w:val="00555FAB"/>
    <w:rsid w:val="00556ACF"/>
    <w:rsid w:val="00556C4E"/>
    <w:rsid w:val="00557A2E"/>
    <w:rsid w:val="00557CCB"/>
    <w:rsid w:val="00557DF7"/>
    <w:rsid w:val="00560BA5"/>
    <w:rsid w:val="005619A4"/>
    <w:rsid w:val="005626A6"/>
    <w:rsid w:val="00563148"/>
    <w:rsid w:val="005639F5"/>
    <w:rsid w:val="00564925"/>
    <w:rsid w:val="00565262"/>
    <w:rsid w:val="00565404"/>
    <w:rsid w:val="00566B13"/>
    <w:rsid w:val="0056789A"/>
    <w:rsid w:val="005704A3"/>
    <w:rsid w:val="00570DA0"/>
    <w:rsid w:val="00571331"/>
    <w:rsid w:val="00571699"/>
    <w:rsid w:val="00571A03"/>
    <w:rsid w:val="00572AAC"/>
    <w:rsid w:val="00572E88"/>
    <w:rsid w:val="00574462"/>
    <w:rsid w:val="005744FB"/>
    <w:rsid w:val="00575533"/>
    <w:rsid w:val="00576136"/>
    <w:rsid w:val="00576138"/>
    <w:rsid w:val="005764D5"/>
    <w:rsid w:val="005765A1"/>
    <w:rsid w:val="00576816"/>
    <w:rsid w:val="00576A34"/>
    <w:rsid w:val="00577549"/>
    <w:rsid w:val="00577819"/>
    <w:rsid w:val="00577DCE"/>
    <w:rsid w:val="00580792"/>
    <w:rsid w:val="00580F7E"/>
    <w:rsid w:val="0058113B"/>
    <w:rsid w:val="00581334"/>
    <w:rsid w:val="005815CC"/>
    <w:rsid w:val="00582A77"/>
    <w:rsid w:val="00583B02"/>
    <w:rsid w:val="005846BD"/>
    <w:rsid w:val="00584FCE"/>
    <w:rsid w:val="00585A0E"/>
    <w:rsid w:val="00585B72"/>
    <w:rsid w:val="00586379"/>
    <w:rsid w:val="00587233"/>
    <w:rsid w:val="0059131A"/>
    <w:rsid w:val="005915AA"/>
    <w:rsid w:val="0059190B"/>
    <w:rsid w:val="00592D59"/>
    <w:rsid w:val="00595052"/>
    <w:rsid w:val="00596D83"/>
    <w:rsid w:val="00597A56"/>
    <w:rsid w:val="005A0E90"/>
    <w:rsid w:val="005A118B"/>
    <w:rsid w:val="005A1E31"/>
    <w:rsid w:val="005A26AC"/>
    <w:rsid w:val="005A26D5"/>
    <w:rsid w:val="005A4AE6"/>
    <w:rsid w:val="005A5060"/>
    <w:rsid w:val="005A674B"/>
    <w:rsid w:val="005A6849"/>
    <w:rsid w:val="005A71B8"/>
    <w:rsid w:val="005A7744"/>
    <w:rsid w:val="005B05A1"/>
    <w:rsid w:val="005B0841"/>
    <w:rsid w:val="005B0A61"/>
    <w:rsid w:val="005B0E47"/>
    <w:rsid w:val="005B1A7C"/>
    <w:rsid w:val="005B296B"/>
    <w:rsid w:val="005B2A20"/>
    <w:rsid w:val="005B2CD9"/>
    <w:rsid w:val="005B3257"/>
    <w:rsid w:val="005B3859"/>
    <w:rsid w:val="005B3E97"/>
    <w:rsid w:val="005B4801"/>
    <w:rsid w:val="005B5728"/>
    <w:rsid w:val="005B5B56"/>
    <w:rsid w:val="005B63A9"/>
    <w:rsid w:val="005B6660"/>
    <w:rsid w:val="005B666F"/>
    <w:rsid w:val="005B6B13"/>
    <w:rsid w:val="005B713F"/>
    <w:rsid w:val="005C00A2"/>
    <w:rsid w:val="005C0BC5"/>
    <w:rsid w:val="005C1567"/>
    <w:rsid w:val="005C1AC2"/>
    <w:rsid w:val="005C1AF2"/>
    <w:rsid w:val="005C226F"/>
    <w:rsid w:val="005C3E25"/>
    <w:rsid w:val="005C3E75"/>
    <w:rsid w:val="005C3FBC"/>
    <w:rsid w:val="005C4003"/>
    <w:rsid w:val="005C4A6F"/>
    <w:rsid w:val="005C54A5"/>
    <w:rsid w:val="005C5E1B"/>
    <w:rsid w:val="005C694E"/>
    <w:rsid w:val="005C70DC"/>
    <w:rsid w:val="005C7F76"/>
    <w:rsid w:val="005D0E31"/>
    <w:rsid w:val="005D0F57"/>
    <w:rsid w:val="005D1814"/>
    <w:rsid w:val="005D24CA"/>
    <w:rsid w:val="005D2F4F"/>
    <w:rsid w:val="005D4083"/>
    <w:rsid w:val="005D4F77"/>
    <w:rsid w:val="005D6594"/>
    <w:rsid w:val="005D69AD"/>
    <w:rsid w:val="005D69C6"/>
    <w:rsid w:val="005D6A87"/>
    <w:rsid w:val="005D6EAC"/>
    <w:rsid w:val="005D74B4"/>
    <w:rsid w:val="005D765B"/>
    <w:rsid w:val="005E066A"/>
    <w:rsid w:val="005E08F0"/>
    <w:rsid w:val="005E1C6A"/>
    <w:rsid w:val="005E209B"/>
    <w:rsid w:val="005E2340"/>
    <w:rsid w:val="005E2571"/>
    <w:rsid w:val="005E2853"/>
    <w:rsid w:val="005E55C7"/>
    <w:rsid w:val="005E6190"/>
    <w:rsid w:val="005E6D04"/>
    <w:rsid w:val="005E711C"/>
    <w:rsid w:val="005E78FF"/>
    <w:rsid w:val="005F0773"/>
    <w:rsid w:val="005F09BC"/>
    <w:rsid w:val="005F1886"/>
    <w:rsid w:val="005F2D59"/>
    <w:rsid w:val="005F3DEA"/>
    <w:rsid w:val="005F5DCF"/>
    <w:rsid w:val="005F5EFD"/>
    <w:rsid w:val="005F5F5F"/>
    <w:rsid w:val="005F6786"/>
    <w:rsid w:val="005F688B"/>
    <w:rsid w:val="005F6A2A"/>
    <w:rsid w:val="00600226"/>
    <w:rsid w:val="00600AB1"/>
    <w:rsid w:val="00600ABB"/>
    <w:rsid w:val="00600EF7"/>
    <w:rsid w:val="00600FBD"/>
    <w:rsid w:val="006013D6"/>
    <w:rsid w:val="00601D5E"/>
    <w:rsid w:val="006021C9"/>
    <w:rsid w:val="0060243F"/>
    <w:rsid w:val="0060313A"/>
    <w:rsid w:val="00603D85"/>
    <w:rsid w:val="006045BC"/>
    <w:rsid w:val="00605458"/>
    <w:rsid w:val="0060612E"/>
    <w:rsid w:val="00606422"/>
    <w:rsid w:val="00607926"/>
    <w:rsid w:val="00610966"/>
    <w:rsid w:val="00611A6B"/>
    <w:rsid w:val="00611B75"/>
    <w:rsid w:val="00612785"/>
    <w:rsid w:val="00614509"/>
    <w:rsid w:val="006150DF"/>
    <w:rsid w:val="00615124"/>
    <w:rsid w:val="00615D35"/>
    <w:rsid w:val="00617943"/>
    <w:rsid w:val="00617E8B"/>
    <w:rsid w:val="00620265"/>
    <w:rsid w:val="0062069F"/>
    <w:rsid w:val="00620734"/>
    <w:rsid w:val="00620778"/>
    <w:rsid w:val="006209FE"/>
    <w:rsid w:val="00620C47"/>
    <w:rsid w:val="00621314"/>
    <w:rsid w:val="00622F08"/>
    <w:rsid w:val="0062494A"/>
    <w:rsid w:val="00624DEF"/>
    <w:rsid w:val="006253F1"/>
    <w:rsid w:val="00625670"/>
    <w:rsid w:val="006264B1"/>
    <w:rsid w:val="006266DF"/>
    <w:rsid w:val="006276EF"/>
    <w:rsid w:val="00627BB2"/>
    <w:rsid w:val="00630672"/>
    <w:rsid w:val="00630A08"/>
    <w:rsid w:val="00630BB0"/>
    <w:rsid w:val="00630DAC"/>
    <w:rsid w:val="00630E1C"/>
    <w:rsid w:val="006313E9"/>
    <w:rsid w:val="006319BA"/>
    <w:rsid w:val="00632A85"/>
    <w:rsid w:val="00633CB0"/>
    <w:rsid w:val="00633CB7"/>
    <w:rsid w:val="00634006"/>
    <w:rsid w:val="0063413E"/>
    <w:rsid w:val="00634AEF"/>
    <w:rsid w:val="00635980"/>
    <w:rsid w:val="00635A31"/>
    <w:rsid w:val="00635F47"/>
    <w:rsid w:val="006365CE"/>
    <w:rsid w:val="00636B5B"/>
    <w:rsid w:val="006370B5"/>
    <w:rsid w:val="00637159"/>
    <w:rsid w:val="00637411"/>
    <w:rsid w:val="0063742D"/>
    <w:rsid w:val="00637678"/>
    <w:rsid w:val="00637955"/>
    <w:rsid w:val="00640359"/>
    <w:rsid w:val="00641A8A"/>
    <w:rsid w:val="0064259B"/>
    <w:rsid w:val="00642A32"/>
    <w:rsid w:val="00643300"/>
    <w:rsid w:val="006435C5"/>
    <w:rsid w:val="006439B3"/>
    <w:rsid w:val="00643CB6"/>
    <w:rsid w:val="0064411E"/>
    <w:rsid w:val="00644909"/>
    <w:rsid w:val="00646034"/>
    <w:rsid w:val="0064739B"/>
    <w:rsid w:val="006502FA"/>
    <w:rsid w:val="0065084C"/>
    <w:rsid w:val="00651B78"/>
    <w:rsid w:val="00651D3F"/>
    <w:rsid w:val="00651EDB"/>
    <w:rsid w:val="00652E78"/>
    <w:rsid w:val="00653886"/>
    <w:rsid w:val="00653D99"/>
    <w:rsid w:val="00654444"/>
    <w:rsid w:val="006545AF"/>
    <w:rsid w:val="00654E03"/>
    <w:rsid w:val="0065504C"/>
    <w:rsid w:val="006553C2"/>
    <w:rsid w:val="00656BA9"/>
    <w:rsid w:val="0065701F"/>
    <w:rsid w:val="006605C3"/>
    <w:rsid w:val="00661742"/>
    <w:rsid w:val="00661890"/>
    <w:rsid w:val="00661968"/>
    <w:rsid w:val="006629CF"/>
    <w:rsid w:val="00662DDA"/>
    <w:rsid w:val="006633E0"/>
    <w:rsid w:val="00663932"/>
    <w:rsid w:val="006646FE"/>
    <w:rsid w:val="00664EDD"/>
    <w:rsid w:val="006651EC"/>
    <w:rsid w:val="006655F4"/>
    <w:rsid w:val="00665D03"/>
    <w:rsid w:val="0066608A"/>
    <w:rsid w:val="00667CD2"/>
    <w:rsid w:val="00671016"/>
    <w:rsid w:val="00671C9E"/>
    <w:rsid w:val="00671FF2"/>
    <w:rsid w:val="006721A6"/>
    <w:rsid w:val="00672204"/>
    <w:rsid w:val="00672F92"/>
    <w:rsid w:val="00673969"/>
    <w:rsid w:val="00673AF3"/>
    <w:rsid w:val="00674096"/>
    <w:rsid w:val="00674DA6"/>
    <w:rsid w:val="00674E96"/>
    <w:rsid w:val="00675018"/>
    <w:rsid w:val="00675047"/>
    <w:rsid w:val="00675653"/>
    <w:rsid w:val="006757A0"/>
    <w:rsid w:val="00675D0B"/>
    <w:rsid w:val="006772C8"/>
    <w:rsid w:val="00677951"/>
    <w:rsid w:val="0068010E"/>
    <w:rsid w:val="00680273"/>
    <w:rsid w:val="006809A1"/>
    <w:rsid w:val="00681359"/>
    <w:rsid w:val="00681843"/>
    <w:rsid w:val="00681893"/>
    <w:rsid w:val="00681E38"/>
    <w:rsid w:val="00681F17"/>
    <w:rsid w:val="00682057"/>
    <w:rsid w:val="00682551"/>
    <w:rsid w:val="00682B2A"/>
    <w:rsid w:val="00683402"/>
    <w:rsid w:val="006836D6"/>
    <w:rsid w:val="006841A0"/>
    <w:rsid w:val="00684434"/>
    <w:rsid w:val="006849B6"/>
    <w:rsid w:val="00685031"/>
    <w:rsid w:val="006852A3"/>
    <w:rsid w:val="006853B2"/>
    <w:rsid w:val="00686340"/>
    <w:rsid w:val="006865A6"/>
    <w:rsid w:val="00686E08"/>
    <w:rsid w:val="0068722A"/>
    <w:rsid w:val="00687FA4"/>
    <w:rsid w:val="006903FE"/>
    <w:rsid w:val="006904D0"/>
    <w:rsid w:val="00691045"/>
    <w:rsid w:val="00692479"/>
    <w:rsid w:val="006926C2"/>
    <w:rsid w:val="0069313A"/>
    <w:rsid w:val="00693754"/>
    <w:rsid w:val="00693AD2"/>
    <w:rsid w:val="0069416E"/>
    <w:rsid w:val="00694654"/>
    <w:rsid w:val="00694705"/>
    <w:rsid w:val="00694F1E"/>
    <w:rsid w:val="00695A2B"/>
    <w:rsid w:val="0069689F"/>
    <w:rsid w:val="00696B7C"/>
    <w:rsid w:val="0069717A"/>
    <w:rsid w:val="006977F0"/>
    <w:rsid w:val="00697A44"/>
    <w:rsid w:val="00697F04"/>
    <w:rsid w:val="006A0352"/>
    <w:rsid w:val="006A1058"/>
    <w:rsid w:val="006A1620"/>
    <w:rsid w:val="006A2234"/>
    <w:rsid w:val="006A28B1"/>
    <w:rsid w:val="006A2F21"/>
    <w:rsid w:val="006A40D6"/>
    <w:rsid w:val="006A4325"/>
    <w:rsid w:val="006A509F"/>
    <w:rsid w:val="006A5B74"/>
    <w:rsid w:val="006A6A8C"/>
    <w:rsid w:val="006A7513"/>
    <w:rsid w:val="006A7B14"/>
    <w:rsid w:val="006B0BFF"/>
    <w:rsid w:val="006B1D33"/>
    <w:rsid w:val="006B1F13"/>
    <w:rsid w:val="006B21C1"/>
    <w:rsid w:val="006B31B9"/>
    <w:rsid w:val="006B3C18"/>
    <w:rsid w:val="006B3E64"/>
    <w:rsid w:val="006B4B81"/>
    <w:rsid w:val="006B5A0D"/>
    <w:rsid w:val="006B6A13"/>
    <w:rsid w:val="006B744F"/>
    <w:rsid w:val="006C0AE6"/>
    <w:rsid w:val="006C1079"/>
    <w:rsid w:val="006C2552"/>
    <w:rsid w:val="006C2969"/>
    <w:rsid w:val="006C3AAD"/>
    <w:rsid w:val="006C3BDB"/>
    <w:rsid w:val="006C3E17"/>
    <w:rsid w:val="006C3E70"/>
    <w:rsid w:val="006C4BEC"/>
    <w:rsid w:val="006C6A72"/>
    <w:rsid w:val="006C72F4"/>
    <w:rsid w:val="006D06D9"/>
    <w:rsid w:val="006D150D"/>
    <w:rsid w:val="006D1C4B"/>
    <w:rsid w:val="006D2D1D"/>
    <w:rsid w:val="006D337A"/>
    <w:rsid w:val="006D3461"/>
    <w:rsid w:val="006D4123"/>
    <w:rsid w:val="006D461B"/>
    <w:rsid w:val="006D4BF1"/>
    <w:rsid w:val="006D4F8E"/>
    <w:rsid w:val="006D52B1"/>
    <w:rsid w:val="006D5547"/>
    <w:rsid w:val="006D562A"/>
    <w:rsid w:val="006D60F1"/>
    <w:rsid w:val="006D6538"/>
    <w:rsid w:val="006D65C1"/>
    <w:rsid w:val="006D7CD3"/>
    <w:rsid w:val="006E04C0"/>
    <w:rsid w:val="006E2196"/>
    <w:rsid w:val="006E26EB"/>
    <w:rsid w:val="006E288A"/>
    <w:rsid w:val="006E2D5E"/>
    <w:rsid w:val="006E4B96"/>
    <w:rsid w:val="006E4FA3"/>
    <w:rsid w:val="006E5E27"/>
    <w:rsid w:val="006E6220"/>
    <w:rsid w:val="006E65EC"/>
    <w:rsid w:val="006E689E"/>
    <w:rsid w:val="006E763A"/>
    <w:rsid w:val="006F019B"/>
    <w:rsid w:val="006F02D8"/>
    <w:rsid w:val="006F0724"/>
    <w:rsid w:val="006F11BC"/>
    <w:rsid w:val="006F1D78"/>
    <w:rsid w:val="006F2513"/>
    <w:rsid w:val="006F2C72"/>
    <w:rsid w:val="006F329C"/>
    <w:rsid w:val="006F3A2A"/>
    <w:rsid w:val="006F3F3A"/>
    <w:rsid w:val="006F603C"/>
    <w:rsid w:val="006F655E"/>
    <w:rsid w:val="006F7164"/>
    <w:rsid w:val="006F7278"/>
    <w:rsid w:val="006F7819"/>
    <w:rsid w:val="006F7EDA"/>
    <w:rsid w:val="007003F6"/>
    <w:rsid w:val="00700977"/>
    <w:rsid w:val="007009DA"/>
    <w:rsid w:val="00700DCA"/>
    <w:rsid w:val="00700F15"/>
    <w:rsid w:val="00701486"/>
    <w:rsid w:val="007018A5"/>
    <w:rsid w:val="007019DA"/>
    <w:rsid w:val="007022E4"/>
    <w:rsid w:val="007035A1"/>
    <w:rsid w:val="0070457E"/>
    <w:rsid w:val="00704609"/>
    <w:rsid w:val="00704666"/>
    <w:rsid w:val="007046FD"/>
    <w:rsid w:val="0070512D"/>
    <w:rsid w:val="00705981"/>
    <w:rsid w:val="00705ADC"/>
    <w:rsid w:val="007066D8"/>
    <w:rsid w:val="00707F7E"/>
    <w:rsid w:val="007106A4"/>
    <w:rsid w:val="007107C7"/>
    <w:rsid w:val="00711682"/>
    <w:rsid w:val="007118DE"/>
    <w:rsid w:val="007120EC"/>
    <w:rsid w:val="007121AD"/>
    <w:rsid w:val="00712D99"/>
    <w:rsid w:val="00713541"/>
    <w:rsid w:val="00713650"/>
    <w:rsid w:val="00714490"/>
    <w:rsid w:val="00714965"/>
    <w:rsid w:val="00714DEB"/>
    <w:rsid w:val="007150B2"/>
    <w:rsid w:val="007161E4"/>
    <w:rsid w:val="00716970"/>
    <w:rsid w:val="00717125"/>
    <w:rsid w:val="007173C3"/>
    <w:rsid w:val="007174D0"/>
    <w:rsid w:val="00717516"/>
    <w:rsid w:val="00717537"/>
    <w:rsid w:val="007175B4"/>
    <w:rsid w:val="007175CA"/>
    <w:rsid w:val="0072044B"/>
    <w:rsid w:val="00720AAE"/>
    <w:rsid w:val="00721009"/>
    <w:rsid w:val="00721E2B"/>
    <w:rsid w:val="00723A7F"/>
    <w:rsid w:val="00723AD7"/>
    <w:rsid w:val="0072759F"/>
    <w:rsid w:val="00731898"/>
    <w:rsid w:val="00731A50"/>
    <w:rsid w:val="007321E7"/>
    <w:rsid w:val="00732B96"/>
    <w:rsid w:val="00734AAC"/>
    <w:rsid w:val="0073588B"/>
    <w:rsid w:val="0073617B"/>
    <w:rsid w:val="007361F8"/>
    <w:rsid w:val="00737718"/>
    <w:rsid w:val="0073782C"/>
    <w:rsid w:val="00737CE2"/>
    <w:rsid w:val="00737D77"/>
    <w:rsid w:val="0074060F"/>
    <w:rsid w:val="00740F5D"/>
    <w:rsid w:val="00741C57"/>
    <w:rsid w:val="00742A78"/>
    <w:rsid w:val="00742C13"/>
    <w:rsid w:val="00744352"/>
    <w:rsid w:val="00744F60"/>
    <w:rsid w:val="00745921"/>
    <w:rsid w:val="00745AE3"/>
    <w:rsid w:val="0074612B"/>
    <w:rsid w:val="00747EEB"/>
    <w:rsid w:val="007504C9"/>
    <w:rsid w:val="00750ABA"/>
    <w:rsid w:val="00751289"/>
    <w:rsid w:val="007513F0"/>
    <w:rsid w:val="007513F2"/>
    <w:rsid w:val="007526D9"/>
    <w:rsid w:val="007544E5"/>
    <w:rsid w:val="00754617"/>
    <w:rsid w:val="00755B57"/>
    <w:rsid w:val="007565CD"/>
    <w:rsid w:val="00756E9E"/>
    <w:rsid w:val="007617E3"/>
    <w:rsid w:val="00761B03"/>
    <w:rsid w:val="00762024"/>
    <w:rsid w:val="00762D54"/>
    <w:rsid w:val="007630DB"/>
    <w:rsid w:val="00763BCF"/>
    <w:rsid w:val="00766122"/>
    <w:rsid w:val="00766753"/>
    <w:rsid w:val="00766F33"/>
    <w:rsid w:val="007704B4"/>
    <w:rsid w:val="00771BB9"/>
    <w:rsid w:val="007721BA"/>
    <w:rsid w:val="007729B6"/>
    <w:rsid w:val="0077309D"/>
    <w:rsid w:val="00774547"/>
    <w:rsid w:val="00774B2D"/>
    <w:rsid w:val="00775AB0"/>
    <w:rsid w:val="00776268"/>
    <w:rsid w:val="00776B94"/>
    <w:rsid w:val="007804A5"/>
    <w:rsid w:val="0078081B"/>
    <w:rsid w:val="00781239"/>
    <w:rsid w:val="00782475"/>
    <w:rsid w:val="00782F0F"/>
    <w:rsid w:val="00782FFD"/>
    <w:rsid w:val="007843C8"/>
    <w:rsid w:val="00785824"/>
    <w:rsid w:val="00785A5F"/>
    <w:rsid w:val="00785C32"/>
    <w:rsid w:val="00785E00"/>
    <w:rsid w:val="00785E1E"/>
    <w:rsid w:val="0078681D"/>
    <w:rsid w:val="00786DB6"/>
    <w:rsid w:val="00787D7B"/>
    <w:rsid w:val="00790307"/>
    <w:rsid w:val="00790456"/>
    <w:rsid w:val="0079088F"/>
    <w:rsid w:val="00791200"/>
    <w:rsid w:val="00791627"/>
    <w:rsid w:val="007919A2"/>
    <w:rsid w:val="007926F2"/>
    <w:rsid w:val="00792C86"/>
    <w:rsid w:val="0079372E"/>
    <w:rsid w:val="007945A8"/>
    <w:rsid w:val="00795BCB"/>
    <w:rsid w:val="0079614A"/>
    <w:rsid w:val="00796719"/>
    <w:rsid w:val="00796C3D"/>
    <w:rsid w:val="007970B0"/>
    <w:rsid w:val="007A0C69"/>
    <w:rsid w:val="007A251D"/>
    <w:rsid w:val="007A46F0"/>
    <w:rsid w:val="007A544A"/>
    <w:rsid w:val="007A6137"/>
    <w:rsid w:val="007A66DE"/>
    <w:rsid w:val="007A6C95"/>
    <w:rsid w:val="007A724A"/>
    <w:rsid w:val="007B0E81"/>
    <w:rsid w:val="007B0EFF"/>
    <w:rsid w:val="007B2D3C"/>
    <w:rsid w:val="007B330A"/>
    <w:rsid w:val="007B3392"/>
    <w:rsid w:val="007B485B"/>
    <w:rsid w:val="007B4938"/>
    <w:rsid w:val="007B4E93"/>
    <w:rsid w:val="007B5192"/>
    <w:rsid w:val="007B5788"/>
    <w:rsid w:val="007B5CFB"/>
    <w:rsid w:val="007B613E"/>
    <w:rsid w:val="007B6BC3"/>
    <w:rsid w:val="007B77B8"/>
    <w:rsid w:val="007B792E"/>
    <w:rsid w:val="007C1580"/>
    <w:rsid w:val="007C17C0"/>
    <w:rsid w:val="007C1DED"/>
    <w:rsid w:val="007C2FF3"/>
    <w:rsid w:val="007C43F9"/>
    <w:rsid w:val="007C5B53"/>
    <w:rsid w:val="007C6419"/>
    <w:rsid w:val="007C6C8D"/>
    <w:rsid w:val="007D19C4"/>
    <w:rsid w:val="007D2FC2"/>
    <w:rsid w:val="007D4342"/>
    <w:rsid w:val="007D43A5"/>
    <w:rsid w:val="007D4A2D"/>
    <w:rsid w:val="007D5739"/>
    <w:rsid w:val="007D5A0D"/>
    <w:rsid w:val="007D5AAD"/>
    <w:rsid w:val="007D5B3B"/>
    <w:rsid w:val="007D6974"/>
    <w:rsid w:val="007D7B4A"/>
    <w:rsid w:val="007D7ECA"/>
    <w:rsid w:val="007D7F35"/>
    <w:rsid w:val="007E086A"/>
    <w:rsid w:val="007E0AC3"/>
    <w:rsid w:val="007E0DC0"/>
    <w:rsid w:val="007E0FAF"/>
    <w:rsid w:val="007E0FD5"/>
    <w:rsid w:val="007E13A4"/>
    <w:rsid w:val="007E15B4"/>
    <w:rsid w:val="007E1CB2"/>
    <w:rsid w:val="007E305F"/>
    <w:rsid w:val="007E4FD4"/>
    <w:rsid w:val="007E5F65"/>
    <w:rsid w:val="007F015D"/>
    <w:rsid w:val="007F0EF3"/>
    <w:rsid w:val="007F163A"/>
    <w:rsid w:val="007F1657"/>
    <w:rsid w:val="007F2F27"/>
    <w:rsid w:val="007F2F98"/>
    <w:rsid w:val="007F329F"/>
    <w:rsid w:val="007F3340"/>
    <w:rsid w:val="007F3CA6"/>
    <w:rsid w:val="007F3CBF"/>
    <w:rsid w:val="007F3FF3"/>
    <w:rsid w:val="007F4452"/>
    <w:rsid w:val="007F49D2"/>
    <w:rsid w:val="007F5756"/>
    <w:rsid w:val="007F5B3A"/>
    <w:rsid w:val="007F5E39"/>
    <w:rsid w:val="007F61D0"/>
    <w:rsid w:val="007F7165"/>
    <w:rsid w:val="007F762F"/>
    <w:rsid w:val="008001F3"/>
    <w:rsid w:val="008006D8"/>
    <w:rsid w:val="00800878"/>
    <w:rsid w:val="00800A05"/>
    <w:rsid w:val="00801A93"/>
    <w:rsid w:val="00801B12"/>
    <w:rsid w:val="008037BD"/>
    <w:rsid w:val="00803EE2"/>
    <w:rsid w:val="00804038"/>
    <w:rsid w:val="00804FD1"/>
    <w:rsid w:val="00805308"/>
    <w:rsid w:val="00805348"/>
    <w:rsid w:val="00805771"/>
    <w:rsid w:val="00805C68"/>
    <w:rsid w:val="00807832"/>
    <w:rsid w:val="00807B27"/>
    <w:rsid w:val="00807DA7"/>
    <w:rsid w:val="00807DDC"/>
    <w:rsid w:val="00807F43"/>
    <w:rsid w:val="00810A8D"/>
    <w:rsid w:val="00810F19"/>
    <w:rsid w:val="008121FD"/>
    <w:rsid w:val="0081258D"/>
    <w:rsid w:val="008144A5"/>
    <w:rsid w:val="00816B61"/>
    <w:rsid w:val="008179F9"/>
    <w:rsid w:val="00817AE8"/>
    <w:rsid w:val="00817EC4"/>
    <w:rsid w:val="00821B77"/>
    <w:rsid w:val="00821D84"/>
    <w:rsid w:val="008220F7"/>
    <w:rsid w:val="00822901"/>
    <w:rsid w:val="00822AF1"/>
    <w:rsid w:val="00823559"/>
    <w:rsid w:val="008249BE"/>
    <w:rsid w:val="00824A0D"/>
    <w:rsid w:val="00824BC4"/>
    <w:rsid w:val="00824F16"/>
    <w:rsid w:val="0082581C"/>
    <w:rsid w:val="00825E64"/>
    <w:rsid w:val="00826376"/>
    <w:rsid w:val="008270A0"/>
    <w:rsid w:val="00827228"/>
    <w:rsid w:val="00827AE9"/>
    <w:rsid w:val="00827B76"/>
    <w:rsid w:val="008301FD"/>
    <w:rsid w:val="00830B78"/>
    <w:rsid w:val="00831C73"/>
    <w:rsid w:val="00831D60"/>
    <w:rsid w:val="00831ED5"/>
    <w:rsid w:val="008321F8"/>
    <w:rsid w:val="00832924"/>
    <w:rsid w:val="00832B58"/>
    <w:rsid w:val="00833F8A"/>
    <w:rsid w:val="008345D9"/>
    <w:rsid w:val="00835005"/>
    <w:rsid w:val="0083559D"/>
    <w:rsid w:val="00835683"/>
    <w:rsid w:val="00836083"/>
    <w:rsid w:val="008366F3"/>
    <w:rsid w:val="00837A56"/>
    <w:rsid w:val="008413AB"/>
    <w:rsid w:val="00842E9B"/>
    <w:rsid w:val="00844153"/>
    <w:rsid w:val="0084462A"/>
    <w:rsid w:val="00844726"/>
    <w:rsid w:val="00844D3B"/>
    <w:rsid w:val="00845BDD"/>
    <w:rsid w:val="008473C8"/>
    <w:rsid w:val="00847CA1"/>
    <w:rsid w:val="00847E78"/>
    <w:rsid w:val="00850F1F"/>
    <w:rsid w:val="0085222C"/>
    <w:rsid w:val="00852DCA"/>
    <w:rsid w:val="00852F7A"/>
    <w:rsid w:val="00853C60"/>
    <w:rsid w:val="00853F2A"/>
    <w:rsid w:val="00854220"/>
    <w:rsid w:val="008545F2"/>
    <w:rsid w:val="00855550"/>
    <w:rsid w:val="00856624"/>
    <w:rsid w:val="008569AD"/>
    <w:rsid w:val="00856B7C"/>
    <w:rsid w:val="0085792C"/>
    <w:rsid w:val="0085793F"/>
    <w:rsid w:val="00857FF9"/>
    <w:rsid w:val="00860414"/>
    <w:rsid w:val="008605E7"/>
    <w:rsid w:val="00861FF7"/>
    <w:rsid w:val="0086438F"/>
    <w:rsid w:val="00864C51"/>
    <w:rsid w:val="00864D8C"/>
    <w:rsid w:val="0086555E"/>
    <w:rsid w:val="008657D5"/>
    <w:rsid w:val="0086651F"/>
    <w:rsid w:val="008703BB"/>
    <w:rsid w:val="00870A9D"/>
    <w:rsid w:val="00871A21"/>
    <w:rsid w:val="0087308F"/>
    <w:rsid w:val="008735EB"/>
    <w:rsid w:val="008746B5"/>
    <w:rsid w:val="00875E65"/>
    <w:rsid w:val="00876F3E"/>
    <w:rsid w:val="00880FBD"/>
    <w:rsid w:val="0088182B"/>
    <w:rsid w:val="0088205C"/>
    <w:rsid w:val="008832F8"/>
    <w:rsid w:val="008858D1"/>
    <w:rsid w:val="008877AB"/>
    <w:rsid w:val="0089114E"/>
    <w:rsid w:val="008911D5"/>
    <w:rsid w:val="008915F3"/>
    <w:rsid w:val="00891BDB"/>
    <w:rsid w:val="00891E4D"/>
    <w:rsid w:val="00891F14"/>
    <w:rsid w:val="00892AFD"/>
    <w:rsid w:val="008931CC"/>
    <w:rsid w:val="0089490E"/>
    <w:rsid w:val="00894B55"/>
    <w:rsid w:val="0089548F"/>
    <w:rsid w:val="0089678B"/>
    <w:rsid w:val="00897744"/>
    <w:rsid w:val="008A0346"/>
    <w:rsid w:val="008A0808"/>
    <w:rsid w:val="008A11C0"/>
    <w:rsid w:val="008A1D71"/>
    <w:rsid w:val="008A226E"/>
    <w:rsid w:val="008A26E2"/>
    <w:rsid w:val="008A32E0"/>
    <w:rsid w:val="008A377C"/>
    <w:rsid w:val="008A3D9C"/>
    <w:rsid w:val="008A4493"/>
    <w:rsid w:val="008A53C5"/>
    <w:rsid w:val="008A5739"/>
    <w:rsid w:val="008A63E4"/>
    <w:rsid w:val="008B009F"/>
    <w:rsid w:val="008B067F"/>
    <w:rsid w:val="008B0C2B"/>
    <w:rsid w:val="008B1355"/>
    <w:rsid w:val="008B1D69"/>
    <w:rsid w:val="008B39EB"/>
    <w:rsid w:val="008B3D5C"/>
    <w:rsid w:val="008B4A89"/>
    <w:rsid w:val="008B4D39"/>
    <w:rsid w:val="008B5229"/>
    <w:rsid w:val="008B56E3"/>
    <w:rsid w:val="008B7BC9"/>
    <w:rsid w:val="008C01A1"/>
    <w:rsid w:val="008C1804"/>
    <w:rsid w:val="008C1969"/>
    <w:rsid w:val="008C1EF2"/>
    <w:rsid w:val="008C1FB2"/>
    <w:rsid w:val="008C207B"/>
    <w:rsid w:val="008C258F"/>
    <w:rsid w:val="008C25C6"/>
    <w:rsid w:val="008C3DE4"/>
    <w:rsid w:val="008C4D0D"/>
    <w:rsid w:val="008C6625"/>
    <w:rsid w:val="008C7B2D"/>
    <w:rsid w:val="008D0F2E"/>
    <w:rsid w:val="008D1585"/>
    <w:rsid w:val="008D1C03"/>
    <w:rsid w:val="008D259F"/>
    <w:rsid w:val="008D285B"/>
    <w:rsid w:val="008D2978"/>
    <w:rsid w:val="008D29CD"/>
    <w:rsid w:val="008D2EDC"/>
    <w:rsid w:val="008D32A9"/>
    <w:rsid w:val="008D3944"/>
    <w:rsid w:val="008D3D31"/>
    <w:rsid w:val="008D3E5F"/>
    <w:rsid w:val="008D41C9"/>
    <w:rsid w:val="008D4C3A"/>
    <w:rsid w:val="008D4D8D"/>
    <w:rsid w:val="008D6002"/>
    <w:rsid w:val="008D7217"/>
    <w:rsid w:val="008D729C"/>
    <w:rsid w:val="008D789D"/>
    <w:rsid w:val="008D7DE0"/>
    <w:rsid w:val="008D7EF0"/>
    <w:rsid w:val="008E0215"/>
    <w:rsid w:val="008E0257"/>
    <w:rsid w:val="008E0A1C"/>
    <w:rsid w:val="008E0DAB"/>
    <w:rsid w:val="008E1282"/>
    <w:rsid w:val="008E1493"/>
    <w:rsid w:val="008E1AC0"/>
    <w:rsid w:val="008E1FCD"/>
    <w:rsid w:val="008E369E"/>
    <w:rsid w:val="008E4071"/>
    <w:rsid w:val="008E46D3"/>
    <w:rsid w:val="008E5125"/>
    <w:rsid w:val="008E5886"/>
    <w:rsid w:val="008E754E"/>
    <w:rsid w:val="008E7B27"/>
    <w:rsid w:val="008E7CEA"/>
    <w:rsid w:val="008F0698"/>
    <w:rsid w:val="008F17B0"/>
    <w:rsid w:val="008F271D"/>
    <w:rsid w:val="008F501D"/>
    <w:rsid w:val="008F5235"/>
    <w:rsid w:val="008F52F6"/>
    <w:rsid w:val="008F5A83"/>
    <w:rsid w:val="008F5B9C"/>
    <w:rsid w:val="008F6632"/>
    <w:rsid w:val="008F682E"/>
    <w:rsid w:val="008F69C7"/>
    <w:rsid w:val="008F7994"/>
    <w:rsid w:val="008F7B43"/>
    <w:rsid w:val="00901C9E"/>
    <w:rsid w:val="00901D07"/>
    <w:rsid w:val="00902060"/>
    <w:rsid w:val="00902A5B"/>
    <w:rsid w:val="00902D7F"/>
    <w:rsid w:val="00902F8D"/>
    <w:rsid w:val="00904B27"/>
    <w:rsid w:val="00904BE6"/>
    <w:rsid w:val="00904CBA"/>
    <w:rsid w:val="00904D7C"/>
    <w:rsid w:val="00906D58"/>
    <w:rsid w:val="009076A7"/>
    <w:rsid w:val="0091022A"/>
    <w:rsid w:val="00910CE9"/>
    <w:rsid w:val="009132AD"/>
    <w:rsid w:val="0091334E"/>
    <w:rsid w:val="0091431C"/>
    <w:rsid w:val="0091433C"/>
    <w:rsid w:val="00914410"/>
    <w:rsid w:val="00914DD8"/>
    <w:rsid w:val="00914E35"/>
    <w:rsid w:val="00915DA7"/>
    <w:rsid w:val="00915F31"/>
    <w:rsid w:val="0091613E"/>
    <w:rsid w:val="00917135"/>
    <w:rsid w:val="00917986"/>
    <w:rsid w:val="00917CFF"/>
    <w:rsid w:val="009205DA"/>
    <w:rsid w:val="009206F0"/>
    <w:rsid w:val="00920966"/>
    <w:rsid w:val="00921443"/>
    <w:rsid w:val="00922532"/>
    <w:rsid w:val="0092286F"/>
    <w:rsid w:val="00922D59"/>
    <w:rsid w:val="009231B3"/>
    <w:rsid w:val="00923256"/>
    <w:rsid w:val="0092395E"/>
    <w:rsid w:val="00924023"/>
    <w:rsid w:val="0092423B"/>
    <w:rsid w:val="009244B2"/>
    <w:rsid w:val="0092637B"/>
    <w:rsid w:val="00927096"/>
    <w:rsid w:val="0092780A"/>
    <w:rsid w:val="00927DA2"/>
    <w:rsid w:val="009318AD"/>
    <w:rsid w:val="00931AE2"/>
    <w:rsid w:val="0093330F"/>
    <w:rsid w:val="009336C7"/>
    <w:rsid w:val="00933FC9"/>
    <w:rsid w:val="009357AE"/>
    <w:rsid w:val="009357E0"/>
    <w:rsid w:val="0094041B"/>
    <w:rsid w:val="00940F70"/>
    <w:rsid w:val="00941387"/>
    <w:rsid w:val="0094153D"/>
    <w:rsid w:val="0094255D"/>
    <w:rsid w:val="00942FC2"/>
    <w:rsid w:val="009445DD"/>
    <w:rsid w:val="00945F6B"/>
    <w:rsid w:val="00946013"/>
    <w:rsid w:val="00947695"/>
    <w:rsid w:val="009476B7"/>
    <w:rsid w:val="00950791"/>
    <w:rsid w:val="0095169E"/>
    <w:rsid w:val="0095259C"/>
    <w:rsid w:val="00952F16"/>
    <w:rsid w:val="00953603"/>
    <w:rsid w:val="00953876"/>
    <w:rsid w:val="00953C30"/>
    <w:rsid w:val="00953D4F"/>
    <w:rsid w:val="00953D99"/>
    <w:rsid w:val="0095423C"/>
    <w:rsid w:val="00954511"/>
    <w:rsid w:val="00954988"/>
    <w:rsid w:val="00955CC6"/>
    <w:rsid w:val="009569E1"/>
    <w:rsid w:val="009571C6"/>
    <w:rsid w:val="0096051E"/>
    <w:rsid w:val="009611DC"/>
    <w:rsid w:val="00961435"/>
    <w:rsid w:val="009614B9"/>
    <w:rsid w:val="00961B5B"/>
    <w:rsid w:val="00961C6D"/>
    <w:rsid w:val="009625BD"/>
    <w:rsid w:val="009634A6"/>
    <w:rsid w:val="00963BB0"/>
    <w:rsid w:val="00965753"/>
    <w:rsid w:val="009657AC"/>
    <w:rsid w:val="00965AB4"/>
    <w:rsid w:val="00967E3C"/>
    <w:rsid w:val="009701B7"/>
    <w:rsid w:val="00970DDE"/>
    <w:rsid w:val="00972B53"/>
    <w:rsid w:val="00972D86"/>
    <w:rsid w:val="00973A10"/>
    <w:rsid w:val="00974A95"/>
    <w:rsid w:val="009759EB"/>
    <w:rsid w:val="00976369"/>
    <w:rsid w:val="00976444"/>
    <w:rsid w:val="00977021"/>
    <w:rsid w:val="0098031D"/>
    <w:rsid w:val="009838F6"/>
    <w:rsid w:val="00984B98"/>
    <w:rsid w:val="00984C9B"/>
    <w:rsid w:val="00985049"/>
    <w:rsid w:val="00985097"/>
    <w:rsid w:val="0098525D"/>
    <w:rsid w:val="009870C5"/>
    <w:rsid w:val="00987261"/>
    <w:rsid w:val="009874F9"/>
    <w:rsid w:val="00990333"/>
    <w:rsid w:val="00990942"/>
    <w:rsid w:val="0099190A"/>
    <w:rsid w:val="009922DE"/>
    <w:rsid w:val="00992537"/>
    <w:rsid w:val="009932CB"/>
    <w:rsid w:val="00994401"/>
    <w:rsid w:val="009955BC"/>
    <w:rsid w:val="00995B40"/>
    <w:rsid w:val="00996840"/>
    <w:rsid w:val="00996BB9"/>
    <w:rsid w:val="00996BBA"/>
    <w:rsid w:val="0099727E"/>
    <w:rsid w:val="009A041F"/>
    <w:rsid w:val="009A0E27"/>
    <w:rsid w:val="009A11B9"/>
    <w:rsid w:val="009A12C4"/>
    <w:rsid w:val="009A2C3C"/>
    <w:rsid w:val="009A36A4"/>
    <w:rsid w:val="009A399C"/>
    <w:rsid w:val="009A4539"/>
    <w:rsid w:val="009A6363"/>
    <w:rsid w:val="009A664A"/>
    <w:rsid w:val="009A6CF9"/>
    <w:rsid w:val="009A6E95"/>
    <w:rsid w:val="009A77B0"/>
    <w:rsid w:val="009B09DF"/>
    <w:rsid w:val="009B0B41"/>
    <w:rsid w:val="009B0E82"/>
    <w:rsid w:val="009B12AD"/>
    <w:rsid w:val="009B18B5"/>
    <w:rsid w:val="009B1E73"/>
    <w:rsid w:val="009B24F2"/>
    <w:rsid w:val="009B2866"/>
    <w:rsid w:val="009B4770"/>
    <w:rsid w:val="009B5A91"/>
    <w:rsid w:val="009B5CCD"/>
    <w:rsid w:val="009B7A54"/>
    <w:rsid w:val="009C0036"/>
    <w:rsid w:val="009C0E3E"/>
    <w:rsid w:val="009C14FF"/>
    <w:rsid w:val="009C1580"/>
    <w:rsid w:val="009C24D5"/>
    <w:rsid w:val="009C28F2"/>
    <w:rsid w:val="009C2EB5"/>
    <w:rsid w:val="009C2F78"/>
    <w:rsid w:val="009C5274"/>
    <w:rsid w:val="009C5E0F"/>
    <w:rsid w:val="009C6114"/>
    <w:rsid w:val="009C6772"/>
    <w:rsid w:val="009C6BF1"/>
    <w:rsid w:val="009C7153"/>
    <w:rsid w:val="009C79C1"/>
    <w:rsid w:val="009D205E"/>
    <w:rsid w:val="009D2C93"/>
    <w:rsid w:val="009D340C"/>
    <w:rsid w:val="009D3A5C"/>
    <w:rsid w:val="009D44EB"/>
    <w:rsid w:val="009D510D"/>
    <w:rsid w:val="009D7717"/>
    <w:rsid w:val="009D7830"/>
    <w:rsid w:val="009E040B"/>
    <w:rsid w:val="009E0594"/>
    <w:rsid w:val="009E108F"/>
    <w:rsid w:val="009E12F9"/>
    <w:rsid w:val="009E181A"/>
    <w:rsid w:val="009E1E62"/>
    <w:rsid w:val="009E27E0"/>
    <w:rsid w:val="009E315F"/>
    <w:rsid w:val="009E415E"/>
    <w:rsid w:val="009E430F"/>
    <w:rsid w:val="009E478C"/>
    <w:rsid w:val="009E5265"/>
    <w:rsid w:val="009E5B71"/>
    <w:rsid w:val="009E60CC"/>
    <w:rsid w:val="009E61A7"/>
    <w:rsid w:val="009E61D7"/>
    <w:rsid w:val="009E719F"/>
    <w:rsid w:val="009E7215"/>
    <w:rsid w:val="009F143B"/>
    <w:rsid w:val="009F1664"/>
    <w:rsid w:val="009F2F70"/>
    <w:rsid w:val="009F309E"/>
    <w:rsid w:val="009F3B4F"/>
    <w:rsid w:val="009F42A9"/>
    <w:rsid w:val="009F4E8E"/>
    <w:rsid w:val="009F52BE"/>
    <w:rsid w:val="009F530F"/>
    <w:rsid w:val="009F67DC"/>
    <w:rsid w:val="009F682E"/>
    <w:rsid w:val="009F6EE5"/>
    <w:rsid w:val="009F7D7D"/>
    <w:rsid w:val="00A01338"/>
    <w:rsid w:val="00A02794"/>
    <w:rsid w:val="00A02D07"/>
    <w:rsid w:val="00A04EA8"/>
    <w:rsid w:val="00A052A2"/>
    <w:rsid w:val="00A0540E"/>
    <w:rsid w:val="00A05A8F"/>
    <w:rsid w:val="00A05E20"/>
    <w:rsid w:val="00A06568"/>
    <w:rsid w:val="00A069F9"/>
    <w:rsid w:val="00A0798A"/>
    <w:rsid w:val="00A07AE0"/>
    <w:rsid w:val="00A10523"/>
    <w:rsid w:val="00A10863"/>
    <w:rsid w:val="00A11576"/>
    <w:rsid w:val="00A116C5"/>
    <w:rsid w:val="00A12CFA"/>
    <w:rsid w:val="00A13AED"/>
    <w:rsid w:val="00A13D69"/>
    <w:rsid w:val="00A150C0"/>
    <w:rsid w:val="00A16F24"/>
    <w:rsid w:val="00A16FA1"/>
    <w:rsid w:val="00A174C4"/>
    <w:rsid w:val="00A174FC"/>
    <w:rsid w:val="00A17718"/>
    <w:rsid w:val="00A177AD"/>
    <w:rsid w:val="00A17B4F"/>
    <w:rsid w:val="00A206AB"/>
    <w:rsid w:val="00A2077C"/>
    <w:rsid w:val="00A21B14"/>
    <w:rsid w:val="00A223E1"/>
    <w:rsid w:val="00A22A94"/>
    <w:rsid w:val="00A23C72"/>
    <w:rsid w:val="00A23EB4"/>
    <w:rsid w:val="00A25142"/>
    <w:rsid w:val="00A254CF"/>
    <w:rsid w:val="00A25B0A"/>
    <w:rsid w:val="00A25E97"/>
    <w:rsid w:val="00A27816"/>
    <w:rsid w:val="00A27DF3"/>
    <w:rsid w:val="00A3015D"/>
    <w:rsid w:val="00A317F5"/>
    <w:rsid w:val="00A3243C"/>
    <w:rsid w:val="00A32D44"/>
    <w:rsid w:val="00A33040"/>
    <w:rsid w:val="00A33C12"/>
    <w:rsid w:val="00A35638"/>
    <w:rsid w:val="00A36CA0"/>
    <w:rsid w:val="00A3706E"/>
    <w:rsid w:val="00A37C38"/>
    <w:rsid w:val="00A40AAE"/>
    <w:rsid w:val="00A410CD"/>
    <w:rsid w:val="00A41506"/>
    <w:rsid w:val="00A42C82"/>
    <w:rsid w:val="00A42CD1"/>
    <w:rsid w:val="00A42EAD"/>
    <w:rsid w:val="00A438FE"/>
    <w:rsid w:val="00A44533"/>
    <w:rsid w:val="00A44FB7"/>
    <w:rsid w:val="00A46EE5"/>
    <w:rsid w:val="00A475B6"/>
    <w:rsid w:val="00A515A5"/>
    <w:rsid w:val="00A51940"/>
    <w:rsid w:val="00A5194C"/>
    <w:rsid w:val="00A51E84"/>
    <w:rsid w:val="00A52517"/>
    <w:rsid w:val="00A533CC"/>
    <w:rsid w:val="00A5363B"/>
    <w:rsid w:val="00A540E1"/>
    <w:rsid w:val="00A546DC"/>
    <w:rsid w:val="00A574FB"/>
    <w:rsid w:val="00A5773C"/>
    <w:rsid w:val="00A60106"/>
    <w:rsid w:val="00A60B81"/>
    <w:rsid w:val="00A6143C"/>
    <w:rsid w:val="00A620F0"/>
    <w:rsid w:val="00A62F1B"/>
    <w:rsid w:val="00A63510"/>
    <w:rsid w:val="00A63BB8"/>
    <w:rsid w:val="00A6468A"/>
    <w:rsid w:val="00A6496E"/>
    <w:rsid w:val="00A64979"/>
    <w:rsid w:val="00A65037"/>
    <w:rsid w:val="00A65093"/>
    <w:rsid w:val="00A65346"/>
    <w:rsid w:val="00A70139"/>
    <w:rsid w:val="00A70254"/>
    <w:rsid w:val="00A7100A"/>
    <w:rsid w:val="00A719CB"/>
    <w:rsid w:val="00A71C51"/>
    <w:rsid w:val="00A71D22"/>
    <w:rsid w:val="00A72537"/>
    <w:rsid w:val="00A72981"/>
    <w:rsid w:val="00A72BB7"/>
    <w:rsid w:val="00A73159"/>
    <w:rsid w:val="00A738E6"/>
    <w:rsid w:val="00A740C0"/>
    <w:rsid w:val="00A744E1"/>
    <w:rsid w:val="00A74F7C"/>
    <w:rsid w:val="00A74FAB"/>
    <w:rsid w:val="00A75127"/>
    <w:rsid w:val="00A751FA"/>
    <w:rsid w:val="00A7656C"/>
    <w:rsid w:val="00A76F15"/>
    <w:rsid w:val="00A77005"/>
    <w:rsid w:val="00A80B5E"/>
    <w:rsid w:val="00A8113F"/>
    <w:rsid w:val="00A8123C"/>
    <w:rsid w:val="00A813A5"/>
    <w:rsid w:val="00A81744"/>
    <w:rsid w:val="00A8211B"/>
    <w:rsid w:val="00A8393E"/>
    <w:rsid w:val="00A8412E"/>
    <w:rsid w:val="00A84647"/>
    <w:rsid w:val="00A8483F"/>
    <w:rsid w:val="00A84BAA"/>
    <w:rsid w:val="00A85ABC"/>
    <w:rsid w:val="00A86E20"/>
    <w:rsid w:val="00A87EB3"/>
    <w:rsid w:val="00A90378"/>
    <w:rsid w:val="00A911C5"/>
    <w:rsid w:val="00A9135C"/>
    <w:rsid w:val="00A91CF5"/>
    <w:rsid w:val="00A92041"/>
    <w:rsid w:val="00A9204A"/>
    <w:rsid w:val="00A920E4"/>
    <w:rsid w:val="00A92DAF"/>
    <w:rsid w:val="00A932DB"/>
    <w:rsid w:val="00A9450B"/>
    <w:rsid w:val="00A9485C"/>
    <w:rsid w:val="00A959B6"/>
    <w:rsid w:val="00A9735A"/>
    <w:rsid w:val="00A97664"/>
    <w:rsid w:val="00AA0448"/>
    <w:rsid w:val="00AA1C3E"/>
    <w:rsid w:val="00AA1E45"/>
    <w:rsid w:val="00AA2FEF"/>
    <w:rsid w:val="00AA32E6"/>
    <w:rsid w:val="00AA400A"/>
    <w:rsid w:val="00AA527B"/>
    <w:rsid w:val="00AA6F0D"/>
    <w:rsid w:val="00AA7EA9"/>
    <w:rsid w:val="00AB0798"/>
    <w:rsid w:val="00AB0F0B"/>
    <w:rsid w:val="00AB10DC"/>
    <w:rsid w:val="00AB185D"/>
    <w:rsid w:val="00AB274F"/>
    <w:rsid w:val="00AB36B7"/>
    <w:rsid w:val="00AB397F"/>
    <w:rsid w:val="00AB4886"/>
    <w:rsid w:val="00AB4E74"/>
    <w:rsid w:val="00AB4F39"/>
    <w:rsid w:val="00AB5F26"/>
    <w:rsid w:val="00AB61E4"/>
    <w:rsid w:val="00AB6270"/>
    <w:rsid w:val="00AB62A8"/>
    <w:rsid w:val="00AB64FE"/>
    <w:rsid w:val="00AB71D2"/>
    <w:rsid w:val="00AC05D9"/>
    <w:rsid w:val="00AC0E69"/>
    <w:rsid w:val="00AC135E"/>
    <w:rsid w:val="00AC198A"/>
    <w:rsid w:val="00AC23FD"/>
    <w:rsid w:val="00AC3D14"/>
    <w:rsid w:val="00AC57B2"/>
    <w:rsid w:val="00AC5D2D"/>
    <w:rsid w:val="00AC6AA0"/>
    <w:rsid w:val="00AC6C1B"/>
    <w:rsid w:val="00AC6F7A"/>
    <w:rsid w:val="00AC6FC4"/>
    <w:rsid w:val="00AC72FC"/>
    <w:rsid w:val="00AC779B"/>
    <w:rsid w:val="00AD02DC"/>
    <w:rsid w:val="00AD0C62"/>
    <w:rsid w:val="00AD17FE"/>
    <w:rsid w:val="00AD2993"/>
    <w:rsid w:val="00AD3E6D"/>
    <w:rsid w:val="00AD4439"/>
    <w:rsid w:val="00AD5043"/>
    <w:rsid w:val="00AD50FC"/>
    <w:rsid w:val="00AD5E4A"/>
    <w:rsid w:val="00AD6019"/>
    <w:rsid w:val="00AD6C8B"/>
    <w:rsid w:val="00AD71F9"/>
    <w:rsid w:val="00AD7E7D"/>
    <w:rsid w:val="00AE0C3F"/>
    <w:rsid w:val="00AE0ED0"/>
    <w:rsid w:val="00AE1F41"/>
    <w:rsid w:val="00AE2971"/>
    <w:rsid w:val="00AE2987"/>
    <w:rsid w:val="00AE2AF0"/>
    <w:rsid w:val="00AE355F"/>
    <w:rsid w:val="00AE35B5"/>
    <w:rsid w:val="00AE3657"/>
    <w:rsid w:val="00AE3CEB"/>
    <w:rsid w:val="00AE5977"/>
    <w:rsid w:val="00AE5AD7"/>
    <w:rsid w:val="00AE5C25"/>
    <w:rsid w:val="00AE5C2B"/>
    <w:rsid w:val="00AE5F4D"/>
    <w:rsid w:val="00AE6164"/>
    <w:rsid w:val="00AE6616"/>
    <w:rsid w:val="00AE6F19"/>
    <w:rsid w:val="00AE7655"/>
    <w:rsid w:val="00AE7AF1"/>
    <w:rsid w:val="00AF1D77"/>
    <w:rsid w:val="00AF29DC"/>
    <w:rsid w:val="00AF2F49"/>
    <w:rsid w:val="00AF3A1C"/>
    <w:rsid w:val="00AF3C23"/>
    <w:rsid w:val="00AF41DD"/>
    <w:rsid w:val="00AF6901"/>
    <w:rsid w:val="00AF6F6B"/>
    <w:rsid w:val="00AF795D"/>
    <w:rsid w:val="00B002E8"/>
    <w:rsid w:val="00B017A2"/>
    <w:rsid w:val="00B01B10"/>
    <w:rsid w:val="00B03469"/>
    <w:rsid w:val="00B034DD"/>
    <w:rsid w:val="00B044CC"/>
    <w:rsid w:val="00B04E8A"/>
    <w:rsid w:val="00B05BE1"/>
    <w:rsid w:val="00B07699"/>
    <w:rsid w:val="00B07CFB"/>
    <w:rsid w:val="00B07ECB"/>
    <w:rsid w:val="00B1126B"/>
    <w:rsid w:val="00B11C4A"/>
    <w:rsid w:val="00B12057"/>
    <w:rsid w:val="00B129D4"/>
    <w:rsid w:val="00B12E95"/>
    <w:rsid w:val="00B14052"/>
    <w:rsid w:val="00B14449"/>
    <w:rsid w:val="00B1495D"/>
    <w:rsid w:val="00B14F95"/>
    <w:rsid w:val="00B15756"/>
    <w:rsid w:val="00B1655C"/>
    <w:rsid w:val="00B16832"/>
    <w:rsid w:val="00B17506"/>
    <w:rsid w:val="00B1785A"/>
    <w:rsid w:val="00B20D5E"/>
    <w:rsid w:val="00B2184A"/>
    <w:rsid w:val="00B22844"/>
    <w:rsid w:val="00B22DE7"/>
    <w:rsid w:val="00B23FDC"/>
    <w:rsid w:val="00B245AB"/>
    <w:rsid w:val="00B25AA0"/>
    <w:rsid w:val="00B25AB7"/>
    <w:rsid w:val="00B25DD1"/>
    <w:rsid w:val="00B25F5E"/>
    <w:rsid w:val="00B260BA"/>
    <w:rsid w:val="00B26BE5"/>
    <w:rsid w:val="00B275CC"/>
    <w:rsid w:val="00B2769E"/>
    <w:rsid w:val="00B27DB1"/>
    <w:rsid w:val="00B301A6"/>
    <w:rsid w:val="00B3068C"/>
    <w:rsid w:val="00B3086C"/>
    <w:rsid w:val="00B30F92"/>
    <w:rsid w:val="00B313C2"/>
    <w:rsid w:val="00B3178E"/>
    <w:rsid w:val="00B31CB8"/>
    <w:rsid w:val="00B31D36"/>
    <w:rsid w:val="00B32496"/>
    <w:rsid w:val="00B328CB"/>
    <w:rsid w:val="00B3408E"/>
    <w:rsid w:val="00B35DF2"/>
    <w:rsid w:val="00B35EE6"/>
    <w:rsid w:val="00B3601E"/>
    <w:rsid w:val="00B36677"/>
    <w:rsid w:val="00B36701"/>
    <w:rsid w:val="00B36FE3"/>
    <w:rsid w:val="00B37C3B"/>
    <w:rsid w:val="00B40DEF"/>
    <w:rsid w:val="00B40E1F"/>
    <w:rsid w:val="00B41A49"/>
    <w:rsid w:val="00B42595"/>
    <w:rsid w:val="00B42D66"/>
    <w:rsid w:val="00B4386D"/>
    <w:rsid w:val="00B4448E"/>
    <w:rsid w:val="00B446F3"/>
    <w:rsid w:val="00B447F5"/>
    <w:rsid w:val="00B448D7"/>
    <w:rsid w:val="00B477CB"/>
    <w:rsid w:val="00B52F51"/>
    <w:rsid w:val="00B53227"/>
    <w:rsid w:val="00B53B58"/>
    <w:rsid w:val="00B549EA"/>
    <w:rsid w:val="00B54AF8"/>
    <w:rsid w:val="00B552C6"/>
    <w:rsid w:val="00B55C65"/>
    <w:rsid w:val="00B56D6A"/>
    <w:rsid w:val="00B570FD"/>
    <w:rsid w:val="00B57615"/>
    <w:rsid w:val="00B6027F"/>
    <w:rsid w:val="00B60EF5"/>
    <w:rsid w:val="00B613CF"/>
    <w:rsid w:val="00B61483"/>
    <w:rsid w:val="00B62C7E"/>
    <w:rsid w:val="00B62FBF"/>
    <w:rsid w:val="00B64687"/>
    <w:rsid w:val="00B659AB"/>
    <w:rsid w:val="00B66178"/>
    <w:rsid w:val="00B66B46"/>
    <w:rsid w:val="00B66D0E"/>
    <w:rsid w:val="00B67007"/>
    <w:rsid w:val="00B67ABF"/>
    <w:rsid w:val="00B701C5"/>
    <w:rsid w:val="00B7127A"/>
    <w:rsid w:val="00B718AC"/>
    <w:rsid w:val="00B71C76"/>
    <w:rsid w:val="00B71DD3"/>
    <w:rsid w:val="00B71FD9"/>
    <w:rsid w:val="00B7208C"/>
    <w:rsid w:val="00B72FC8"/>
    <w:rsid w:val="00B75DCD"/>
    <w:rsid w:val="00B767F3"/>
    <w:rsid w:val="00B7752C"/>
    <w:rsid w:val="00B80137"/>
    <w:rsid w:val="00B80807"/>
    <w:rsid w:val="00B80FF2"/>
    <w:rsid w:val="00B82ED6"/>
    <w:rsid w:val="00B849FF"/>
    <w:rsid w:val="00B84D5A"/>
    <w:rsid w:val="00B85BDE"/>
    <w:rsid w:val="00B86B36"/>
    <w:rsid w:val="00B902F6"/>
    <w:rsid w:val="00B90992"/>
    <w:rsid w:val="00B90CD5"/>
    <w:rsid w:val="00B9156A"/>
    <w:rsid w:val="00B9156F"/>
    <w:rsid w:val="00B926CA"/>
    <w:rsid w:val="00B926EB"/>
    <w:rsid w:val="00B928F9"/>
    <w:rsid w:val="00B93269"/>
    <w:rsid w:val="00B937C3"/>
    <w:rsid w:val="00B938DC"/>
    <w:rsid w:val="00B93F55"/>
    <w:rsid w:val="00B95B1F"/>
    <w:rsid w:val="00B95B46"/>
    <w:rsid w:val="00B96109"/>
    <w:rsid w:val="00B9620F"/>
    <w:rsid w:val="00B968AA"/>
    <w:rsid w:val="00B96AE6"/>
    <w:rsid w:val="00B96B93"/>
    <w:rsid w:val="00B97A8D"/>
    <w:rsid w:val="00B97B61"/>
    <w:rsid w:val="00BA02C6"/>
    <w:rsid w:val="00BA0480"/>
    <w:rsid w:val="00BA049C"/>
    <w:rsid w:val="00BA23EE"/>
    <w:rsid w:val="00BA3CBD"/>
    <w:rsid w:val="00BA4130"/>
    <w:rsid w:val="00BA42CD"/>
    <w:rsid w:val="00BA4613"/>
    <w:rsid w:val="00BA64F0"/>
    <w:rsid w:val="00BA6A7D"/>
    <w:rsid w:val="00BA701A"/>
    <w:rsid w:val="00BB0753"/>
    <w:rsid w:val="00BB0BDE"/>
    <w:rsid w:val="00BB0D31"/>
    <w:rsid w:val="00BB18F2"/>
    <w:rsid w:val="00BB2557"/>
    <w:rsid w:val="00BB2C25"/>
    <w:rsid w:val="00BB318E"/>
    <w:rsid w:val="00BB3CAB"/>
    <w:rsid w:val="00BB4817"/>
    <w:rsid w:val="00BB5337"/>
    <w:rsid w:val="00BC10A0"/>
    <w:rsid w:val="00BC2661"/>
    <w:rsid w:val="00BC34D9"/>
    <w:rsid w:val="00BC4133"/>
    <w:rsid w:val="00BC42A6"/>
    <w:rsid w:val="00BC5218"/>
    <w:rsid w:val="00BC5322"/>
    <w:rsid w:val="00BC576C"/>
    <w:rsid w:val="00BC5D6D"/>
    <w:rsid w:val="00BC5E22"/>
    <w:rsid w:val="00BC6752"/>
    <w:rsid w:val="00BD02B8"/>
    <w:rsid w:val="00BD0F73"/>
    <w:rsid w:val="00BD160E"/>
    <w:rsid w:val="00BD2BDC"/>
    <w:rsid w:val="00BD3685"/>
    <w:rsid w:val="00BD3F16"/>
    <w:rsid w:val="00BD41A6"/>
    <w:rsid w:val="00BD4A96"/>
    <w:rsid w:val="00BD4B00"/>
    <w:rsid w:val="00BD50DC"/>
    <w:rsid w:val="00BD5237"/>
    <w:rsid w:val="00BD609C"/>
    <w:rsid w:val="00BD6588"/>
    <w:rsid w:val="00BD6AF3"/>
    <w:rsid w:val="00BD7047"/>
    <w:rsid w:val="00BD71BF"/>
    <w:rsid w:val="00BD79DD"/>
    <w:rsid w:val="00BD7B75"/>
    <w:rsid w:val="00BE1D70"/>
    <w:rsid w:val="00BE39DA"/>
    <w:rsid w:val="00BE459E"/>
    <w:rsid w:val="00BE4DFC"/>
    <w:rsid w:val="00BE4FBF"/>
    <w:rsid w:val="00BE58F2"/>
    <w:rsid w:val="00BE6826"/>
    <w:rsid w:val="00BE721E"/>
    <w:rsid w:val="00BF03A6"/>
    <w:rsid w:val="00BF05D0"/>
    <w:rsid w:val="00BF13F1"/>
    <w:rsid w:val="00BF1F01"/>
    <w:rsid w:val="00BF2635"/>
    <w:rsid w:val="00BF265E"/>
    <w:rsid w:val="00BF2704"/>
    <w:rsid w:val="00BF30A9"/>
    <w:rsid w:val="00BF3733"/>
    <w:rsid w:val="00BF3B89"/>
    <w:rsid w:val="00BF3DA1"/>
    <w:rsid w:val="00BF3FCB"/>
    <w:rsid w:val="00BF4A2E"/>
    <w:rsid w:val="00BF5066"/>
    <w:rsid w:val="00BF5146"/>
    <w:rsid w:val="00BF5215"/>
    <w:rsid w:val="00BF5461"/>
    <w:rsid w:val="00BF5661"/>
    <w:rsid w:val="00BF6622"/>
    <w:rsid w:val="00BF68FD"/>
    <w:rsid w:val="00BF7806"/>
    <w:rsid w:val="00BF7EC6"/>
    <w:rsid w:val="00BF7F23"/>
    <w:rsid w:val="00C0056A"/>
    <w:rsid w:val="00C00F63"/>
    <w:rsid w:val="00C013EF"/>
    <w:rsid w:val="00C026F4"/>
    <w:rsid w:val="00C02892"/>
    <w:rsid w:val="00C0344F"/>
    <w:rsid w:val="00C035F1"/>
    <w:rsid w:val="00C038A6"/>
    <w:rsid w:val="00C05983"/>
    <w:rsid w:val="00C05F79"/>
    <w:rsid w:val="00C0647F"/>
    <w:rsid w:val="00C06E2C"/>
    <w:rsid w:val="00C0726B"/>
    <w:rsid w:val="00C102E5"/>
    <w:rsid w:val="00C10347"/>
    <w:rsid w:val="00C10E27"/>
    <w:rsid w:val="00C1117D"/>
    <w:rsid w:val="00C116E6"/>
    <w:rsid w:val="00C11B41"/>
    <w:rsid w:val="00C11B62"/>
    <w:rsid w:val="00C13432"/>
    <w:rsid w:val="00C1372B"/>
    <w:rsid w:val="00C13B01"/>
    <w:rsid w:val="00C142A7"/>
    <w:rsid w:val="00C14773"/>
    <w:rsid w:val="00C1498A"/>
    <w:rsid w:val="00C163C2"/>
    <w:rsid w:val="00C16EF7"/>
    <w:rsid w:val="00C170B7"/>
    <w:rsid w:val="00C209FA"/>
    <w:rsid w:val="00C20AF8"/>
    <w:rsid w:val="00C212E0"/>
    <w:rsid w:val="00C2173D"/>
    <w:rsid w:val="00C2174A"/>
    <w:rsid w:val="00C21933"/>
    <w:rsid w:val="00C21A78"/>
    <w:rsid w:val="00C2244B"/>
    <w:rsid w:val="00C22796"/>
    <w:rsid w:val="00C22CAF"/>
    <w:rsid w:val="00C233A4"/>
    <w:rsid w:val="00C24C48"/>
    <w:rsid w:val="00C25196"/>
    <w:rsid w:val="00C262B5"/>
    <w:rsid w:val="00C266FD"/>
    <w:rsid w:val="00C26D1F"/>
    <w:rsid w:val="00C306E0"/>
    <w:rsid w:val="00C309E1"/>
    <w:rsid w:val="00C30BC2"/>
    <w:rsid w:val="00C319A5"/>
    <w:rsid w:val="00C31DB1"/>
    <w:rsid w:val="00C32338"/>
    <w:rsid w:val="00C329AB"/>
    <w:rsid w:val="00C3477B"/>
    <w:rsid w:val="00C348F6"/>
    <w:rsid w:val="00C349EA"/>
    <w:rsid w:val="00C34AAA"/>
    <w:rsid w:val="00C36813"/>
    <w:rsid w:val="00C368E4"/>
    <w:rsid w:val="00C371CF"/>
    <w:rsid w:val="00C379BF"/>
    <w:rsid w:val="00C404F5"/>
    <w:rsid w:val="00C41C8A"/>
    <w:rsid w:val="00C421D9"/>
    <w:rsid w:val="00C42750"/>
    <w:rsid w:val="00C42CF8"/>
    <w:rsid w:val="00C437B0"/>
    <w:rsid w:val="00C4469F"/>
    <w:rsid w:val="00C44B8C"/>
    <w:rsid w:val="00C44DB7"/>
    <w:rsid w:val="00C46772"/>
    <w:rsid w:val="00C47119"/>
    <w:rsid w:val="00C51EE9"/>
    <w:rsid w:val="00C52D4D"/>
    <w:rsid w:val="00C52F0E"/>
    <w:rsid w:val="00C5319A"/>
    <w:rsid w:val="00C537F6"/>
    <w:rsid w:val="00C539E6"/>
    <w:rsid w:val="00C568F5"/>
    <w:rsid w:val="00C57D5C"/>
    <w:rsid w:val="00C57DB4"/>
    <w:rsid w:val="00C6064B"/>
    <w:rsid w:val="00C60B35"/>
    <w:rsid w:val="00C60ECA"/>
    <w:rsid w:val="00C6304B"/>
    <w:rsid w:val="00C64B83"/>
    <w:rsid w:val="00C65254"/>
    <w:rsid w:val="00C65365"/>
    <w:rsid w:val="00C65659"/>
    <w:rsid w:val="00C657E1"/>
    <w:rsid w:val="00C65D18"/>
    <w:rsid w:val="00C6603C"/>
    <w:rsid w:val="00C663BE"/>
    <w:rsid w:val="00C722C8"/>
    <w:rsid w:val="00C72318"/>
    <w:rsid w:val="00C72C81"/>
    <w:rsid w:val="00C730D4"/>
    <w:rsid w:val="00C732AB"/>
    <w:rsid w:val="00C74005"/>
    <w:rsid w:val="00C74501"/>
    <w:rsid w:val="00C7609B"/>
    <w:rsid w:val="00C7629C"/>
    <w:rsid w:val="00C76503"/>
    <w:rsid w:val="00C776DF"/>
    <w:rsid w:val="00C7781E"/>
    <w:rsid w:val="00C77B2C"/>
    <w:rsid w:val="00C80B28"/>
    <w:rsid w:val="00C8427C"/>
    <w:rsid w:val="00C843C9"/>
    <w:rsid w:val="00C84A6D"/>
    <w:rsid w:val="00C856C9"/>
    <w:rsid w:val="00C860AF"/>
    <w:rsid w:val="00C86775"/>
    <w:rsid w:val="00C86C62"/>
    <w:rsid w:val="00C86E9F"/>
    <w:rsid w:val="00C877E8"/>
    <w:rsid w:val="00C90398"/>
    <w:rsid w:val="00C9051A"/>
    <w:rsid w:val="00C9055C"/>
    <w:rsid w:val="00C9226C"/>
    <w:rsid w:val="00C92D92"/>
    <w:rsid w:val="00C93017"/>
    <w:rsid w:val="00C95CD8"/>
    <w:rsid w:val="00C96B96"/>
    <w:rsid w:val="00C97BF9"/>
    <w:rsid w:val="00C97EB2"/>
    <w:rsid w:val="00CA0DCF"/>
    <w:rsid w:val="00CA1138"/>
    <w:rsid w:val="00CA1283"/>
    <w:rsid w:val="00CA129B"/>
    <w:rsid w:val="00CA1F70"/>
    <w:rsid w:val="00CA2D95"/>
    <w:rsid w:val="00CA3225"/>
    <w:rsid w:val="00CA46A9"/>
    <w:rsid w:val="00CA46F9"/>
    <w:rsid w:val="00CA485E"/>
    <w:rsid w:val="00CA4E2B"/>
    <w:rsid w:val="00CA5109"/>
    <w:rsid w:val="00CA5F69"/>
    <w:rsid w:val="00CA6FCC"/>
    <w:rsid w:val="00CB0854"/>
    <w:rsid w:val="00CB0C07"/>
    <w:rsid w:val="00CB0C4A"/>
    <w:rsid w:val="00CB2283"/>
    <w:rsid w:val="00CB26E0"/>
    <w:rsid w:val="00CB295A"/>
    <w:rsid w:val="00CB2DCD"/>
    <w:rsid w:val="00CB39AB"/>
    <w:rsid w:val="00CB41F8"/>
    <w:rsid w:val="00CB4C60"/>
    <w:rsid w:val="00CB4C6F"/>
    <w:rsid w:val="00CB50E7"/>
    <w:rsid w:val="00CB522F"/>
    <w:rsid w:val="00CB5813"/>
    <w:rsid w:val="00CB6206"/>
    <w:rsid w:val="00CB62A8"/>
    <w:rsid w:val="00CB6561"/>
    <w:rsid w:val="00CB6CAB"/>
    <w:rsid w:val="00CB72D4"/>
    <w:rsid w:val="00CB7AC2"/>
    <w:rsid w:val="00CC0A9A"/>
    <w:rsid w:val="00CC10F6"/>
    <w:rsid w:val="00CC2243"/>
    <w:rsid w:val="00CC2DA7"/>
    <w:rsid w:val="00CC3148"/>
    <w:rsid w:val="00CC38D7"/>
    <w:rsid w:val="00CC4110"/>
    <w:rsid w:val="00CC42E4"/>
    <w:rsid w:val="00CC4E32"/>
    <w:rsid w:val="00CC5B1C"/>
    <w:rsid w:val="00CC5C60"/>
    <w:rsid w:val="00CC64C4"/>
    <w:rsid w:val="00CC76D1"/>
    <w:rsid w:val="00CC7807"/>
    <w:rsid w:val="00CC7FDC"/>
    <w:rsid w:val="00CD0808"/>
    <w:rsid w:val="00CD0B4A"/>
    <w:rsid w:val="00CD0BAF"/>
    <w:rsid w:val="00CD0DFB"/>
    <w:rsid w:val="00CD18D0"/>
    <w:rsid w:val="00CD1CED"/>
    <w:rsid w:val="00CD24F3"/>
    <w:rsid w:val="00CD389D"/>
    <w:rsid w:val="00CD3A22"/>
    <w:rsid w:val="00CD44D7"/>
    <w:rsid w:val="00CD4DF5"/>
    <w:rsid w:val="00CD562B"/>
    <w:rsid w:val="00CD6693"/>
    <w:rsid w:val="00CD693C"/>
    <w:rsid w:val="00CE0ED0"/>
    <w:rsid w:val="00CE1087"/>
    <w:rsid w:val="00CE1802"/>
    <w:rsid w:val="00CE20D5"/>
    <w:rsid w:val="00CE22B8"/>
    <w:rsid w:val="00CE2908"/>
    <w:rsid w:val="00CE3068"/>
    <w:rsid w:val="00CE3147"/>
    <w:rsid w:val="00CE4157"/>
    <w:rsid w:val="00CE54C2"/>
    <w:rsid w:val="00CE5E1D"/>
    <w:rsid w:val="00CE5E9B"/>
    <w:rsid w:val="00CE7512"/>
    <w:rsid w:val="00CE79E4"/>
    <w:rsid w:val="00CE7C51"/>
    <w:rsid w:val="00CF21D5"/>
    <w:rsid w:val="00CF2417"/>
    <w:rsid w:val="00CF3162"/>
    <w:rsid w:val="00CF3D91"/>
    <w:rsid w:val="00CF4588"/>
    <w:rsid w:val="00CF4D9A"/>
    <w:rsid w:val="00CF55CF"/>
    <w:rsid w:val="00CF642D"/>
    <w:rsid w:val="00CF78D4"/>
    <w:rsid w:val="00D0037E"/>
    <w:rsid w:val="00D00AF5"/>
    <w:rsid w:val="00D00B99"/>
    <w:rsid w:val="00D00EF9"/>
    <w:rsid w:val="00D0129A"/>
    <w:rsid w:val="00D01978"/>
    <w:rsid w:val="00D021FC"/>
    <w:rsid w:val="00D023F3"/>
    <w:rsid w:val="00D02411"/>
    <w:rsid w:val="00D0245E"/>
    <w:rsid w:val="00D029F3"/>
    <w:rsid w:val="00D02C1F"/>
    <w:rsid w:val="00D04E78"/>
    <w:rsid w:val="00D05012"/>
    <w:rsid w:val="00D0629A"/>
    <w:rsid w:val="00D066E0"/>
    <w:rsid w:val="00D06E06"/>
    <w:rsid w:val="00D07080"/>
    <w:rsid w:val="00D07106"/>
    <w:rsid w:val="00D07CA6"/>
    <w:rsid w:val="00D07FC6"/>
    <w:rsid w:val="00D10619"/>
    <w:rsid w:val="00D117EB"/>
    <w:rsid w:val="00D118C5"/>
    <w:rsid w:val="00D13E4A"/>
    <w:rsid w:val="00D15912"/>
    <w:rsid w:val="00D17568"/>
    <w:rsid w:val="00D1792F"/>
    <w:rsid w:val="00D20316"/>
    <w:rsid w:val="00D20AA4"/>
    <w:rsid w:val="00D20E60"/>
    <w:rsid w:val="00D2101E"/>
    <w:rsid w:val="00D218DA"/>
    <w:rsid w:val="00D22A09"/>
    <w:rsid w:val="00D235A4"/>
    <w:rsid w:val="00D23991"/>
    <w:rsid w:val="00D23E63"/>
    <w:rsid w:val="00D24052"/>
    <w:rsid w:val="00D2525B"/>
    <w:rsid w:val="00D25267"/>
    <w:rsid w:val="00D25891"/>
    <w:rsid w:val="00D26601"/>
    <w:rsid w:val="00D27991"/>
    <w:rsid w:val="00D279A5"/>
    <w:rsid w:val="00D27B74"/>
    <w:rsid w:val="00D30954"/>
    <w:rsid w:val="00D30B41"/>
    <w:rsid w:val="00D30ED3"/>
    <w:rsid w:val="00D31598"/>
    <w:rsid w:val="00D31B52"/>
    <w:rsid w:val="00D32C72"/>
    <w:rsid w:val="00D32F69"/>
    <w:rsid w:val="00D33264"/>
    <w:rsid w:val="00D34E01"/>
    <w:rsid w:val="00D360E8"/>
    <w:rsid w:val="00D3760D"/>
    <w:rsid w:val="00D40626"/>
    <w:rsid w:val="00D40ED6"/>
    <w:rsid w:val="00D421E2"/>
    <w:rsid w:val="00D4248D"/>
    <w:rsid w:val="00D4278E"/>
    <w:rsid w:val="00D431EE"/>
    <w:rsid w:val="00D44BF5"/>
    <w:rsid w:val="00D44E89"/>
    <w:rsid w:val="00D44F50"/>
    <w:rsid w:val="00D452C0"/>
    <w:rsid w:val="00D458AC"/>
    <w:rsid w:val="00D45970"/>
    <w:rsid w:val="00D45B4E"/>
    <w:rsid w:val="00D45BF2"/>
    <w:rsid w:val="00D46EA2"/>
    <w:rsid w:val="00D50F7C"/>
    <w:rsid w:val="00D515BF"/>
    <w:rsid w:val="00D515F6"/>
    <w:rsid w:val="00D52268"/>
    <w:rsid w:val="00D524DD"/>
    <w:rsid w:val="00D5264F"/>
    <w:rsid w:val="00D52663"/>
    <w:rsid w:val="00D528F6"/>
    <w:rsid w:val="00D529F8"/>
    <w:rsid w:val="00D5551C"/>
    <w:rsid w:val="00D555A5"/>
    <w:rsid w:val="00D55B3E"/>
    <w:rsid w:val="00D5645B"/>
    <w:rsid w:val="00D57944"/>
    <w:rsid w:val="00D61BF5"/>
    <w:rsid w:val="00D62329"/>
    <w:rsid w:val="00D62919"/>
    <w:rsid w:val="00D62F43"/>
    <w:rsid w:val="00D632A3"/>
    <w:rsid w:val="00D6470D"/>
    <w:rsid w:val="00D6685A"/>
    <w:rsid w:val="00D66A9B"/>
    <w:rsid w:val="00D66E21"/>
    <w:rsid w:val="00D679E6"/>
    <w:rsid w:val="00D7071B"/>
    <w:rsid w:val="00D70AC6"/>
    <w:rsid w:val="00D70F9E"/>
    <w:rsid w:val="00D724E9"/>
    <w:rsid w:val="00D72E8E"/>
    <w:rsid w:val="00D730BA"/>
    <w:rsid w:val="00D74975"/>
    <w:rsid w:val="00D74E14"/>
    <w:rsid w:val="00D7540F"/>
    <w:rsid w:val="00D7545F"/>
    <w:rsid w:val="00D75D13"/>
    <w:rsid w:val="00D765DA"/>
    <w:rsid w:val="00D76C0E"/>
    <w:rsid w:val="00D76F78"/>
    <w:rsid w:val="00D772A9"/>
    <w:rsid w:val="00D779D8"/>
    <w:rsid w:val="00D77F56"/>
    <w:rsid w:val="00D816E0"/>
    <w:rsid w:val="00D81A5D"/>
    <w:rsid w:val="00D82D95"/>
    <w:rsid w:val="00D83E03"/>
    <w:rsid w:val="00D8437D"/>
    <w:rsid w:val="00D853EA"/>
    <w:rsid w:val="00D86C36"/>
    <w:rsid w:val="00D87444"/>
    <w:rsid w:val="00D87BFE"/>
    <w:rsid w:val="00D87F47"/>
    <w:rsid w:val="00D92B15"/>
    <w:rsid w:val="00D9374A"/>
    <w:rsid w:val="00D93AC9"/>
    <w:rsid w:val="00D94997"/>
    <w:rsid w:val="00D94A1D"/>
    <w:rsid w:val="00D95878"/>
    <w:rsid w:val="00D95DD2"/>
    <w:rsid w:val="00D96127"/>
    <w:rsid w:val="00D969FC"/>
    <w:rsid w:val="00DA13FF"/>
    <w:rsid w:val="00DA158D"/>
    <w:rsid w:val="00DA17B5"/>
    <w:rsid w:val="00DA1CA8"/>
    <w:rsid w:val="00DA217B"/>
    <w:rsid w:val="00DA227C"/>
    <w:rsid w:val="00DA32DF"/>
    <w:rsid w:val="00DA3BFE"/>
    <w:rsid w:val="00DA40DE"/>
    <w:rsid w:val="00DA480F"/>
    <w:rsid w:val="00DA4861"/>
    <w:rsid w:val="00DA4AF2"/>
    <w:rsid w:val="00DA55DA"/>
    <w:rsid w:val="00DA5921"/>
    <w:rsid w:val="00DA59A3"/>
    <w:rsid w:val="00DA5A9F"/>
    <w:rsid w:val="00DA6158"/>
    <w:rsid w:val="00DA6271"/>
    <w:rsid w:val="00DA6A64"/>
    <w:rsid w:val="00DB0B3D"/>
    <w:rsid w:val="00DB15CC"/>
    <w:rsid w:val="00DB56F5"/>
    <w:rsid w:val="00DB6ED0"/>
    <w:rsid w:val="00DB6F59"/>
    <w:rsid w:val="00DC0D67"/>
    <w:rsid w:val="00DC1453"/>
    <w:rsid w:val="00DC1868"/>
    <w:rsid w:val="00DC27AD"/>
    <w:rsid w:val="00DC2896"/>
    <w:rsid w:val="00DC5456"/>
    <w:rsid w:val="00DC62C5"/>
    <w:rsid w:val="00DC7B1C"/>
    <w:rsid w:val="00DC7B2C"/>
    <w:rsid w:val="00DC7C21"/>
    <w:rsid w:val="00DD02EC"/>
    <w:rsid w:val="00DD0AD0"/>
    <w:rsid w:val="00DD1000"/>
    <w:rsid w:val="00DD11D8"/>
    <w:rsid w:val="00DD13F8"/>
    <w:rsid w:val="00DD18BC"/>
    <w:rsid w:val="00DD20F4"/>
    <w:rsid w:val="00DD2496"/>
    <w:rsid w:val="00DD2841"/>
    <w:rsid w:val="00DD2F31"/>
    <w:rsid w:val="00DD3208"/>
    <w:rsid w:val="00DD3248"/>
    <w:rsid w:val="00DD380B"/>
    <w:rsid w:val="00DD4914"/>
    <w:rsid w:val="00DD5B0C"/>
    <w:rsid w:val="00DD6776"/>
    <w:rsid w:val="00DD6BFE"/>
    <w:rsid w:val="00DE0372"/>
    <w:rsid w:val="00DE039B"/>
    <w:rsid w:val="00DE0B7E"/>
    <w:rsid w:val="00DE118E"/>
    <w:rsid w:val="00DE152E"/>
    <w:rsid w:val="00DE157A"/>
    <w:rsid w:val="00DE1910"/>
    <w:rsid w:val="00DE1CA0"/>
    <w:rsid w:val="00DE1D38"/>
    <w:rsid w:val="00DE213A"/>
    <w:rsid w:val="00DE2B05"/>
    <w:rsid w:val="00DE4E0E"/>
    <w:rsid w:val="00DE53A7"/>
    <w:rsid w:val="00DE60D2"/>
    <w:rsid w:val="00DE626E"/>
    <w:rsid w:val="00DE7427"/>
    <w:rsid w:val="00DF0060"/>
    <w:rsid w:val="00DF0C7D"/>
    <w:rsid w:val="00DF1AF8"/>
    <w:rsid w:val="00DF1F97"/>
    <w:rsid w:val="00DF237D"/>
    <w:rsid w:val="00DF3038"/>
    <w:rsid w:val="00DF3A76"/>
    <w:rsid w:val="00DF4E72"/>
    <w:rsid w:val="00DF5C37"/>
    <w:rsid w:val="00DF60F0"/>
    <w:rsid w:val="00DF75BB"/>
    <w:rsid w:val="00DF76C7"/>
    <w:rsid w:val="00DF7DE9"/>
    <w:rsid w:val="00E012D5"/>
    <w:rsid w:val="00E013B3"/>
    <w:rsid w:val="00E016D7"/>
    <w:rsid w:val="00E02F3C"/>
    <w:rsid w:val="00E03219"/>
    <w:rsid w:val="00E038D9"/>
    <w:rsid w:val="00E03A36"/>
    <w:rsid w:val="00E04120"/>
    <w:rsid w:val="00E04178"/>
    <w:rsid w:val="00E045E8"/>
    <w:rsid w:val="00E046E7"/>
    <w:rsid w:val="00E05C4C"/>
    <w:rsid w:val="00E06C62"/>
    <w:rsid w:val="00E06F34"/>
    <w:rsid w:val="00E07923"/>
    <w:rsid w:val="00E07FCD"/>
    <w:rsid w:val="00E10F50"/>
    <w:rsid w:val="00E11102"/>
    <w:rsid w:val="00E1261F"/>
    <w:rsid w:val="00E12EF1"/>
    <w:rsid w:val="00E13A8C"/>
    <w:rsid w:val="00E1552E"/>
    <w:rsid w:val="00E167C1"/>
    <w:rsid w:val="00E16E1C"/>
    <w:rsid w:val="00E17C4F"/>
    <w:rsid w:val="00E2090C"/>
    <w:rsid w:val="00E215B9"/>
    <w:rsid w:val="00E21D6D"/>
    <w:rsid w:val="00E22142"/>
    <w:rsid w:val="00E227A3"/>
    <w:rsid w:val="00E23180"/>
    <w:rsid w:val="00E23D3B"/>
    <w:rsid w:val="00E24B18"/>
    <w:rsid w:val="00E24BCE"/>
    <w:rsid w:val="00E25CEE"/>
    <w:rsid w:val="00E26062"/>
    <w:rsid w:val="00E2632E"/>
    <w:rsid w:val="00E26579"/>
    <w:rsid w:val="00E275C6"/>
    <w:rsid w:val="00E3042E"/>
    <w:rsid w:val="00E30739"/>
    <w:rsid w:val="00E310E0"/>
    <w:rsid w:val="00E31B3A"/>
    <w:rsid w:val="00E328D2"/>
    <w:rsid w:val="00E32A85"/>
    <w:rsid w:val="00E32EBE"/>
    <w:rsid w:val="00E3352F"/>
    <w:rsid w:val="00E3491B"/>
    <w:rsid w:val="00E34C23"/>
    <w:rsid w:val="00E36DBF"/>
    <w:rsid w:val="00E37549"/>
    <w:rsid w:val="00E37B4B"/>
    <w:rsid w:val="00E40084"/>
    <w:rsid w:val="00E4021F"/>
    <w:rsid w:val="00E40442"/>
    <w:rsid w:val="00E40AEB"/>
    <w:rsid w:val="00E410B2"/>
    <w:rsid w:val="00E421F2"/>
    <w:rsid w:val="00E42DDD"/>
    <w:rsid w:val="00E42F35"/>
    <w:rsid w:val="00E4300B"/>
    <w:rsid w:val="00E43990"/>
    <w:rsid w:val="00E43995"/>
    <w:rsid w:val="00E43CD0"/>
    <w:rsid w:val="00E4480C"/>
    <w:rsid w:val="00E44F60"/>
    <w:rsid w:val="00E450B2"/>
    <w:rsid w:val="00E451D6"/>
    <w:rsid w:val="00E4542F"/>
    <w:rsid w:val="00E4587D"/>
    <w:rsid w:val="00E46850"/>
    <w:rsid w:val="00E47066"/>
    <w:rsid w:val="00E50A33"/>
    <w:rsid w:val="00E50C97"/>
    <w:rsid w:val="00E50F47"/>
    <w:rsid w:val="00E51577"/>
    <w:rsid w:val="00E51BC3"/>
    <w:rsid w:val="00E52D00"/>
    <w:rsid w:val="00E54830"/>
    <w:rsid w:val="00E549D3"/>
    <w:rsid w:val="00E55171"/>
    <w:rsid w:val="00E55D96"/>
    <w:rsid w:val="00E563E1"/>
    <w:rsid w:val="00E56672"/>
    <w:rsid w:val="00E5671D"/>
    <w:rsid w:val="00E56873"/>
    <w:rsid w:val="00E568F2"/>
    <w:rsid w:val="00E56B2F"/>
    <w:rsid w:val="00E57DE6"/>
    <w:rsid w:val="00E60002"/>
    <w:rsid w:val="00E60BD4"/>
    <w:rsid w:val="00E60CB6"/>
    <w:rsid w:val="00E616DC"/>
    <w:rsid w:val="00E616F5"/>
    <w:rsid w:val="00E61AFC"/>
    <w:rsid w:val="00E62004"/>
    <w:rsid w:val="00E62746"/>
    <w:rsid w:val="00E63BA8"/>
    <w:rsid w:val="00E64068"/>
    <w:rsid w:val="00E644DA"/>
    <w:rsid w:val="00E64832"/>
    <w:rsid w:val="00E64F4B"/>
    <w:rsid w:val="00E65174"/>
    <w:rsid w:val="00E65BF9"/>
    <w:rsid w:val="00E6792B"/>
    <w:rsid w:val="00E70BF6"/>
    <w:rsid w:val="00E70C90"/>
    <w:rsid w:val="00E71493"/>
    <w:rsid w:val="00E729DC"/>
    <w:rsid w:val="00E7330D"/>
    <w:rsid w:val="00E73509"/>
    <w:rsid w:val="00E748DD"/>
    <w:rsid w:val="00E75BEB"/>
    <w:rsid w:val="00E75FA0"/>
    <w:rsid w:val="00E76683"/>
    <w:rsid w:val="00E767D1"/>
    <w:rsid w:val="00E7722F"/>
    <w:rsid w:val="00E772E6"/>
    <w:rsid w:val="00E810E9"/>
    <w:rsid w:val="00E816BF"/>
    <w:rsid w:val="00E81C61"/>
    <w:rsid w:val="00E82547"/>
    <w:rsid w:val="00E847CA"/>
    <w:rsid w:val="00E84A4E"/>
    <w:rsid w:val="00E85324"/>
    <w:rsid w:val="00E8533E"/>
    <w:rsid w:val="00E8538A"/>
    <w:rsid w:val="00E85E49"/>
    <w:rsid w:val="00E87D4D"/>
    <w:rsid w:val="00E87F9C"/>
    <w:rsid w:val="00E907CD"/>
    <w:rsid w:val="00E90BEE"/>
    <w:rsid w:val="00E911A8"/>
    <w:rsid w:val="00E911E1"/>
    <w:rsid w:val="00E915F3"/>
    <w:rsid w:val="00E91744"/>
    <w:rsid w:val="00E91B68"/>
    <w:rsid w:val="00E91CF6"/>
    <w:rsid w:val="00E93252"/>
    <w:rsid w:val="00E9325A"/>
    <w:rsid w:val="00E9392F"/>
    <w:rsid w:val="00E94824"/>
    <w:rsid w:val="00E95320"/>
    <w:rsid w:val="00E953F2"/>
    <w:rsid w:val="00E95EF4"/>
    <w:rsid w:val="00EA08D7"/>
    <w:rsid w:val="00EA1633"/>
    <w:rsid w:val="00EA2217"/>
    <w:rsid w:val="00EA2767"/>
    <w:rsid w:val="00EA2B69"/>
    <w:rsid w:val="00EA56B7"/>
    <w:rsid w:val="00EA5D39"/>
    <w:rsid w:val="00EA5E2D"/>
    <w:rsid w:val="00EA6170"/>
    <w:rsid w:val="00EA67C6"/>
    <w:rsid w:val="00EA6B8D"/>
    <w:rsid w:val="00EA71AC"/>
    <w:rsid w:val="00EA73A0"/>
    <w:rsid w:val="00EB0903"/>
    <w:rsid w:val="00EB0D87"/>
    <w:rsid w:val="00EB1143"/>
    <w:rsid w:val="00EB13CB"/>
    <w:rsid w:val="00EB2D0E"/>
    <w:rsid w:val="00EB3F27"/>
    <w:rsid w:val="00EB4180"/>
    <w:rsid w:val="00EB52B6"/>
    <w:rsid w:val="00EB605A"/>
    <w:rsid w:val="00EB6095"/>
    <w:rsid w:val="00EB721A"/>
    <w:rsid w:val="00EC04CC"/>
    <w:rsid w:val="00EC1423"/>
    <w:rsid w:val="00EC1B66"/>
    <w:rsid w:val="00EC1E12"/>
    <w:rsid w:val="00EC2EBB"/>
    <w:rsid w:val="00EC4164"/>
    <w:rsid w:val="00EC5112"/>
    <w:rsid w:val="00EC51A7"/>
    <w:rsid w:val="00EC5608"/>
    <w:rsid w:val="00EC5930"/>
    <w:rsid w:val="00EC59D3"/>
    <w:rsid w:val="00EC6508"/>
    <w:rsid w:val="00EC65C7"/>
    <w:rsid w:val="00EC689A"/>
    <w:rsid w:val="00EC77F3"/>
    <w:rsid w:val="00ED0855"/>
    <w:rsid w:val="00ED0918"/>
    <w:rsid w:val="00ED1115"/>
    <w:rsid w:val="00ED13E6"/>
    <w:rsid w:val="00ED1EBD"/>
    <w:rsid w:val="00ED3608"/>
    <w:rsid w:val="00ED4032"/>
    <w:rsid w:val="00ED45F2"/>
    <w:rsid w:val="00ED5312"/>
    <w:rsid w:val="00ED590B"/>
    <w:rsid w:val="00ED5F16"/>
    <w:rsid w:val="00ED64F6"/>
    <w:rsid w:val="00ED7E0C"/>
    <w:rsid w:val="00ED7E1D"/>
    <w:rsid w:val="00EE0705"/>
    <w:rsid w:val="00EE0D5F"/>
    <w:rsid w:val="00EE2583"/>
    <w:rsid w:val="00EE2F55"/>
    <w:rsid w:val="00EE3781"/>
    <w:rsid w:val="00EE479C"/>
    <w:rsid w:val="00EE5045"/>
    <w:rsid w:val="00EE533C"/>
    <w:rsid w:val="00EE5345"/>
    <w:rsid w:val="00EE5E9E"/>
    <w:rsid w:val="00EE6567"/>
    <w:rsid w:val="00EE6B5D"/>
    <w:rsid w:val="00EE6BD1"/>
    <w:rsid w:val="00EE7931"/>
    <w:rsid w:val="00EF1390"/>
    <w:rsid w:val="00EF18E1"/>
    <w:rsid w:val="00EF1C63"/>
    <w:rsid w:val="00EF205B"/>
    <w:rsid w:val="00EF2666"/>
    <w:rsid w:val="00EF28EA"/>
    <w:rsid w:val="00EF3EA9"/>
    <w:rsid w:val="00EF4F08"/>
    <w:rsid w:val="00EF5A1D"/>
    <w:rsid w:val="00EF6AB1"/>
    <w:rsid w:val="00EF74F8"/>
    <w:rsid w:val="00EF759F"/>
    <w:rsid w:val="00EF7D46"/>
    <w:rsid w:val="00F00797"/>
    <w:rsid w:val="00F0090B"/>
    <w:rsid w:val="00F00DAC"/>
    <w:rsid w:val="00F020C5"/>
    <w:rsid w:val="00F02DA0"/>
    <w:rsid w:val="00F03360"/>
    <w:rsid w:val="00F037A1"/>
    <w:rsid w:val="00F041B6"/>
    <w:rsid w:val="00F04417"/>
    <w:rsid w:val="00F0478A"/>
    <w:rsid w:val="00F053AC"/>
    <w:rsid w:val="00F05C39"/>
    <w:rsid w:val="00F0623B"/>
    <w:rsid w:val="00F073C2"/>
    <w:rsid w:val="00F07AEE"/>
    <w:rsid w:val="00F110C3"/>
    <w:rsid w:val="00F114FF"/>
    <w:rsid w:val="00F11683"/>
    <w:rsid w:val="00F127DE"/>
    <w:rsid w:val="00F12B15"/>
    <w:rsid w:val="00F12C7A"/>
    <w:rsid w:val="00F12F80"/>
    <w:rsid w:val="00F12FCD"/>
    <w:rsid w:val="00F1323F"/>
    <w:rsid w:val="00F13C5C"/>
    <w:rsid w:val="00F14726"/>
    <w:rsid w:val="00F14FC9"/>
    <w:rsid w:val="00F16068"/>
    <w:rsid w:val="00F16712"/>
    <w:rsid w:val="00F16742"/>
    <w:rsid w:val="00F167F2"/>
    <w:rsid w:val="00F17771"/>
    <w:rsid w:val="00F17F2D"/>
    <w:rsid w:val="00F20024"/>
    <w:rsid w:val="00F2039B"/>
    <w:rsid w:val="00F205AB"/>
    <w:rsid w:val="00F2081D"/>
    <w:rsid w:val="00F20956"/>
    <w:rsid w:val="00F20E83"/>
    <w:rsid w:val="00F23698"/>
    <w:rsid w:val="00F23819"/>
    <w:rsid w:val="00F23A7D"/>
    <w:rsid w:val="00F243C3"/>
    <w:rsid w:val="00F24B7E"/>
    <w:rsid w:val="00F259E4"/>
    <w:rsid w:val="00F25C54"/>
    <w:rsid w:val="00F25F41"/>
    <w:rsid w:val="00F260D1"/>
    <w:rsid w:val="00F26550"/>
    <w:rsid w:val="00F27507"/>
    <w:rsid w:val="00F27957"/>
    <w:rsid w:val="00F30768"/>
    <w:rsid w:val="00F31145"/>
    <w:rsid w:val="00F31874"/>
    <w:rsid w:val="00F31A21"/>
    <w:rsid w:val="00F31E54"/>
    <w:rsid w:val="00F3263A"/>
    <w:rsid w:val="00F3303E"/>
    <w:rsid w:val="00F33253"/>
    <w:rsid w:val="00F34D09"/>
    <w:rsid w:val="00F35149"/>
    <w:rsid w:val="00F36186"/>
    <w:rsid w:val="00F37B9E"/>
    <w:rsid w:val="00F37DFC"/>
    <w:rsid w:val="00F37E13"/>
    <w:rsid w:val="00F403D3"/>
    <w:rsid w:val="00F42EEA"/>
    <w:rsid w:val="00F44641"/>
    <w:rsid w:val="00F4467C"/>
    <w:rsid w:val="00F448BC"/>
    <w:rsid w:val="00F451DA"/>
    <w:rsid w:val="00F45866"/>
    <w:rsid w:val="00F45A2C"/>
    <w:rsid w:val="00F4611D"/>
    <w:rsid w:val="00F46660"/>
    <w:rsid w:val="00F46E07"/>
    <w:rsid w:val="00F47569"/>
    <w:rsid w:val="00F516A1"/>
    <w:rsid w:val="00F51D85"/>
    <w:rsid w:val="00F53722"/>
    <w:rsid w:val="00F54396"/>
    <w:rsid w:val="00F55979"/>
    <w:rsid w:val="00F562E1"/>
    <w:rsid w:val="00F57D77"/>
    <w:rsid w:val="00F602A2"/>
    <w:rsid w:val="00F60482"/>
    <w:rsid w:val="00F624D8"/>
    <w:rsid w:val="00F62677"/>
    <w:rsid w:val="00F64015"/>
    <w:rsid w:val="00F64E04"/>
    <w:rsid w:val="00F64ECC"/>
    <w:rsid w:val="00F6624B"/>
    <w:rsid w:val="00F668C5"/>
    <w:rsid w:val="00F66A0D"/>
    <w:rsid w:val="00F674B0"/>
    <w:rsid w:val="00F70302"/>
    <w:rsid w:val="00F71BBE"/>
    <w:rsid w:val="00F7258A"/>
    <w:rsid w:val="00F72E7D"/>
    <w:rsid w:val="00F73F6F"/>
    <w:rsid w:val="00F7451A"/>
    <w:rsid w:val="00F749A2"/>
    <w:rsid w:val="00F75623"/>
    <w:rsid w:val="00F762AA"/>
    <w:rsid w:val="00F771D2"/>
    <w:rsid w:val="00F80E7F"/>
    <w:rsid w:val="00F810CE"/>
    <w:rsid w:val="00F8143E"/>
    <w:rsid w:val="00F81ADA"/>
    <w:rsid w:val="00F82B31"/>
    <w:rsid w:val="00F82DA2"/>
    <w:rsid w:val="00F830DD"/>
    <w:rsid w:val="00F834CA"/>
    <w:rsid w:val="00F83535"/>
    <w:rsid w:val="00F85C3B"/>
    <w:rsid w:val="00F862F9"/>
    <w:rsid w:val="00F868A1"/>
    <w:rsid w:val="00F8692A"/>
    <w:rsid w:val="00F86BE7"/>
    <w:rsid w:val="00F9030A"/>
    <w:rsid w:val="00F909D7"/>
    <w:rsid w:val="00F90AC9"/>
    <w:rsid w:val="00F9106E"/>
    <w:rsid w:val="00F91684"/>
    <w:rsid w:val="00F91721"/>
    <w:rsid w:val="00F92B92"/>
    <w:rsid w:val="00F94922"/>
    <w:rsid w:val="00F94AED"/>
    <w:rsid w:val="00F95862"/>
    <w:rsid w:val="00F959A1"/>
    <w:rsid w:val="00F95A88"/>
    <w:rsid w:val="00F95E8F"/>
    <w:rsid w:val="00F95EA9"/>
    <w:rsid w:val="00F96A51"/>
    <w:rsid w:val="00F9788D"/>
    <w:rsid w:val="00F97BC7"/>
    <w:rsid w:val="00F97BD9"/>
    <w:rsid w:val="00F97CC9"/>
    <w:rsid w:val="00F97E4C"/>
    <w:rsid w:val="00FA066F"/>
    <w:rsid w:val="00FA092D"/>
    <w:rsid w:val="00FA1B51"/>
    <w:rsid w:val="00FA2A37"/>
    <w:rsid w:val="00FA34F4"/>
    <w:rsid w:val="00FA4460"/>
    <w:rsid w:val="00FA4782"/>
    <w:rsid w:val="00FA4EB4"/>
    <w:rsid w:val="00FA5188"/>
    <w:rsid w:val="00FA5E82"/>
    <w:rsid w:val="00FA6763"/>
    <w:rsid w:val="00FA6962"/>
    <w:rsid w:val="00FA69F6"/>
    <w:rsid w:val="00FA6A26"/>
    <w:rsid w:val="00FA7E92"/>
    <w:rsid w:val="00FB0532"/>
    <w:rsid w:val="00FB1BFB"/>
    <w:rsid w:val="00FB275E"/>
    <w:rsid w:val="00FB2D30"/>
    <w:rsid w:val="00FB2D6E"/>
    <w:rsid w:val="00FB382C"/>
    <w:rsid w:val="00FB3D8D"/>
    <w:rsid w:val="00FB41A1"/>
    <w:rsid w:val="00FB4A45"/>
    <w:rsid w:val="00FB51CF"/>
    <w:rsid w:val="00FB5584"/>
    <w:rsid w:val="00FB5C3D"/>
    <w:rsid w:val="00FB5F83"/>
    <w:rsid w:val="00FB682E"/>
    <w:rsid w:val="00FB7646"/>
    <w:rsid w:val="00FC05DB"/>
    <w:rsid w:val="00FC0D3D"/>
    <w:rsid w:val="00FC15B7"/>
    <w:rsid w:val="00FC1ED8"/>
    <w:rsid w:val="00FC20E0"/>
    <w:rsid w:val="00FC249D"/>
    <w:rsid w:val="00FC2BB6"/>
    <w:rsid w:val="00FC3172"/>
    <w:rsid w:val="00FC3304"/>
    <w:rsid w:val="00FC3B65"/>
    <w:rsid w:val="00FC3FC5"/>
    <w:rsid w:val="00FC4755"/>
    <w:rsid w:val="00FC5407"/>
    <w:rsid w:val="00FC5711"/>
    <w:rsid w:val="00FC618B"/>
    <w:rsid w:val="00FC6405"/>
    <w:rsid w:val="00FC68B4"/>
    <w:rsid w:val="00FC73BB"/>
    <w:rsid w:val="00FC752A"/>
    <w:rsid w:val="00FC77CD"/>
    <w:rsid w:val="00FD02C2"/>
    <w:rsid w:val="00FD0B8A"/>
    <w:rsid w:val="00FD104E"/>
    <w:rsid w:val="00FD23FC"/>
    <w:rsid w:val="00FD505E"/>
    <w:rsid w:val="00FD52AC"/>
    <w:rsid w:val="00FD55AB"/>
    <w:rsid w:val="00FD571E"/>
    <w:rsid w:val="00FD5B41"/>
    <w:rsid w:val="00FD5F29"/>
    <w:rsid w:val="00FD6025"/>
    <w:rsid w:val="00FD6A38"/>
    <w:rsid w:val="00FD70E7"/>
    <w:rsid w:val="00FD7823"/>
    <w:rsid w:val="00FD79C4"/>
    <w:rsid w:val="00FD7F38"/>
    <w:rsid w:val="00FE10F0"/>
    <w:rsid w:val="00FE2D40"/>
    <w:rsid w:val="00FE3243"/>
    <w:rsid w:val="00FE363F"/>
    <w:rsid w:val="00FE39F7"/>
    <w:rsid w:val="00FE4C5C"/>
    <w:rsid w:val="00FE4E51"/>
    <w:rsid w:val="00FE4F9F"/>
    <w:rsid w:val="00FE53D9"/>
    <w:rsid w:val="00FE65CC"/>
    <w:rsid w:val="00FF08D3"/>
    <w:rsid w:val="00FF0903"/>
    <w:rsid w:val="00FF14B9"/>
    <w:rsid w:val="00FF15C6"/>
    <w:rsid w:val="00FF2264"/>
    <w:rsid w:val="00FF4C40"/>
    <w:rsid w:val="00FF5BF4"/>
    <w:rsid w:val="00FF5FEC"/>
    <w:rsid w:val="00FF6855"/>
    <w:rsid w:val="00FF6EF0"/>
    <w:rsid w:val="01831F32"/>
    <w:rsid w:val="01AC62B7"/>
    <w:rsid w:val="01D63529"/>
    <w:rsid w:val="01DD15C0"/>
    <w:rsid w:val="01F4046A"/>
    <w:rsid w:val="02523E69"/>
    <w:rsid w:val="028F5C87"/>
    <w:rsid w:val="02902E96"/>
    <w:rsid w:val="029912CC"/>
    <w:rsid w:val="02DB2AA1"/>
    <w:rsid w:val="030D701F"/>
    <w:rsid w:val="034A1E69"/>
    <w:rsid w:val="035C6CA6"/>
    <w:rsid w:val="03606CFE"/>
    <w:rsid w:val="036B7F86"/>
    <w:rsid w:val="038E7F92"/>
    <w:rsid w:val="03FD7CF0"/>
    <w:rsid w:val="04074A03"/>
    <w:rsid w:val="042426EC"/>
    <w:rsid w:val="04580BCA"/>
    <w:rsid w:val="04682405"/>
    <w:rsid w:val="047E5401"/>
    <w:rsid w:val="048E58FA"/>
    <w:rsid w:val="05175703"/>
    <w:rsid w:val="05DD7423"/>
    <w:rsid w:val="05F66974"/>
    <w:rsid w:val="060A3E23"/>
    <w:rsid w:val="064B4981"/>
    <w:rsid w:val="06512035"/>
    <w:rsid w:val="065938EF"/>
    <w:rsid w:val="066B1B34"/>
    <w:rsid w:val="06AD6CD1"/>
    <w:rsid w:val="06F15C0A"/>
    <w:rsid w:val="07066677"/>
    <w:rsid w:val="07532196"/>
    <w:rsid w:val="07863A6D"/>
    <w:rsid w:val="07D9627B"/>
    <w:rsid w:val="080976F5"/>
    <w:rsid w:val="082A6A1D"/>
    <w:rsid w:val="082D1FBD"/>
    <w:rsid w:val="08547C4A"/>
    <w:rsid w:val="08581A42"/>
    <w:rsid w:val="087F3CB8"/>
    <w:rsid w:val="089567A7"/>
    <w:rsid w:val="0899622F"/>
    <w:rsid w:val="08AD451A"/>
    <w:rsid w:val="08BC3348"/>
    <w:rsid w:val="08D76201"/>
    <w:rsid w:val="08F422B0"/>
    <w:rsid w:val="08FA0D56"/>
    <w:rsid w:val="092E4C99"/>
    <w:rsid w:val="096B17E3"/>
    <w:rsid w:val="09706F3C"/>
    <w:rsid w:val="09962E48"/>
    <w:rsid w:val="09C35C37"/>
    <w:rsid w:val="09E307F2"/>
    <w:rsid w:val="09F8583E"/>
    <w:rsid w:val="0A0614BB"/>
    <w:rsid w:val="0A0B0EAA"/>
    <w:rsid w:val="0ABB54C0"/>
    <w:rsid w:val="0AE13CD6"/>
    <w:rsid w:val="0B7A28C4"/>
    <w:rsid w:val="0B7B42AE"/>
    <w:rsid w:val="0B8D08AC"/>
    <w:rsid w:val="0BA44F6C"/>
    <w:rsid w:val="0BAF38AC"/>
    <w:rsid w:val="0BBA44DB"/>
    <w:rsid w:val="0BC27B4A"/>
    <w:rsid w:val="0BC572EA"/>
    <w:rsid w:val="0BCB19CC"/>
    <w:rsid w:val="0C0A2E3D"/>
    <w:rsid w:val="0C0B394A"/>
    <w:rsid w:val="0C140BEF"/>
    <w:rsid w:val="0C50682B"/>
    <w:rsid w:val="0C6C2EB3"/>
    <w:rsid w:val="0C7C6BCD"/>
    <w:rsid w:val="0C8E016F"/>
    <w:rsid w:val="0CA861D4"/>
    <w:rsid w:val="0CB35F28"/>
    <w:rsid w:val="0CB3E587"/>
    <w:rsid w:val="0CF636DA"/>
    <w:rsid w:val="0D1B6427"/>
    <w:rsid w:val="0D276398"/>
    <w:rsid w:val="0D3B14F1"/>
    <w:rsid w:val="0D4B370A"/>
    <w:rsid w:val="0D542D33"/>
    <w:rsid w:val="0D5878FA"/>
    <w:rsid w:val="0D63633B"/>
    <w:rsid w:val="0D7F6773"/>
    <w:rsid w:val="0D957FDB"/>
    <w:rsid w:val="0DED61E7"/>
    <w:rsid w:val="0DF66138"/>
    <w:rsid w:val="0DF67930"/>
    <w:rsid w:val="0DFF0B7A"/>
    <w:rsid w:val="0E405B01"/>
    <w:rsid w:val="0E487BF7"/>
    <w:rsid w:val="0E52229D"/>
    <w:rsid w:val="0E553BFF"/>
    <w:rsid w:val="0E5A6225"/>
    <w:rsid w:val="0E5B060F"/>
    <w:rsid w:val="0E8944B8"/>
    <w:rsid w:val="0EE56A74"/>
    <w:rsid w:val="0F260DED"/>
    <w:rsid w:val="0F2950D4"/>
    <w:rsid w:val="0F2B497C"/>
    <w:rsid w:val="0F4C7D8F"/>
    <w:rsid w:val="0FA43F78"/>
    <w:rsid w:val="0FCB641E"/>
    <w:rsid w:val="0FD81DA5"/>
    <w:rsid w:val="0FF74E33"/>
    <w:rsid w:val="1001586B"/>
    <w:rsid w:val="10280696"/>
    <w:rsid w:val="10601B4C"/>
    <w:rsid w:val="10681D73"/>
    <w:rsid w:val="10A658E8"/>
    <w:rsid w:val="10AA4641"/>
    <w:rsid w:val="10D133DA"/>
    <w:rsid w:val="1114672E"/>
    <w:rsid w:val="113F5088"/>
    <w:rsid w:val="11542933"/>
    <w:rsid w:val="11845619"/>
    <w:rsid w:val="118E6D12"/>
    <w:rsid w:val="119143D0"/>
    <w:rsid w:val="11BB6F41"/>
    <w:rsid w:val="120768F6"/>
    <w:rsid w:val="12414326"/>
    <w:rsid w:val="124B345A"/>
    <w:rsid w:val="12777A17"/>
    <w:rsid w:val="1293415F"/>
    <w:rsid w:val="12C81C80"/>
    <w:rsid w:val="12E1032A"/>
    <w:rsid w:val="12EA33F5"/>
    <w:rsid w:val="12FB35D7"/>
    <w:rsid w:val="131A1934"/>
    <w:rsid w:val="13226FB2"/>
    <w:rsid w:val="1343143D"/>
    <w:rsid w:val="1356658E"/>
    <w:rsid w:val="136A4483"/>
    <w:rsid w:val="136B65B0"/>
    <w:rsid w:val="138278D2"/>
    <w:rsid w:val="13B465AF"/>
    <w:rsid w:val="13C46222"/>
    <w:rsid w:val="13C5554C"/>
    <w:rsid w:val="13ED63CF"/>
    <w:rsid w:val="14443519"/>
    <w:rsid w:val="147F69A1"/>
    <w:rsid w:val="149E1B11"/>
    <w:rsid w:val="14BB3966"/>
    <w:rsid w:val="14D52485"/>
    <w:rsid w:val="15585E82"/>
    <w:rsid w:val="1573211B"/>
    <w:rsid w:val="15752755"/>
    <w:rsid w:val="15A75085"/>
    <w:rsid w:val="15B0679D"/>
    <w:rsid w:val="15BA6E36"/>
    <w:rsid w:val="15DF7A0D"/>
    <w:rsid w:val="15F822BA"/>
    <w:rsid w:val="163D0719"/>
    <w:rsid w:val="16441210"/>
    <w:rsid w:val="16627A43"/>
    <w:rsid w:val="16D17DB7"/>
    <w:rsid w:val="17305A3B"/>
    <w:rsid w:val="174F2D59"/>
    <w:rsid w:val="1776471E"/>
    <w:rsid w:val="177D19E5"/>
    <w:rsid w:val="178167C7"/>
    <w:rsid w:val="179034DD"/>
    <w:rsid w:val="17B15593"/>
    <w:rsid w:val="17B42234"/>
    <w:rsid w:val="17C158BC"/>
    <w:rsid w:val="17D13313"/>
    <w:rsid w:val="17E90937"/>
    <w:rsid w:val="18197E69"/>
    <w:rsid w:val="18210D06"/>
    <w:rsid w:val="184B1776"/>
    <w:rsid w:val="187608D0"/>
    <w:rsid w:val="189E0242"/>
    <w:rsid w:val="18A57464"/>
    <w:rsid w:val="18AD0104"/>
    <w:rsid w:val="18B122D0"/>
    <w:rsid w:val="18D531F3"/>
    <w:rsid w:val="19132A25"/>
    <w:rsid w:val="192C16B5"/>
    <w:rsid w:val="193B43CE"/>
    <w:rsid w:val="195E0393"/>
    <w:rsid w:val="19845DDE"/>
    <w:rsid w:val="19B82F93"/>
    <w:rsid w:val="19F1770C"/>
    <w:rsid w:val="19F80E72"/>
    <w:rsid w:val="1A151E91"/>
    <w:rsid w:val="1A192F1F"/>
    <w:rsid w:val="1A504C87"/>
    <w:rsid w:val="1A514A00"/>
    <w:rsid w:val="1A616600"/>
    <w:rsid w:val="1A737E1F"/>
    <w:rsid w:val="1ADD3C52"/>
    <w:rsid w:val="1AF20A59"/>
    <w:rsid w:val="1B4027E5"/>
    <w:rsid w:val="1B425DC4"/>
    <w:rsid w:val="1B5713E1"/>
    <w:rsid w:val="1B7F90B4"/>
    <w:rsid w:val="1B8963F5"/>
    <w:rsid w:val="1B9A23D3"/>
    <w:rsid w:val="1BB65965"/>
    <w:rsid w:val="1BC5A230"/>
    <w:rsid w:val="1C060E1C"/>
    <w:rsid w:val="1C234D6E"/>
    <w:rsid w:val="1C943009"/>
    <w:rsid w:val="1CA64838"/>
    <w:rsid w:val="1CFF7BD6"/>
    <w:rsid w:val="1D400E2F"/>
    <w:rsid w:val="1D4D4C26"/>
    <w:rsid w:val="1D5E1089"/>
    <w:rsid w:val="1D9D33F0"/>
    <w:rsid w:val="1DB43563"/>
    <w:rsid w:val="1DDFF39E"/>
    <w:rsid w:val="1DF07504"/>
    <w:rsid w:val="1E214027"/>
    <w:rsid w:val="1E857156"/>
    <w:rsid w:val="1E92531A"/>
    <w:rsid w:val="1EAE02A0"/>
    <w:rsid w:val="1EC6776B"/>
    <w:rsid w:val="1EDF6E10"/>
    <w:rsid w:val="1EEF3864"/>
    <w:rsid w:val="1EFD3DEB"/>
    <w:rsid w:val="1F0D4127"/>
    <w:rsid w:val="1F243485"/>
    <w:rsid w:val="1F5A71F3"/>
    <w:rsid w:val="1F6C697D"/>
    <w:rsid w:val="1F8866D0"/>
    <w:rsid w:val="1FAF0E8C"/>
    <w:rsid w:val="1FC22E50"/>
    <w:rsid w:val="1FDD0850"/>
    <w:rsid w:val="1FFA6EDC"/>
    <w:rsid w:val="200D3A84"/>
    <w:rsid w:val="203E7A19"/>
    <w:rsid w:val="208C79DE"/>
    <w:rsid w:val="20B01616"/>
    <w:rsid w:val="20E477AE"/>
    <w:rsid w:val="2100284A"/>
    <w:rsid w:val="21075FBF"/>
    <w:rsid w:val="21416B30"/>
    <w:rsid w:val="214F5FAF"/>
    <w:rsid w:val="215E4668"/>
    <w:rsid w:val="21740956"/>
    <w:rsid w:val="21776128"/>
    <w:rsid w:val="2195644C"/>
    <w:rsid w:val="21C31467"/>
    <w:rsid w:val="21DD6A59"/>
    <w:rsid w:val="220F29C6"/>
    <w:rsid w:val="22111D49"/>
    <w:rsid w:val="224936CA"/>
    <w:rsid w:val="2260317B"/>
    <w:rsid w:val="2282581F"/>
    <w:rsid w:val="22AC574E"/>
    <w:rsid w:val="22BB760F"/>
    <w:rsid w:val="22DD6F0C"/>
    <w:rsid w:val="22E10669"/>
    <w:rsid w:val="22EF4369"/>
    <w:rsid w:val="2326460B"/>
    <w:rsid w:val="236F4574"/>
    <w:rsid w:val="23740568"/>
    <w:rsid w:val="237FD06B"/>
    <w:rsid w:val="23AD30EA"/>
    <w:rsid w:val="23AF6F98"/>
    <w:rsid w:val="23B22E32"/>
    <w:rsid w:val="23BD223A"/>
    <w:rsid w:val="23E75F4A"/>
    <w:rsid w:val="23E76EF0"/>
    <w:rsid w:val="23FE492B"/>
    <w:rsid w:val="240559F1"/>
    <w:rsid w:val="24144D0C"/>
    <w:rsid w:val="24643ABC"/>
    <w:rsid w:val="246C005E"/>
    <w:rsid w:val="24715149"/>
    <w:rsid w:val="24B0473E"/>
    <w:rsid w:val="24B71FB9"/>
    <w:rsid w:val="24D409B2"/>
    <w:rsid w:val="24D6356A"/>
    <w:rsid w:val="25095C66"/>
    <w:rsid w:val="251B2740"/>
    <w:rsid w:val="251E5F61"/>
    <w:rsid w:val="252D5EE8"/>
    <w:rsid w:val="252F31DC"/>
    <w:rsid w:val="2556254F"/>
    <w:rsid w:val="25BC40D9"/>
    <w:rsid w:val="260B40C0"/>
    <w:rsid w:val="261529CE"/>
    <w:rsid w:val="262166F7"/>
    <w:rsid w:val="26320151"/>
    <w:rsid w:val="264277D8"/>
    <w:rsid w:val="26430E4A"/>
    <w:rsid w:val="267410E1"/>
    <w:rsid w:val="269E54D5"/>
    <w:rsid w:val="27222552"/>
    <w:rsid w:val="27540156"/>
    <w:rsid w:val="279E2279"/>
    <w:rsid w:val="27AF0AD2"/>
    <w:rsid w:val="27B1A374"/>
    <w:rsid w:val="27C747B9"/>
    <w:rsid w:val="27CC7A91"/>
    <w:rsid w:val="27FB09EC"/>
    <w:rsid w:val="27FF1039"/>
    <w:rsid w:val="28011037"/>
    <w:rsid w:val="28154BCF"/>
    <w:rsid w:val="282750A5"/>
    <w:rsid w:val="28343483"/>
    <w:rsid w:val="28457CAF"/>
    <w:rsid w:val="286409AF"/>
    <w:rsid w:val="287A5E11"/>
    <w:rsid w:val="2894235C"/>
    <w:rsid w:val="28A316BD"/>
    <w:rsid w:val="28FD6054"/>
    <w:rsid w:val="29852015"/>
    <w:rsid w:val="2A10482E"/>
    <w:rsid w:val="2A1A5BB2"/>
    <w:rsid w:val="2A232167"/>
    <w:rsid w:val="2A2554D5"/>
    <w:rsid w:val="2A2824B3"/>
    <w:rsid w:val="2A613818"/>
    <w:rsid w:val="2A6348C0"/>
    <w:rsid w:val="2A8E5901"/>
    <w:rsid w:val="2A993B00"/>
    <w:rsid w:val="2A9C00A9"/>
    <w:rsid w:val="2ACC3934"/>
    <w:rsid w:val="2B193609"/>
    <w:rsid w:val="2B3B66C5"/>
    <w:rsid w:val="2B44107A"/>
    <w:rsid w:val="2B6F5C19"/>
    <w:rsid w:val="2BA654AB"/>
    <w:rsid w:val="2BC108AA"/>
    <w:rsid w:val="2BDF715B"/>
    <w:rsid w:val="2BE758BC"/>
    <w:rsid w:val="2C5D6D8A"/>
    <w:rsid w:val="2C5F021D"/>
    <w:rsid w:val="2C603A21"/>
    <w:rsid w:val="2C7F2C33"/>
    <w:rsid w:val="2C81521E"/>
    <w:rsid w:val="2C900A43"/>
    <w:rsid w:val="2C9247CE"/>
    <w:rsid w:val="2C975100"/>
    <w:rsid w:val="2CA96950"/>
    <w:rsid w:val="2CE14CC7"/>
    <w:rsid w:val="2D2F13E5"/>
    <w:rsid w:val="2D437364"/>
    <w:rsid w:val="2DE22699"/>
    <w:rsid w:val="2E7914D4"/>
    <w:rsid w:val="2EFF88DC"/>
    <w:rsid w:val="2F092BE4"/>
    <w:rsid w:val="2F6D553E"/>
    <w:rsid w:val="2F7054A6"/>
    <w:rsid w:val="2FA04831"/>
    <w:rsid w:val="2FA3326F"/>
    <w:rsid w:val="2FAC0853"/>
    <w:rsid w:val="2FBA576E"/>
    <w:rsid w:val="2FBE9F3C"/>
    <w:rsid w:val="2FDF35C1"/>
    <w:rsid w:val="2FF20303"/>
    <w:rsid w:val="2FF54C86"/>
    <w:rsid w:val="301559D9"/>
    <w:rsid w:val="30303D5C"/>
    <w:rsid w:val="304226EE"/>
    <w:rsid w:val="306916BC"/>
    <w:rsid w:val="307111E7"/>
    <w:rsid w:val="30941473"/>
    <w:rsid w:val="30C13431"/>
    <w:rsid w:val="30D800FF"/>
    <w:rsid w:val="30DE698F"/>
    <w:rsid w:val="311A6468"/>
    <w:rsid w:val="31314919"/>
    <w:rsid w:val="31721F64"/>
    <w:rsid w:val="317B21DC"/>
    <w:rsid w:val="31872531"/>
    <w:rsid w:val="31A53890"/>
    <w:rsid w:val="31C76F24"/>
    <w:rsid w:val="31CF14F8"/>
    <w:rsid w:val="31DF1F4B"/>
    <w:rsid w:val="31ED3F81"/>
    <w:rsid w:val="3224522F"/>
    <w:rsid w:val="32274CD7"/>
    <w:rsid w:val="3231387D"/>
    <w:rsid w:val="328C169D"/>
    <w:rsid w:val="32E12F6A"/>
    <w:rsid w:val="32E17C15"/>
    <w:rsid w:val="33035806"/>
    <w:rsid w:val="33060643"/>
    <w:rsid w:val="3306379E"/>
    <w:rsid w:val="33261A26"/>
    <w:rsid w:val="33573156"/>
    <w:rsid w:val="3378517E"/>
    <w:rsid w:val="33A7124C"/>
    <w:rsid w:val="33C70D80"/>
    <w:rsid w:val="33D971D1"/>
    <w:rsid w:val="34030A42"/>
    <w:rsid w:val="340F66C1"/>
    <w:rsid w:val="34157D86"/>
    <w:rsid w:val="3424766D"/>
    <w:rsid w:val="34325CD4"/>
    <w:rsid w:val="34380993"/>
    <w:rsid w:val="345669AB"/>
    <w:rsid w:val="34896BCF"/>
    <w:rsid w:val="348B49F6"/>
    <w:rsid w:val="349C38FE"/>
    <w:rsid w:val="34EF006E"/>
    <w:rsid w:val="34F85C26"/>
    <w:rsid w:val="35191E66"/>
    <w:rsid w:val="352E698F"/>
    <w:rsid w:val="353A4950"/>
    <w:rsid w:val="354514C3"/>
    <w:rsid w:val="354B64EE"/>
    <w:rsid w:val="355B32C7"/>
    <w:rsid w:val="358F3F77"/>
    <w:rsid w:val="359B299E"/>
    <w:rsid w:val="35E87690"/>
    <w:rsid w:val="35F9279D"/>
    <w:rsid w:val="36432327"/>
    <w:rsid w:val="364C5BC4"/>
    <w:rsid w:val="365D65DB"/>
    <w:rsid w:val="367C678B"/>
    <w:rsid w:val="368E03EE"/>
    <w:rsid w:val="36BB6AEC"/>
    <w:rsid w:val="36BD4894"/>
    <w:rsid w:val="36F2587A"/>
    <w:rsid w:val="372BEDC1"/>
    <w:rsid w:val="373737E5"/>
    <w:rsid w:val="37451EE3"/>
    <w:rsid w:val="37FB07C3"/>
    <w:rsid w:val="37FD330E"/>
    <w:rsid w:val="381F1D07"/>
    <w:rsid w:val="3821292D"/>
    <w:rsid w:val="38221DDE"/>
    <w:rsid w:val="38346FF1"/>
    <w:rsid w:val="38401336"/>
    <w:rsid w:val="38674751"/>
    <w:rsid w:val="386A5EB4"/>
    <w:rsid w:val="3878659A"/>
    <w:rsid w:val="38BB2C38"/>
    <w:rsid w:val="38DD531A"/>
    <w:rsid w:val="392E1159"/>
    <w:rsid w:val="395F7D9A"/>
    <w:rsid w:val="397F3E80"/>
    <w:rsid w:val="39A53000"/>
    <w:rsid w:val="39F98912"/>
    <w:rsid w:val="3A23393D"/>
    <w:rsid w:val="3A787EF3"/>
    <w:rsid w:val="3A8B58A1"/>
    <w:rsid w:val="3A9443AF"/>
    <w:rsid w:val="3AA1196B"/>
    <w:rsid w:val="3ABFD6DC"/>
    <w:rsid w:val="3B084965"/>
    <w:rsid w:val="3B846FD2"/>
    <w:rsid w:val="3BCDB976"/>
    <w:rsid w:val="3BF76D80"/>
    <w:rsid w:val="3C092C53"/>
    <w:rsid w:val="3C1830CE"/>
    <w:rsid w:val="3C3DE21E"/>
    <w:rsid w:val="3C695E0B"/>
    <w:rsid w:val="3C742FEE"/>
    <w:rsid w:val="3C765C63"/>
    <w:rsid w:val="3C8638B5"/>
    <w:rsid w:val="3C887CED"/>
    <w:rsid w:val="3C933A20"/>
    <w:rsid w:val="3CBA3630"/>
    <w:rsid w:val="3CCEAA7A"/>
    <w:rsid w:val="3CD54416"/>
    <w:rsid w:val="3D1D0296"/>
    <w:rsid w:val="3D680754"/>
    <w:rsid w:val="3D6A23D7"/>
    <w:rsid w:val="3D750252"/>
    <w:rsid w:val="3D88794E"/>
    <w:rsid w:val="3D954F6A"/>
    <w:rsid w:val="3DA94E08"/>
    <w:rsid w:val="3DCF3077"/>
    <w:rsid w:val="3DDBCD24"/>
    <w:rsid w:val="3DF831F5"/>
    <w:rsid w:val="3E0B70C6"/>
    <w:rsid w:val="3E0B7729"/>
    <w:rsid w:val="3E1116F6"/>
    <w:rsid w:val="3E287E5B"/>
    <w:rsid w:val="3E313C73"/>
    <w:rsid w:val="3E4551CA"/>
    <w:rsid w:val="3E4F7807"/>
    <w:rsid w:val="3E802653"/>
    <w:rsid w:val="3EBF3B29"/>
    <w:rsid w:val="3ED78B09"/>
    <w:rsid w:val="3F204003"/>
    <w:rsid w:val="3F2D4FC1"/>
    <w:rsid w:val="3F36ABFB"/>
    <w:rsid w:val="3F992914"/>
    <w:rsid w:val="3FB251CE"/>
    <w:rsid w:val="3FB7EC08"/>
    <w:rsid w:val="3FF70E71"/>
    <w:rsid w:val="3FFB2770"/>
    <w:rsid w:val="401A3334"/>
    <w:rsid w:val="40315C7E"/>
    <w:rsid w:val="405A606A"/>
    <w:rsid w:val="40702B05"/>
    <w:rsid w:val="40743004"/>
    <w:rsid w:val="40AA3E9A"/>
    <w:rsid w:val="40BB23CC"/>
    <w:rsid w:val="41061D65"/>
    <w:rsid w:val="41274438"/>
    <w:rsid w:val="413A59E4"/>
    <w:rsid w:val="413F5170"/>
    <w:rsid w:val="41536D40"/>
    <w:rsid w:val="41747470"/>
    <w:rsid w:val="418D77AA"/>
    <w:rsid w:val="41907FF4"/>
    <w:rsid w:val="42074E4F"/>
    <w:rsid w:val="420E07E0"/>
    <w:rsid w:val="42A87764"/>
    <w:rsid w:val="42DC5EFB"/>
    <w:rsid w:val="43055FBC"/>
    <w:rsid w:val="43182459"/>
    <w:rsid w:val="43441269"/>
    <w:rsid w:val="434651A1"/>
    <w:rsid w:val="4353282E"/>
    <w:rsid w:val="4361406D"/>
    <w:rsid w:val="437009E8"/>
    <w:rsid w:val="438613FC"/>
    <w:rsid w:val="438E5FC6"/>
    <w:rsid w:val="43903988"/>
    <w:rsid w:val="43943D80"/>
    <w:rsid w:val="43CD1A31"/>
    <w:rsid w:val="44113FBA"/>
    <w:rsid w:val="44557A4C"/>
    <w:rsid w:val="445E373A"/>
    <w:rsid w:val="446069B8"/>
    <w:rsid w:val="44641265"/>
    <w:rsid w:val="4467317D"/>
    <w:rsid w:val="446D099D"/>
    <w:rsid w:val="44E1206C"/>
    <w:rsid w:val="44FA2D14"/>
    <w:rsid w:val="450D05B4"/>
    <w:rsid w:val="451B6F4D"/>
    <w:rsid w:val="4536144F"/>
    <w:rsid w:val="45AD5AE6"/>
    <w:rsid w:val="45C5068C"/>
    <w:rsid w:val="46047879"/>
    <w:rsid w:val="4609090A"/>
    <w:rsid w:val="460E0056"/>
    <w:rsid w:val="46310F88"/>
    <w:rsid w:val="463B6E91"/>
    <w:rsid w:val="464F03F7"/>
    <w:rsid w:val="465534A9"/>
    <w:rsid w:val="46F61784"/>
    <w:rsid w:val="46FD1C2F"/>
    <w:rsid w:val="470A0C51"/>
    <w:rsid w:val="474A202B"/>
    <w:rsid w:val="47520C9B"/>
    <w:rsid w:val="478A6ED1"/>
    <w:rsid w:val="47C230B0"/>
    <w:rsid w:val="47C44685"/>
    <w:rsid w:val="47D706E2"/>
    <w:rsid w:val="47D99AB6"/>
    <w:rsid w:val="47EE7400"/>
    <w:rsid w:val="47F526B6"/>
    <w:rsid w:val="47F7686B"/>
    <w:rsid w:val="481A7EB6"/>
    <w:rsid w:val="482C654D"/>
    <w:rsid w:val="483C43CB"/>
    <w:rsid w:val="484E612C"/>
    <w:rsid w:val="485D4FC9"/>
    <w:rsid w:val="488326E7"/>
    <w:rsid w:val="48C009BB"/>
    <w:rsid w:val="4946194F"/>
    <w:rsid w:val="496620E4"/>
    <w:rsid w:val="4970067F"/>
    <w:rsid w:val="499462E6"/>
    <w:rsid w:val="499C3092"/>
    <w:rsid w:val="49A7341D"/>
    <w:rsid w:val="49B23BD7"/>
    <w:rsid w:val="49EA5308"/>
    <w:rsid w:val="49ED1E77"/>
    <w:rsid w:val="4A222C3E"/>
    <w:rsid w:val="4A300657"/>
    <w:rsid w:val="4A71680F"/>
    <w:rsid w:val="4A8A5863"/>
    <w:rsid w:val="4AC96AC1"/>
    <w:rsid w:val="4ADB5C88"/>
    <w:rsid w:val="4AEE76C9"/>
    <w:rsid w:val="4B040511"/>
    <w:rsid w:val="4B270773"/>
    <w:rsid w:val="4B275C4D"/>
    <w:rsid w:val="4B4255EC"/>
    <w:rsid w:val="4B6501FC"/>
    <w:rsid w:val="4B8C39F4"/>
    <w:rsid w:val="4BE77378"/>
    <w:rsid w:val="4C0A093A"/>
    <w:rsid w:val="4C2B278C"/>
    <w:rsid w:val="4C795A8B"/>
    <w:rsid w:val="4CA0518E"/>
    <w:rsid w:val="4CB8645F"/>
    <w:rsid w:val="4CC31044"/>
    <w:rsid w:val="4CD27CBB"/>
    <w:rsid w:val="4CEB2CCB"/>
    <w:rsid w:val="4D0B2D09"/>
    <w:rsid w:val="4D0F30F6"/>
    <w:rsid w:val="4D243DE6"/>
    <w:rsid w:val="4D2A3F2B"/>
    <w:rsid w:val="4D5611C3"/>
    <w:rsid w:val="4DB641AE"/>
    <w:rsid w:val="4DF61185"/>
    <w:rsid w:val="4DFFD1DE"/>
    <w:rsid w:val="4E2D45CD"/>
    <w:rsid w:val="4E354910"/>
    <w:rsid w:val="4EB45355"/>
    <w:rsid w:val="4EB46B5B"/>
    <w:rsid w:val="4EB4742C"/>
    <w:rsid w:val="4EC94456"/>
    <w:rsid w:val="4EC96CDD"/>
    <w:rsid w:val="4EE3168A"/>
    <w:rsid w:val="4F0A6620"/>
    <w:rsid w:val="4F287375"/>
    <w:rsid w:val="4F373E17"/>
    <w:rsid w:val="4F3F08FB"/>
    <w:rsid w:val="4F537933"/>
    <w:rsid w:val="4F5C284D"/>
    <w:rsid w:val="4F9747E0"/>
    <w:rsid w:val="4FE5734B"/>
    <w:rsid w:val="507D65C3"/>
    <w:rsid w:val="50BA7295"/>
    <w:rsid w:val="50BF4EE9"/>
    <w:rsid w:val="50D040A5"/>
    <w:rsid w:val="50F96D8A"/>
    <w:rsid w:val="51227221"/>
    <w:rsid w:val="5140378E"/>
    <w:rsid w:val="51612715"/>
    <w:rsid w:val="517B7617"/>
    <w:rsid w:val="51F0301C"/>
    <w:rsid w:val="520B3542"/>
    <w:rsid w:val="52190748"/>
    <w:rsid w:val="523E58CE"/>
    <w:rsid w:val="52711157"/>
    <w:rsid w:val="52CA40F3"/>
    <w:rsid w:val="52E14451"/>
    <w:rsid w:val="53326CC3"/>
    <w:rsid w:val="53367A9C"/>
    <w:rsid w:val="53711BB2"/>
    <w:rsid w:val="53B07F51"/>
    <w:rsid w:val="53E65B37"/>
    <w:rsid w:val="53F96D67"/>
    <w:rsid w:val="53FF7CDA"/>
    <w:rsid w:val="542B5D1D"/>
    <w:rsid w:val="543E5B03"/>
    <w:rsid w:val="54542911"/>
    <w:rsid w:val="545A696D"/>
    <w:rsid w:val="54635982"/>
    <w:rsid w:val="54DE7716"/>
    <w:rsid w:val="54F440BE"/>
    <w:rsid w:val="552B6108"/>
    <w:rsid w:val="55351216"/>
    <w:rsid w:val="5545107A"/>
    <w:rsid w:val="55DB17C2"/>
    <w:rsid w:val="55EE750E"/>
    <w:rsid w:val="55F43B58"/>
    <w:rsid w:val="55F8751E"/>
    <w:rsid w:val="56126623"/>
    <w:rsid w:val="562F0908"/>
    <w:rsid w:val="56321065"/>
    <w:rsid w:val="565113CC"/>
    <w:rsid w:val="569250CC"/>
    <w:rsid w:val="56EC2058"/>
    <w:rsid w:val="572922F0"/>
    <w:rsid w:val="57380620"/>
    <w:rsid w:val="57425191"/>
    <w:rsid w:val="57701FF0"/>
    <w:rsid w:val="578E03BC"/>
    <w:rsid w:val="57CD0317"/>
    <w:rsid w:val="57CE9319"/>
    <w:rsid w:val="57F1FF31"/>
    <w:rsid w:val="58050C61"/>
    <w:rsid w:val="58180908"/>
    <w:rsid w:val="584E5BA6"/>
    <w:rsid w:val="58547B1E"/>
    <w:rsid w:val="5874413D"/>
    <w:rsid w:val="587A31C9"/>
    <w:rsid w:val="587D4D7A"/>
    <w:rsid w:val="58803ECD"/>
    <w:rsid w:val="58B80A09"/>
    <w:rsid w:val="58C468A3"/>
    <w:rsid w:val="58F83AF0"/>
    <w:rsid w:val="59066CCB"/>
    <w:rsid w:val="59251583"/>
    <w:rsid w:val="592E516C"/>
    <w:rsid w:val="593E0ED7"/>
    <w:rsid w:val="594A1C22"/>
    <w:rsid w:val="59643AD1"/>
    <w:rsid w:val="59696CED"/>
    <w:rsid w:val="597C2F9A"/>
    <w:rsid w:val="59B10683"/>
    <w:rsid w:val="59E96390"/>
    <w:rsid w:val="59FE0C8F"/>
    <w:rsid w:val="5A2352FB"/>
    <w:rsid w:val="5A3509E5"/>
    <w:rsid w:val="5A41150A"/>
    <w:rsid w:val="5A5C397A"/>
    <w:rsid w:val="5A98139F"/>
    <w:rsid w:val="5AB954B5"/>
    <w:rsid w:val="5AC047F3"/>
    <w:rsid w:val="5AC75B44"/>
    <w:rsid w:val="5B1E2F50"/>
    <w:rsid w:val="5B265AF8"/>
    <w:rsid w:val="5B3C1E71"/>
    <w:rsid w:val="5B554E1D"/>
    <w:rsid w:val="5B576E16"/>
    <w:rsid w:val="5B583913"/>
    <w:rsid w:val="5B63724C"/>
    <w:rsid w:val="5B6F460B"/>
    <w:rsid w:val="5B6F7FA0"/>
    <w:rsid w:val="5B9901C2"/>
    <w:rsid w:val="5BC3165C"/>
    <w:rsid w:val="5BD26625"/>
    <w:rsid w:val="5BDB04F3"/>
    <w:rsid w:val="5BDE4421"/>
    <w:rsid w:val="5BFD0C4A"/>
    <w:rsid w:val="5C336EBE"/>
    <w:rsid w:val="5C4D2627"/>
    <w:rsid w:val="5C723227"/>
    <w:rsid w:val="5CB302F5"/>
    <w:rsid w:val="5CB63067"/>
    <w:rsid w:val="5CBC5682"/>
    <w:rsid w:val="5CC879A1"/>
    <w:rsid w:val="5CD82E5C"/>
    <w:rsid w:val="5CF26A4D"/>
    <w:rsid w:val="5CFC0B81"/>
    <w:rsid w:val="5D135440"/>
    <w:rsid w:val="5D1A0CA8"/>
    <w:rsid w:val="5D1E5198"/>
    <w:rsid w:val="5D200B4B"/>
    <w:rsid w:val="5D4F2F8D"/>
    <w:rsid w:val="5D627A57"/>
    <w:rsid w:val="5D787147"/>
    <w:rsid w:val="5DF01482"/>
    <w:rsid w:val="5E2138D2"/>
    <w:rsid w:val="5E7C6D1E"/>
    <w:rsid w:val="5E7E78B9"/>
    <w:rsid w:val="5E821BA9"/>
    <w:rsid w:val="5EA40400"/>
    <w:rsid w:val="5EB73166"/>
    <w:rsid w:val="5EB740E8"/>
    <w:rsid w:val="5EC256D9"/>
    <w:rsid w:val="5ECFEF7D"/>
    <w:rsid w:val="5EEB04EA"/>
    <w:rsid w:val="5EFFAFDB"/>
    <w:rsid w:val="5F2A5744"/>
    <w:rsid w:val="5F3405E9"/>
    <w:rsid w:val="5F482E7D"/>
    <w:rsid w:val="5F4E5E44"/>
    <w:rsid w:val="5F820C71"/>
    <w:rsid w:val="5F8B47C6"/>
    <w:rsid w:val="5F9972C7"/>
    <w:rsid w:val="5F9C66A9"/>
    <w:rsid w:val="5FCF464D"/>
    <w:rsid w:val="5FF5271D"/>
    <w:rsid w:val="5FF77F11"/>
    <w:rsid w:val="5FFEC0AC"/>
    <w:rsid w:val="602C479A"/>
    <w:rsid w:val="60542C45"/>
    <w:rsid w:val="606C65CB"/>
    <w:rsid w:val="607462D5"/>
    <w:rsid w:val="60EE7E6E"/>
    <w:rsid w:val="61041F0D"/>
    <w:rsid w:val="61756D50"/>
    <w:rsid w:val="61796BC5"/>
    <w:rsid w:val="61D77756"/>
    <w:rsid w:val="61FF5825"/>
    <w:rsid w:val="623B54C9"/>
    <w:rsid w:val="62DC2923"/>
    <w:rsid w:val="63157763"/>
    <w:rsid w:val="634A3000"/>
    <w:rsid w:val="6394395C"/>
    <w:rsid w:val="639B4DFD"/>
    <w:rsid w:val="63A81BB6"/>
    <w:rsid w:val="63AD3AD3"/>
    <w:rsid w:val="63BC51B2"/>
    <w:rsid w:val="63CE34DF"/>
    <w:rsid w:val="63E001AA"/>
    <w:rsid w:val="64423268"/>
    <w:rsid w:val="644B6FBB"/>
    <w:rsid w:val="64836658"/>
    <w:rsid w:val="64A16BB3"/>
    <w:rsid w:val="64B17174"/>
    <w:rsid w:val="64BED27E"/>
    <w:rsid w:val="64D2335B"/>
    <w:rsid w:val="64FA281A"/>
    <w:rsid w:val="651B600D"/>
    <w:rsid w:val="651D430A"/>
    <w:rsid w:val="65836034"/>
    <w:rsid w:val="65AF4484"/>
    <w:rsid w:val="65EC1FB6"/>
    <w:rsid w:val="660E5774"/>
    <w:rsid w:val="66323654"/>
    <w:rsid w:val="66455C0E"/>
    <w:rsid w:val="66503B48"/>
    <w:rsid w:val="66617DEE"/>
    <w:rsid w:val="66693990"/>
    <w:rsid w:val="66A05362"/>
    <w:rsid w:val="66A327F6"/>
    <w:rsid w:val="66FD57D0"/>
    <w:rsid w:val="66FF0ECB"/>
    <w:rsid w:val="671B3C85"/>
    <w:rsid w:val="671F2994"/>
    <w:rsid w:val="67777B04"/>
    <w:rsid w:val="678C0D7E"/>
    <w:rsid w:val="678C5B7A"/>
    <w:rsid w:val="67A052F6"/>
    <w:rsid w:val="67D3E4BC"/>
    <w:rsid w:val="68395F45"/>
    <w:rsid w:val="683C63FD"/>
    <w:rsid w:val="684B37EB"/>
    <w:rsid w:val="687B1D7F"/>
    <w:rsid w:val="68854B15"/>
    <w:rsid w:val="68A626D7"/>
    <w:rsid w:val="68AE64DB"/>
    <w:rsid w:val="68B56716"/>
    <w:rsid w:val="68BB679A"/>
    <w:rsid w:val="68D233ED"/>
    <w:rsid w:val="69094E0C"/>
    <w:rsid w:val="690C0286"/>
    <w:rsid w:val="69195435"/>
    <w:rsid w:val="69255B4E"/>
    <w:rsid w:val="693D7C0C"/>
    <w:rsid w:val="69406ED4"/>
    <w:rsid w:val="69573596"/>
    <w:rsid w:val="697478BD"/>
    <w:rsid w:val="69981238"/>
    <w:rsid w:val="69986365"/>
    <w:rsid w:val="699A6EDD"/>
    <w:rsid w:val="69AB68CD"/>
    <w:rsid w:val="69AD3CB6"/>
    <w:rsid w:val="6A1F6C17"/>
    <w:rsid w:val="6A21220C"/>
    <w:rsid w:val="6A261C12"/>
    <w:rsid w:val="6A47485F"/>
    <w:rsid w:val="6A4A0691"/>
    <w:rsid w:val="6A6BD612"/>
    <w:rsid w:val="6AA80D8B"/>
    <w:rsid w:val="6AC9221C"/>
    <w:rsid w:val="6ADC5851"/>
    <w:rsid w:val="6AF572B2"/>
    <w:rsid w:val="6AF62884"/>
    <w:rsid w:val="6B2021E3"/>
    <w:rsid w:val="6B3D0AF1"/>
    <w:rsid w:val="6B5E5433"/>
    <w:rsid w:val="6B6930BC"/>
    <w:rsid w:val="6B8F2490"/>
    <w:rsid w:val="6BBF9F09"/>
    <w:rsid w:val="6BD34920"/>
    <w:rsid w:val="6BE70734"/>
    <w:rsid w:val="6BF53520"/>
    <w:rsid w:val="6C024F09"/>
    <w:rsid w:val="6C1319D2"/>
    <w:rsid w:val="6C173EB1"/>
    <w:rsid w:val="6C280C7F"/>
    <w:rsid w:val="6C4B335D"/>
    <w:rsid w:val="6C5B50CE"/>
    <w:rsid w:val="6C7045E6"/>
    <w:rsid w:val="6C734ECD"/>
    <w:rsid w:val="6CB83FD3"/>
    <w:rsid w:val="6CD91E9F"/>
    <w:rsid w:val="6D0E60E7"/>
    <w:rsid w:val="6D126F43"/>
    <w:rsid w:val="6DBD5681"/>
    <w:rsid w:val="6DF73B84"/>
    <w:rsid w:val="6E1608B2"/>
    <w:rsid w:val="6E394DAE"/>
    <w:rsid w:val="6E3F227D"/>
    <w:rsid w:val="6E3FDB7D"/>
    <w:rsid w:val="6E5438F9"/>
    <w:rsid w:val="6E5D000E"/>
    <w:rsid w:val="6E8B4514"/>
    <w:rsid w:val="6E9C0476"/>
    <w:rsid w:val="6EAF5B1F"/>
    <w:rsid w:val="6EC57B0E"/>
    <w:rsid w:val="6EDB5ED8"/>
    <w:rsid w:val="6EEA30CE"/>
    <w:rsid w:val="6EFBBBEE"/>
    <w:rsid w:val="6F176D19"/>
    <w:rsid w:val="6F3372BA"/>
    <w:rsid w:val="6F5A4E1A"/>
    <w:rsid w:val="6F6B4FF4"/>
    <w:rsid w:val="6F7EA20E"/>
    <w:rsid w:val="6FB26E5F"/>
    <w:rsid w:val="6FBA2905"/>
    <w:rsid w:val="6FD26C23"/>
    <w:rsid w:val="6FD7AA9E"/>
    <w:rsid w:val="6FD844C6"/>
    <w:rsid w:val="6FE5524D"/>
    <w:rsid w:val="6FEBB717"/>
    <w:rsid w:val="6FFE6922"/>
    <w:rsid w:val="70143309"/>
    <w:rsid w:val="705F0C24"/>
    <w:rsid w:val="70650CCF"/>
    <w:rsid w:val="70782C6F"/>
    <w:rsid w:val="70A00303"/>
    <w:rsid w:val="70C06289"/>
    <w:rsid w:val="70DE2EF6"/>
    <w:rsid w:val="70DE78BA"/>
    <w:rsid w:val="70E06873"/>
    <w:rsid w:val="70EB4ABA"/>
    <w:rsid w:val="70EB5DD9"/>
    <w:rsid w:val="710069AF"/>
    <w:rsid w:val="71163333"/>
    <w:rsid w:val="71195F39"/>
    <w:rsid w:val="712C6583"/>
    <w:rsid w:val="715F01CE"/>
    <w:rsid w:val="71A35950"/>
    <w:rsid w:val="71E12C7E"/>
    <w:rsid w:val="71E7506F"/>
    <w:rsid w:val="71EF0475"/>
    <w:rsid w:val="71FA52D7"/>
    <w:rsid w:val="721769F7"/>
    <w:rsid w:val="72235AF3"/>
    <w:rsid w:val="72341588"/>
    <w:rsid w:val="72679E2F"/>
    <w:rsid w:val="727849D5"/>
    <w:rsid w:val="727D3217"/>
    <w:rsid w:val="728309ED"/>
    <w:rsid w:val="72966A24"/>
    <w:rsid w:val="72A23048"/>
    <w:rsid w:val="72D94E56"/>
    <w:rsid w:val="72F160D1"/>
    <w:rsid w:val="730B70B6"/>
    <w:rsid w:val="732E0E73"/>
    <w:rsid w:val="734D5FBE"/>
    <w:rsid w:val="73505BB3"/>
    <w:rsid w:val="7361683F"/>
    <w:rsid w:val="73974290"/>
    <w:rsid w:val="73A16BB4"/>
    <w:rsid w:val="73CD2173"/>
    <w:rsid w:val="73DF5BA3"/>
    <w:rsid w:val="73F01587"/>
    <w:rsid w:val="74054040"/>
    <w:rsid w:val="741152C4"/>
    <w:rsid w:val="7411662B"/>
    <w:rsid w:val="74472D27"/>
    <w:rsid w:val="74562016"/>
    <w:rsid w:val="745B81EF"/>
    <w:rsid w:val="745D21FF"/>
    <w:rsid w:val="74884580"/>
    <w:rsid w:val="74AC0254"/>
    <w:rsid w:val="74C078C1"/>
    <w:rsid w:val="74D14308"/>
    <w:rsid w:val="74E45833"/>
    <w:rsid w:val="74F2311C"/>
    <w:rsid w:val="74F31BB3"/>
    <w:rsid w:val="752D0793"/>
    <w:rsid w:val="75512BD6"/>
    <w:rsid w:val="75562B92"/>
    <w:rsid w:val="75C60A99"/>
    <w:rsid w:val="75EA7EC1"/>
    <w:rsid w:val="75EB4FB6"/>
    <w:rsid w:val="75FF564A"/>
    <w:rsid w:val="762859DD"/>
    <w:rsid w:val="76502A58"/>
    <w:rsid w:val="7672108E"/>
    <w:rsid w:val="76A74865"/>
    <w:rsid w:val="76B502A6"/>
    <w:rsid w:val="76BD5AE3"/>
    <w:rsid w:val="76BE9F2C"/>
    <w:rsid w:val="76E87714"/>
    <w:rsid w:val="76E976AE"/>
    <w:rsid w:val="76EF1DF2"/>
    <w:rsid w:val="77295F65"/>
    <w:rsid w:val="77450823"/>
    <w:rsid w:val="774A434A"/>
    <w:rsid w:val="775F2405"/>
    <w:rsid w:val="776C066C"/>
    <w:rsid w:val="77C65D3F"/>
    <w:rsid w:val="77DB66BE"/>
    <w:rsid w:val="77EE58AE"/>
    <w:rsid w:val="77FDA637"/>
    <w:rsid w:val="77FFD888"/>
    <w:rsid w:val="78107FE1"/>
    <w:rsid w:val="782545C6"/>
    <w:rsid w:val="7867252F"/>
    <w:rsid w:val="78921C46"/>
    <w:rsid w:val="78BFE10C"/>
    <w:rsid w:val="78C50D2D"/>
    <w:rsid w:val="78D40497"/>
    <w:rsid w:val="78FD116C"/>
    <w:rsid w:val="792E1868"/>
    <w:rsid w:val="79410427"/>
    <w:rsid w:val="7966A822"/>
    <w:rsid w:val="7978755D"/>
    <w:rsid w:val="798C198C"/>
    <w:rsid w:val="799503C6"/>
    <w:rsid w:val="799FEAD1"/>
    <w:rsid w:val="79A66178"/>
    <w:rsid w:val="79D25367"/>
    <w:rsid w:val="79E92178"/>
    <w:rsid w:val="7A312FFF"/>
    <w:rsid w:val="7A510188"/>
    <w:rsid w:val="7A74299C"/>
    <w:rsid w:val="7A7A6510"/>
    <w:rsid w:val="7A97325F"/>
    <w:rsid w:val="7AB7ABA9"/>
    <w:rsid w:val="7AC02C07"/>
    <w:rsid w:val="7AE554A9"/>
    <w:rsid w:val="7B184D8C"/>
    <w:rsid w:val="7B1C6C27"/>
    <w:rsid w:val="7B4828E4"/>
    <w:rsid w:val="7B495AAB"/>
    <w:rsid w:val="7B5F9C4C"/>
    <w:rsid w:val="7B602673"/>
    <w:rsid w:val="7B6EED8B"/>
    <w:rsid w:val="7B8745E6"/>
    <w:rsid w:val="7BBB0CE4"/>
    <w:rsid w:val="7BC41DFF"/>
    <w:rsid w:val="7BE7D08F"/>
    <w:rsid w:val="7BED2BBB"/>
    <w:rsid w:val="7BFD39DB"/>
    <w:rsid w:val="7C7E2BA9"/>
    <w:rsid w:val="7C7E5EE4"/>
    <w:rsid w:val="7CBFB7D6"/>
    <w:rsid w:val="7CC41E50"/>
    <w:rsid w:val="7CF27B32"/>
    <w:rsid w:val="7CF3542F"/>
    <w:rsid w:val="7CFF89B2"/>
    <w:rsid w:val="7D1F3378"/>
    <w:rsid w:val="7D2621F2"/>
    <w:rsid w:val="7D3D7144"/>
    <w:rsid w:val="7D5A0C9F"/>
    <w:rsid w:val="7D7E9C47"/>
    <w:rsid w:val="7D9D1573"/>
    <w:rsid w:val="7D9D213E"/>
    <w:rsid w:val="7DA03B66"/>
    <w:rsid w:val="7DE74CC2"/>
    <w:rsid w:val="7DEFFAD6"/>
    <w:rsid w:val="7DF3D0FC"/>
    <w:rsid w:val="7DFB8F78"/>
    <w:rsid w:val="7DFD6C74"/>
    <w:rsid w:val="7E086D4D"/>
    <w:rsid w:val="7E2FB1A7"/>
    <w:rsid w:val="7E571964"/>
    <w:rsid w:val="7E666ADD"/>
    <w:rsid w:val="7E71025E"/>
    <w:rsid w:val="7E784018"/>
    <w:rsid w:val="7E7F652A"/>
    <w:rsid w:val="7E8E6D3E"/>
    <w:rsid w:val="7EA25B7C"/>
    <w:rsid w:val="7EA91F6A"/>
    <w:rsid w:val="7EC82EBA"/>
    <w:rsid w:val="7EC9733B"/>
    <w:rsid w:val="7ECF5C5F"/>
    <w:rsid w:val="7ECF9B42"/>
    <w:rsid w:val="7EDF4C2D"/>
    <w:rsid w:val="7EDFDF09"/>
    <w:rsid w:val="7EDFF0AA"/>
    <w:rsid w:val="7EED6DC8"/>
    <w:rsid w:val="7EF6E77E"/>
    <w:rsid w:val="7EF70996"/>
    <w:rsid w:val="7EF76AC7"/>
    <w:rsid w:val="7EF912E8"/>
    <w:rsid w:val="7EFC0B5C"/>
    <w:rsid w:val="7EFE23D8"/>
    <w:rsid w:val="7F131568"/>
    <w:rsid w:val="7F17FA95"/>
    <w:rsid w:val="7F1F3410"/>
    <w:rsid w:val="7F1FFF23"/>
    <w:rsid w:val="7F26231F"/>
    <w:rsid w:val="7F2A593D"/>
    <w:rsid w:val="7F3FB5C2"/>
    <w:rsid w:val="7F480A66"/>
    <w:rsid w:val="7F7235F9"/>
    <w:rsid w:val="7F7263FA"/>
    <w:rsid w:val="7F7600F6"/>
    <w:rsid w:val="7F7F13E1"/>
    <w:rsid w:val="7F886C2E"/>
    <w:rsid w:val="7F8EE121"/>
    <w:rsid w:val="7F956CE8"/>
    <w:rsid w:val="7F973FC2"/>
    <w:rsid w:val="7F9B70CA"/>
    <w:rsid w:val="7FBB7F56"/>
    <w:rsid w:val="7FBBEDED"/>
    <w:rsid w:val="7FBC7689"/>
    <w:rsid w:val="7FBD2681"/>
    <w:rsid w:val="7FBE0317"/>
    <w:rsid w:val="7FC6F315"/>
    <w:rsid w:val="7FD7DCC6"/>
    <w:rsid w:val="7FEFA459"/>
    <w:rsid w:val="7FF2CD02"/>
    <w:rsid w:val="7FF3FEE4"/>
    <w:rsid w:val="7FF5BF97"/>
    <w:rsid w:val="7FF8505F"/>
    <w:rsid w:val="7FFC419F"/>
    <w:rsid w:val="7FFE99C1"/>
    <w:rsid w:val="7FFF51AA"/>
    <w:rsid w:val="7FFF5CC7"/>
    <w:rsid w:val="7FFF6625"/>
    <w:rsid w:val="7FFFBA2D"/>
    <w:rsid w:val="8B9EE673"/>
    <w:rsid w:val="8F7D8415"/>
    <w:rsid w:val="97FBB5E0"/>
    <w:rsid w:val="97FF33B8"/>
    <w:rsid w:val="99B75FF4"/>
    <w:rsid w:val="9A7A9064"/>
    <w:rsid w:val="9B6E27DB"/>
    <w:rsid w:val="9B6F49CE"/>
    <w:rsid w:val="9CC7612C"/>
    <w:rsid w:val="9DF7B7F6"/>
    <w:rsid w:val="A2ED1AB6"/>
    <w:rsid w:val="AA764D86"/>
    <w:rsid w:val="ABAEA5BF"/>
    <w:rsid w:val="ADD2F0FA"/>
    <w:rsid w:val="AF5F6878"/>
    <w:rsid w:val="AFF53311"/>
    <w:rsid w:val="B7FB05B0"/>
    <w:rsid w:val="B871D715"/>
    <w:rsid w:val="B8FFA242"/>
    <w:rsid w:val="B9EBB42C"/>
    <w:rsid w:val="BA2B962D"/>
    <w:rsid w:val="BB6FFDDD"/>
    <w:rsid w:val="BBDF70D9"/>
    <w:rsid w:val="BBFFD698"/>
    <w:rsid w:val="BCFF987A"/>
    <w:rsid w:val="BDB989A9"/>
    <w:rsid w:val="BE6F5214"/>
    <w:rsid w:val="BEBFF2C2"/>
    <w:rsid w:val="BED970FC"/>
    <w:rsid w:val="BEF6F172"/>
    <w:rsid w:val="BF7BA67E"/>
    <w:rsid w:val="BF7F7404"/>
    <w:rsid w:val="BF9DCBC0"/>
    <w:rsid w:val="BFBFE2A4"/>
    <w:rsid w:val="BFFF094D"/>
    <w:rsid w:val="BFFF8150"/>
    <w:rsid w:val="C77F7A18"/>
    <w:rsid w:val="CBF7B4BF"/>
    <w:rsid w:val="CFEFCB0D"/>
    <w:rsid w:val="D1FD9DE7"/>
    <w:rsid w:val="D20F8517"/>
    <w:rsid w:val="D39B72CB"/>
    <w:rsid w:val="D3FE42B6"/>
    <w:rsid w:val="D59F3691"/>
    <w:rsid w:val="D63FC625"/>
    <w:rsid w:val="D7D8F085"/>
    <w:rsid w:val="DACF8DFF"/>
    <w:rsid w:val="DAF78130"/>
    <w:rsid w:val="DBFF9CBF"/>
    <w:rsid w:val="DC3F155A"/>
    <w:rsid w:val="DD5FEA18"/>
    <w:rsid w:val="DD7B88DA"/>
    <w:rsid w:val="DD7D921C"/>
    <w:rsid w:val="DDB98AC2"/>
    <w:rsid w:val="DDDF96F9"/>
    <w:rsid w:val="DDEF0A34"/>
    <w:rsid w:val="DF5EA6DB"/>
    <w:rsid w:val="DF7F630B"/>
    <w:rsid w:val="DF8BD6C6"/>
    <w:rsid w:val="DFAE0D88"/>
    <w:rsid w:val="DFDB8A60"/>
    <w:rsid w:val="DFDF1837"/>
    <w:rsid w:val="DFEB477B"/>
    <w:rsid w:val="DFFF473C"/>
    <w:rsid w:val="DFFF4D63"/>
    <w:rsid w:val="DFFFDBD6"/>
    <w:rsid w:val="E3BED307"/>
    <w:rsid w:val="E3F6709B"/>
    <w:rsid w:val="E5EF846E"/>
    <w:rsid w:val="E7D9030E"/>
    <w:rsid w:val="E7ED58EE"/>
    <w:rsid w:val="E7F602C0"/>
    <w:rsid w:val="EBFA9516"/>
    <w:rsid w:val="EC3F6675"/>
    <w:rsid w:val="EC77E137"/>
    <w:rsid w:val="ED3E5DFD"/>
    <w:rsid w:val="ED537D62"/>
    <w:rsid w:val="EDF20101"/>
    <w:rsid w:val="EE778E0C"/>
    <w:rsid w:val="EE7A3354"/>
    <w:rsid w:val="EE7F00AF"/>
    <w:rsid w:val="EEFE1C28"/>
    <w:rsid w:val="EF3E5842"/>
    <w:rsid w:val="EF573340"/>
    <w:rsid w:val="EF6413F7"/>
    <w:rsid w:val="EFAFC590"/>
    <w:rsid w:val="EFEE3DB6"/>
    <w:rsid w:val="F0FB04D2"/>
    <w:rsid w:val="F3BA4D8B"/>
    <w:rsid w:val="F3FE715E"/>
    <w:rsid w:val="F4D71967"/>
    <w:rsid w:val="F5EB2EA6"/>
    <w:rsid w:val="F65910FE"/>
    <w:rsid w:val="F6AFE60F"/>
    <w:rsid w:val="F6F38280"/>
    <w:rsid w:val="F6F93EFF"/>
    <w:rsid w:val="F73DEA7D"/>
    <w:rsid w:val="F75AD63F"/>
    <w:rsid w:val="F7961ACA"/>
    <w:rsid w:val="F7A525E1"/>
    <w:rsid w:val="F7CF8A16"/>
    <w:rsid w:val="F7EBAF45"/>
    <w:rsid w:val="F7FCB77F"/>
    <w:rsid w:val="FAFD2BDD"/>
    <w:rsid w:val="FB2F5F63"/>
    <w:rsid w:val="FB3F182B"/>
    <w:rsid w:val="FB8B8AF4"/>
    <w:rsid w:val="FB9F48E5"/>
    <w:rsid w:val="FBDF29D2"/>
    <w:rsid w:val="FBF12488"/>
    <w:rsid w:val="FBF2C79F"/>
    <w:rsid w:val="FBFF94F2"/>
    <w:rsid w:val="FBFFA5C3"/>
    <w:rsid w:val="FCFA6C66"/>
    <w:rsid w:val="FD7A1F50"/>
    <w:rsid w:val="FDB7F7D5"/>
    <w:rsid w:val="FDBCD35A"/>
    <w:rsid w:val="FDDF0B86"/>
    <w:rsid w:val="FDFBDF0D"/>
    <w:rsid w:val="FDFDCD5E"/>
    <w:rsid w:val="FDFF50B6"/>
    <w:rsid w:val="FE3FA2A8"/>
    <w:rsid w:val="FE7D9A7A"/>
    <w:rsid w:val="FEAF2238"/>
    <w:rsid w:val="FED3DFA9"/>
    <w:rsid w:val="FEDF2BB2"/>
    <w:rsid w:val="FEEF60BC"/>
    <w:rsid w:val="FEF66907"/>
    <w:rsid w:val="FEFF56DC"/>
    <w:rsid w:val="FEFF96C9"/>
    <w:rsid w:val="FF1FB709"/>
    <w:rsid w:val="FF7FB57E"/>
    <w:rsid w:val="FF8B075D"/>
    <w:rsid w:val="FFAD3693"/>
    <w:rsid w:val="FFBC38E0"/>
    <w:rsid w:val="FFD3737B"/>
    <w:rsid w:val="FFDB937C"/>
    <w:rsid w:val="FFE9DFE6"/>
    <w:rsid w:val="FFEF4B32"/>
    <w:rsid w:val="FFFC2C26"/>
    <w:rsid w:val="FFFCD35A"/>
    <w:rsid w:val="FFFD62CD"/>
    <w:rsid w:val="FFFF0790"/>
    <w:rsid w:val="FFFF4AA1"/>
    <w:rsid w:val="FFFFB44A"/>
    <w:rsid w:val="FFFFC947"/>
    <w:rsid w:val="FFFFF0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99"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3">
    <w:name w:val="heading 1"/>
    <w:basedOn w:val="1"/>
    <w:next w:val="1"/>
    <w:link w:val="65"/>
    <w:qFormat/>
    <w:uiPriority w:val="0"/>
    <w:pPr>
      <w:keepNext/>
      <w:jc w:val="center"/>
      <w:outlineLvl w:val="0"/>
    </w:pPr>
    <w:rPr>
      <w:rFonts w:ascii="楷体_GB2312" w:eastAsia="楷体_GB2312"/>
      <w:sz w:val="28"/>
      <w:szCs w:val="28"/>
    </w:rPr>
  </w:style>
  <w:style w:type="paragraph" w:styleId="4">
    <w:name w:val="heading 2"/>
    <w:basedOn w:val="1"/>
    <w:next w:val="1"/>
    <w:link w:val="66"/>
    <w:qFormat/>
    <w:uiPriority w:val="0"/>
    <w:pPr>
      <w:keepNext/>
      <w:keepLines/>
      <w:spacing w:before="260" w:after="260" w:line="416" w:lineRule="auto"/>
      <w:jc w:val="center"/>
      <w:outlineLvl w:val="1"/>
    </w:pPr>
    <w:rPr>
      <w:rFonts w:ascii="Arial" w:hAnsi="Arial" w:eastAsia="幼圆"/>
      <w:b/>
      <w:bCs/>
      <w:sz w:val="44"/>
      <w:szCs w:val="44"/>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7"/>
    <w:link w:val="6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7"/>
    <w:link w:val="70"/>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71"/>
    <w:qFormat/>
    <w:uiPriority w:val="0"/>
    <w:pPr>
      <w:keepNext/>
      <w:keepLines/>
      <w:numPr>
        <w:ilvl w:val="5"/>
        <w:numId w:val="1"/>
      </w:numPr>
      <w:spacing w:before="240" w:after="64" w:line="320" w:lineRule="auto"/>
      <w:outlineLvl w:val="5"/>
    </w:pPr>
    <w:rPr>
      <w:rFonts w:ascii="Arial" w:hAnsi="Arial" w:eastAsia="黑体"/>
      <w:b/>
      <w:bCs/>
      <w:szCs w:val="24"/>
    </w:rPr>
  </w:style>
  <w:style w:type="paragraph" w:styleId="10">
    <w:name w:val="heading 7"/>
    <w:basedOn w:val="1"/>
    <w:next w:val="1"/>
    <w:link w:val="72"/>
    <w:qFormat/>
    <w:uiPriority w:val="0"/>
    <w:pPr>
      <w:keepNext/>
      <w:keepLines/>
      <w:numPr>
        <w:ilvl w:val="6"/>
        <w:numId w:val="1"/>
      </w:numPr>
      <w:spacing w:before="240" w:after="64" w:line="320" w:lineRule="auto"/>
      <w:outlineLvl w:val="6"/>
    </w:pPr>
    <w:rPr>
      <w:b/>
      <w:bCs/>
      <w:szCs w:val="24"/>
    </w:rPr>
  </w:style>
  <w:style w:type="paragraph" w:styleId="11">
    <w:name w:val="heading 8"/>
    <w:basedOn w:val="1"/>
    <w:next w:val="1"/>
    <w:link w:val="73"/>
    <w:qFormat/>
    <w:uiPriority w:val="0"/>
    <w:pPr>
      <w:keepNext/>
      <w:keepLines/>
      <w:numPr>
        <w:ilvl w:val="7"/>
        <w:numId w:val="1"/>
      </w:numPr>
      <w:spacing w:before="240" w:after="64" w:line="320" w:lineRule="auto"/>
      <w:outlineLvl w:val="7"/>
    </w:pPr>
    <w:rPr>
      <w:rFonts w:ascii="Arial" w:hAnsi="Arial" w:eastAsia="黑体"/>
      <w:szCs w:val="24"/>
    </w:rPr>
  </w:style>
  <w:style w:type="paragraph" w:styleId="12">
    <w:name w:val="heading 9"/>
    <w:basedOn w:val="1"/>
    <w:next w:val="1"/>
    <w:link w:val="74"/>
    <w:qFormat/>
    <w:uiPriority w:val="0"/>
    <w:pPr>
      <w:keepNext/>
      <w:keepLines/>
      <w:numPr>
        <w:ilvl w:val="8"/>
        <w:numId w:val="1"/>
      </w:numPr>
      <w:spacing w:before="240" w:after="64" w:line="320" w:lineRule="auto"/>
      <w:outlineLvl w:val="8"/>
    </w:pPr>
    <w:rPr>
      <w:rFonts w:ascii="Arial" w:hAnsi="Arial" w:eastAsia="黑体"/>
    </w:rPr>
  </w:style>
  <w:style w:type="character" w:default="1" w:styleId="54">
    <w:name w:val="Default Paragraph Font"/>
    <w:semiHidden/>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macro"/>
    <w:link w:val="64"/>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7">
    <w:name w:val="Normal Indent"/>
    <w:basedOn w:val="1"/>
    <w:link w:val="69"/>
    <w:qFormat/>
    <w:uiPriority w:val="0"/>
    <w:pPr>
      <w:ind w:firstLine="420"/>
    </w:pPr>
    <w:rPr>
      <w:sz w:val="21"/>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ind w:left="1260"/>
      <w:jc w:val="left"/>
    </w:p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5"/>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99"/>
    <w:pPr>
      <w:ind w:left="2100"/>
    </w:pPr>
  </w:style>
  <w:style w:type="paragraph" w:styleId="19">
    <w:name w:val="Body Text 3"/>
    <w:basedOn w:val="1"/>
    <w:qFormat/>
    <w:uiPriority w:val="0"/>
    <w:rPr>
      <w:rFonts w:ascii="仿宋_GB2312" w:hAnsi="Arial" w:eastAsia="仿宋_GB2312"/>
      <w:sz w:val="32"/>
      <w:szCs w:val="32"/>
    </w:rPr>
  </w:style>
  <w:style w:type="paragraph" w:styleId="20">
    <w:name w:val="Body Text"/>
    <w:basedOn w:val="1"/>
    <w:next w:val="21"/>
    <w:link w:val="62"/>
    <w:qFormat/>
    <w:uiPriority w:val="0"/>
    <w:rPr>
      <w:rFonts w:ascii="楷体_GB2312" w:hAnsi="Arial" w:eastAsia="楷体_GB2312"/>
      <w:sz w:val="28"/>
      <w:szCs w:val="28"/>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2">
    <w:name w:val="Body Text Indent"/>
    <w:basedOn w:val="1"/>
    <w:link w:val="77"/>
    <w:qFormat/>
    <w:uiPriority w:val="0"/>
    <w:pPr>
      <w:ind w:firstLine="645"/>
    </w:pPr>
    <w:rPr>
      <w:rFonts w:ascii="楷体_GB2312" w:eastAsia="楷体_GB2312"/>
      <w:sz w:val="32"/>
      <w:szCs w:val="32"/>
    </w:rPr>
  </w:style>
  <w:style w:type="paragraph" w:styleId="23">
    <w:name w:val="List 2"/>
    <w:basedOn w:val="1"/>
    <w:qFormat/>
    <w:uiPriority w:val="0"/>
    <w:pPr>
      <w:ind w:left="100" w:leftChars="200" w:hanging="200" w:hangingChars="200"/>
    </w:pPr>
  </w:style>
  <w:style w:type="paragraph" w:styleId="24">
    <w:name w:val="toc 5"/>
    <w:basedOn w:val="1"/>
    <w:next w:val="1"/>
    <w:qFormat/>
    <w:uiPriority w:val="39"/>
    <w:pPr>
      <w:ind w:left="840"/>
      <w:jc w:val="left"/>
    </w:pPr>
  </w:style>
  <w:style w:type="paragraph" w:styleId="25">
    <w:name w:val="toc 3"/>
    <w:basedOn w:val="1"/>
    <w:next w:val="1"/>
    <w:qFormat/>
    <w:uiPriority w:val="39"/>
    <w:pPr>
      <w:ind w:left="420"/>
      <w:jc w:val="left"/>
    </w:pPr>
    <w:rPr>
      <w:i/>
      <w:iCs/>
      <w:szCs w:val="24"/>
    </w:rPr>
  </w:style>
  <w:style w:type="paragraph" w:styleId="26">
    <w:name w:val="Plain Text"/>
    <w:basedOn w:val="1"/>
    <w:link w:val="78"/>
    <w:qFormat/>
    <w:uiPriority w:val="0"/>
    <w:rPr>
      <w:rFonts w:ascii="宋体" w:hAnsi="Courier New"/>
    </w:rPr>
  </w:style>
  <w:style w:type="paragraph" w:styleId="27">
    <w:name w:val="toc 8"/>
    <w:basedOn w:val="1"/>
    <w:next w:val="1"/>
    <w:qFormat/>
    <w:uiPriority w:val="39"/>
    <w:pPr>
      <w:ind w:left="1470"/>
      <w:jc w:val="left"/>
    </w:pPr>
  </w:style>
  <w:style w:type="paragraph" w:styleId="28">
    <w:name w:val="Date"/>
    <w:basedOn w:val="1"/>
    <w:next w:val="1"/>
    <w:link w:val="79"/>
    <w:qFormat/>
    <w:uiPriority w:val="0"/>
    <w:rPr>
      <w:szCs w:val="24"/>
    </w:rPr>
  </w:style>
  <w:style w:type="paragraph" w:styleId="29">
    <w:name w:val="Body Text Indent 2"/>
    <w:basedOn w:val="1"/>
    <w:link w:val="80"/>
    <w:qFormat/>
    <w:uiPriority w:val="0"/>
    <w:pPr>
      <w:ind w:left="630" w:firstLine="645"/>
    </w:pPr>
    <w:rPr>
      <w:rFonts w:ascii="Arial" w:hAnsi="Arial" w:eastAsia="仿宋_GB2312"/>
      <w:sz w:val="32"/>
      <w:szCs w:val="32"/>
    </w:rPr>
  </w:style>
  <w:style w:type="paragraph" w:styleId="30">
    <w:name w:val="Balloon Text"/>
    <w:basedOn w:val="1"/>
    <w:link w:val="81"/>
    <w:uiPriority w:val="0"/>
    <w:rPr>
      <w:sz w:val="18"/>
      <w:szCs w:val="18"/>
    </w:rPr>
  </w:style>
  <w:style w:type="paragraph" w:styleId="31">
    <w:name w:val="footer"/>
    <w:basedOn w:val="1"/>
    <w:link w:val="82"/>
    <w:qFormat/>
    <w:uiPriority w:val="99"/>
    <w:pPr>
      <w:tabs>
        <w:tab w:val="center" w:pos="4153"/>
        <w:tab w:val="right" w:pos="8306"/>
      </w:tabs>
      <w:snapToGrid w:val="0"/>
      <w:jc w:val="left"/>
    </w:pPr>
    <w:rPr>
      <w:sz w:val="18"/>
      <w:szCs w:val="18"/>
    </w:rPr>
  </w:style>
  <w:style w:type="paragraph" w:styleId="32">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4">
    <w:name w:val="toc 4"/>
    <w:basedOn w:val="1"/>
    <w:next w:val="1"/>
    <w:qFormat/>
    <w:uiPriority w:val="39"/>
    <w:pPr>
      <w:ind w:left="630"/>
      <w:jc w:val="left"/>
    </w:pPr>
  </w:style>
  <w:style w:type="paragraph" w:styleId="35">
    <w:name w:val="index heading"/>
    <w:basedOn w:val="1"/>
    <w:next w:val="36"/>
    <w:qFormat/>
    <w:uiPriority w:val="0"/>
    <w:pPr>
      <w:spacing w:line="240" w:lineRule="auto"/>
    </w:pPr>
    <w:rPr>
      <w:sz w:val="21"/>
      <w:szCs w:val="24"/>
    </w:rPr>
  </w:style>
  <w:style w:type="paragraph" w:styleId="36">
    <w:name w:val="index 1"/>
    <w:basedOn w:val="1"/>
    <w:next w:val="1"/>
    <w:qFormat/>
    <w:uiPriority w:val="0"/>
    <w:pPr>
      <w:spacing w:line="240" w:lineRule="atLeast"/>
    </w:pPr>
    <w:rPr>
      <w:b/>
      <w:bCs/>
    </w:rPr>
  </w:style>
  <w:style w:type="paragraph" w:styleId="37">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style>
  <w:style w:type="paragraph" w:styleId="39">
    <w:name w:val="footnote text"/>
    <w:basedOn w:val="1"/>
    <w:link w:val="85"/>
    <w:qFormat/>
    <w:uiPriority w:val="0"/>
    <w:pPr>
      <w:snapToGrid w:val="0"/>
      <w:spacing w:line="240" w:lineRule="auto"/>
      <w:jc w:val="left"/>
    </w:pPr>
    <w:rPr>
      <w:kern w:val="0"/>
      <w:sz w:val="18"/>
      <w:szCs w:val="18"/>
    </w:rPr>
  </w:style>
  <w:style w:type="paragraph" w:styleId="40">
    <w:name w:val="toc 6"/>
    <w:basedOn w:val="1"/>
    <w:next w:val="1"/>
    <w:qFormat/>
    <w:uiPriority w:val="39"/>
    <w:pPr>
      <w:ind w:left="1050"/>
      <w:jc w:val="left"/>
    </w:pPr>
  </w:style>
  <w:style w:type="paragraph" w:styleId="41">
    <w:name w:val="Body Text Indent 3"/>
    <w:basedOn w:val="1"/>
    <w:link w:val="86"/>
    <w:qFormat/>
    <w:uiPriority w:val="0"/>
    <w:pPr>
      <w:ind w:left="645" w:firstLine="645"/>
    </w:pPr>
    <w:rPr>
      <w:rFonts w:ascii="Arial" w:hAnsi="Arial" w:eastAsia="仿宋_GB2312"/>
      <w:color w:val="FFFF00"/>
      <w:sz w:val="32"/>
      <w:szCs w:val="32"/>
    </w:rPr>
  </w:style>
  <w:style w:type="paragraph" w:styleId="42">
    <w:name w:val="table of figures"/>
    <w:basedOn w:val="1"/>
    <w:next w:val="1"/>
    <w:semiHidden/>
    <w:qFormat/>
    <w:uiPriority w:val="0"/>
    <w:pPr>
      <w:ind w:left="840" w:hanging="420"/>
    </w:pPr>
  </w:style>
  <w:style w:type="paragraph" w:styleId="43">
    <w:name w:val="toc 2"/>
    <w:basedOn w:val="1"/>
    <w:next w:val="1"/>
    <w:qFormat/>
    <w:uiPriority w:val="39"/>
    <w:pPr>
      <w:ind w:left="210"/>
      <w:jc w:val="left"/>
    </w:pPr>
    <w:rPr>
      <w:smallCaps/>
      <w:szCs w:val="24"/>
    </w:rPr>
  </w:style>
  <w:style w:type="paragraph" w:styleId="44">
    <w:name w:val="toc 9"/>
    <w:basedOn w:val="1"/>
    <w:next w:val="1"/>
    <w:qFormat/>
    <w:uiPriority w:val="39"/>
    <w:pPr>
      <w:ind w:left="1680"/>
      <w:jc w:val="left"/>
    </w:pPr>
  </w:style>
  <w:style w:type="paragraph" w:styleId="45">
    <w:name w:val="Body Text 2"/>
    <w:basedOn w:val="1"/>
    <w:qFormat/>
    <w:uiPriority w:val="0"/>
    <w:pPr>
      <w:widowControl/>
      <w:jc w:val="center"/>
    </w:pPr>
    <w:rPr>
      <w:rFonts w:ascii="楷体_GB2312" w:eastAsia="楷体_GB2312"/>
      <w:sz w:val="28"/>
      <w:szCs w:val="28"/>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Title"/>
    <w:basedOn w:val="1"/>
    <w:next w:val="1"/>
    <w:link w:val="87"/>
    <w:qFormat/>
    <w:uiPriority w:val="10"/>
    <w:pPr>
      <w:spacing w:before="240" w:after="60" w:line="240" w:lineRule="auto"/>
      <w:jc w:val="center"/>
      <w:outlineLvl w:val="0"/>
    </w:pPr>
    <w:rPr>
      <w:rFonts w:ascii="Cambria" w:hAnsi="Cambria"/>
      <w:b/>
      <w:bCs/>
      <w:kern w:val="0"/>
      <w:sz w:val="32"/>
      <w:szCs w:val="32"/>
    </w:rPr>
  </w:style>
  <w:style w:type="paragraph" w:styleId="48">
    <w:name w:val="annotation subject"/>
    <w:basedOn w:val="17"/>
    <w:next w:val="17"/>
    <w:link w:val="88"/>
    <w:qFormat/>
    <w:uiPriority w:val="0"/>
    <w:rPr>
      <w:b/>
      <w:bCs/>
    </w:rPr>
  </w:style>
  <w:style w:type="paragraph" w:styleId="49">
    <w:name w:val="Body Text First Indent"/>
    <w:basedOn w:val="20"/>
    <w:next w:val="1"/>
    <w:link w:val="63"/>
    <w:qFormat/>
    <w:uiPriority w:val="0"/>
    <w:pPr>
      <w:spacing w:line="360" w:lineRule="auto"/>
      <w:ind w:firstLine="200" w:firstLineChars="200"/>
    </w:pPr>
    <w:rPr>
      <w:rFonts w:ascii="仿宋_GB2312" w:eastAsia="仿宋_GB2312"/>
      <w:sz w:val="30"/>
      <w:szCs w:val="30"/>
    </w:rPr>
  </w:style>
  <w:style w:type="paragraph" w:styleId="50">
    <w:name w:val="Body Text First Indent 2"/>
    <w:basedOn w:val="22"/>
    <w:qFormat/>
    <w:uiPriority w:val="0"/>
    <w:pPr>
      <w:spacing w:line="360" w:lineRule="auto"/>
      <w:ind w:firstLine="420" w:firstLineChars="200"/>
    </w:pPr>
    <w:rPr>
      <w:rFonts w:ascii="宋体" w:hAnsi="宋体" w:eastAsia="宋体"/>
      <w:sz w:val="21"/>
      <w:szCs w:val="20"/>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Colorful List Accent 1"/>
    <w:qFormat/>
    <w:uiPriority w:val="34"/>
    <w:pPr>
      <w:ind w:left="720"/>
      <w:contextualSpacing/>
    </w:pPr>
    <w:rPr>
      <w:rFonts w:ascii="Calibri" w:hAnsi="Calibri"/>
      <w:szCs w:val="24"/>
      <w:lang w:val="en-US" w:eastAsia="en-US" w:bidi="en-US"/>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Emphasis"/>
    <w:basedOn w:val="54"/>
    <w:qFormat/>
    <w:uiPriority w:val="2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footnote reference"/>
    <w:qFormat/>
    <w:uiPriority w:val="0"/>
    <w:rPr>
      <w:vertAlign w:val="superscript"/>
    </w:rPr>
  </w:style>
  <w:style w:type="character" w:customStyle="1" w:styleId="62">
    <w:name w:val="正文文本 Char"/>
    <w:link w:val="20"/>
    <w:qFormat/>
    <w:uiPriority w:val="0"/>
    <w:rPr>
      <w:rFonts w:ascii="楷体_GB2312" w:hAnsi="Arial" w:eastAsia="楷体_GB2312"/>
      <w:kern w:val="2"/>
      <w:sz w:val="28"/>
      <w:szCs w:val="28"/>
    </w:rPr>
  </w:style>
  <w:style w:type="character" w:customStyle="1" w:styleId="63">
    <w:name w:val="正文首行缩进 Char1"/>
    <w:link w:val="49"/>
    <w:qFormat/>
    <w:uiPriority w:val="0"/>
    <w:rPr>
      <w:rFonts w:ascii="仿宋_GB2312" w:eastAsia="仿宋_GB2312"/>
      <w:kern w:val="2"/>
      <w:sz w:val="30"/>
      <w:szCs w:val="30"/>
    </w:rPr>
  </w:style>
  <w:style w:type="character" w:customStyle="1" w:styleId="64">
    <w:name w:val="宏文本 Char"/>
    <w:link w:val="2"/>
    <w:qFormat/>
    <w:uiPriority w:val="99"/>
    <w:rPr>
      <w:rFonts w:ascii="Courier New" w:hAnsi="Courier New"/>
      <w:kern w:val="2"/>
      <w:sz w:val="24"/>
      <w:szCs w:val="24"/>
      <w:lang w:val="en-US" w:eastAsia="zh-CN" w:bidi="ar-SA"/>
    </w:rPr>
  </w:style>
  <w:style w:type="character" w:customStyle="1" w:styleId="65">
    <w:name w:val="标题 1 Char"/>
    <w:link w:val="3"/>
    <w:qFormat/>
    <w:uiPriority w:val="0"/>
    <w:rPr>
      <w:rFonts w:ascii="楷体_GB2312" w:eastAsia="楷体_GB2312"/>
      <w:kern w:val="2"/>
      <w:sz w:val="28"/>
      <w:szCs w:val="28"/>
    </w:rPr>
  </w:style>
  <w:style w:type="character" w:customStyle="1" w:styleId="66">
    <w:name w:val="标题 2 Char"/>
    <w:link w:val="4"/>
    <w:qFormat/>
    <w:uiPriority w:val="0"/>
    <w:rPr>
      <w:rFonts w:ascii="Arial" w:hAnsi="Arial" w:eastAsia="幼圆" w:cs="Arial"/>
      <w:b/>
      <w:bCs/>
      <w:kern w:val="2"/>
      <w:sz w:val="44"/>
      <w:szCs w:val="44"/>
    </w:rPr>
  </w:style>
  <w:style w:type="character" w:customStyle="1" w:styleId="67">
    <w:name w:val="标题 3 Char"/>
    <w:link w:val="5"/>
    <w:qFormat/>
    <w:uiPriority w:val="0"/>
    <w:rPr>
      <w:b/>
      <w:bCs/>
      <w:kern w:val="2"/>
      <w:sz w:val="32"/>
      <w:szCs w:val="32"/>
    </w:rPr>
  </w:style>
  <w:style w:type="character" w:customStyle="1" w:styleId="68">
    <w:name w:val="标题 4 Char"/>
    <w:link w:val="6"/>
    <w:qFormat/>
    <w:uiPriority w:val="0"/>
    <w:rPr>
      <w:rFonts w:ascii="Arial" w:hAnsi="Arial" w:eastAsia="黑体" w:cs="Arial"/>
      <w:b/>
      <w:bCs/>
      <w:kern w:val="2"/>
      <w:sz w:val="28"/>
      <w:szCs w:val="28"/>
    </w:rPr>
  </w:style>
  <w:style w:type="character" w:customStyle="1" w:styleId="69">
    <w:name w:val="正文缩进 Char"/>
    <w:link w:val="7"/>
    <w:qFormat/>
    <w:uiPriority w:val="0"/>
    <w:rPr>
      <w:rFonts w:eastAsia="宋体"/>
      <w:kern w:val="2"/>
      <w:sz w:val="21"/>
      <w:szCs w:val="21"/>
      <w:lang w:val="en-US" w:eastAsia="zh-CN" w:bidi="ar-SA"/>
    </w:rPr>
  </w:style>
  <w:style w:type="character" w:customStyle="1" w:styleId="70">
    <w:name w:val="标题 5 Char"/>
    <w:link w:val="8"/>
    <w:qFormat/>
    <w:uiPriority w:val="0"/>
    <w:rPr>
      <w:rFonts w:ascii="宋体"/>
      <w:color w:val="000000"/>
      <w:sz w:val="28"/>
      <w:szCs w:val="28"/>
    </w:rPr>
  </w:style>
  <w:style w:type="character" w:customStyle="1" w:styleId="71">
    <w:name w:val="标题 6 Char"/>
    <w:link w:val="9"/>
    <w:qFormat/>
    <w:uiPriority w:val="0"/>
    <w:rPr>
      <w:rFonts w:ascii="Arial" w:hAnsi="Arial" w:eastAsia="黑体"/>
      <w:b/>
      <w:bCs/>
      <w:kern w:val="2"/>
      <w:sz w:val="24"/>
      <w:szCs w:val="24"/>
    </w:rPr>
  </w:style>
  <w:style w:type="character" w:customStyle="1" w:styleId="72">
    <w:name w:val="标题 7 Char"/>
    <w:link w:val="10"/>
    <w:qFormat/>
    <w:uiPriority w:val="0"/>
    <w:rPr>
      <w:b/>
      <w:bCs/>
      <w:kern w:val="2"/>
      <w:sz w:val="24"/>
      <w:szCs w:val="24"/>
    </w:rPr>
  </w:style>
  <w:style w:type="character" w:customStyle="1" w:styleId="73">
    <w:name w:val="标题 8 Char"/>
    <w:link w:val="11"/>
    <w:qFormat/>
    <w:uiPriority w:val="0"/>
    <w:rPr>
      <w:rFonts w:ascii="Arial" w:hAnsi="Arial" w:eastAsia="黑体"/>
      <w:kern w:val="2"/>
      <w:sz w:val="24"/>
      <w:szCs w:val="24"/>
    </w:rPr>
  </w:style>
  <w:style w:type="character" w:customStyle="1" w:styleId="74">
    <w:name w:val="标题 9 Char"/>
    <w:link w:val="12"/>
    <w:qFormat/>
    <w:uiPriority w:val="0"/>
    <w:rPr>
      <w:rFonts w:ascii="Arial" w:hAnsi="Arial" w:eastAsia="黑体"/>
      <w:kern w:val="2"/>
      <w:sz w:val="24"/>
      <w:szCs w:val="21"/>
    </w:rPr>
  </w:style>
  <w:style w:type="character" w:customStyle="1" w:styleId="75">
    <w:name w:val="文档结构图 Char1"/>
    <w:link w:val="16"/>
    <w:qFormat/>
    <w:uiPriority w:val="0"/>
    <w:rPr>
      <w:kern w:val="2"/>
      <w:sz w:val="24"/>
      <w:szCs w:val="21"/>
      <w:shd w:val="clear" w:color="auto" w:fill="000080"/>
    </w:rPr>
  </w:style>
  <w:style w:type="character" w:customStyle="1" w:styleId="76">
    <w:name w:val="批注文字 Char"/>
    <w:link w:val="17"/>
    <w:qFormat/>
    <w:uiPriority w:val="0"/>
    <w:rPr>
      <w:kern w:val="2"/>
      <w:sz w:val="24"/>
      <w:szCs w:val="21"/>
    </w:rPr>
  </w:style>
  <w:style w:type="character" w:customStyle="1" w:styleId="77">
    <w:name w:val="正文文本缩进 Char1"/>
    <w:link w:val="22"/>
    <w:qFormat/>
    <w:uiPriority w:val="0"/>
    <w:rPr>
      <w:rFonts w:ascii="楷体_GB2312" w:eastAsia="楷体_GB2312"/>
      <w:kern w:val="2"/>
      <w:sz w:val="32"/>
      <w:szCs w:val="32"/>
    </w:rPr>
  </w:style>
  <w:style w:type="character" w:customStyle="1" w:styleId="78">
    <w:name w:val="纯文本 Char"/>
    <w:link w:val="26"/>
    <w:qFormat/>
    <w:uiPriority w:val="0"/>
    <w:rPr>
      <w:rFonts w:ascii="宋体" w:hAnsi="Courier New" w:cs="Courier New"/>
      <w:kern w:val="2"/>
      <w:sz w:val="24"/>
      <w:szCs w:val="21"/>
    </w:rPr>
  </w:style>
  <w:style w:type="character" w:customStyle="1" w:styleId="79">
    <w:name w:val="日期 Char1"/>
    <w:link w:val="28"/>
    <w:qFormat/>
    <w:uiPriority w:val="0"/>
    <w:rPr>
      <w:kern w:val="2"/>
      <w:sz w:val="24"/>
      <w:szCs w:val="24"/>
    </w:rPr>
  </w:style>
  <w:style w:type="character" w:customStyle="1" w:styleId="80">
    <w:name w:val="正文文本缩进 2 Char"/>
    <w:link w:val="29"/>
    <w:qFormat/>
    <w:uiPriority w:val="0"/>
    <w:rPr>
      <w:rFonts w:ascii="Arial" w:hAnsi="Arial" w:eastAsia="仿宋_GB2312" w:cs="Arial"/>
      <w:kern w:val="2"/>
      <w:sz w:val="32"/>
      <w:szCs w:val="32"/>
    </w:rPr>
  </w:style>
  <w:style w:type="character" w:customStyle="1" w:styleId="81">
    <w:name w:val="批注框文本 Char"/>
    <w:link w:val="30"/>
    <w:qFormat/>
    <w:uiPriority w:val="0"/>
    <w:rPr>
      <w:kern w:val="2"/>
      <w:sz w:val="18"/>
      <w:szCs w:val="18"/>
    </w:rPr>
  </w:style>
  <w:style w:type="character" w:customStyle="1" w:styleId="82">
    <w:name w:val="页脚 Char"/>
    <w:link w:val="31"/>
    <w:qFormat/>
    <w:uiPriority w:val="99"/>
    <w:rPr>
      <w:kern w:val="2"/>
      <w:sz w:val="18"/>
      <w:szCs w:val="18"/>
    </w:rPr>
  </w:style>
  <w:style w:type="character" w:customStyle="1" w:styleId="83">
    <w:name w:val="页眉 Char"/>
    <w:link w:val="32"/>
    <w:qFormat/>
    <w:uiPriority w:val="99"/>
    <w:rPr>
      <w:kern w:val="2"/>
      <w:sz w:val="18"/>
      <w:szCs w:val="18"/>
    </w:rPr>
  </w:style>
  <w:style w:type="character" w:customStyle="1" w:styleId="84">
    <w:name w:val="副标题 Char"/>
    <w:link w:val="37"/>
    <w:qFormat/>
    <w:uiPriority w:val="0"/>
    <w:rPr>
      <w:rFonts w:ascii="Cambria" w:hAnsi="Cambria"/>
      <w:b/>
      <w:bCs/>
      <w:kern w:val="28"/>
      <w:sz w:val="32"/>
      <w:szCs w:val="32"/>
    </w:rPr>
  </w:style>
  <w:style w:type="character" w:customStyle="1" w:styleId="85">
    <w:name w:val="脚注文本 Char"/>
    <w:link w:val="39"/>
    <w:qFormat/>
    <w:uiPriority w:val="0"/>
    <w:rPr>
      <w:sz w:val="18"/>
      <w:szCs w:val="18"/>
    </w:rPr>
  </w:style>
  <w:style w:type="character" w:customStyle="1" w:styleId="86">
    <w:name w:val="正文文本缩进 3 Char1"/>
    <w:link w:val="41"/>
    <w:qFormat/>
    <w:uiPriority w:val="0"/>
    <w:rPr>
      <w:rFonts w:ascii="Arial" w:hAnsi="Arial" w:eastAsia="仿宋_GB2312" w:cs="Arial"/>
      <w:color w:val="FFFF00"/>
      <w:kern w:val="2"/>
      <w:sz w:val="32"/>
      <w:szCs w:val="32"/>
    </w:rPr>
  </w:style>
  <w:style w:type="character" w:customStyle="1" w:styleId="87">
    <w:name w:val="标题 Char"/>
    <w:link w:val="47"/>
    <w:qFormat/>
    <w:uiPriority w:val="10"/>
    <w:rPr>
      <w:rFonts w:ascii="Cambria" w:hAnsi="Cambria"/>
      <w:b/>
      <w:bCs/>
      <w:sz w:val="32"/>
      <w:szCs w:val="32"/>
    </w:rPr>
  </w:style>
  <w:style w:type="character" w:customStyle="1" w:styleId="88">
    <w:name w:val="批注主题 Char1"/>
    <w:link w:val="48"/>
    <w:qFormat/>
    <w:uiPriority w:val="0"/>
    <w:rPr>
      <w:b/>
      <w:bCs/>
      <w:kern w:val="2"/>
      <w:sz w:val="24"/>
      <w:szCs w:val="21"/>
    </w:rPr>
  </w:style>
  <w:style w:type="character" w:customStyle="1" w:styleId="89">
    <w:name w:val="正文 Char"/>
    <w:link w:val="90"/>
    <w:qFormat/>
    <w:uiPriority w:val="0"/>
    <w:rPr>
      <w:rFonts w:hAnsi="Arial" w:cs="Arial"/>
      <w:kern w:val="2"/>
      <w:sz w:val="28"/>
      <w:szCs w:val="28"/>
      <w:lang w:val="en-US" w:eastAsia="zh-CN" w:bidi="ar-SA"/>
    </w:rPr>
  </w:style>
  <w:style w:type="paragraph" w:customStyle="1" w:styleId="90">
    <w:name w:val="正文1"/>
    <w:link w:val="89"/>
    <w:qFormat/>
    <w:uiPriority w:val="0"/>
    <w:pPr>
      <w:widowControl w:val="0"/>
      <w:adjustRightInd w:val="0"/>
      <w:ind w:firstLine="560" w:firstLineChars="200"/>
      <w:jc w:val="both"/>
    </w:pPr>
    <w:rPr>
      <w:rFonts w:ascii="Times New Roman" w:hAnsi="Arial" w:eastAsia="宋体" w:cs="Arial"/>
      <w:kern w:val="2"/>
      <w:sz w:val="28"/>
      <w:szCs w:val="28"/>
      <w:lang w:val="en-US" w:eastAsia="zh-CN" w:bidi="ar-SA"/>
    </w:rPr>
  </w:style>
  <w:style w:type="character" w:customStyle="1" w:styleId="91">
    <w:name w:val="font31"/>
    <w:basedOn w:val="54"/>
    <w:qFormat/>
    <w:uiPriority w:val="0"/>
    <w:rPr>
      <w:rFonts w:hint="eastAsia" w:ascii="黑体" w:hAnsi="宋体" w:eastAsia="黑体" w:cs="黑体"/>
      <w:color w:val="000000"/>
      <w:sz w:val="44"/>
      <w:szCs w:val="44"/>
      <w:u w:val="none"/>
    </w:rPr>
  </w:style>
  <w:style w:type="character" w:customStyle="1" w:styleId="92">
    <w:name w:val="样式2 Char"/>
    <w:link w:val="93"/>
    <w:qFormat/>
    <w:uiPriority w:val="0"/>
    <w:rPr>
      <w:kern w:val="24"/>
      <w:sz w:val="28"/>
      <w:szCs w:val="28"/>
    </w:rPr>
  </w:style>
  <w:style w:type="paragraph" w:customStyle="1" w:styleId="93">
    <w:name w:val="样式2"/>
    <w:basedOn w:val="1"/>
    <w:link w:val="92"/>
    <w:qFormat/>
    <w:uiPriority w:val="0"/>
    <w:pPr>
      <w:tabs>
        <w:tab w:val="left" w:pos="5604"/>
      </w:tabs>
      <w:adjustRightInd w:val="0"/>
      <w:snapToGrid w:val="0"/>
      <w:spacing w:before="156" w:beforeLines="50" w:after="156" w:afterLines="50"/>
      <w:ind w:firstLine="560" w:firstLineChars="200"/>
    </w:pPr>
    <w:rPr>
      <w:kern w:val="24"/>
      <w:sz w:val="28"/>
      <w:szCs w:val="28"/>
    </w:rPr>
  </w:style>
  <w:style w:type="character" w:customStyle="1" w:styleId="94">
    <w:name w:val="bookmark-item"/>
    <w:basedOn w:val="54"/>
    <w:qFormat/>
    <w:uiPriority w:val="0"/>
  </w:style>
  <w:style w:type="character" w:customStyle="1" w:styleId="95">
    <w:name w:val="彩色列表 - 着色 1 字符"/>
    <w:qFormat/>
    <w:uiPriority w:val="34"/>
    <w:rPr>
      <w:rFonts w:ascii="Calibri" w:hAnsi="Calibri"/>
      <w:sz w:val="24"/>
      <w:szCs w:val="24"/>
      <w:lang w:eastAsia="en-US" w:bidi="en-US"/>
    </w:rPr>
  </w:style>
  <w:style w:type="character" w:customStyle="1" w:styleId="96">
    <w:name w:val="hei1"/>
    <w:qFormat/>
    <w:uiPriority w:val="0"/>
    <w:rPr>
      <w:color w:val="000000"/>
      <w:sz w:val="18"/>
      <w:szCs w:val="18"/>
      <w:u w:val="none"/>
    </w:rPr>
  </w:style>
  <w:style w:type="character" w:customStyle="1" w:styleId="97">
    <w:name w:val="我的正文 Char"/>
    <w:link w:val="98"/>
    <w:qFormat/>
    <w:uiPriority w:val="0"/>
    <w:rPr>
      <w:rFonts w:eastAsia="仿宋_GB2312"/>
      <w:kern w:val="2"/>
      <w:sz w:val="28"/>
      <w:szCs w:val="28"/>
    </w:rPr>
  </w:style>
  <w:style w:type="paragraph" w:customStyle="1" w:styleId="98">
    <w:name w:val="我的正文"/>
    <w:basedOn w:val="1"/>
    <w:link w:val="97"/>
    <w:qFormat/>
    <w:uiPriority w:val="0"/>
    <w:pPr>
      <w:widowControl/>
      <w:spacing w:line="360" w:lineRule="auto"/>
      <w:ind w:firstLine="200" w:firstLineChars="200"/>
    </w:pPr>
    <w:rPr>
      <w:rFonts w:eastAsia="仿宋_GB2312"/>
      <w:sz w:val="28"/>
      <w:szCs w:val="28"/>
    </w:rPr>
  </w:style>
  <w:style w:type="character" w:customStyle="1" w:styleId="99">
    <w:name w:val="批注主题 Char"/>
    <w:link w:val="100"/>
    <w:qFormat/>
    <w:uiPriority w:val="0"/>
    <w:rPr>
      <w:b/>
      <w:bCs/>
      <w:szCs w:val="24"/>
    </w:rPr>
  </w:style>
  <w:style w:type="paragraph" w:customStyle="1" w:styleId="100">
    <w:name w:val="annotation subject"/>
    <w:basedOn w:val="17"/>
    <w:next w:val="17"/>
    <w:link w:val="99"/>
    <w:qFormat/>
    <w:uiPriority w:val="0"/>
    <w:pPr>
      <w:spacing w:line="240" w:lineRule="auto"/>
    </w:pPr>
    <w:rPr>
      <w:b/>
      <w:bCs/>
      <w:kern w:val="0"/>
      <w:sz w:val="20"/>
      <w:szCs w:val="24"/>
    </w:rPr>
  </w:style>
  <w:style w:type="character" w:customStyle="1" w:styleId="101">
    <w:name w:val="研究报告正文 Char"/>
    <w:link w:val="102"/>
    <w:qFormat/>
    <w:uiPriority w:val="0"/>
    <w:rPr>
      <w:sz w:val="28"/>
      <w:szCs w:val="24"/>
    </w:rPr>
  </w:style>
  <w:style w:type="paragraph" w:customStyle="1" w:styleId="102">
    <w:name w:val="研究报告正文"/>
    <w:basedOn w:val="1"/>
    <w:link w:val="101"/>
    <w:qFormat/>
    <w:uiPriority w:val="0"/>
    <w:pPr>
      <w:spacing w:before="62" w:beforeLines="20" w:after="62" w:afterLines="20"/>
      <w:ind w:firstLine="200" w:firstLineChars="200"/>
    </w:pPr>
    <w:rPr>
      <w:kern w:val="0"/>
      <w:sz w:val="28"/>
      <w:szCs w:val="24"/>
    </w:rPr>
  </w:style>
  <w:style w:type="character" w:customStyle="1" w:styleId="103">
    <w:name w:val="html_txt1"/>
    <w:qFormat/>
    <w:uiPriority w:val="0"/>
    <w:rPr>
      <w:color w:val="000000"/>
    </w:rPr>
  </w:style>
  <w:style w:type="character" w:customStyle="1" w:styleId="104">
    <w:name w:val="html_tag1"/>
    <w:qFormat/>
    <w:uiPriority w:val="0"/>
    <w:rPr>
      <w:color w:val="0000FF"/>
    </w:rPr>
  </w:style>
  <w:style w:type="character" w:customStyle="1" w:styleId="105">
    <w:name w:val="样式1 Char"/>
    <w:link w:val="106"/>
    <w:qFormat/>
    <w:uiPriority w:val="0"/>
    <w:rPr>
      <w:rFonts w:ascii="宋体" w:hAnsi="宋体"/>
      <w:sz w:val="24"/>
      <w:szCs w:val="21"/>
    </w:rPr>
  </w:style>
  <w:style w:type="paragraph" w:customStyle="1" w:styleId="106">
    <w:name w:val="样式1"/>
    <w:basedOn w:val="1"/>
    <w:link w:val="105"/>
    <w:qFormat/>
    <w:uiPriority w:val="0"/>
    <w:pPr>
      <w:numPr>
        <w:ilvl w:val="0"/>
        <w:numId w:val="2"/>
      </w:numPr>
      <w:adjustRightInd w:val="0"/>
      <w:textAlignment w:val="baseline"/>
    </w:pPr>
    <w:rPr>
      <w:rFonts w:ascii="宋体" w:hAnsi="宋体"/>
      <w:kern w:val="0"/>
    </w:rPr>
  </w:style>
  <w:style w:type="character" w:customStyle="1" w:styleId="107">
    <w:name w:val="工可正文 Char"/>
    <w:link w:val="108"/>
    <w:qFormat/>
    <w:uiPriority w:val="0"/>
    <w:rPr>
      <w:rFonts w:ascii="宋体" w:hAnsi="Courier New"/>
      <w:sz w:val="28"/>
    </w:rPr>
  </w:style>
  <w:style w:type="paragraph" w:customStyle="1" w:styleId="108">
    <w:name w:val="工可正文"/>
    <w:basedOn w:val="109"/>
    <w:link w:val="107"/>
    <w:qFormat/>
    <w:uiPriority w:val="0"/>
    <w:pPr>
      <w:ind w:firstLine="560" w:firstLineChars="200"/>
    </w:pPr>
    <w:rPr>
      <w:sz w:val="28"/>
    </w:rPr>
  </w:style>
  <w:style w:type="paragraph" w:customStyle="1" w:styleId="109">
    <w:name w:val="Plain Text"/>
    <w:basedOn w:val="1"/>
    <w:qFormat/>
    <w:uiPriority w:val="0"/>
    <w:pPr>
      <w:spacing w:line="240" w:lineRule="auto"/>
    </w:pPr>
    <w:rPr>
      <w:rFonts w:ascii="宋体" w:hAnsi="Courier New"/>
      <w:kern w:val="0"/>
      <w:sz w:val="20"/>
      <w:szCs w:val="20"/>
    </w:rPr>
  </w:style>
  <w:style w:type="character" w:customStyle="1" w:styleId="110">
    <w:name w:val="小条目 Char"/>
    <w:link w:val="111"/>
    <w:qFormat/>
    <w:uiPriority w:val="0"/>
    <w:rPr>
      <w:rFonts w:ascii="宋体" w:hAnsi="Courier New"/>
      <w:sz w:val="28"/>
      <w:szCs w:val="24"/>
    </w:rPr>
  </w:style>
  <w:style w:type="paragraph" w:customStyle="1" w:styleId="111">
    <w:name w:val="小条目"/>
    <w:basedOn w:val="108"/>
    <w:link w:val="110"/>
    <w:qFormat/>
    <w:uiPriority w:val="0"/>
    <w:pPr>
      <w:numPr>
        <w:ilvl w:val="0"/>
        <w:numId w:val="3"/>
      </w:numPr>
      <w:ind w:firstLineChars="0"/>
    </w:pPr>
    <w:rPr>
      <w:szCs w:val="24"/>
    </w:rPr>
  </w:style>
  <w:style w:type="character" w:customStyle="1" w:styleId="112">
    <w:name w:val="标题 2 字符"/>
    <w:qFormat/>
    <w:uiPriority w:val="0"/>
    <w:rPr>
      <w:rFonts w:ascii="Arial" w:hAnsi="Arial" w:eastAsia="幼圆" w:cs="Arial"/>
      <w:b/>
      <w:bCs/>
      <w:kern w:val="2"/>
      <w:sz w:val="44"/>
      <w:szCs w:val="44"/>
    </w:rPr>
  </w:style>
  <w:style w:type="character" w:customStyle="1" w:styleId="113">
    <w:name w:val="font5 Char"/>
    <w:qFormat/>
    <w:uiPriority w:val="0"/>
    <w:rPr>
      <w:rFonts w:ascii="宋体" w:hAnsi="宋体" w:eastAsia="宋体"/>
      <w:sz w:val="28"/>
      <w:szCs w:val="28"/>
      <w:lang w:val="en-US" w:eastAsia="zh-CN" w:bidi="ar-SA"/>
    </w:rPr>
  </w:style>
  <w:style w:type="character" w:customStyle="1" w:styleId="114">
    <w:name w:val="正文文本缩进 Char"/>
    <w:link w:val="115"/>
    <w:qFormat/>
    <w:uiPriority w:val="0"/>
    <w:rPr>
      <w:rFonts w:ascii="Calibri" w:hAnsi="Calibri"/>
      <w:szCs w:val="24"/>
    </w:rPr>
  </w:style>
  <w:style w:type="paragraph" w:customStyle="1" w:styleId="115">
    <w:name w:val="Body Text Indent"/>
    <w:basedOn w:val="1"/>
    <w:link w:val="114"/>
    <w:qFormat/>
    <w:uiPriority w:val="0"/>
    <w:pPr>
      <w:spacing w:after="120" w:line="240" w:lineRule="auto"/>
      <w:ind w:left="420" w:leftChars="200"/>
    </w:pPr>
    <w:rPr>
      <w:rFonts w:ascii="Calibri" w:hAnsi="Calibri"/>
      <w:kern w:val="0"/>
      <w:sz w:val="20"/>
      <w:szCs w:val="24"/>
    </w:rPr>
  </w:style>
  <w:style w:type="character" w:customStyle="1" w:styleId="116">
    <w:name w:val="文档结构图 Char"/>
    <w:link w:val="117"/>
    <w:qFormat/>
    <w:uiPriority w:val="0"/>
    <w:rPr>
      <w:sz w:val="28"/>
      <w:shd w:val="clear" w:color="auto" w:fill="000080"/>
    </w:rPr>
  </w:style>
  <w:style w:type="paragraph" w:customStyle="1" w:styleId="117">
    <w:name w:val="Document Map"/>
    <w:basedOn w:val="1"/>
    <w:link w:val="116"/>
    <w:qFormat/>
    <w:uiPriority w:val="0"/>
    <w:pPr>
      <w:shd w:val="clear" w:color="auto" w:fill="000080"/>
      <w:spacing w:line="240" w:lineRule="auto"/>
    </w:pPr>
    <w:rPr>
      <w:kern w:val="0"/>
      <w:sz w:val="28"/>
      <w:szCs w:val="20"/>
      <w:shd w:val="clear" w:color="auto" w:fill="000080"/>
    </w:rPr>
  </w:style>
  <w:style w:type="character" w:customStyle="1" w:styleId="118">
    <w:name w:val="font61"/>
    <w:basedOn w:val="54"/>
    <w:qFormat/>
    <w:uiPriority w:val="0"/>
    <w:rPr>
      <w:rFonts w:hint="eastAsia" w:ascii="宋体" w:hAnsi="宋体" w:eastAsia="宋体" w:cs="宋体"/>
      <w:color w:val="000000"/>
      <w:sz w:val="20"/>
      <w:szCs w:val="20"/>
      <w:u w:val="none"/>
    </w:rPr>
  </w:style>
  <w:style w:type="character" w:customStyle="1" w:styleId="119">
    <w:name w:val="二级小编号 Char"/>
    <w:link w:val="120"/>
    <w:qFormat/>
    <w:uiPriority w:val="0"/>
    <w:rPr>
      <w:sz w:val="28"/>
      <w:szCs w:val="28"/>
    </w:rPr>
  </w:style>
  <w:style w:type="paragraph" w:customStyle="1" w:styleId="120">
    <w:name w:val="二级小编号"/>
    <w:basedOn w:val="115"/>
    <w:link w:val="119"/>
    <w:qFormat/>
    <w:uiPriority w:val="0"/>
    <w:pPr>
      <w:numPr>
        <w:ilvl w:val="0"/>
        <w:numId w:val="4"/>
      </w:numPr>
      <w:tabs>
        <w:tab w:val="left" w:pos="1440"/>
      </w:tabs>
      <w:spacing w:after="0"/>
      <w:ind w:left="1440" w:leftChars="0" w:hanging="1440"/>
    </w:pPr>
    <w:rPr>
      <w:rFonts w:ascii="Times New Roman" w:hAnsi="Times New Roman"/>
      <w:sz w:val="28"/>
      <w:szCs w:val="28"/>
    </w:rPr>
  </w:style>
  <w:style w:type="character" w:customStyle="1" w:styleId="121">
    <w:name w:val="正文文本缩进 3 Char"/>
    <w:link w:val="122"/>
    <w:qFormat/>
    <w:uiPriority w:val="0"/>
    <w:rPr>
      <w:rFonts w:ascii="宋体"/>
      <w:color w:val="FF00FF"/>
      <w:sz w:val="28"/>
      <w:szCs w:val="24"/>
    </w:rPr>
  </w:style>
  <w:style w:type="paragraph" w:customStyle="1" w:styleId="122">
    <w:name w:val="Body Text Indent 3"/>
    <w:basedOn w:val="1"/>
    <w:link w:val="121"/>
    <w:qFormat/>
    <w:uiPriority w:val="0"/>
    <w:pPr>
      <w:spacing w:line="240" w:lineRule="auto"/>
      <w:ind w:firstLine="524"/>
    </w:pPr>
    <w:rPr>
      <w:rFonts w:ascii="宋体"/>
      <w:color w:val="FF00FF"/>
      <w:kern w:val="0"/>
      <w:sz w:val="28"/>
      <w:szCs w:val="24"/>
    </w:rPr>
  </w:style>
  <w:style w:type="character" w:customStyle="1" w:styleId="123">
    <w:name w:val="脚注文本 Char1"/>
    <w:qFormat/>
    <w:uiPriority w:val="99"/>
    <w:rPr>
      <w:kern w:val="2"/>
      <w:sz w:val="18"/>
      <w:szCs w:val="18"/>
    </w:rPr>
  </w:style>
  <w:style w:type="character" w:customStyle="1" w:styleId="124">
    <w:name w:val="正文首行缩进 Char"/>
    <w:link w:val="125"/>
    <w:qFormat/>
    <w:uiPriority w:val="0"/>
    <w:rPr>
      <w:rFonts w:ascii="Calibri" w:hAnsi="Calibri"/>
      <w:szCs w:val="24"/>
    </w:rPr>
  </w:style>
  <w:style w:type="paragraph" w:customStyle="1" w:styleId="125">
    <w:name w:val="Body Text First Indent"/>
    <w:basedOn w:val="20"/>
    <w:link w:val="124"/>
    <w:qFormat/>
    <w:uiPriority w:val="0"/>
    <w:pPr>
      <w:spacing w:after="120" w:line="240" w:lineRule="auto"/>
      <w:ind w:firstLine="420" w:firstLineChars="100"/>
    </w:pPr>
    <w:rPr>
      <w:rFonts w:ascii="Calibri" w:hAnsi="Calibri" w:eastAsia="宋体"/>
      <w:kern w:val="0"/>
      <w:sz w:val="20"/>
      <w:szCs w:val="24"/>
    </w:rPr>
  </w:style>
  <w:style w:type="character" w:customStyle="1" w:styleId="126">
    <w:name w:val="我的列表 Char"/>
    <w:link w:val="127"/>
    <w:qFormat/>
    <w:uiPriority w:val="0"/>
    <w:rPr>
      <w:rFonts w:ascii="仿宋_GB2312" w:hAnsi="Arial" w:eastAsia="仿宋_GB2312"/>
      <w:kern w:val="2"/>
      <w:sz w:val="28"/>
      <w:szCs w:val="18"/>
    </w:rPr>
  </w:style>
  <w:style w:type="paragraph" w:customStyle="1" w:styleId="127">
    <w:name w:val="我的列表"/>
    <w:basedOn w:val="98"/>
    <w:next w:val="98"/>
    <w:link w:val="126"/>
    <w:qFormat/>
    <w:uiPriority w:val="0"/>
    <w:pPr>
      <w:numPr>
        <w:ilvl w:val="0"/>
        <w:numId w:val="5"/>
      </w:numPr>
      <w:tabs>
        <w:tab w:val="left" w:pos="1022"/>
        <w:tab w:val="clear" w:pos="900"/>
      </w:tabs>
      <w:spacing w:line="240" w:lineRule="auto"/>
      <w:ind w:firstLine="0" w:firstLineChars="0"/>
    </w:pPr>
    <w:rPr>
      <w:rFonts w:ascii="仿宋_GB2312" w:hAnsi="Arial"/>
      <w:szCs w:val="18"/>
    </w:rPr>
  </w:style>
  <w:style w:type="character" w:customStyle="1" w:styleId="128">
    <w:name w:val="font91"/>
    <w:basedOn w:val="54"/>
    <w:qFormat/>
    <w:uiPriority w:val="0"/>
    <w:rPr>
      <w:rFonts w:hint="eastAsia" w:ascii="宋体" w:hAnsi="宋体" w:eastAsia="宋体" w:cs="宋体"/>
      <w:color w:val="000000"/>
      <w:sz w:val="20"/>
      <w:szCs w:val="20"/>
      <w:u w:val="none"/>
    </w:rPr>
  </w:style>
  <w:style w:type="character" w:customStyle="1" w:styleId="129">
    <w:name w:val="正文缩进 字符"/>
    <w:qFormat/>
    <w:uiPriority w:val="0"/>
    <w:rPr>
      <w:rFonts w:eastAsia="宋体"/>
      <w:kern w:val="2"/>
      <w:sz w:val="21"/>
      <w:szCs w:val="21"/>
      <w:lang w:val="en-US" w:eastAsia="zh-CN" w:bidi="ar-SA"/>
    </w:rPr>
  </w:style>
  <w:style w:type="character" w:customStyle="1" w:styleId="130">
    <w:name w:val="列表段落 字符"/>
    <w:qFormat/>
    <w:uiPriority w:val="34"/>
    <w:rPr>
      <w:rFonts w:ascii="Calibri" w:hAnsi="Calibri"/>
      <w:sz w:val="24"/>
      <w:szCs w:val="24"/>
      <w:lang w:eastAsia="en-US" w:bidi="en-US"/>
    </w:rPr>
  </w:style>
  <w:style w:type="character" w:customStyle="1" w:styleId="131">
    <w:name w:val="font21"/>
    <w:basedOn w:val="54"/>
    <w:qFormat/>
    <w:uiPriority w:val="0"/>
    <w:rPr>
      <w:rFonts w:ascii="Calibri" w:hAnsi="Calibri" w:cs="Calibri"/>
      <w:color w:val="000000"/>
      <w:sz w:val="20"/>
      <w:szCs w:val="20"/>
      <w:u w:val="none"/>
    </w:rPr>
  </w:style>
  <w:style w:type="character" w:customStyle="1" w:styleId="132">
    <w:name w:val="apple-style-span"/>
    <w:basedOn w:val="54"/>
    <w:qFormat/>
    <w:uiPriority w:val="0"/>
  </w:style>
  <w:style w:type="character" w:customStyle="1" w:styleId="133">
    <w:name w:val="工可正文 Char Char"/>
    <w:qFormat/>
    <w:uiPriority w:val="0"/>
    <w:rPr>
      <w:rFonts w:ascii="宋体" w:hAnsi="Courier New" w:eastAsia="宋体" w:cs="Times New Roman"/>
      <w:kern w:val="0"/>
      <w:sz w:val="28"/>
      <w:szCs w:val="20"/>
    </w:rPr>
  </w:style>
  <w:style w:type="character" w:customStyle="1" w:styleId="134">
    <w:name w:val="日期 Char"/>
    <w:link w:val="135"/>
    <w:qFormat/>
    <w:uiPriority w:val="0"/>
    <w:rPr>
      <w:szCs w:val="24"/>
    </w:rPr>
  </w:style>
  <w:style w:type="paragraph" w:customStyle="1" w:styleId="135">
    <w:name w:val="Date"/>
    <w:basedOn w:val="1"/>
    <w:next w:val="1"/>
    <w:link w:val="134"/>
    <w:qFormat/>
    <w:uiPriority w:val="0"/>
    <w:pPr>
      <w:spacing w:line="240" w:lineRule="auto"/>
    </w:pPr>
    <w:rPr>
      <w:kern w:val="0"/>
      <w:sz w:val="20"/>
      <w:szCs w:val="24"/>
    </w:rPr>
  </w:style>
  <w:style w:type="character" w:customStyle="1" w:styleId="136">
    <w:name w:val="二级目录 Char"/>
    <w:link w:val="137"/>
    <w:qFormat/>
    <w:uiPriority w:val="0"/>
    <w:rPr>
      <w:b/>
      <w:kern w:val="2"/>
      <w:sz w:val="30"/>
      <w:szCs w:val="28"/>
      <w:lang w:val="en-US" w:eastAsia="zh-CN" w:bidi="ar-SA"/>
    </w:rPr>
  </w:style>
  <w:style w:type="paragraph" w:customStyle="1" w:styleId="137">
    <w:name w:val="二级目录"/>
    <w:next w:val="1"/>
    <w:link w:val="136"/>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138">
    <w:name w:val="annotation reference"/>
    <w:qFormat/>
    <w:uiPriority w:val="0"/>
    <w:rPr>
      <w:sz w:val="21"/>
      <w:szCs w:val="21"/>
    </w:rPr>
  </w:style>
  <w:style w:type="character" w:customStyle="1" w:styleId="139">
    <w:name w:val="副标题 Char1"/>
    <w:qFormat/>
    <w:uiPriority w:val="11"/>
    <w:rPr>
      <w:rFonts w:ascii="Cambria" w:hAnsi="Cambria" w:cs="Times New Roman"/>
      <w:b/>
      <w:bCs/>
      <w:kern w:val="28"/>
      <w:sz w:val="32"/>
      <w:szCs w:val="32"/>
    </w:rPr>
  </w:style>
  <w:style w:type="character" w:customStyle="1" w:styleId="140">
    <w:name w:val="无间隔 Char"/>
    <w:link w:val="141"/>
    <w:qFormat/>
    <w:uiPriority w:val="0"/>
    <w:rPr>
      <w:kern w:val="2"/>
      <w:sz w:val="22"/>
      <w:szCs w:val="22"/>
      <w:lang w:val="en-US" w:eastAsia="zh-CN" w:bidi="ar-SA"/>
    </w:rPr>
  </w:style>
  <w:style w:type="paragraph" w:customStyle="1" w:styleId="141">
    <w:name w:val="No Spacing"/>
    <w:link w:val="140"/>
    <w:qFormat/>
    <w:uiPriority w:val="0"/>
    <w:rPr>
      <w:rFonts w:ascii="Times New Roman" w:hAnsi="Times New Roman" w:eastAsia="宋体" w:cs="Times New Roman"/>
      <w:kern w:val="2"/>
      <w:sz w:val="22"/>
      <w:szCs w:val="22"/>
      <w:lang w:val="en-US" w:eastAsia="zh-CN" w:bidi="ar-SA"/>
    </w:rPr>
  </w:style>
  <w:style w:type="character" w:customStyle="1" w:styleId="142">
    <w:name w:val="批注引用1"/>
    <w:qFormat/>
    <w:uiPriority w:val="0"/>
    <w:rPr>
      <w:sz w:val="21"/>
      <w:szCs w:val="21"/>
    </w:rPr>
  </w:style>
  <w:style w:type="character" w:customStyle="1" w:styleId="143">
    <w:name w:val="标题 Char1"/>
    <w:qFormat/>
    <w:uiPriority w:val="10"/>
    <w:rPr>
      <w:rFonts w:ascii="Cambria" w:hAnsi="Cambria" w:cs="Times New Roman"/>
      <w:b/>
      <w:bCs/>
      <w:kern w:val="2"/>
      <w:sz w:val="32"/>
      <w:szCs w:val="32"/>
    </w:rPr>
  </w:style>
  <w:style w:type="character" w:customStyle="1" w:styleId="144">
    <w:name w:val="font51"/>
    <w:basedOn w:val="54"/>
    <w:qFormat/>
    <w:uiPriority w:val="0"/>
    <w:rPr>
      <w:rFonts w:hint="eastAsia" w:ascii="宋体" w:hAnsi="宋体" w:eastAsia="宋体" w:cs="宋体"/>
      <w:color w:val="000000"/>
      <w:sz w:val="24"/>
      <w:szCs w:val="24"/>
      <w:u w:val="none"/>
    </w:rPr>
  </w:style>
  <w:style w:type="character" w:customStyle="1" w:styleId="145">
    <w:name w:val="font41"/>
    <w:basedOn w:val="54"/>
    <w:qFormat/>
    <w:uiPriority w:val="0"/>
    <w:rPr>
      <w:rFonts w:hint="eastAsia" w:ascii="黑体" w:hAnsi="宋体" w:eastAsia="黑体" w:cs="黑体"/>
      <w:color w:val="000000"/>
      <w:sz w:val="40"/>
      <w:szCs w:val="40"/>
      <w:u w:val="none"/>
    </w:rPr>
  </w:style>
  <w:style w:type="character" w:customStyle="1" w:styleId="146">
    <w:name w:val="一级小编号 Char"/>
    <w:link w:val="147"/>
    <w:qFormat/>
    <w:uiPriority w:val="0"/>
    <w:rPr>
      <w:rFonts w:ascii="宋体" w:hAnsi="Courier New"/>
      <w:b/>
      <w:kern w:val="2"/>
      <w:sz w:val="28"/>
      <w:szCs w:val="24"/>
      <w:lang w:val="en-US" w:eastAsia="zh-CN" w:bidi="ar-SA"/>
    </w:rPr>
  </w:style>
  <w:style w:type="paragraph" w:customStyle="1" w:styleId="147">
    <w:name w:val="一级小编号"/>
    <w:link w:val="146"/>
    <w:qFormat/>
    <w:uiPriority w:val="0"/>
    <w:rPr>
      <w:rFonts w:ascii="宋体" w:hAnsi="Courier New" w:eastAsia="宋体" w:cs="Times New Roman"/>
      <w:b/>
      <w:kern w:val="2"/>
      <w:sz w:val="28"/>
      <w:szCs w:val="24"/>
      <w:lang w:val="en-US" w:eastAsia="zh-CN" w:bidi="ar-SA"/>
    </w:rPr>
  </w:style>
  <w:style w:type="character" w:customStyle="1" w:styleId="148">
    <w:name w:val="图注 Char"/>
    <w:link w:val="149"/>
    <w:qFormat/>
    <w:uiPriority w:val="0"/>
    <w:rPr>
      <w:rFonts w:ascii="宋体" w:hAnsi="宋体"/>
      <w:sz w:val="24"/>
      <w:szCs w:val="24"/>
    </w:rPr>
  </w:style>
  <w:style w:type="paragraph" w:customStyle="1" w:styleId="149">
    <w:name w:val="图注"/>
    <w:basedOn w:val="1"/>
    <w:link w:val="148"/>
    <w:qFormat/>
    <w:uiPriority w:val="0"/>
    <w:pPr>
      <w:spacing w:beforeLines="50" w:afterLines="50" w:line="240" w:lineRule="auto"/>
      <w:jc w:val="center"/>
      <w:outlineLvl w:val="4"/>
    </w:pPr>
    <w:rPr>
      <w:rFonts w:ascii="宋体" w:hAnsi="宋体"/>
      <w:kern w:val="0"/>
      <w:szCs w:val="24"/>
    </w:rPr>
  </w:style>
  <w:style w:type="paragraph" w:customStyle="1" w:styleId="150">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51">
    <w:name w:val=" Char"/>
    <w:basedOn w:val="16"/>
    <w:qFormat/>
    <w:uiPriority w:val="0"/>
    <w:rPr>
      <w:rFonts w:ascii="Tahoma" w:hAnsi="Tahoma"/>
      <w:sz w:val="24"/>
      <w:szCs w:val="24"/>
    </w:rPr>
  </w:style>
  <w:style w:type="paragraph" w:customStyle="1" w:styleId="152">
    <w:name w:val="样式 首行缩进:  0 字符"/>
    <w:basedOn w:val="1"/>
    <w:qFormat/>
    <w:uiPriority w:val="0"/>
    <w:pPr>
      <w:spacing w:line="480" w:lineRule="exact"/>
      <w:ind w:firstLine="680"/>
    </w:pPr>
    <w:rPr>
      <w:rFonts w:cs="宋体"/>
      <w:kern w:val="16"/>
      <w:sz w:val="28"/>
      <w:szCs w:val="20"/>
    </w:rPr>
  </w:style>
  <w:style w:type="paragraph" w:customStyle="1" w:styleId="153">
    <w:name w:val="文档结构图1"/>
    <w:basedOn w:val="1"/>
    <w:qFormat/>
    <w:uiPriority w:val="0"/>
    <w:pPr>
      <w:shd w:val="clear" w:color="auto" w:fill="000080"/>
      <w:spacing w:line="240" w:lineRule="auto"/>
    </w:pPr>
    <w:rPr>
      <w:rFonts w:ascii="Calibri" w:hAnsi="Calibri"/>
      <w:sz w:val="28"/>
      <w:szCs w:val="22"/>
      <w:shd w:val="clear" w:color="auto" w:fill="000080"/>
    </w:rPr>
  </w:style>
  <w:style w:type="paragraph" w:customStyle="1" w:styleId="154">
    <w:name w:val="@图片"/>
    <w:next w:val="1"/>
    <w:qFormat/>
    <w:uiPriority w:val="0"/>
    <w:pPr>
      <w:jc w:val="center"/>
    </w:pPr>
    <w:rPr>
      <w:rFonts w:ascii="Calibri" w:hAnsi="Calibri" w:eastAsia="宋体" w:cs="Times New Roman"/>
      <w:kern w:val="2"/>
      <w:sz w:val="21"/>
      <w:szCs w:val="22"/>
      <w:lang w:val="en-US" w:eastAsia="zh-CN" w:bidi="ar-SA"/>
    </w:rPr>
  </w:style>
  <w:style w:type="paragraph" w:customStyle="1" w:styleId="155">
    <w:name w:val="缺省文本"/>
    <w:basedOn w:val="1"/>
    <w:qFormat/>
    <w:uiPriority w:val="0"/>
    <w:pPr>
      <w:widowControl/>
      <w:tabs>
        <w:tab w:val="left" w:pos="360"/>
      </w:tabs>
      <w:autoSpaceDE w:val="0"/>
      <w:autoSpaceDN w:val="0"/>
      <w:adjustRightInd w:val="0"/>
      <w:spacing w:line="240" w:lineRule="auto"/>
      <w:jc w:val="left"/>
    </w:pPr>
    <w:rPr>
      <w:kern w:val="0"/>
      <w:szCs w:val="20"/>
    </w:rPr>
  </w:style>
  <w:style w:type="paragraph" w:customStyle="1" w:styleId="156">
    <w:name w:val="table_lines"/>
    <w:basedOn w:val="1"/>
    <w:qFormat/>
    <w:uiPriority w:val="0"/>
    <w:pPr>
      <w:widowControl/>
      <w:jc w:val="left"/>
    </w:pPr>
    <w:rPr>
      <w:kern w:val="0"/>
      <w:sz w:val="20"/>
      <w:szCs w:val="20"/>
      <w:lang w:val="de-DE" w:eastAsia="de-DE"/>
    </w:rPr>
  </w:style>
  <w:style w:type="paragraph" w:customStyle="1" w:styleId="157">
    <w:name w:val="Normal (Web)"/>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158">
    <w:name w:val="TOC 标题1"/>
    <w:basedOn w:val="3"/>
    <w:next w:val="1"/>
    <w:qFormat/>
    <w:uiPriority w:val="0"/>
    <w:pPr>
      <w:keepLines/>
      <w:widowControl/>
      <w:spacing w:before="480" w:line="276" w:lineRule="auto"/>
      <w:jc w:val="left"/>
      <w:outlineLvl w:val="9"/>
    </w:pPr>
    <w:rPr>
      <w:rFonts w:ascii="Cambria" w:hAnsi="Cambria" w:eastAsia="宋体"/>
      <w:b/>
      <w:bCs/>
      <w:color w:val="365F91"/>
      <w:kern w:val="0"/>
      <w:lang w:val="en-US" w:eastAsia="zh-CN"/>
    </w:rPr>
  </w:style>
  <w:style w:type="paragraph" w:customStyle="1" w:styleId="159">
    <w:name w:val="正文首行缩进1"/>
    <w:basedOn w:val="20"/>
    <w:qFormat/>
    <w:uiPriority w:val="0"/>
    <w:pPr>
      <w:spacing w:after="120" w:line="240" w:lineRule="auto"/>
      <w:ind w:firstLine="420" w:firstLineChars="100"/>
    </w:pPr>
    <w:rPr>
      <w:rFonts w:ascii="Calibri" w:hAnsi="Calibri" w:eastAsia="宋体"/>
      <w:sz w:val="21"/>
      <w:szCs w:val="24"/>
    </w:rPr>
  </w:style>
  <w:style w:type="paragraph" w:customStyle="1" w:styleId="160">
    <w:name w:val="工可大编号"/>
    <w:basedOn w:val="1"/>
    <w:qFormat/>
    <w:uiPriority w:val="0"/>
    <w:pPr>
      <w:numPr>
        <w:ilvl w:val="0"/>
        <w:numId w:val="6"/>
      </w:numPr>
      <w:tabs>
        <w:tab w:val="left" w:pos="360"/>
      </w:tabs>
      <w:adjustRightInd w:val="0"/>
      <w:spacing w:line="240" w:lineRule="auto"/>
    </w:pPr>
    <w:rPr>
      <w:kern w:val="0"/>
      <w:sz w:val="28"/>
      <w:szCs w:val="22"/>
    </w:rPr>
  </w:style>
  <w:style w:type="paragraph" w:customStyle="1" w:styleId="161">
    <w:name w:val="规划正文"/>
    <w:basedOn w:val="1"/>
    <w:qFormat/>
    <w:uiPriority w:val="0"/>
    <w:pPr>
      <w:widowControl/>
      <w:ind w:firstLine="200"/>
      <w:jc w:val="left"/>
    </w:pPr>
    <w:rPr>
      <w:kern w:val="0"/>
      <w:sz w:val="28"/>
      <w:szCs w:val="20"/>
    </w:rPr>
  </w:style>
  <w:style w:type="paragraph" w:customStyle="1" w:styleId="162">
    <w:name w:val="Char Char Char"/>
    <w:basedOn w:val="1"/>
    <w:qFormat/>
    <w:uiPriority w:val="0"/>
    <w:pPr>
      <w:spacing w:line="240" w:lineRule="auto"/>
    </w:pPr>
    <w:rPr>
      <w:rFonts w:ascii="Tahoma" w:hAnsi="Tahoma" w:cs="Tahoma"/>
      <w:szCs w:val="24"/>
    </w:rPr>
  </w:style>
  <w:style w:type="paragraph" w:customStyle="1" w:styleId="163">
    <w:name w:val="默认段落字体 Para Char Char Char Char Char Char Char Char Char Char Char Char Char Char"/>
    <w:qFormat/>
    <w:uiPriority w:val="0"/>
    <w:pPr>
      <w:shd w:val="clear" w:color="auto" w:fill="000080"/>
    </w:pPr>
    <w:rPr>
      <w:rFonts w:ascii="Tahoma" w:hAnsi="Tahoma" w:eastAsia="宋体" w:cs="Times New Roman"/>
      <w:sz w:val="24"/>
      <w:lang w:val="en-US" w:eastAsia="zh-CN" w:bidi="ar-SA"/>
    </w:rPr>
  </w:style>
  <w:style w:type="paragraph" w:customStyle="1" w:styleId="164">
    <w:name w:val="Revision"/>
    <w:qFormat/>
    <w:uiPriority w:val="0"/>
    <w:rPr>
      <w:rFonts w:ascii="Times New Roman" w:hAnsi="Times New Roman" w:eastAsia="宋体" w:cs="Times New Roman"/>
      <w:kern w:val="2"/>
      <w:sz w:val="21"/>
      <w:szCs w:val="24"/>
      <w:lang w:val="en-US" w:eastAsia="zh-CN" w:bidi="ar-SA"/>
    </w:rPr>
  </w:style>
  <w:style w:type="paragraph" w:customStyle="1" w:styleId="165">
    <w:name w:val="表格标题"/>
    <w:basedOn w:val="1"/>
    <w:qFormat/>
    <w:uiPriority w:val="0"/>
    <w:pPr>
      <w:spacing w:line="240" w:lineRule="auto"/>
      <w:ind w:left="980" w:hanging="420"/>
      <w:jc w:val="center"/>
    </w:pPr>
    <w:rPr>
      <w:rFonts w:ascii="宋体" w:hAnsi="宋体" w:cs="宋体"/>
      <w:b/>
      <w:bCs/>
      <w:sz w:val="18"/>
      <w:szCs w:val="18"/>
    </w:rPr>
  </w:style>
  <w:style w:type="paragraph" w:customStyle="1" w:styleId="166">
    <w:name w:val="日期1"/>
    <w:basedOn w:val="1"/>
    <w:next w:val="1"/>
    <w:qFormat/>
    <w:uiPriority w:val="0"/>
    <w:pPr>
      <w:spacing w:line="240" w:lineRule="auto"/>
    </w:pPr>
    <w:rPr>
      <w:rFonts w:ascii="Calibri" w:hAnsi="Calibri"/>
      <w:sz w:val="21"/>
      <w:szCs w:val="24"/>
    </w:rPr>
  </w:style>
  <w:style w:type="paragraph" w:customStyle="1" w:styleId="167">
    <w:name w:val="网格表 31"/>
    <w:basedOn w:val="3"/>
    <w:next w:val="1"/>
    <w:qFormat/>
    <w:uiPriority w:val="39"/>
    <w:pPr>
      <w:keepLines/>
      <w:pageBreakBefore/>
      <w:widowControl/>
      <w:spacing w:before="480" w:line="276" w:lineRule="auto"/>
      <w:jc w:val="left"/>
      <w:outlineLvl w:val="9"/>
    </w:pPr>
    <w:rPr>
      <w:rFonts w:ascii="Cambria" w:hAnsi="Cambria" w:eastAsia="黑体"/>
      <w:b/>
      <w:bCs/>
      <w:color w:val="365F91"/>
      <w:kern w:val="0"/>
    </w:rPr>
  </w:style>
  <w:style w:type="paragraph" w:customStyle="1" w:styleId="168">
    <w:name w:val="我的图片"/>
    <w:basedOn w:val="98"/>
    <w:next w:val="98"/>
    <w:qFormat/>
    <w:uiPriority w:val="0"/>
    <w:pPr>
      <w:widowControl w:val="0"/>
      <w:ind w:firstLine="0" w:firstLineChars="0"/>
      <w:jc w:val="center"/>
    </w:pPr>
    <w:rPr>
      <w:rFonts w:ascii="仿宋_GB2312" w:hAnsi="宋体" w:eastAsia="楷体_GB2312"/>
      <w:szCs w:val="24"/>
    </w:rPr>
  </w:style>
  <w:style w:type="paragraph" w:customStyle="1" w:styleId="169">
    <w:name w:val="列表1"/>
    <w:basedOn w:val="1"/>
    <w:qFormat/>
    <w:uiPriority w:val="0"/>
    <w:pPr>
      <w:numPr>
        <w:ilvl w:val="0"/>
        <w:numId w:val="7"/>
      </w:numPr>
      <w:spacing w:line="240" w:lineRule="auto"/>
    </w:pPr>
    <w:rPr>
      <w:rFonts w:ascii="Arial" w:hAnsi="Arial"/>
      <w:sz w:val="28"/>
      <w:szCs w:val="28"/>
    </w:rPr>
  </w:style>
  <w:style w:type="paragraph" w:customStyle="1" w:styleId="170">
    <w:name w:val="正文文本缩进 21"/>
    <w:basedOn w:val="1"/>
    <w:qFormat/>
    <w:uiPriority w:val="0"/>
    <w:pPr>
      <w:autoSpaceDE w:val="0"/>
      <w:autoSpaceDN w:val="0"/>
      <w:adjustRightInd w:val="0"/>
      <w:spacing w:line="480" w:lineRule="atLeast"/>
      <w:ind w:firstLine="567"/>
      <w:textAlignment w:val="baseline"/>
    </w:pPr>
    <w:rPr>
      <w:rFonts w:ascii="仿宋_GB2312" w:eastAsia="仿宋_GB2312"/>
      <w:kern w:val="0"/>
      <w:sz w:val="28"/>
      <w:szCs w:val="20"/>
    </w:rPr>
  </w:style>
  <w:style w:type="paragraph" w:customStyle="1" w:styleId="171">
    <w:name w:val="GP标题2"/>
    <w:basedOn w:val="1"/>
    <w:next w:val="1"/>
    <w:qFormat/>
    <w:uiPriority w:val="0"/>
    <w:pPr>
      <w:numPr>
        <w:ilvl w:val="1"/>
        <w:numId w:val="8"/>
      </w:numPr>
      <w:spacing w:before="156" w:beforeLines="50" w:after="156" w:afterLines="50" w:line="300" w:lineRule="auto"/>
      <w:outlineLvl w:val="1"/>
    </w:pPr>
    <w:rPr>
      <w:rFonts w:ascii="华文细黑" w:hAnsi="华文细黑" w:eastAsia="华文细黑"/>
      <w:b/>
      <w:sz w:val="32"/>
    </w:rPr>
  </w:style>
  <w:style w:type="paragraph" w:customStyle="1" w:styleId="172">
    <w:name w:val="GP标题1"/>
    <w:basedOn w:val="1"/>
    <w:next w:val="1"/>
    <w:qFormat/>
    <w:uiPriority w:val="0"/>
    <w:pPr>
      <w:numPr>
        <w:ilvl w:val="0"/>
        <w:numId w:val="8"/>
      </w:numPr>
      <w:spacing w:beforeLines="100" w:afterLines="100"/>
      <w:jc w:val="center"/>
      <w:outlineLvl w:val="0"/>
    </w:pPr>
    <w:rPr>
      <w:rFonts w:ascii="黑体" w:hAnsi="黑体" w:eastAsia="黑体"/>
      <w:b/>
      <w:sz w:val="36"/>
    </w:rPr>
  </w:style>
  <w:style w:type="paragraph" w:customStyle="1" w:styleId="173">
    <w:name w:val="标题2 Char Char Char"/>
    <w:basedOn w:val="4"/>
    <w:qFormat/>
    <w:uiPriority w:val="0"/>
    <w:pPr>
      <w:numPr>
        <w:ilvl w:val="0"/>
        <w:numId w:val="0"/>
      </w:numPr>
      <w:spacing w:before="156" w:beforeLines="50" w:after="156" w:afterLines="50" w:line="360" w:lineRule="auto"/>
      <w:jc w:val="left"/>
    </w:pPr>
    <w:rPr>
      <w:rFonts w:eastAsia="宋体" w:cs="Times New Roman"/>
      <w:kern w:val="0"/>
      <w:sz w:val="28"/>
      <w:szCs w:val="32"/>
    </w:rPr>
  </w:style>
  <w:style w:type="paragraph" w:customStyle="1" w:styleId="174">
    <w:name w:val="Char"/>
    <w:basedOn w:val="1"/>
    <w:qFormat/>
    <w:uiPriority w:val="0"/>
    <w:pPr>
      <w:tabs>
        <w:tab w:val="left" w:pos="360"/>
      </w:tabs>
    </w:pPr>
    <w:rPr>
      <w:sz w:val="24"/>
      <w:szCs w:val="24"/>
    </w:rPr>
  </w:style>
  <w:style w:type="paragraph" w:customStyle="1" w:styleId="175">
    <w:name w:val="我的修改正文"/>
    <w:basedOn w:val="20"/>
    <w:next w:val="20"/>
    <w:qFormat/>
    <w:uiPriority w:val="0"/>
    <w:pPr>
      <w:ind w:firstLine="200" w:firstLineChars="200"/>
      <w:jc w:val="left"/>
    </w:pPr>
    <w:rPr>
      <w:rFonts w:ascii="Calibri" w:hAnsi="Calibri" w:eastAsia="宋体"/>
      <w:kern w:val="0"/>
      <w:szCs w:val="20"/>
    </w:rPr>
  </w:style>
  <w:style w:type="paragraph" w:customStyle="1" w:styleId="176">
    <w:name w:val="默认段落字体 Para Char Char Char Char Char Char Char"/>
    <w:basedOn w:val="1"/>
    <w:qFormat/>
    <w:uiPriority w:val="0"/>
    <w:pPr>
      <w:spacing w:line="240" w:lineRule="auto"/>
    </w:pPr>
    <w:rPr>
      <w:rFonts w:ascii="Tahoma" w:hAnsi="Tahoma"/>
      <w:szCs w:val="20"/>
    </w:rPr>
  </w:style>
  <w:style w:type="paragraph" w:customStyle="1" w:styleId="177">
    <w:name w:val="4"/>
    <w:basedOn w:val="1"/>
    <w:next w:val="41"/>
    <w:qFormat/>
    <w:uiPriority w:val="0"/>
    <w:pPr>
      <w:spacing w:line="360" w:lineRule="auto"/>
      <w:ind w:firstLine="420"/>
    </w:pPr>
    <w:rPr>
      <w:color w:val="FF0000"/>
      <w:sz w:val="24"/>
      <w:szCs w:val="24"/>
    </w:rPr>
  </w:style>
  <w:style w:type="paragraph" w:customStyle="1" w:styleId="17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79">
    <w:name w:val="默认段落字体 Para Char"/>
    <w:basedOn w:val="1"/>
    <w:qFormat/>
    <w:uiPriority w:val="0"/>
    <w:pPr>
      <w:spacing w:line="240" w:lineRule="auto"/>
    </w:pPr>
    <w:rPr>
      <w:sz w:val="21"/>
      <w:szCs w:val="24"/>
    </w:rPr>
  </w:style>
  <w:style w:type="paragraph" w:customStyle="1" w:styleId="180">
    <w:name w:val="GP标题5"/>
    <w:basedOn w:val="1"/>
    <w:next w:val="1"/>
    <w:qFormat/>
    <w:uiPriority w:val="0"/>
    <w:pPr>
      <w:numPr>
        <w:ilvl w:val="4"/>
        <w:numId w:val="8"/>
      </w:numPr>
      <w:spacing w:before="156" w:beforeLines="50" w:after="156" w:afterLines="50"/>
      <w:outlineLvl w:val="4"/>
    </w:pPr>
    <w:rPr>
      <w:rFonts w:ascii="华文细黑" w:hAnsi="华文细黑" w:eastAsia="华文细黑"/>
      <w:b/>
    </w:rPr>
  </w:style>
  <w:style w:type="paragraph" w:customStyle="1" w:styleId="181">
    <w:name w:val="GP标题4"/>
    <w:basedOn w:val="1"/>
    <w:next w:val="1"/>
    <w:qFormat/>
    <w:uiPriority w:val="0"/>
    <w:pPr>
      <w:numPr>
        <w:ilvl w:val="3"/>
        <w:numId w:val="8"/>
      </w:numPr>
      <w:spacing w:beforeLines="50" w:afterLines="50"/>
      <w:outlineLvl w:val="3"/>
    </w:pPr>
    <w:rPr>
      <w:rFonts w:ascii="华文细黑" w:hAnsi="华文细黑" w:eastAsia="华文细黑"/>
      <w:sz w:val="28"/>
    </w:rPr>
  </w:style>
  <w:style w:type="paragraph" w:customStyle="1" w:styleId="182">
    <w:name w:val="我的标题6"/>
    <w:basedOn w:val="1"/>
    <w:next w:val="98"/>
    <w:qFormat/>
    <w:uiPriority w:val="0"/>
    <w:pPr>
      <w:keepNext/>
      <w:widowControl/>
      <w:spacing w:line="360" w:lineRule="auto"/>
      <w:ind w:firstLine="200" w:firstLineChars="200"/>
      <w:outlineLvl w:val="5"/>
    </w:pPr>
    <w:rPr>
      <w:rFonts w:ascii="仿宋_GB2312" w:hAnsi="Arial" w:eastAsia="仿宋_GB2312"/>
      <w:b/>
      <w:sz w:val="28"/>
      <w:szCs w:val="18"/>
    </w:rPr>
  </w:style>
  <w:style w:type="paragraph" w:customStyle="1" w:styleId="183">
    <w:name w:val="@@正文"/>
    <w:qFormat/>
    <w:uiPriority w:val="0"/>
    <w:pPr>
      <w:spacing w:line="360" w:lineRule="auto"/>
      <w:ind w:firstLine="200" w:firstLineChars="200"/>
    </w:pPr>
    <w:rPr>
      <w:rFonts w:ascii="Calibri" w:hAnsi="Calibri" w:eastAsia="仿宋_GB2312" w:cs="Times New Roman"/>
      <w:kern w:val="2"/>
      <w:sz w:val="28"/>
      <w:szCs w:val="22"/>
      <w:lang w:val="en-US" w:eastAsia="zh-CN" w:bidi="ar-SA"/>
    </w:rPr>
  </w:style>
  <w:style w:type="paragraph" w:customStyle="1" w:styleId="184">
    <w:name w:val="Char2"/>
    <w:basedOn w:val="1"/>
    <w:qFormat/>
    <w:uiPriority w:val="0"/>
    <w:pPr>
      <w:widowControl/>
      <w:spacing w:after="160" w:line="240" w:lineRule="exact"/>
      <w:jc w:val="left"/>
    </w:pPr>
    <w:rPr>
      <w:rFonts w:ascii="Arial" w:hAnsi="Arial"/>
      <w:kern w:val="0"/>
      <w:sz w:val="22"/>
      <w:szCs w:val="22"/>
      <w:lang w:eastAsia="en-US"/>
    </w:rPr>
  </w:style>
  <w:style w:type="paragraph" w:customStyle="1" w:styleId="185">
    <w:name w:val="my正文"/>
    <w:basedOn w:val="1"/>
    <w:qFormat/>
    <w:uiPriority w:val="0"/>
    <w:pPr>
      <w:ind w:firstLine="480" w:firstLineChars="200"/>
    </w:pPr>
    <w:rPr>
      <w:szCs w:val="24"/>
    </w:rPr>
  </w:style>
  <w:style w:type="paragraph" w:customStyle="1" w:styleId="186">
    <w:name w:val="修订1"/>
    <w:qFormat/>
    <w:uiPriority w:val="0"/>
    <w:rPr>
      <w:rFonts w:ascii="Times New Roman" w:hAnsi="Times New Roman" w:eastAsia="宋体" w:cs="Times New Roman"/>
      <w:kern w:val="2"/>
      <w:sz w:val="21"/>
      <w:szCs w:val="24"/>
      <w:lang w:val="en-US" w:eastAsia="zh-CN" w:bidi="ar-SA"/>
    </w:rPr>
  </w:style>
  <w:style w:type="paragraph" w:customStyle="1" w:styleId="187">
    <w:name w:val="GP标题6"/>
    <w:basedOn w:val="1"/>
    <w:next w:val="1"/>
    <w:qFormat/>
    <w:uiPriority w:val="0"/>
    <w:pPr>
      <w:numPr>
        <w:ilvl w:val="5"/>
        <w:numId w:val="8"/>
      </w:numPr>
      <w:spacing w:before="156" w:after="156"/>
      <w:outlineLvl w:val="5"/>
    </w:pPr>
    <w:rPr>
      <w:rFonts w:ascii="华文细黑" w:eastAsia="华文细黑"/>
      <w:b/>
    </w:rPr>
  </w:style>
  <w:style w:type="paragraph" w:customStyle="1" w:styleId="188">
    <w:name w:val="样式4"/>
    <w:basedOn w:val="1"/>
    <w:qFormat/>
    <w:uiPriority w:val="0"/>
    <w:pPr>
      <w:spacing w:line="240" w:lineRule="auto"/>
      <w:ind w:hanging="2"/>
      <w:jc w:val="center"/>
    </w:pPr>
    <w:rPr>
      <w:spacing w:val="-12"/>
      <w:szCs w:val="24"/>
    </w:rPr>
  </w:style>
  <w:style w:type="paragraph" w:customStyle="1" w:styleId="189">
    <w:name w:val="BT Char Char Char"/>
    <w:basedOn w:val="1"/>
    <w:next w:val="2"/>
    <w:qFormat/>
    <w:uiPriority w:val="0"/>
    <w:pPr>
      <w:spacing w:line="240" w:lineRule="auto"/>
    </w:pPr>
    <w:rPr>
      <w:sz w:val="28"/>
      <w:szCs w:val="28"/>
    </w:rPr>
  </w:style>
  <w:style w:type="paragraph" w:customStyle="1" w:styleId="190">
    <w:name w:val="中等深浅网格 21"/>
    <w:qFormat/>
    <w:uiPriority w:val="1"/>
    <w:rPr>
      <w:rFonts w:ascii="Calibri" w:hAnsi="Calibri" w:eastAsia="宋体" w:cs="Times New Roman"/>
      <w:sz w:val="22"/>
      <w:szCs w:val="22"/>
      <w:lang w:val="en-US" w:eastAsia="zh-CN" w:bidi="ar-SA"/>
    </w:rPr>
  </w:style>
  <w:style w:type="paragraph" w:customStyle="1" w:styleId="191">
    <w:name w:val=" Char1 Char Char Char Char Char Char"/>
    <w:basedOn w:val="1"/>
    <w:qFormat/>
    <w:uiPriority w:val="0"/>
    <w:pPr>
      <w:spacing w:line="240" w:lineRule="auto"/>
    </w:pPr>
    <w:rPr>
      <w:kern w:val="1"/>
      <w:sz w:val="21"/>
      <w:szCs w:val="24"/>
      <w:lang w:eastAsia="ar-SA"/>
    </w:rPr>
  </w:style>
  <w:style w:type="paragraph" w:customStyle="1" w:styleId="192">
    <w:name w:val="默认段落字体 Para Char Char Char Char"/>
    <w:basedOn w:val="1"/>
    <w:qFormat/>
    <w:uiPriority w:val="0"/>
    <w:pPr>
      <w:spacing w:line="240" w:lineRule="auto"/>
    </w:pPr>
    <w:rPr>
      <w:szCs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94">
    <w:name w:val="Char Char Char Char Char Char Char"/>
    <w:basedOn w:val="16"/>
    <w:qFormat/>
    <w:uiPriority w:val="0"/>
    <w:pPr>
      <w:adjustRightInd w:val="0"/>
      <w:snapToGrid w:val="0"/>
      <w:spacing w:line="360" w:lineRule="auto"/>
    </w:pPr>
    <w:rPr>
      <w:rFonts w:ascii="Tahoma" w:hAnsi="Tahoma"/>
      <w:sz w:val="24"/>
      <w:szCs w:val="24"/>
    </w:rPr>
  </w:style>
  <w:style w:type="paragraph" w:customStyle="1" w:styleId="195">
    <w:name w:val="附录1"/>
    <w:qFormat/>
    <w:uiPriority w:val="0"/>
    <w:pPr>
      <w:numPr>
        <w:ilvl w:val="0"/>
        <w:numId w:val="9"/>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96">
    <w:name w:val="文档正文 Char"/>
    <w:basedOn w:val="1"/>
    <w:qFormat/>
    <w:uiPriority w:val="0"/>
    <w:pPr>
      <w:adjustRightInd w:val="0"/>
      <w:spacing w:line="500" w:lineRule="exact"/>
      <w:ind w:firstLine="567"/>
      <w:textAlignment w:val="baseline"/>
    </w:pPr>
    <w:rPr>
      <w:rFonts w:ascii="仿宋_GB2312" w:eastAsia="仿宋_GB2312"/>
      <w:sz w:val="28"/>
      <w:szCs w:val="24"/>
    </w:rPr>
  </w:style>
  <w:style w:type="paragraph" w:customStyle="1" w:styleId="197">
    <w:name w:val="Body Text(ch)"/>
    <w:basedOn w:val="1"/>
    <w:next w:val="20"/>
    <w:qFormat/>
    <w:uiPriority w:val="0"/>
    <w:pPr>
      <w:spacing w:after="120"/>
    </w:pPr>
    <w:rPr>
      <w:rFonts w:ascii="宋体" w:hAnsi="Arial"/>
      <w:bCs/>
      <w:iCs/>
      <w:szCs w:val="24"/>
    </w:rPr>
  </w:style>
  <w:style w:type="paragraph" w:customStyle="1" w:styleId="198">
    <w:name w:val="无间隔1"/>
    <w:qFormat/>
    <w:uiPriority w:val="0"/>
    <w:rPr>
      <w:rFonts w:ascii="Calibri" w:hAnsi="Calibri" w:eastAsia="宋体" w:cs="Times New Roman"/>
      <w:kern w:val="2"/>
      <w:sz w:val="22"/>
      <w:szCs w:val="22"/>
      <w:lang w:val="en-US" w:eastAsia="zh-CN" w:bidi="ar-SA"/>
    </w:rPr>
  </w:style>
  <w:style w:type="paragraph" w:customStyle="1" w:styleId="199">
    <w:name w:val="普通(网站)1"/>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20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1">
    <w:name w:val=" Char Char Char Char Char Char Char Char Char Char"/>
    <w:basedOn w:val="1"/>
    <w:qFormat/>
    <w:uiPriority w:val="0"/>
    <w:pPr>
      <w:adjustRightInd w:val="0"/>
      <w:spacing w:line="360" w:lineRule="auto"/>
    </w:pPr>
    <w:rPr>
      <w:kern w:val="0"/>
      <w:sz w:val="24"/>
      <w:szCs w:val="20"/>
    </w:rPr>
  </w:style>
  <w:style w:type="paragraph" w:customStyle="1" w:styleId="202">
    <w:name w:val="Char1 Char Char Char Char Char Char"/>
    <w:basedOn w:val="1"/>
    <w:qFormat/>
    <w:uiPriority w:val="0"/>
    <w:pPr>
      <w:spacing w:line="240" w:lineRule="auto"/>
    </w:pPr>
    <w:rPr>
      <w:kern w:val="1"/>
      <w:sz w:val="21"/>
      <w:szCs w:val="24"/>
      <w:lang w:eastAsia="ar-SA"/>
    </w:rPr>
  </w:style>
  <w:style w:type="paragraph" w:customStyle="1" w:styleId="203">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04">
    <w:name w:val=" Char Char Char Char"/>
    <w:basedOn w:val="16"/>
    <w:qFormat/>
    <w:uiPriority w:val="0"/>
    <w:pPr>
      <w:adjustRightInd w:val="0"/>
      <w:snapToGrid w:val="0"/>
      <w:spacing w:line="360" w:lineRule="auto"/>
    </w:pPr>
    <w:rPr>
      <w:rFonts w:ascii="Tahoma" w:hAnsi="Tahoma"/>
      <w:sz w:val="24"/>
      <w:szCs w:val="24"/>
    </w:rPr>
  </w:style>
  <w:style w:type="paragraph" w:customStyle="1" w:styleId="205">
    <w:name w:val="样式 工可正文 + 首行缩进:  2 字符1"/>
    <w:basedOn w:val="1"/>
    <w:qFormat/>
    <w:uiPriority w:val="0"/>
    <w:pPr>
      <w:adjustRightInd w:val="0"/>
      <w:spacing w:line="360" w:lineRule="atLeast"/>
      <w:ind w:firstLine="480"/>
      <w:textAlignment w:val="baseline"/>
    </w:pPr>
    <w:rPr>
      <w:rFonts w:cs="宋体"/>
      <w:szCs w:val="20"/>
    </w:rPr>
  </w:style>
  <w:style w:type="paragraph" w:customStyle="1" w:styleId="206">
    <w:name w:val="表格文字"/>
    <w:basedOn w:val="1"/>
    <w:qFormat/>
    <w:uiPriority w:val="0"/>
    <w:pPr>
      <w:spacing w:line="240" w:lineRule="auto"/>
      <w:jc w:val="left"/>
    </w:pPr>
    <w:rPr>
      <w:rFonts w:ascii="宋体" w:hAnsi="宋体" w:cs="宋体"/>
      <w:sz w:val="18"/>
      <w:szCs w:val="18"/>
    </w:rPr>
  </w:style>
  <w:style w:type="paragraph" w:customStyle="1" w:styleId="20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8">
    <w:name w:val="文档正文"/>
    <w:basedOn w:val="7"/>
    <w:qFormat/>
    <w:uiPriority w:val="0"/>
    <w:pPr>
      <w:adjustRightInd w:val="0"/>
      <w:spacing w:line="480" w:lineRule="atLeast"/>
      <w:ind w:firstLine="567"/>
      <w:textAlignment w:val="baseline"/>
    </w:pPr>
    <w:rPr>
      <w:rFonts w:ascii="长城仿宋" w:eastAsia="长城仿宋"/>
      <w:kern w:val="0"/>
      <w:sz w:val="28"/>
      <w:szCs w:val="20"/>
    </w:rPr>
  </w:style>
  <w:style w:type="paragraph" w:customStyle="1" w:styleId="209">
    <w:name w:val=" Char3"/>
    <w:basedOn w:val="16"/>
    <w:qFormat/>
    <w:uiPriority w:val="0"/>
    <w:pPr>
      <w:adjustRightInd w:val="0"/>
      <w:snapToGrid w:val="0"/>
      <w:spacing w:line="360" w:lineRule="auto"/>
    </w:pPr>
    <w:rPr>
      <w:rFonts w:ascii="Tahoma" w:hAnsi="Tahoma"/>
      <w:sz w:val="24"/>
      <w:szCs w:val="24"/>
    </w:rPr>
  </w:style>
  <w:style w:type="paragraph" w:customStyle="1" w:styleId="210">
    <w:name w:val="index 1"/>
    <w:basedOn w:val="1"/>
    <w:next w:val="1"/>
    <w:qFormat/>
    <w:uiPriority w:val="0"/>
    <w:pPr>
      <w:adjustRightInd w:val="0"/>
      <w:spacing w:line="240" w:lineRule="auto"/>
      <w:jc w:val="center"/>
      <w:textAlignment w:val="top"/>
    </w:pPr>
    <w:rPr>
      <w:b/>
      <w:color w:val="0000FF"/>
      <w:kern w:val="0"/>
      <w:sz w:val="28"/>
      <w:szCs w:val="20"/>
    </w:rPr>
  </w:style>
  <w:style w:type="paragraph" w:customStyle="1" w:styleId="211">
    <w:name w:val="a"/>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212">
    <w:name w:val="纯文本1"/>
    <w:basedOn w:val="1"/>
    <w:qFormat/>
    <w:uiPriority w:val="0"/>
    <w:pPr>
      <w:spacing w:line="240" w:lineRule="auto"/>
    </w:pPr>
    <w:rPr>
      <w:rFonts w:ascii="宋体" w:hAnsi="Courier New"/>
      <w:sz w:val="21"/>
      <w:szCs w:val="20"/>
    </w:rPr>
  </w:style>
  <w:style w:type="paragraph" w:customStyle="1" w:styleId="213">
    <w:name w:val="列出段落1"/>
    <w:basedOn w:val="1"/>
    <w:qFormat/>
    <w:uiPriority w:val="0"/>
    <w:pPr>
      <w:spacing w:line="240" w:lineRule="auto"/>
      <w:ind w:firstLine="420" w:firstLineChars="200"/>
    </w:pPr>
    <w:rPr>
      <w:sz w:val="21"/>
      <w:szCs w:val="24"/>
    </w:rPr>
  </w:style>
  <w:style w:type="paragraph" w:customStyle="1" w:styleId="214">
    <w:name w:val=" Char Char Char"/>
    <w:basedOn w:val="1"/>
    <w:qFormat/>
    <w:uiPriority w:val="0"/>
    <w:rPr>
      <w:rFonts w:ascii="Tahoma" w:hAnsi="Tahoma"/>
      <w:sz w:val="24"/>
      <w:szCs w:val="20"/>
    </w:rPr>
  </w:style>
  <w:style w:type="paragraph" w:customStyle="1" w:styleId="215">
    <w:name w:val="书 正文"/>
    <w:basedOn w:val="1"/>
    <w:qFormat/>
    <w:uiPriority w:val="0"/>
    <w:pPr>
      <w:spacing w:line="300" w:lineRule="auto"/>
      <w:ind w:firstLine="425"/>
    </w:pPr>
    <w:rPr>
      <w:rFonts w:ascii="宋体"/>
      <w:sz w:val="21"/>
    </w:rPr>
  </w:style>
  <w:style w:type="paragraph" w:customStyle="1" w:styleId="216">
    <w:name w:val="批注主题1"/>
    <w:basedOn w:val="17"/>
    <w:next w:val="17"/>
    <w:qFormat/>
    <w:uiPriority w:val="0"/>
    <w:pPr>
      <w:spacing w:line="240" w:lineRule="auto"/>
    </w:pPr>
    <w:rPr>
      <w:rFonts w:ascii="Calibri" w:hAnsi="Calibri"/>
      <w:b/>
      <w:bCs/>
      <w:sz w:val="21"/>
      <w:szCs w:val="24"/>
    </w:rPr>
  </w:style>
  <w:style w:type="paragraph" w:customStyle="1" w:styleId="217">
    <w:name w:val="正文2"/>
    <w:basedOn w:val="1"/>
    <w:qFormat/>
    <w:uiPriority w:val="0"/>
    <w:pPr>
      <w:widowControl/>
      <w:spacing w:after="160"/>
      <w:ind w:firstLine="200" w:firstLineChars="200"/>
      <w:jc w:val="left"/>
    </w:pPr>
    <w:rPr>
      <w:rFonts w:ascii="Verdana" w:hAnsi="Verdana" w:eastAsia="黑体"/>
      <w:kern w:val="0"/>
      <w:sz w:val="21"/>
      <w:szCs w:val="20"/>
      <w:lang w:eastAsia="en-US"/>
    </w:rPr>
  </w:style>
  <w:style w:type="paragraph" w:customStyle="1" w:styleId="218">
    <w:name w:val="报告正文"/>
    <w:basedOn w:val="1"/>
    <w:qFormat/>
    <w:uiPriority w:val="0"/>
    <w:pPr>
      <w:widowControl/>
      <w:overflowPunct w:val="0"/>
      <w:autoSpaceDE w:val="0"/>
      <w:autoSpaceDN w:val="0"/>
      <w:adjustRightInd w:val="0"/>
      <w:spacing w:after="80" w:line="480" w:lineRule="auto"/>
      <w:ind w:right="210" w:rightChars="100" w:firstLine="420"/>
      <w:textAlignment w:val="baseline"/>
    </w:pPr>
    <w:rPr>
      <w:rFonts w:ascii="宋体" w:hAnsi="宋体"/>
      <w:kern w:val="0"/>
      <w:szCs w:val="20"/>
    </w:rPr>
  </w:style>
  <w:style w:type="paragraph" w:customStyle="1" w:styleId="219">
    <w:name w:val="GP标题3"/>
    <w:basedOn w:val="1"/>
    <w:next w:val="1"/>
    <w:qFormat/>
    <w:uiPriority w:val="0"/>
    <w:pPr>
      <w:numPr>
        <w:ilvl w:val="2"/>
        <w:numId w:val="8"/>
      </w:numPr>
      <w:spacing w:beforeLines="50" w:afterLines="50"/>
      <w:outlineLvl w:val="2"/>
    </w:pPr>
    <w:rPr>
      <w:rFonts w:ascii="华文细黑" w:hAnsi="华文细黑" w:eastAsia="华文细黑"/>
      <w:b/>
      <w:sz w:val="30"/>
    </w:rPr>
  </w:style>
  <w:style w:type="paragraph" w:customStyle="1" w:styleId="220">
    <w:name w:val="标书正文样式"/>
    <w:basedOn w:val="1"/>
    <w:qFormat/>
    <w:uiPriority w:val="0"/>
    <w:pPr>
      <w:ind w:firstLine="560" w:firstLineChars="200"/>
    </w:pPr>
    <w:rPr>
      <w:rFonts w:eastAsia="仿宋_GB2312"/>
      <w:sz w:val="28"/>
      <w:szCs w:val="28"/>
    </w:rPr>
  </w:style>
  <w:style w:type="paragraph" w:customStyle="1" w:styleId="22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23">
    <w:name w:val="样式 宋体 小四 行距: 1.5 倍行距"/>
    <w:basedOn w:val="1"/>
    <w:qFormat/>
    <w:uiPriority w:val="0"/>
    <w:pPr>
      <w:spacing w:line="240" w:lineRule="auto"/>
    </w:pPr>
    <w:rPr>
      <w:rFonts w:ascii="宋体" w:hAnsi="宋体"/>
      <w:szCs w:val="20"/>
    </w:rPr>
  </w:style>
  <w:style w:type="paragraph" w:customStyle="1" w:styleId="224">
    <w:name w:val="简单回函地址"/>
    <w:basedOn w:val="1"/>
    <w:qFormat/>
    <w:uiPriority w:val="0"/>
    <w:pPr>
      <w:adjustRightInd w:val="0"/>
      <w:spacing w:line="312" w:lineRule="atLeast"/>
      <w:textAlignment w:val="baseline"/>
    </w:pPr>
    <w:rPr>
      <w:rFonts w:ascii="宋体" w:hAnsi="Century Schoolbook"/>
      <w:kern w:val="28"/>
      <w:sz w:val="28"/>
      <w:szCs w:val="20"/>
    </w:rPr>
  </w:style>
  <w:style w:type="paragraph" w:customStyle="1" w:styleId="225">
    <w:name w:val="Body Text Indent 2"/>
    <w:basedOn w:val="1"/>
    <w:qFormat/>
    <w:uiPriority w:val="0"/>
    <w:pPr>
      <w:autoSpaceDE w:val="0"/>
      <w:autoSpaceDN w:val="0"/>
      <w:adjustRightInd w:val="0"/>
      <w:spacing w:line="480" w:lineRule="atLeast"/>
      <w:ind w:firstLine="567"/>
      <w:textAlignment w:val="baseline"/>
    </w:pPr>
    <w:rPr>
      <w:rFonts w:ascii="仿宋_GB2312" w:eastAsia="仿宋_GB2312"/>
      <w:kern w:val="0"/>
      <w:sz w:val="28"/>
      <w:szCs w:val="20"/>
    </w:rPr>
  </w:style>
  <w:style w:type="paragraph" w:customStyle="1" w:styleId="226">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7">
    <w:name w:val="Char Char Char Char Char Char Char Char Char"/>
    <w:basedOn w:val="1"/>
    <w:qFormat/>
    <w:uiPriority w:val="0"/>
    <w:pPr>
      <w:snapToGrid w:val="0"/>
    </w:pPr>
    <w:rPr>
      <w:rFonts w:ascii="Tahoma" w:hAnsi="Tahoma"/>
      <w:sz w:val="24"/>
      <w:szCs w:val="20"/>
    </w:rPr>
  </w:style>
  <w:style w:type="paragraph" w:customStyle="1" w:styleId="228">
    <w:name w:val="Char1"/>
    <w:basedOn w:val="1"/>
    <w:qFormat/>
    <w:uiPriority w:val="0"/>
    <w:pPr>
      <w:tabs>
        <w:tab w:val="left" w:pos="360"/>
      </w:tabs>
      <w:spacing w:line="240" w:lineRule="auto"/>
      <w:ind w:left="360" w:hanging="360" w:hangingChars="200"/>
    </w:pPr>
    <w:rPr>
      <w:szCs w:val="24"/>
    </w:rPr>
  </w:style>
  <w:style w:type="paragraph" w:customStyle="1" w:styleId="229">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230">
    <w:name w:val="text2"/>
    <w:basedOn w:val="1"/>
    <w:qFormat/>
    <w:uiPriority w:val="0"/>
    <w:pPr>
      <w:widowControl/>
      <w:spacing w:before="100" w:beforeAutospacing="1" w:after="100" w:afterAutospacing="1" w:line="240" w:lineRule="auto"/>
      <w:jc w:val="left"/>
    </w:pPr>
    <w:rPr>
      <w:rFonts w:ascii="宋体" w:hAnsi="宋体" w:cs="宋体"/>
      <w:color w:val="333366"/>
      <w:kern w:val="0"/>
      <w:sz w:val="18"/>
      <w:szCs w:val="18"/>
    </w:rPr>
  </w:style>
  <w:style w:type="paragraph" w:customStyle="1" w:styleId="231">
    <w:name w:val="一级目录"/>
    <w:next w:val="1"/>
    <w:qFormat/>
    <w:uiPriority w:val="99"/>
    <w:pPr>
      <w:spacing w:after="100" w:afterLines="100"/>
      <w:jc w:val="center"/>
      <w:outlineLvl w:val="0"/>
    </w:pPr>
    <w:rPr>
      <w:rFonts w:ascii="黑体" w:hAnsi="Times New Roman" w:eastAsia="黑体" w:cs="Times New Roman"/>
      <w:b/>
      <w:kern w:val="2"/>
      <w:sz w:val="44"/>
      <w:szCs w:val="44"/>
      <w:lang w:val="en-US" w:eastAsia="zh-CN" w:bidi="ar-SA"/>
    </w:rPr>
  </w:style>
  <w:style w:type="paragraph" w:customStyle="1" w:styleId="232">
    <w:name w:val="我的表格文字"/>
    <w:basedOn w:val="98"/>
    <w:qFormat/>
    <w:uiPriority w:val="0"/>
    <w:pPr>
      <w:spacing w:line="240" w:lineRule="auto"/>
      <w:ind w:firstLine="0" w:firstLineChars="0"/>
    </w:pPr>
    <w:rPr>
      <w:rFonts w:ascii="仿宋_GB2312" w:hAnsi="Arial"/>
      <w:szCs w:val="18"/>
    </w:rPr>
  </w:style>
  <w:style w:type="paragraph" w:customStyle="1" w:styleId="233">
    <w:name w:val="表格正文"/>
    <w:basedOn w:val="1"/>
    <w:qFormat/>
    <w:uiPriority w:val="0"/>
    <w:pPr>
      <w:spacing w:line="240" w:lineRule="auto"/>
    </w:pPr>
    <w:rPr>
      <w:rFonts w:eastAsia="仿宋"/>
      <w:sz w:val="28"/>
      <w:szCs w:val="24"/>
    </w:rPr>
  </w:style>
  <w:style w:type="paragraph" w:customStyle="1" w:styleId="234">
    <w:name w:val="正文文本缩进 31"/>
    <w:basedOn w:val="1"/>
    <w:qFormat/>
    <w:uiPriority w:val="0"/>
    <w:pPr>
      <w:spacing w:line="240" w:lineRule="auto"/>
      <w:ind w:firstLine="524"/>
    </w:pPr>
    <w:rPr>
      <w:rFonts w:ascii="宋体" w:hAnsi="Calibri"/>
      <w:color w:val="FF00FF"/>
      <w:sz w:val="28"/>
      <w:szCs w:val="24"/>
    </w:rPr>
  </w:style>
  <w:style w:type="paragraph" w:customStyle="1" w:styleId="235">
    <w:name w:val="正文文本缩进1"/>
    <w:basedOn w:val="1"/>
    <w:qFormat/>
    <w:uiPriority w:val="0"/>
    <w:pPr>
      <w:spacing w:after="120" w:line="240" w:lineRule="auto"/>
      <w:ind w:left="420" w:leftChars="200"/>
    </w:pPr>
    <w:rPr>
      <w:rFonts w:ascii="Calibri" w:hAnsi="Calibri"/>
      <w:kern w:val="0"/>
      <w:sz w:val="20"/>
      <w:szCs w:val="24"/>
    </w:rPr>
  </w:style>
  <w:style w:type="paragraph" w:customStyle="1" w:styleId="2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237">
    <w:name w:val="索引 11"/>
    <w:basedOn w:val="1"/>
    <w:next w:val="1"/>
    <w:qFormat/>
    <w:uiPriority w:val="0"/>
    <w:pPr>
      <w:adjustRightInd w:val="0"/>
      <w:spacing w:line="240" w:lineRule="auto"/>
      <w:jc w:val="center"/>
      <w:textAlignment w:val="top"/>
    </w:pPr>
    <w:rPr>
      <w:b/>
      <w:color w:val="0000FF"/>
      <w:kern w:val="0"/>
      <w:sz w:val="28"/>
      <w:szCs w:val="20"/>
    </w:rPr>
  </w:style>
  <w:style w:type="paragraph" w:customStyle="1" w:styleId="23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2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40">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241">
    <w:name w:val="Char Char Char Char"/>
    <w:basedOn w:val="16"/>
    <w:qFormat/>
    <w:uiPriority w:val="0"/>
    <w:pPr>
      <w:adjustRightInd w:val="0"/>
      <w:snapToGrid w:val="0"/>
      <w:spacing w:line="360" w:lineRule="auto"/>
    </w:pPr>
    <w:rPr>
      <w:rFonts w:ascii="Tahoma" w:hAnsi="Tahoma"/>
      <w:sz w:val="24"/>
      <w:szCs w:val="24"/>
    </w:rPr>
  </w:style>
  <w:style w:type="paragraph" w:customStyle="1" w:styleId="242">
    <w:name w:val="List Paragraph"/>
    <w:basedOn w:val="1"/>
    <w:qFormat/>
    <w:uiPriority w:val="0"/>
    <w:pPr>
      <w:spacing w:line="240" w:lineRule="auto"/>
      <w:ind w:firstLine="420" w:firstLineChars="200"/>
    </w:pPr>
    <w:rPr>
      <w:sz w:val="21"/>
      <w:szCs w:val="24"/>
    </w:rPr>
  </w:style>
  <w:style w:type="paragraph" w:customStyle="1" w:styleId="243">
    <w:name w:val="table_1stline"/>
    <w:basedOn w:val="1"/>
    <w:qFormat/>
    <w:uiPriority w:val="0"/>
    <w:pPr>
      <w:widowControl/>
      <w:spacing w:before="120"/>
      <w:jc w:val="left"/>
    </w:pPr>
    <w:rPr>
      <w:bCs/>
      <w:kern w:val="0"/>
      <w:sz w:val="20"/>
      <w:szCs w:val="20"/>
      <w:lang w:val="de-DE" w:eastAsia="de-DE"/>
    </w:rPr>
  </w:style>
  <w:style w:type="paragraph" w:customStyle="1" w:styleId="24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45">
    <w:name w:val="Normal Indent"/>
    <w:basedOn w:val="1"/>
    <w:qFormat/>
    <w:uiPriority w:val="0"/>
    <w:pPr>
      <w:spacing w:line="240" w:lineRule="auto"/>
      <w:ind w:firstLine="420"/>
    </w:pPr>
    <w:rPr>
      <w:rFonts w:ascii="Calibri" w:hAnsi="Calibri"/>
      <w:kern w:val="0"/>
      <w:sz w:val="20"/>
      <w:szCs w:val="24"/>
    </w:rPr>
  </w:style>
  <w:style w:type="paragraph" w:customStyle="1" w:styleId="24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247">
    <w:name w:val="TOC Heading"/>
    <w:basedOn w:val="3"/>
    <w:next w:val="1"/>
    <w:qFormat/>
    <w:uiPriority w:val="0"/>
    <w:pPr>
      <w:keepLines/>
      <w:widowControl/>
      <w:spacing w:before="480" w:line="276" w:lineRule="auto"/>
      <w:jc w:val="left"/>
      <w:outlineLvl w:val="9"/>
    </w:pPr>
    <w:rPr>
      <w:rFonts w:ascii="Cambria" w:hAnsi="Cambria" w:eastAsia="宋体"/>
      <w:b/>
      <w:bCs/>
      <w:color w:val="365F91"/>
      <w:kern w:val="0"/>
    </w:rPr>
  </w:style>
  <w:style w:type="paragraph" w:customStyle="1" w:styleId="248">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_正文"/>
    <w:basedOn w:val="1"/>
    <w:qFormat/>
    <w:uiPriority w:val="0"/>
    <w:pPr>
      <w:adjustRightInd w:val="0"/>
      <w:snapToGrid w:val="0"/>
      <w:spacing w:line="360" w:lineRule="auto"/>
      <w:ind w:firstLine="200" w:firstLineChars="200"/>
    </w:pPr>
    <w:rPr>
      <w:rFonts w:ascii="Calibri" w:hAnsi="Calibri"/>
      <w:color w:val="000000"/>
      <w:szCs w:val="20"/>
    </w:rPr>
  </w:style>
  <w:style w:type="paragraph" w:customStyle="1" w:styleId="25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61</Pages>
  <Words>541</Words>
  <Characters>590</Characters>
  <Lines>304</Lines>
  <Paragraphs>85</Paragraphs>
  <TotalTime>6</TotalTime>
  <ScaleCrop>false</ScaleCrop>
  <LinksUpToDate>false</LinksUpToDate>
  <CharactersWithSpaces>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2018-12-20T06:38:00Z</dcterms:created>
  <dc:creator>政府采购中心</dc:creator>
  <cp:lastModifiedBy>ZJL</cp:lastModifiedBy>
  <cp:lastPrinted>2020-05-28T06:40:00Z</cp:lastPrinted>
  <dcterms:modified xsi:type="dcterms:W3CDTF">2026-04-27T10:00:36Z</dcterms:modified>
  <dc:title>江苏省交通工程建设项目管理系统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78EBB6F1680A415D8B8D7154C33D6968_13</vt:lpwstr>
  </property>
  <property fmtid="{D5CDD505-2E9C-101B-9397-08002B2CF9AE}" pid="4" name="KSOTemplateDocerSaveRecord">
    <vt:lpwstr>eyJoZGlkIjoiM2JjZjM2Zjk0Y2FmNWRkODMwOTNlNjJkNTI2ZjkzYzUiLCJ1c2VySWQiOiI2MDc2NTk1NzIifQ==</vt:lpwstr>
  </property>
</Properties>
</file>