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p>
    <w:p>
      <w:pPr>
        <w:adjustRightInd/>
        <w:spacing w:line="360" w:lineRule="auto"/>
        <w:jc w:val="center"/>
        <w:rPr>
          <w:rFonts w:hint="eastAsia" w:ascii="宋体" w:hAnsi="宋体" w:cs="宋体"/>
          <w:b/>
          <w:color w:val="auto"/>
          <w:sz w:val="44"/>
          <w:szCs w:val="44"/>
          <w:highlight w:val="none"/>
        </w:rPr>
      </w:pPr>
    </w:p>
    <w:p>
      <w:pPr>
        <w:spacing w:line="360" w:lineRule="auto"/>
        <w:jc w:val="center"/>
        <w:rPr>
          <w:rFonts w:hint="eastAsia" w:ascii="宋体" w:hAnsi="宋体" w:cs="宋体"/>
          <w:b/>
          <w:color w:val="auto"/>
          <w:sz w:val="44"/>
          <w:szCs w:val="44"/>
          <w:highlight w:val="none"/>
        </w:rPr>
      </w:pPr>
    </w:p>
    <w:p>
      <w:pPr>
        <w:adjustRightInd/>
        <w:spacing w:line="360" w:lineRule="auto"/>
        <w:jc w:val="center"/>
        <w:rPr>
          <w:rFonts w:hint="eastAsia" w:ascii="宋体" w:hAnsi="宋体" w:cs="宋体"/>
          <w:b/>
          <w:color w:val="auto"/>
          <w:sz w:val="48"/>
          <w:szCs w:val="48"/>
          <w:highlight w:val="none"/>
        </w:rPr>
      </w:pPr>
    </w:p>
    <w:p>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2026年杭州国画院物业管理项目</w:t>
      </w:r>
    </w:p>
    <w:p>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pPr>
        <w:adjustRightInd/>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pPr>
        <w:snapToGrid w:val="0"/>
        <w:spacing w:line="360"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编号:HZZFCG-2026-064</w:t>
      </w:r>
    </w:p>
    <w:p>
      <w:pPr>
        <w:adjustRightInd/>
        <w:spacing w:line="360" w:lineRule="auto"/>
        <w:rPr>
          <w:rFonts w:hint="eastAsia" w:ascii="宋体" w:hAnsi="宋体" w:cs="宋体"/>
          <w:color w:val="auto"/>
          <w:sz w:val="28"/>
          <w:szCs w:val="20"/>
          <w:highlight w:val="none"/>
        </w:rPr>
      </w:pPr>
    </w:p>
    <w:p>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spacing w:line="360" w:lineRule="auto"/>
        <w:jc w:val="center"/>
        <w:rPr>
          <w:rFonts w:hint="eastAsia" w:ascii="宋体" w:hAnsi="宋体" w:cs="宋体"/>
          <w:b/>
          <w:color w:val="auto"/>
          <w:sz w:val="44"/>
          <w:szCs w:val="44"/>
          <w:highlight w:val="none"/>
        </w:rPr>
      </w:pPr>
    </w:p>
    <w:p>
      <w:pPr>
        <w:spacing w:line="360" w:lineRule="auto"/>
        <w:jc w:val="center"/>
        <w:rPr>
          <w:rFonts w:hint="eastAsia" w:ascii="宋体" w:hAnsi="宋体" w:cs="宋体"/>
          <w:color w:val="auto"/>
          <w:sz w:val="24"/>
          <w:highlight w:val="none"/>
        </w:rPr>
      </w:pPr>
    </w:p>
    <w:p>
      <w:pPr>
        <w:spacing w:line="360" w:lineRule="auto"/>
        <w:jc w:val="center"/>
        <w:rPr>
          <w:rFonts w:hint="eastAsia" w:ascii="宋体" w:hAnsi="宋体" w:cs="宋体"/>
          <w:color w:val="auto"/>
          <w:sz w:val="24"/>
          <w:highlight w:val="none"/>
        </w:rPr>
      </w:pPr>
    </w:p>
    <w:p>
      <w:pPr>
        <w:spacing w:line="360" w:lineRule="auto"/>
        <w:rPr>
          <w:rFonts w:hint="eastAsia" w:ascii="宋体" w:hAnsi="宋体" w:cs="宋体"/>
          <w:color w:val="auto"/>
          <w:sz w:val="32"/>
          <w:szCs w:val="32"/>
          <w:highlight w:val="none"/>
        </w:rPr>
      </w:pPr>
    </w:p>
    <w:p>
      <w:pPr>
        <w:snapToGrid w:val="0"/>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杭州国画院</w:t>
      </w:r>
    </w:p>
    <w:p>
      <w:pPr>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杭州市公共资源交易中心</w:t>
      </w:r>
    </w:p>
    <w:p>
      <w:pPr>
        <w:snapToGrid w:val="0"/>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二〇二六年</w:t>
      </w:r>
      <w:r>
        <w:rPr>
          <w:rFonts w:hint="eastAsia" w:ascii="宋体" w:hAnsi="宋体" w:cs="宋体"/>
          <w:bCs/>
          <w:color w:val="auto"/>
          <w:sz w:val="32"/>
          <w:szCs w:val="32"/>
          <w:highlight w:val="none"/>
          <w:lang w:eastAsia="zh-CN"/>
        </w:rPr>
        <w:t>四</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eastAsia="zh-CN"/>
        </w:rPr>
        <w:t>二十八</w:t>
      </w:r>
      <w:r>
        <w:rPr>
          <w:rFonts w:hint="eastAsia" w:ascii="宋体" w:hAnsi="宋体" w:cs="宋体"/>
          <w:bCs/>
          <w:color w:val="auto"/>
          <w:sz w:val="32"/>
          <w:szCs w:val="32"/>
          <w:highlight w:val="none"/>
        </w:rPr>
        <w:t>日</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pPr>
        <w:pStyle w:val="637"/>
        <w:rPr>
          <w:color w:val="auto"/>
          <w:highlight w:val="none"/>
        </w:rPr>
      </w:pPr>
    </w:p>
    <w:p>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pPr>
        <w:spacing w:line="360" w:lineRule="auto"/>
        <w:rPr>
          <w:rFonts w:hint="eastAsia" w:ascii="宋体" w:hAnsi="宋体" w:cs="宋体"/>
          <w:color w:val="auto"/>
          <w:sz w:val="32"/>
          <w:szCs w:val="32"/>
          <w:highlight w:val="none"/>
        </w:rPr>
      </w:pPr>
    </w:p>
    <w:p>
      <w:pPr>
        <w:spacing w:line="360" w:lineRule="auto"/>
        <w:rPr>
          <w:rFonts w:hint="eastAsia" w:ascii="宋体" w:hAnsi="宋体" w:cs="宋体"/>
          <w:color w:val="auto"/>
          <w:sz w:val="32"/>
          <w:szCs w:val="32"/>
          <w:highlight w:val="none"/>
        </w:rPr>
      </w:pPr>
    </w:p>
    <w:p>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第一部分      招标公告</w:t>
      </w:r>
    </w:p>
    <w:p>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第三部分      采购需求</w:t>
      </w:r>
    </w:p>
    <w:p>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第四部分      评标办法</w:t>
      </w:r>
    </w:p>
    <w:p>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pPr>
        <w:spacing w:line="360" w:lineRule="auto"/>
        <w:ind w:firstLine="549" w:firstLineChars="229"/>
        <w:rPr>
          <w:rFonts w:hint="eastAsia" w:ascii="宋体" w:hAnsi="宋体" w:cs="宋体"/>
          <w:color w:val="auto"/>
          <w:sz w:val="24"/>
          <w:highlight w:val="none"/>
        </w:rPr>
      </w:pPr>
      <w:bookmarkStart w:id="1" w:name="_Hlt91233176"/>
      <w:bookmarkEnd w:id="1"/>
      <w:bookmarkStart w:id="2" w:name="_Toc91899869"/>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adjustRightInd/>
        <w:spacing w:line="360" w:lineRule="auto"/>
        <w:jc w:val="center"/>
        <w:outlineLvl w:val="0"/>
        <w:rPr>
          <w:rFonts w:hint="eastAsia"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07423"/>
      <w:bookmarkEnd w:id="4"/>
      <w:bookmarkStart w:id="5" w:name="_Hlt74729822"/>
      <w:bookmarkEnd w:id="5"/>
      <w:bookmarkStart w:id="6" w:name="_Hlt74649545"/>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2026年杭州国画院物业管理项目</w:t>
      </w:r>
      <w:r>
        <w:rPr>
          <w:rFonts w:hint="eastAsia" w:ascii="宋体" w:hAnsi="宋体" w:cs="宋体"/>
          <w:color w:val="auto"/>
          <w:sz w:val="24"/>
          <w:highlight w:val="none"/>
        </w:rPr>
        <w:t>招标项目的潜在投标人应在政采云平台（https://www.zcygov.cn/）获取（下载）招标文件，并于</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一、项目基本情况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rPr>
        <w:t>HZZFCG-2026-064</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rPr>
        <w:t>2026年杭州国画院物业管理项目</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ascii="宋体" w:hAnsi="宋体" w:cs="宋体"/>
          <w:color w:val="auto"/>
          <w:sz w:val="24"/>
          <w:highlight w:val="none"/>
        </w:rPr>
        <w:t xml:space="preserve"> </w:t>
      </w:r>
      <w:r>
        <w:rPr>
          <w:rFonts w:hint="eastAsia" w:ascii="宋体" w:hAnsi="宋体" w:cs="宋体"/>
          <w:color w:val="auto"/>
          <w:sz w:val="24"/>
          <w:highlight w:val="none"/>
        </w:rPr>
        <w:t>186.1万元</w:t>
      </w:r>
    </w:p>
    <w:p>
      <w:pP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最高限价（元）：</w:t>
      </w:r>
      <w:r>
        <w:rPr>
          <w:rFonts w:ascii="宋体" w:hAnsi="宋体" w:cs="宋体"/>
          <w:color w:val="auto"/>
          <w:sz w:val="24"/>
          <w:highlight w:val="none"/>
        </w:rPr>
        <w:t xml:space="preserve"> </w:t>
      </w:r>
      <w:r>
        <w:rPr>
          <w:rFonts w:hint="eastAsia" w:ascii="宋体" w:hAnsi="宋体" w:cs="宋体"/>
          <w:color w:val="auto"/>
          <w:sz w:val="24"/>
          <w:highlight w:val="none"/>
        </w:rPr>
        <w:t>186.1万元</w:t>
      </w:r>
    </w:p>
    <w:p>
      <w:pPr>
        <w:pStyle w:val="5"/>
        <w:spacing w:line="360" w:lineRule="auto"/>
        <w:ind w:firstLine="480"/>
        <w:rPr>
          <w:rFonts w:hint="eastAsia"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2026年杭州国画院物业管理项目主要内容 杭州国画院院部（虎跑路31号）和杭州国画院美术馆（北山街38号）两处场所的安保、消防、清卫、工程维修等物业相关项目。</w:t>
      </w:r>
      <w:r>
        <w:rPr>
          <w:rFonts w:hint="eastAsia" w:asciiTheme="minorEastAsia" w:hAnsiTheme="minorEastAsia" w:eastAsiaTheme="minorEastAsia"/>
          <w:snapToGrid/>
          <w:color w:val="auto"/>
          <w:kern w:val="2"/>
          <w:sz w:val="24"/>
          <w:szCs w:val="24"/>
          <w:highlight w:val="none"/>
        </w:rPr>
        <w:t>具体以招标文件第三部分采购需求为准。</w:t>
      </w:r>
    </w:p>
    <w:p>
      <w:pPr>
        <w:rPr>
          <w:color w:val="auto"/>
          <w:highlight w:val="none"/>
        </w:rPr>
      </w:pPr>
      <w:r>
        <w:rPr>
          <w:rFonts w:hint="eastAsia" w:ascii="宋体" w:hAnsi="宋体" w:cs="宋体"/>
          <w:b/>
          <w:color w:val="auto"/>
          <w:highlight w:val="none"/>
        </w:rPr>
        <w:t>合同履约期限：自合同签订之日起至2026年12月31日，</w:t>
      </w:r>
      <w:r>
        <w:rPr>
          <w:color w:val="auto"/>
          <w:highlight w:val="none"/>
        </w:rPr>
        <w:t>202</w:t>
      </w:r>
      <w:r>
        <w:rPr>
          <w:rFonts w:hint="eastAsia"/>
          <w:color w:val="auto"/>
          <w:highlight w:val="none"/>
        </w:rPr>
        <w:t>6</w:t>
      </w:r>
      <w:r>
        <w:rPr>
          <w:color w:val="auto"/>
          <w:highlight w:val="none"/>
        </w:rPr>
        <w:t>年1月1日至本项目中标人合同签订之日为本项目空档期，空档期内由原供应商根据202</w:t>
      </w:r>
      <w:r>
        <w:rPr>
          <w:rFonts w:hint="eastAsia"/>
          <w:color w:val="auto"/>
          <w:highlight w:val="none"/>
        </w:rPr>
        <w:t>6</w:t>
      </w:r>
      <w:r>
        <w:rPr>
          <w:color w:val="auto"/>
          <w:highlight w:val="none"/>
        </w:rPr>
        <w:t>年需求提供服务，空档期发生的费用由中标人在合同签订后，根据202</w:t>
      </w:r>
      <w:r>
        <w:rPr>
          <w:rFonts w:hint="eastAsia"/>
          <w:color w:val="auto"/>
          <w:highlight w:val="none"/>
        </w:rPr>
        <w:t>6</w:t>
      </w:r>
      <w:r>
        <w:rPr>
          <w:color w:val="auto"/>
          <w:highlight w:val="none"/>
        </w:rPr>
        <w:t>年中标价及实际服务时间，支付给原供应商。与原供应商的结算费用包含在投标报价中。</w:t>
      </w:r>
    </w:p>
    <w:p>
      <w:pPr>
        <w:rPr>
          <w:color w:val="auto"/>
          <w:highlight w:val="none"/>
        </w:rPr>
      </w:pPr>
    </w:p>
    <w:p>
      <w:pPr>
        <w:pStyle w:val="5"/>
        <w:spacing w:line="360" w:lineRule="auto"/>
        <w:ind w:firstLine="480"/>
        <w:rPr>
          <w:rFonts w:hint="eastAsia" w:hAnsi="宋体" w:cs="宋体"/>
          <w:b/>
          <w:color w:val="auto"/>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1464458235"/>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pPr>
        <w:spacing w:line="360" w:lineRule="auto"/>
        <w:ind w:firstLine="480"/>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pPr>
        <w:spacing w:line="360" w:lineRule="auto"/>
        <w:ind w:firstLine="480" w:firstLineChars="200"/>
        <w:rPr>
          <w:rFonts w:hint="eastAsia"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4746793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pPr>
        <w:spacing w:line="360" w:lineRule="auto"/>
        <w:ind w:firstLine="897" w:firstLineChars="374"/>
        <w:rPr>
          <w:rFonts w:hint="eastAsia" w:ascii="宋体" w:hAnsi="宋体" w:cs="宋体"/>
          <w:color w:val="auto"/>
          <w:sz w:val="24"/>
          <w:highlight w:val="none"/>
        </w:rPr>
      </w:pPr>
      <w:sdt>
        <w:sdtPr>
          <w:rPr>
            <w:rFonts w:hint="eastAsia" w:ascii="宋体" w:hAnsi="宋体" w:cs="宋体"/>
            <w:color w:val="auto"/>
            <w:kern w:val="0"/>
            <w:sz w:val="24"/>
            <w:highlight w:val="none"/>
          </w:rPr>
          <w:id w:val="14747551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sz w:val="24"/>
          <w:highlight w:val="none"/>
        </w:rPr>
        <w:t>服务全部由符合政策要求的中小微企业承接，按要求提供中小企业声明函；</w:t>
      </w:r>
    </w:p>
    <w:p>
      <w:pPr>
        <w:spacing w:line="360" w:lineRule="auto"/>
        <w:ind w:firstLine="897" w:firstLineChars="374"/>
        <w:rPr>
          <w:rFonts w:hint="eastAsia" w:ascii="宋体" w:hAnsi="宋体" w:cs="宋体"/>
          <w:color w:val="auto"/>
          <w:sz w:val="24"/>
          <w:highlight w:val="none"/>
        </w:rPr>
      </w:pPr>
      <w:sdt>
        <w:sdtPr>
          <w:rPr>
            <w:rFonts w:hint="eastAsia" w:ascii="宋体" w:hAnsi="宋体" w:cs="宋体"/>
            <w:color w:val="auto"/>
            <w:kern w:val="0"/>
            <w:sz w:val="24"/>
            <w:highlight w:val="none"/>
          </w:rPr>
          <w:id w:val="14747465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服务全部由符合政策要求的小微企业承接，按要求提供中小企业声明函；</w:t>
      </w:r>
    </w:p>
    <w:p>
      <w:pPr>
        <w:rPr>
          <w:rFonts w:hint="eastAsia" w:ascii="宋体" w:hAnsi="宋体" w:cs="宋体"/>
          <w:color w:val="auto"/>
          <w:highlight w:val="none"/>
        </w:rPr>
      </w:pPr>
    </w:p>
    <w:p>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47477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供应商应以联合体形式参加，并按要求提供联合协议和中小企业声明函，联合协议中，中小企业合同金额应当达到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如果供应商提供的所有标的均由中小企业制造、承建或承接，并相应达到了前述比例要求，无需再与其他中小企业组成联合体参加政府采购活动，</w:t>
      </w:r>
      <w:r>
        <w:rPr>
          <w:rFonts w:hint="eastAsia" w:ascii="宋体" w:hAnsi="宋体" w:cs="宋体"/>
          <w:color w:val="auto"/>
          <w:sz w:val="24"/>
          <w:highlight w:val="none"/>
        </w:rPr>
        <w:t>按要求提供中小企业声明函；</w:t>
      </w:r>
    </w:p>
    <w:p>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供应商应以合同分包形式参加，并按要求提供分包意向协议和中小企业声明函，分包意向协议中，中小企业合同金额应当达到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如果供应商提供的所有标的均由中小企业制造、承建或承接，并相应达到了前述比例要求，无需再向中小企业分包，</w:t>
      </w:r>
      <w:r>
        <w:rPr>
          <w:rFonts w:hint="eastAsia" w:ascii="宋体" w:hAnsi="宋体" w:cs="宋体"/>
          <w:color w:val="auto"/>
          <w:sz w:val="24"/>
          <w:highlight w:val="none"/>
        </w:rPr>
        <w:t>按要求提供中小企业声明函；</w:t>
      </w:r>
    </w:p>
    <w:p>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pPr>
        <w:snapToGrid w:val="0"/>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93478440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sz w:val="24"/>
          <w:highlight w:val="none"/>
        </w:rPr>
        <w:t>无。</w:t>
      </w:r>
    </w:p>
    <w:p>
      <w:pPr>
        <w:snapToGrid w:val="0"/>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6195780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三、获取招标文件 </w:t>
      </w:r>
    </w:p>
    <w:p>
      <w:pPr>
        <w:spacing w:line="360" w:lineRule="auto"/>
        <w:ind w:firstLine="481" w:firstLineChars="200"/>
        <w:rPr>
          <w:rFonts w:hint="eastAsia"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pPr>
        <w:spacing w:line="360" w:lineRule="auto"/>
        <w:ind w:firstLine="481"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pPr>
        <w:spacing w:line="360" w:lineRule="auto"/>
        <w:ind w:firstLine="481" w:firstLineChars="200"/>
        <w:rPr>
          <w:rFonts w:hint="eastAsia"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pPr>
        <w:spacing w:line="360" w:lineRule="auto"/>
        <w:ind w:firstLine="481" w:firstLineChars="200"/>
        <w:rPr>
          <w:rFonts w:hint="eastAsia"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pPr>
        <w:spacing w:line="360" w:lineRule="auto"/>
        <w:ind w:firstLine="481" w:firstLineChars="200"/>
        <w:rPr>
          <w:rFonts w:hint="eastAsia"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2026年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color w:val="auto"/>
          <w:sz w:val="24"/>
          <w:highlight w:val="none"/>
        </w:rPr>
        <w:t>（北京时间）</w:t>
      </w:r>
    </w:p>
    <w:p>
      <w:pPr>
        <w:spacing w:line="360" w:lineRule="auto"/>
        <w:ind w:firstLine="481" w:firstLineChars="200"/>
        <w:rPr>
          <w:rFonts w:hint="eastAsia"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pPr>
        <w:spacing w:line="360" w:lineRule="auto"/>
        <w:ind w:firstLine="481" w:firstLineChars="200"/>
        <w:rPr>
          <w:rFonts w:hint="eastAsia"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 xml:space="preserve">00秒  </w:t>
      </w:r>
    </w:p>
    <w:p>
      <w:pPr>
        <w:spacing w:line="360" w:lineRule="auto"/>
        <w:ind w:firstLine="481" w:firstLineChars="200"/>
        <w:rPr>
          <w:rFonts w:hint="eastAsia"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五、公告期限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询问及质疑答复主体详见招标文件《询问、质疑答复责任主体一览表》。（5）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1.采购人信息</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名    称：杭州国画院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地    址： 杭州市西湖区虎跑路31号</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传    真： /</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项目联系人（询问）： 沈佳</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项目联系方式（询问）： 0571-88331887</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质疑联系人： 李锐泽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质疑联系方式： 0571-88331887（请通过以下路径在线提起质疑：政采云-项目采购-询问质疑投诉-质疑列表）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2.采购代理机构信息 </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    称：杭州市公共资源交易中心</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    址：杭州市上城区之江路925号</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项目联系人（询问）： 阮工、张工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项目联系方式（询问）：0571-89587859、89587802</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质疑联系人： 谢栋华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质疑联系方式：0571-</w:t>
      </w:r>
      <w:r>
        <w:rPr>
          <w:rFonts w:ascii="宋体" w:hAnsi="宋体" w:cs="宋体"/>
          <w:color w:val="auto"/>
          <w:sz w:val="24"/>
          <w:highlight w:val="none"/>
        </w:rPr>
        <w:t>89587838</w:t>
      </w:r>
      <w:r>
        <w:rPr>
          <w:rFonts w:hint="eastAsia" w:ascii="宋体" w:hAnsi="宋体" w:cs="宋体"/>
          <w:color w:val="auto"/>
          <w:sz w:val="24"/>
          <w:highlight w:val="none"/>
        </w:rPr>
        <w:t>（请通过以下路径在线提起质疑：政采云-项目采购-询问质疑投诉-质疑列表）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地    址：杭州市上城区清泰街549号城建综合大楼11楼（快递仅限ems或顺丰）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联系人 ：朱女士、王女士</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监督投诉电话： 0571-87227671,0571-87800218   </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政策咨询：沈先生、陈先生，0571-89580457、89580460</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pPr>
        <w:widowControl/>
        <w:adjustRightInd/>
        <w:jc w:val="left"/>
        <w:rPr>
          <w:rFonts w:hint="eastAsia" w:ascii="宋体" w:hAnsi="宋体" w:cs="宋体"/>
          <w:b/>
          <w:color w:val="auto"/>
          <w:sz w:val="36"/>
          <w:szCs w:val="20"/>
          <w:highlight w:val="none"/>
        </w:rPr>
      </w:pPr>
      <w:r>
        <w:rPr>
          <w:rFonts w:ascii="宋体" w:hAnsi="宋体" w:cs="宋体"/>
          <w:b/>
          <w:color w:val="auto"/>
          <w:sz w:val="36"/>
          <w:szCs w:val="20"/>
          <w:highlight w:val="none"/>
        </w:rPr>
        <w:br w:type="page"/>
      </w:r>
    </w:p>
    <w:p>
      <w:pPr>
        <w:adjustRightInd/>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pPr>
        <w:adjustRightInd/>
        <w:spacing w:line="360" w:lineRule="auto"/>
        <w:ind w:firstLine="3845" w:firstLineChars="1197"/>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843" w:type="dxa"/>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l2br w:val="nil"/>
              <w:tr2bl w:val="nil"/>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服务类。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843" w:type="dxa"/>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l2br w:val="nil"/>
              <w:tr2bl w:val="nil"/>
            </w:tcBorders>
            <w:vAlign w:val="center"/>
          </w:tcPr>
          <w:p>
            <w:pPr>
              <w:snapToGrid w:val="0"/>
              <w:spacing w:line="360" w:lineRule="auto"/>
              <w:rPr>
                <w:rFonts w:hint="eastAsia" w:ascii="宋体" w:hAnsi="宋体" w:cs="宋体"/>
                <w:color w:val="auto"/>
                <w:kern w:val="0"/>
                <w:sz w:val="24"/>
                <w:highlight w:val="none"/>
                <w:u w:val="singl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2026年杭州国画院物业管理项目</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物业管理   </w:t>
            </w:r>
            <w:r>
              <w:rPr>
                <w:rFonts w:hint="eastAsia" w:ascii="宋体" w:hAnsi="宋体" w:cs="宋体"/>
                <w:color w:val="auto"/>
                <w:kern w:val="0"/>
                <w:sz w:val="24"/>
                <w:highlight w:val="none"/>
              </w:rPr>
              <w:t>行业；</w:t>
            </w:r>
          </w:p>
          <w:p>
            <w:pPr>
              <w:rPr>
                <w:rFonts w:hint="eastAsia" w:ascii="宋体" w:hAnsi="宋体" w:cs="宋体"/>
                <w:color w:val="auto"/>
                <w:sz w:val="24"/>
                <w:highlight w:val="none"/>
              </w:rPr>
            </w:pPr>
            <w:r>
              <w:rPr>
                <w:rFonts w:hint="eastAsia" w:ascii="宋体" w:hAnsi="宋体" w:cs="宋体"/>
                <w:color w:val="auto"/>
                <w:sz w:val="24"/>
                <w:highlight w:val="none"/>
              </w:rPr>
              <w:t>注：中小企业划型标准详见附件8。</w:t>
            </w:r>
          </w:p>
          <w:p>
            <w:pPr>
              <w:rPr>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843" w:type="dxa"/>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l2br w:val="nil"/>
              <w:tr2bl w:val="nil"/>
            </w:tcBorders>
            <w:vAlign w:val="center"/>
          </w:tcPr>
          <w:p>
            <w:pPr>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208887971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hint="eastAsia" w:ascii="宋体" w:hAnsi="宋体" w:cs="宋体"/>
                <w:color w:val="auto"/>
                <w:highlight w:val="none"/>
              </w:rPr>
            </w:pPr>
            <w:sdt>
              <w:sdtPr>
                <w:rPr>
                  <w:rFonts w:hint="eastAsia" w:ascii="宋体" w:hAnsi="宋体" w:cs="宋体"/>
                  <w:color w:val="auto"/>
                  <w:kern w:val="0"/>
                  <w:sz w:val="24"/>
                  <w:highlight w:val="none"/>
                </w:rPr>
                <w:id w:val="14748222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843" w:type="dxa"/>
            <w:tcBorders>
              <w:tl2br w:val="nil"/>
              <w:tr2bl w:val="nil"/>
            </w:tcBorders>
            <w:vAlign w:val="center"/>
          </w:tcPr>
          <w:p>
            <w:pPr>
              <w:snapToGrid w:val="0"/>
              <w:spacing w:line="360" w:lineRule="auto"/>
              <w:ind w:firstLine="481" w:firstLineChars="200"/>
              <w:rPr>
                <w:rFonts w:hint="eastAsia"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l2br w:val="nil"/>
              <w:tr2bl w:val="nil"/>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46538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绿化养护          </w:t>
            </w:r>
            <w:r>
              <w:rPr>
                <w:rFonts w:hint="eastAsia" w:ascii="宋体" w:hAnsi="宋体" w:cs="宋体"/>
                <w:color w:val="auto"/>
                <w:sz w:val="24"/>
                <w:highlight w:val="none"/>
              </w:rPr>
              <w:t>工作分包。供应商将其他内容分包的视为“</w:t>
            </w:r>
            <w:r>
              <w:rPr>
                <w:rFonts w:hint="eastAsia" w:ascii="宋体" w:hAnsi="宋体" w:cs="宋体"/>
                <w:color w:val="auto"/>
                <w:kern w:val="0"/>
                <w:sz w:val="24"/>
                <w:highlight w:val="none"/>
              </w:rPr>
              <w:t>投标文件含有采购人不能接受的附加条件”，投标无效。</w:t>
            </w:r>
          </w:p>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3911569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843" w:type="dxa"/>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l2br w:val="nil"/>
              <w:tr2bl w:val="nil"/>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46178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151426120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pPr>
              <w:spacing w:line="360" w:lineRule="auto"/>
              <w:rPr>
                <w:color w:val="auto"/>
                <w:highlight w:val="none"/>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C不统一组织，供应商在获取采购文件后，自行至项目现场考察。地点：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843" w:type="dxa"/>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l2br w:val="nil"/>
              <w:tr2bl w:val="nil"/>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4810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B要求提供（未提供样品或提供样品不满足采购需求实质性条件的供应商，投标无效）：</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shd w:val="clear" w:color="FFFFFF" w:fill="D9D9D9"/>
              </w:rPr>
              <w:t>（注：非核心产品不能设置为样品）</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hint="eastAsia" w:ascii="宋体" w:hAnsi="宋体" w:cs="宋体"/>
                <w:snapToGrid w:val="0"/>
                <w:color w:val="auto"/>
                <w:kern w:val="28"/>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w:t>
            </w:r>
          </w:p>
          <w:p>
            <w:pPr>
              <w:spacing w:line="360" w:lineRule="auto"/>
              <w:ind w:firstLine="240" w:firstLineChars="100"/>
              <w:rPr>
                <w:rFonts w:hint="eastAsia" w:ascii="宋体" w:hAnsi="宋体" w:cs="宋体"/>
                <w:color w:val="auto"/>
                <w:sz w:val="24"/>
                <w:highlight w:val="none"/>
              </w:rPr>
            </w:pPr>
            <w:sdt>
              <w:sdtPr>
                <w:rPr>
                  <w:rFonts w:hint="eastAsia" w:ascii="宋体" w:hAnsi="宋体" w:cs="宋体"/>
                  <w:color w:val="auto"/>
                  <w:kern w:val="0"/>
                  <w:sz w:val="24"/>
                  <w:highlight w:val="none"/>
                </w:rPr>
                <w:id w:val="14748237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样品分未超过价格分的50%；</w:t>
            </w:r>
          </w:p>
          <w:p>
            <w:pPr>
              <w:spacing w:line="360" w:lineRule="auto"/>
              <w:ind w:firstLine="240" w:firstLineChars="100"/>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14745647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样品分超过价格分的50%，理由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360" w:lineRule="auto"/>
              <w:ind w:firstLine="240" w:firstLineChars="100"/>
              <w:rPr>
                <w:rFonts w:hint="eastAsia" w:ascii="宋体" w:hAnsi="宋体" w:cs="宋体"/>
                <w:color w:val="auto"/>
                <w:kern w:val="0"/>
                <w:sz w:val="24"/>
                <w:highlight w:val="none"/>
              </w:rPr>
            </w:pPr>
            <w:r>
              <w:rPr>
                <w:rFonts w:hint="eastAsia" w:ascii="宋体" w:hAnsi="宋体" w:cs="宋体"/>
                <w:snapToGrid w:val="0"/>
                <w:color w:val="auto"/>
                <w:kern w:val="28"/>
                <w:sz w:val="24"/>
                <w:highlight w:val="none"/>
              </w:rPr>
              <w:t>详见招标文件第四部分</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 xml:space="preserve">。 </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（工作时间内）</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843" w:type="dxa"/>
            <w:tcBorders>
              <w:tl2br w:val="nil"/>
              <w:tr2bl w:val="nil"/>
            </w:tcBorders>
            <w:vAlign w:val="center"/>
          </w:tcPr>
          <w:p>
            <w:pPr>
              <w:snapToGrid w:val="0"/>
              <w:spacing w:line="360" w:lineRule="auto"/>
              <w:jc w:val="center"/>
              <w:rPr>
                <w:rFonts w:hint="eastAsia"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l2br w:val="nil"/>
              <w:tr2bl w:val="nil"/>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201811259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杭州市公共资源交易中心4楼答疑室（讲标室）</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rPr>
                <w:rFonts w:hint="eastAsia"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投标人应当提供的资格、资信、资质等证明文件</w:t>
            </w:r>
          </w:p>
        </w:tc>
        <w:tc>
          <w:tcPr>
            <w:tcW w:w="6095" w:type="dxa"/>
            <w:tcBorders>
              <w:tl2br w:val="nil"/>
              <w:tr2bl w:val="nil"/>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（1）资格证明文件：见招标文件第二部分11.1。</w:t>
            </w:r>
          </w:p>
          <w:p>
            <w:pPr>
              <w:spacing w:line="360" w:lineRule="auto"/>
              <w:rPr>
                <w:rFonts w:hint="eastAsia"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pPr>
              <w:snapToGrid w:val="0"/>
              <w:spacing w:line="360" w:lineRule="auto"/>
              <w:jc w:val="center"/>
              <w:rPr>
                <w:rFonts w:hint="eastAsia" w:ascii="宋体" w:hAnsi="宋体" w:cs="宋体"/>
                <w:color w:val="auto"/>
                <w:sz w:val="24"/>
                <w:highlight w:val="none"/>
              </w:rPr>
            </w:pPr>
          </w:p>
        </w:tc>
        <w:tc>
          <w:tcPr>
            <w:tcW w:w="1843" w:type="dxa"/>
            <w:vMerge w:val="continue"/>
            <w:tcBorders>
              <w:tl2br w:val="nil"/>
              <w:tr2bl w:val="nil"/>
            </w:tcBorders>
            <w:vAlign w:val="center"/>
          </w:tcPr>
          <w:p>
            <w:pPr>
              <w:snapToGrid w:val="0"/>
              <w:spacing w:line="360" w:lineRule="auto"/>
              <w:jc w:val="center"/>
              <w:rPr>
                <w:rFonts w:hint="eastAsia" w:ascii="宋体" w:hAnsi="宋体" w:cs="宋体"/>
                <w:b/>
                <w:color w:val="auto"/>
                <w:sz w:val="24"/>
                <w:highlight w:val="none"/>
              </w:rPr>
            </w:pPr>
          </w:p>
        </w:tc>
        <w:tc>
          <w:tcPr>
            <w:tcW w:w="6095" w:type="dxa"/>
            <w:tcBorders>
              <w:tl2br w:val="nil"/>
              <w:tr2bl w:val="nil"/>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（2）资信、资质等证明文件：根据招标文件第四部分评标标准提供有效的资信、资质等证明文件。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843" w:type="dxa"/>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tcBorders>
              <w:tl2br w:val="nil"/>
              <w:tr2bl w:val="nil"/>
            </w:tcBorders>
            <w:vAlign w:val="center"/>
          </w:tcPr>
          <w:p>
            <w:pPr>
              <w:pStyle w:val="79"/>
              <w:snapToGrid w:val="0"/>
              <w:spacing w:line="360" w:lineRule="auto"/>
              <w:ind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采购人拟采购的产品属于品目清单范围的，采购人将依据国家确定的认证机构出具的、处于有效期之内的节能产品、环境标志产品认证证书，对获得证书的产品实施政府优先采购或强制采购。</w:t>
            </w:r>
          </w:p>
          <w:p>
            <w:pPr>
              <w:pStyle w:val="79"/>
              <w:spacing w:line="360" w:lineRule="auto"/>
              <w:ind w:firstLine="480"/>
              <w:jc w:val="both"/>
              <w:rPr>
                <w:rFonts w:hint="eastAsia" w:ascii="宋体" w:hAnsi="宋体" w:cs="宋体"/>
                <w:color w:val="auto"/>
                <w:sz w:val="24"/>
                <w:highlight w:val="none"/>
                <w:lang w:val="zh-CN"/>
              </w:rPr>
            </w:pPr>
            <w:sdt>
              <w:sdtPr>
                <w:rPr>
                  <w:rFonts w:hint="eastAsia" w:ascii="宋体" w:hAnsi="宋体" w:eastAsia="宋体" w:cs="宋体"/>
                  <w:color w:val="auto"/>
                  <w:kern w:val="2"/>
                  <w:sz w:val="24"/>
                  <w:szCs w:val="24"/>
                  <w:highlight w:val="none"/>
                </w:rPr>
                <w:id w:val="1474783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rPr>
              </w:sdtEndPr>
              <w:sdtContent>
                <w:r>
                  <w:rPr>
                    <w:rFonts w:hint="eastAsia" w:ascii="宋体" w:hAnsi="宋体" w:eastAsia="宋体" w:cs="宋体"/>
                    <w:color w:val="auto"/>
                    <w:kern w:val="2"/>
                    <w:sz w:val="24"/>
                    <w:szCs w:val="24"/>
                    <w:highlight w:val="none"/>
                  </w:rPr>
                  <w:t>☐</w:t>
                </w:r>
              </w:sdtContent>
            </w:sdt>
            <w:r>
              <w:rPr>
                <w:rFonts w:hint="eastAsia" w:ascii="宋体" w:hAnsi="宋体" w:eastAsia="宋体" w:cs="宋体"/>
                <w:color w:val="auto"/>
                <w:kern w:val="2"/>
                <w:sz w:val="24"/>
                <w:szCs w:val="24"/>
                <w:highlight w:val="none"/>
              </w:rPr>
              <w:t>强制采购。产品：</w:t>
            </w:r>
            <w:r>
              <w:rPr>
                <w:rFonts w:hint="eastAsia" w:ascii="宋体" w:hAnsi="宋体" w:eastAsia="宋体" w:cs="宋体"/>
                <w:color w:val="auto"/>
                <w:kern w:val="2"/>
                <w:sz w:val="24"/>
                <w:szCs w:val="24"/>
                <w:highlight w:val="none"/>
                <w:u w:val="single"/>
                <w:shd w:val="clear" w:color="FFFFFF" w:fill="D9D9D9"/>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zh-CN"/>
              </w:rPr>
              <w:t>实施政府强制采购，</w:t>
            </w:r>
            <w:r>
              <w:rPr>
                <w:rFonts w:hint="eastAsia" w:ascii="宋体" w:hAnsi="宋体" w:cs="宋体"/>
                <w:b/>
                <w:bCs/>
                <w:color w:val="auto"/>
                <w:sz w:val="24"/>
                <w:highlight w:val="none"/>
                <w:lang w:val="zh-CN"/>
              </w:rPr>
              <w:t>投标人</w:t>
            </w:r>
            <w:r>
              <w:rPr>
                <w:rFonts w:hint="eastAsia" w:ascii="宋体" w:hAnsi="宋体" w:cs="宋体"/>
                <w:b/>
                <w:bCs/>
                <w:color w:val="auto"/>
                <w:sz w:val="24"/>
                <w:highlight w:val="none"/>
              </w:rPr>
              <w:t>就</w:t>
            </w:r>
            <w:r>
              <w:rPr>
                <w:rFonts w:hint="eastAsia" w:ascii="宋体" w:hAnsi="宋体" w:cs="宋体"/>
                <w:b/>
                <w:bCs/>
                <w:color w:val="auto"/>
                <w:sz w:val="24"/>
                <w:highlight w:val="none"/>
                <w:lang w:val="zh-CN"/>
              </w:rPr>
              <w:t>相应的投标产品未</w:t>
            </w:r>
            <w:r>
              <w:rPr>
                <w:rFonts w:hint="eastAsia" w:ascii="宋体" w:hAnsi="宋体" w:cs="宋体"/>
                <w:b/>
                <w:bCs/>
                <w:color w:val="auto"/>
                <w:sz w:val="24"/>
                <w:highlight w:val="none"/>
              </w:rPr>
              <w:t>提供</w:t>
            </w:r>
            <w:r>
              <w:rPr>
                <w:rFonts w:hint="eastAsia" w:ascii="宋体" w:hAnsi="宋体" w:cs="宋体"/>
                <w:b/>
                <w:bCs/>
                <w:color w:val="auto"/>
                <w:sz w:val="24"/>
                <w:highlight w:val="none"/>
                <w:lang w:val="zh-CN"/>
              </w:rPr>
              <w:t>国家确定的认证机构出具的、处于有效期之内的节能产品认证证书的，投标无效</w:t>
            </w:r>
            <w:r>
              <w:rPr>
                <w:rFonts w:hint="eastAsia" w:ascii="宋体" w:hAnsi="宋体" w:cs="宋体"/>
                <w:color w:val="auto"/>
                <w:sz w:val="24"/>
                <w:highlight w:val="none"/>
                <w:lang w:val="zh-CN"/>
              </w:rPr>
              <w:t>。</w:t>
            </w:r>
          </w:p>
          <w:p>
            <w:pPr>
              <w:pStyle w:val="79"/>
              <w:spacing w:line="360" w:lineRule="auto"/>
              <w:ind w:firstLine="480"/>
              <w:jc w:val="both"/>
              <w:rPr>
                <w:rFonts w:hint="eastAsia" w:ascii="宋体" w:hAnsi="宋体" w:eastAsia="宋体" w:cs="宋体"/>
                <w:color w:val="auto"/>
                <w:kern w:val="2"/>
                <w:sz w:val="24"/>
                <w:szCs w:val="24"/>
                <w:highlight w:val="none"/>
                <w:u w:val="single"/>
                <w:shd w:val="clear" w:color="FFFFFF" w:fill="D9D9D9"/>
              </w:rPr>
            </w:pPr>
            <w:r>
              <w:rPr>
                <w:rFonts w:hint="eastAsia" w:ascii="宋体" w:hAnsi="宋体" w:eastAsia="宋体" w:cs="宋体"/>
                <w:color w:val="auto"/>
                <w:kern w:val="2"/>
                <w:sz w:val="24"/>
                <w:szCs w:val="24"/>
                <w:highlight w:val="none"/>
              </w:rPr>
              <w:t>□优先采购节能产品。产品：</w:t>
            </w:r>
            <w:r>
              <w:rPr>
                <w:rFonts w:hint="eastAsia" w:ascii="宋体" w:hAnsi="宋体" w:eastAsia="宋体" w:cs="宋体"/>
                <w:color w:val="auto"/>
                <w:kern w:val="2"/>
                <w:sz w:val="24"/>
                <w:szCs w:val="24"/>
                <w:highlight w:val="none"/>
                <w:u w:val="single"/>
                <w:shd w:val="clear" w:color="FFFFFF" w:fill="D9D9D9"/>
              </w:rPr>
              <w:t xml:space="preserve">        </w:t>
            </w:r>
          </w:p>
          <w:p>
            <w:pPr>
              <w:pStyle w:val="79"/>
              <w:spacing w:line="360" w:lineRule="auto"/>
              <w:ind w:firstLine="480"/>
              <w:jc w:val="both"/>
              <w:rPr>
                <w:rFonts w:hint="eastAsia" w:ascii="宋体" w:hAnsi="宋体" w:eastAsia="宋体" w:cs="宋体"/>
                <w:color w:val="auto"/>
                <w:kern w:val="2"/>
                <w:sz w:val="24"/>
                <w:szCs w:val="24"/>
                <w:highlight w:val="none"/>
                <w:u w:val="single"/>
                <w:shd w:val="clear" w:color="FFFFFF" w:fill="D9D9D9"/>
              </w:rPr>
            </w:pPr>
            <w:r>
              <w:rPr>
                <w:rFonts w:hint="eastAsia" w:ascii="宋体" w:hAnsi="宋体" w:eastAsia="宋体" w:cs="宋体"/>
                <w:color w:val="auto"/>
                <w:kern w:val="2"/>
                <w:sz w:val="24"/>
                <w:szCs w:val="24"/>
                <w:highlight w:val="none"/>
              </w:rPr>
              <w:t>□优先采购环保产品。产品：</w:t>
            </w:r>
            <w:r>
              <w:rPr>
                <w:rFonts w:hint="eastAsia" w:ascii="宋体" w:hAnsi="宋体" w:eastAsia="宋体" w:cs="宋体"/>
                <w:color w:val="auto"/>
                <w:kern w:val="2"/>
                <w:sz w:val="24"/>
                <w:szCs w:val="24"/>
                <w:highlight w:val="none"/>
                <w:u w:val="single"/>
                <w:shd w:val="clear" w:color="FFFFFF" w:fill="D9D9D9"/>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843" w:type="dxa"/>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l2br w:val="nil"/>
              <w:tr2bl w:val="nil"/>
            </w:tcBorders>
            <w:vAlign w:val="center"/>
          </w:tcPr>
          <w:p>
            <w:pPr>
              <w:snapToGrid w:val="0"/>
              <w:spacing w:line="360" w:lineRule="auto"/>
              <w:jc w:val="left"/>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pPr>
              <w:widowControl/>
              <w:shd w:val="clear" w:color="auto" w:fill="FFFFFF"/>
              <w:spacing w:line="480" w:lineRule="atLeast"/>
              <w:textAlignment w:val="baseline"/>
              <w:rPr>
                <w:rFonts w:ascii="Calibri" w:hAnsi="Calibri" w:cs="Calibri"/>
                <w:b/>
                <w:bCs/>
                <w:color w:val="auto"/>
                <w:szCs w:val="21"/>
                <w:highlight w:val="none"/>
              </w:rPr>
            </w:pPr>
            <w:r>
              <w:rPr>
                <w:rFonts w:hint="eastAsia" w:ascii="宋体" w:hAnsi="宋体" w:cs="宋体"/>
                <w:b/>
                <w:bCs/>
                <w:color w:val="auto"/>
                <w:kern w:val="0"/>
                <w:sz w:val="24"/>
                <w:highlight w:val="none"/>
                <w:shd w:val="clear" w:color="auto" w:fill="FFFFFF"/>
                <w:lang w:bidi="ar"/>
              </w:rPr>
              <w:t>（2）政府采购评审中出现下列情形之一的，评审委员会应当启动异常低价投标（响应）审查程序：</w:t>
            </w:r>
          </w:p>
          <w:p>
            <w:pPr>
              <w:widowControl/>
              <w:shd w:val="clear" w:color="auto" w:fill="FFFFFF"/>
              <w:spacing w:line="480" w:lineRule="atLeast"/>
              <w:textAlignment w:val="baseline"/>
              <w:rPr>
                <w:rFonts w:ascii="Calibri" w:hAnsi="Calibri" w:cs="Calibri"/>
                <w:b/>
                <w:bCs/>
                <w:color w:val="auto"/>
                <w:szCs w:val="21"/>
                <w:highlight w:val="none"/>
              </w:rPr>
            </w:pPr>
            <w:r>
              <w:rPr>
                <w:rFonts w:hint="eastAsia" w:ascii="宋体" w:hAnsi="宋体" w:cs="宋体"/>
                <w:b/>
                <w:bCs/>
                <w:color w:val="auto"/>
                <w:kern w:val="0"/>
                <w:sz w:val="24"/>
                <w:highlight w:val="none"/>
                <w:shd w:val="clear" w:color="auto" w:fill="FFFFFF"/>
                <w:lang w:bidi="ar"/>
              </w:rPr>
              <w:t>1.投标（响应）报价低于全部通过符合性审查供应商投标（响应）报价平均值</w:t>
            </w:r>
            <w:r>
              <w:rPr>
                <w:rFonts w:hint="eastAsia" w:ascii="宋体" w:hAnsi="宋体" w:cs="宋体"/>
                <w:b/>
                <w:bCs/>
                <w:color w:val="auto"/>
                <w:kern w:val="0"/>
                <w:sz w:val="24"/>
                <w:highlight w:val="none"/>
                <w:u w:val="single"/>
                <w:shd w:val="clear" w:color="auto" w:fill="FFFFFF"/>
                <w:lang w:bidi="ar"/>
              </w:rPr>
              <w:t xml:space="preserve"> 50 %</w:t>
            </w:r>
            <w:r>
              <w:rPr>
                <w:rFonts w:hint="eastAsia" w:ascii="宋体" w:hAnsi="宋体" w:cs="宋体"/>
                <w:b/>
                <w:bCs/>
                <w:color w:val="auto"/>
                <w:kern w:val="0"/>
                <w:sz w:val="24"/>
                <w:highlight w:val="none"/>
                <w:shd w:val="clear" w:color="auto" w:fill="FFFFFF"/>
                <w:lang w:bidi="ar"/>
              </w:rPr>
              <w:t>的，即投标（响应）报价&lt;全部通过符合性审查供应商投标（响应）报价平均值×</w:t>
            </w:r>
            <w:r>
              <w:rPr>
                <w:rFonts w:hint="eastAsia" w:ascii="宋体" w:hAnsi="宋体" w:cs="宋体"/>
                <w:b/>
                <w:bCs/>
                <w:color w:val="auto"/>
                <w:kern w:val="0"/>
                <w:sz w:val="24"/>
                <w:highlight w:val="none"/>
                <w:u w:val="single"/>
                <w:shd w:val="clear" w:color="auto" w:fill="FFFFFF"/>
                <w:lang w:bidi="ar"/>
              </w:rPr>
              <w:t xml:space="preserve"> 50 %</w:t>
            </w:r>
            <w:r>
              <w:rPr>
                <w:rFonts w:hint="eastAsia" w:ascii="宋体" w:hAnsi="宋体" w:cs="宋体"/>
                <w:b/>
                <w:bCs/>
                <w:color w:val="auto"/>
                <w:kern w:val="0"/>
                <w:sz w:val="24"/>
                <w:highlight w:val="none"/>
                <w:shd w:val="clear" w:color="auto" w:fill="FFFFFF"/>
                <w:lang w:bidi="ar"/>
              </w:rPr>
              <w:t>；</w:t>
            </w:r>
          </w:p>
          <w:p>
            <w:pPr>
              <w:widowControl/>
              <w:shd w:val="clear" w:color="auto" w:fill="FFFFFF"/>
              <w:spacing w:line="480" w:lineRule="atLeast"/>
              <w:textAlignment w:val="baseline"/>
              <w:rPr>
                <w:rFonts w:ascii="Calibri" w:hAnsi="Calibri" w:cs="Calibri"/>
                <w:b/>
                <w:bCs/>
                <w:color w:val="auto"/>
                <w:szCs w:val="21"/>
                <w:highlight w:val="none"/>
              </w:rPr>
            </w:pPr>
            <w:r>
              <w:rPr>
                <w:rFonts w:hint="eastAsia" w:ascii="宋体" w:hAnsi="宋体" w:cs="宋体"/>
                <w:b/>
                <w:bCs/>
                <w:color w:val="auto"/>
                <w:kern w:val="0"/>
                <w:sz w:val="24"/>
                <w:highlight w:val="none"/>
                <w:shd w:val="clear" w:color="auto" w:fill="FFFFFF"/>
                <w:lang w:bidi="ar"/>
              </w:rPr>
              <w:t>2.投标（响应）报价低于通过符合性审查的次低报价供应商投标（响应）报价</w:t>
            </w:r>
            <w:r>
              <w:rPr>
                <w:rFonts w:hint="eastAsia" w:ascii="宋体" w:hAnsi="宋体" w:cs="宋体"/>
                <w:b/>
                <w:bCs/>
                <w:color w:val="auto"/>
                <w:kern w:val="0"/>
                <w:sz w:val="24"/>
                <w:highlight w:val="none"/>
                <w:u w:val="single"/>
                <w:shd w:val="clear" w:color="auto" w:fill="FFFFFF"/>
                <w:lang w:bidi="ar"/>
              </w:rPr>
              <w:t xml:space="preserve"> 50 %</w:t>
            </w:r>
            <w:r>
              <w:rPr>
                <w:rFonts w:hint="eastAsia" w:ascii="宋体" w:hAnsi="宋体" w:cs="宋体"/>
                <w:b/>
                <w:bCs/>
                <w:color w:val="auto"/>
                <w:kern w:val="0"/>
                <w:sz w:val="24"/>
                <w:highlight w:val="none"/>
                <w:shd w:val="clear" w:color="auto" w:fill="FFFFFF"/>
                <w:lang w:bidi="ar"/>
              </w:rPr>
              <w:t>的，即投标（响应）报价&lt;通过符合性审查的次低报价供应商投标（响应）报价×</w:t>
            </w:r>
            <w:r>
              <w:rPr>
                <w:rFonts w:hint="eastAsia" w:ascii="宋体" w:hAnsi="宋体" w:cs="宋体"/>
                <w:b/>
                <w:bCs/>
                <w:color w:val="auto"/>
                <w:kern w:val="0"/>
                <w:sz w:val="24"/>
                <w:highlight w:val="none"/>
                <w:u w:val="single"/>
                <w:shd w:val="clear" w:color="auto" w:fill="FFFFFF"/>
                <w:lang w:bidi="ar"/>
              </w:rPr>
              <w:t xml:space="preserve"> 50 %</w:t>
            </w:r>
            <w:r>
              <w:rPr>
                <w:rFonts w:hint="eastAsia" w:ascii="宋体" w:hAnsi="宋体" w:cs="宋体"/>
                <w:b/>
                <w:bCs/>
                <w:color w:val="auto"/>
                <w:kern w:val="0"/>
                <w:sz w:val="24"/>
                <w:highlight w:val="none"/>
                <w:shd w:val="clear" w:color="auto" w:fill="FFFFFF"/>
                <w:lang w:bidi="ar"/>
              </w:rPr>
              <w:t>；</w:t>
            </w:r>
          </w:p>
          <w:p>
            <w:pPr>
              <w:widowControl/>
              <w:shd w:val="clear" w:color="auto" w:fill="FFFFFF"/>
              <w:spacing w:line="480" w:lineRule="atLeast"/>
              <w:textAlignment w:val="baseline"/>
              <w:rPr>
                <w:rFonts w:hint="eastAsia" w:ascii="宋体" w:hAnsi="宋体" w:cs="宋体"/>
                <w:b/>
                <w:bCs/>
                <w:color w:val="auto"/>
                <w:kern w:val="0"/>
                <w:sz w:val="24"/>
                <w:highlight w:val="none"/>
                <w:shd w:val="clear" w:color="auto" w:fill="FFFFFF"/>
                <w:lang w:bidi="ar"/>
              </w:rPr>
            </w:pPr>
            <w:r>
              <w:rPr>
                <w:rFonts w:hint="eastAsia" w:ascii="宋体" w:hAnsi="宋体" w:cs="宋体"/>
                <w:b/>
                <w:bCs/>
                <w:color w:val="auto"/>
                <w:kern w:val="0"/>
                <w:sz w:val="24"/>
                <w:highlight w:val="none"/>
                <w:shd w:val="clear" w:color="auto" w:fill="FFFFFF"/>
                <w:lang w:bidi="ar"/>
              </w:rPr>
              <w:t>3.投标（响应）报价低于采购项目最高限价</w:t>
            </w:r>
            <w:r>
              <w:rPr>
                <w:rFonts w:hint="eastAsia" w:ascii="宋体" w:hAnsi="宋体" w:cs="宋体"/>
                <w:b/>
                <w:bCs/>
                <w:color w:val="auto"/>
                <w:kern w:val="0"/>
                <w:sz w:val="24"/>
                <w:highlight w:val="none"/>
                <w:u w:val="single"/>
                <w:shd w:val="clear" w:color="auto" w:fill="FFFFFF"/>
                <w:lang w:bidi="ar"/>
              </w:rPr>
              <w:t xml:space="preserve"> 45 %</w:t>
            </w:r>
            <w:r>
              <w:rPr>
                <w:rFonts w:hint="eastAsia" w:ascii="宋体" w:hAnsi="宋体" w:cs="宋体"/>
                <w:b/>
                <w:bCs/>
                <w:color w:val="auto"/>
                <w:kern w:val="0"/>
                <w:sz w:val="24"/>
                <w:highlight w:val="none"/>
                <w:shd w:val="clear" w:color="auto" w:fill="FFFFFF"/>
                <w:lang w:bidi="ar"/>
              </w:rPr>
              <w:t>的，即投标（响应）报价&lt;采购项目最高限价×</w:t>
            </w:r>
            <w:r>
              <w:rPr>
                <w:rFonts w:hint="eastAsia" w:ascii="宋体" w:hAnsi="宋体" w:cs="宋体"/>
                <w:b/>
                <w:bCs/>
                <w:color w:val="auto"/>
                <w:kern w:val="0"/>
                <w:sz w:val="24"/>
                <w:highlight w:val="none"/>
                <w:u w:val="single"/>
                <w:shd w:val="clear" w:color="auto" w:fill="FFFFFF"/>
                <w:lang w:bidi="ar"/>
              </w:rPr>
              <w:t xml:space="preserve"> 45 %</w:t>
            </w:r>
            <w:r>
              <w:rPr>
                <w:rFonts w:hint="eastAsia" w:ascii="宋体" w:hAnsi="宋体" w:cs="宋体"/>
                <w:b/>
                <w:bCs/>
                <w:color w:val="auto"/>
                <w:kern w:val="0"/>
                <w:sz w:val="24"/>
                <w:highlight w:val="none"/>
                <w:shd w:val="clear" w:color="auto" w:fill="FFFFFF"/>
                <w:lang w:bidi="ar"/>
              </w:rPr>
              <w:t>；</w:t>
            </w:r>
          </w:p>
          <w:p>
            <w:pPr>
              <w:widowControl/>
              <w:shd w:val="clear" w:color="auto" w:fill="FFFFFF"/>
              <w:spacing w:after="120" w:afterLines="50" w:line="480" w:lineRule="atLeast"/>
              <w:textAlignment w:val="baseline"/>
              <w:rPr>
                <w:rFonts w:hint="eastAsia" w:ascii="宋体" w:hAnsi="宋体" w:cs="宋体"/>
                <w:b/>
                <w:bCs/>
                <w:color w:val="auto"/>
                <w:kern w:val="0"/>
                <w:sz w:val="24"/>
                <w:highlight w:val="none"/>
                <w:shd w:val="clear" w:color="auto" w:fill="FFFFFF"/>
                <w:lang w:bidi="ar"/>
              </w:rPr>
            </w:pPr>
            <w:r>
              <w:rPr>
                <w:rFonts w:hint="eastAsia" w:ascii="宋体" w:hAnsi="宋体" w:cs="宋体"/>
                <w:b/>
                <w:bCs/>
                <w:color w:val="auto"/>
                <w:kern w:val="0"/>
                <w:sz w:val="24"/>
                <w:highlight w:val="none"/>
                <w:shd w:val="clear" w:color="auto" w:fill="FFFFFF"/>
                <w:lang w:bidi="ar"/>
              </w:rPr>
              <w:t>4.评审委员会基于专业判断，认为供应商报价过低，有可能影响产品质量或者不能诚信履约的其他情形。</w:t>
            </w:r>
          </w:p>
          <w:p>
            <w:pPr>
              <w:widowControl/>
              <w:shd w:val="clear" w:color="auto" w:fill="FFFFFF"/>
              <w:spacing w:after="120" w:afterLines="50" w:line="480" w:lineRule="atLeast"/>
              <w:textAlignment w:val="baseline"/>
              <w:rPr>
                <w:color w:val="auto"/>
                <w:highlight w:val="none"/>
              </w:rPr>
            </w:pPr>
            <w:r>
              <w:rPr>
                <w:rFonts w:hint="eastAsia" w:ascii="宋体" w:hAnsi="宋体" w:cs="宋体"/>
                <w:b/>
                <w:bCs/>
                <w:color w:val="auto"/>
                <w:kern w:val="0"/>
                <w:sz w:val="24"/>
                <w:highlight w:val="none"/>
                <w:shd w:val="clear" w:color="FFFFFF" w:fill="D9D9D9"/>
                <w:lang w:bidi="ar"/>
              </w:rPr>
              <w:t>注：采购人可以结合具体项目实际情况，提高上述第1项至第3项中启动异常低价投标（响应）审查的数值标准，并在招标文件中予以明确，但是最高不得超过65%。</w:t>
            </w:r>
          </w:p>
          <w:p>
            <w:pPr>
              <w:widowControl/>
              <w:shd w:val="clear" w:color="auto" w:fill="FFFFFF"/>
              <w:spacing w:after="120" w:afterLines="50" w:line="480" w:lineRule="atLeast"/>
              <w:textAlignment w:val="baseline"/>
              <w:rPr>
                <w:color w:val="auto"/>
                <w:highlight w:val="none"/>
              </w:rPr>
            </w:pPr>
            <w:r>
              <w:rPr>
                <w:rFonts w:hint="eastAsia" w:ascii="宋体" w:hAnsi="宋体" w:cs="宋体"/>
                <w:b/>
                <w:bCs/>
                <w:color w:val="auto"/>
                <w:kern w:val="0"/>
                <w:sz w:val="24"/>
                <w:highlight w:val="none"/>
                <w:shd w:val="clear" w:color="auto" w:fill="FFFFFF"/>
                <w:lang w:bidi="ar"/>
              </w:rPr>
              <w:t>相关法律法规对供应商报价有规定的，从其规定。</w:t>
            </w:r>
          </w:p>
          <w:p>
            <w:pPr>
              <w:snapToGrid w:val="0"/>
              <w:spacing w:line="360" w:lineRule="auto"/>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3</w:t>
            </w:r>
            <w:r>
              <w:rPr>
                <w:rFonts w:hint="eastAsia" w:ascii="宋体" w:hAnsi="宋体" w:cs="宋体"/>
                <w:b/>
                <w:color w:val="auto"/>
                <w:kern w:val="0"/>
                <w:sz w:val="24"/>
                <w:highlight w:val="none"/>
                <w:lang w:val="zh-CN"/>
              </w:rPr>
              <w:t>）投标报价出现下列情形的，投标无效：</w:t>
            </w:r>
          </w:p>
          <w:p>
            <w:pPr>
              <w:snapToGrid w:val="0"/>
              <w:spacing w:line="360" w:lineRule="auto"/>
              <w:ind w:firstLine="240" w:firstLineChars="100"/>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pPr>
              <w:snapToGrid w:val="0"/>
              <w:spacing w:line="360" w:lineRule="auto"/>
              <w:ind w:firstLine="240" w:firstLineChars="100"/>
              <w:jc w:val="left"/>
              <w:rPr>
                <w:rFonts w:hint="eastAsia"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pPr>
              <w:spacing w:line="360" w:lineRule="auto"/>
              <w:ind w:firstLine="240" w:firstLineChars="100"/>
              <w:rPr>
                <w:rFonts w:hint="eastAsia" w:ascii="宋体" w:hAnsi="宋体" w:cs="宋体"/>
                <w:b/>
                <w:color w:val="auto"/>
                <w:sz w:val="24"/>
                <w:highlight w:val="none"/>
              </w:rPr>
            </w:pPr>
            <w:r>
              <w:rPr>
                <w:rFonts w:hint="eastAsia" w:ascii="宋体" w:hAnsi="宋体" w:cs="宋体"/>
                <w:b/>
                <w:bCs/>
                <w:color w:val="auto"/>
                <w:kern w:val="0"/>
                <w:sz w:val="24"/>
                <w:highlight w:val="none"/>
                <w:shd w:val="clear" w:color="auto" w:fill="FFFFFF"/>
                <w:lang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rPr>
              <w:t>;</w:t>
            </w:r>
          </w:p>
          <w:p>
            <w:pPr>
              <w:spacing w:line="360" w:lineRule="auto"/>
              <w:ind w:firstLine="240" w:firstLineChars="100"/>
              <w:rPr>
                <w:rFonts w:hint="eastAsia"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843" w:type="dxa"/>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l2br w:val="nil"/>
              <w:tr2bl w:val="nil"/>
            </w:tcBorders>
            <w:vAlign w:val="center"/>
          </w:tcPr>
          <w:p>
            <w:pPr>
              <w:spacing w:line="360" w:lineRule="auto"/>
              <w:ind w:firstLine="480" w:firstLineChars="200"/>
              <w:rPr>
                <w:rFonts w:hint="eastAsia"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1843" w:type="dxa"/>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l2br w:val="nil"/>
              <w:tr2bl w:val="nil"/>
            </w:tcBorders>
            <w:vAlign w:val="center"/>
          </w:tcPr>
          <w:p>
            <w:pPr>
              <w:pStyle w:val="32"/>
              <w:spacing w:line="360" w:lineRule="auto"/>
              <w:rPr>
                <w:rFonts w:hint="eastAsia"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杭州市之江路925号临江金座2号楼1010室（杭州市公共资源交易中心政府采购处）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0571-89587880</w:t>
            </w:r>
            <w:r>
              <w:rPr>
                <w:rFonts w:hint="eastAsia" w:hAnsi="宋体" w:cs="宋体"/>
                <w:color w:val="auto"/>
                <w:sz w:val="24"/>
                <w:szCs w:val="24"/>
                <w:highlight w:val="none"/>
              </w:rPr>
              <w:t>。</w:t>
            </w:r>
            <w:r>
              <w:rPr>
                <w:rFonts w:hint="eastAsia" w:hAnsi="宋体" w:cs="宋体"/>
                <w:b/>
                <w:color w:val="auto"/>
                <w:sz w:val="24"/>
                <w:szCs w:val="24"/>
                <w:highlight w:val="none"/>
              </w:rPr>
              <w:t>采购人、采购机构不强制或变相强制投标人提交备份投标文件。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pPr>
              <w:snapToGrid w:val="0"/>
              <w:spacing w:line="360" w:lineRule="auto"/>
              <w:jc w:val="center"/>
              <w:rPr>
                <w:rFonts w:hint="eastAsia" w:ascii="宋体" w:hAnsi="宋体" w:cs="宋体"/>
                <w:color w:val="auto"/>
                <w:sz w:val="24"/>
                <w:highlight w:val="none"/>
                <w:lang w:val="en"/>
              </w:rPr>
            </w:pPr>
            <w:r>
              <w:rPr>
                <w:rFonts w:hint="eastAsia" w:ascii="宋体" w:hAnsi="宋体" w:cs="宋体"/>
                <w:color w:val="auto"/>
                <w:sz w:val="24"/>
                <w:highlight w:val="none"/>
              </w:rPr>
              <w:t>1</w:t>
            </w:r>
            <w:r>
              <w:rPr>
                <w:rFonts w:ascii="宋体" w:hAnsi="宋体" w:cs="宋体"/>
                <w:color w:val="auto"/>
                <w:sz w:val="24"/>
                <w:highlight w:val="none"/>
                <w:lang w:val="en"/>
              </w:rPr>
              <w:t>3</w:t>
            </w:r>
          </w:p>
        </w:tc>
        <w:tc>
          <w:tcPr>
            <w:tcW w:w="1843" w:type="dxa"/>
            <w:vMerge w:val="restart"/>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l2br w:val="nil"/>
              <w:tr2bl w:val="nil"/>
            </w:tcBorders>
            <w:vAlign w:val="center"/>
          </w:tcPr>
          <w:p>
            <w:pPr>
              <w:spacing w:line="36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pPr>
              <w:snapToGrid w:val="0"/>
              <w:spacing w:line="360" w:lineRule="auto"/>
              <w:jc w:val="center"/>
              <w:rPr>
                <w:rFonts w:hint="eastAsia" w:ascii="宋体" w:hAnsi="宋体" w:cs="宋体"/>
                <w:color w:val="auto"/>
                <w:sz w:val="24"/>
                <w:highlight w:val="none"/>
              </w:rPr>
            </w:pPr>
          </w:p>
        </w:tc>
        <w:tc>
          <w:tcPr>
            <w:tcW w:w="1843" w:type="dxa"/>
            <w:vMerge w:val="continue"/>
            <w:tcBorders>
              <w:tl2br w:val="nil"/>
              <w:tr2bl w:val="nil"/>
            </w:tcBorders>
            <w:vAlign w:val="center"/>
          </w:tcPr>
          <w:p>
            <w:pPr>
              <w:snapToGrid w:val="0"/>
              <w:spacing w:line="360" w:lineRule="auto"/>
              <w:jc w:val="center"/>
              <w:rPr>
                <w:rFonts w:hint="eastAsia" w:ascii="宋体" w:hAnsi="宋体" w:cs="宋体"/>
                <w:b/>
                <w:color w:val="auto"/>
                <w:sz w:val="24"/>
                <w:highlight w:val="none"/>
              </w:rPr>
            </w:pPr>
          </w:p>
        </w:tc>
        <w:tc>
          <w:tcPr>
            <w:tcW w:w="6095" w:type="dxa"/>
            <w:tcBorders>
              <w:tl2br w:val="nil"/>
              <w:tr2bl w:val="nil"/>
            </w:tcBorders>
            <w:vAlign w:val="center"/>
          </w:tcPr>
          <w:p>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77705"/>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75939"/>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pPr>
              <w:snapToGrid w:val="0"/>
              <w:spacing w:line="360" w:lineRule="auto"/>
              <w:jc w:val="center"/>
              <w:rPr>
                <w:rFonts w:hint="eastAsia" w:ascii="宋体" w:hAnsi="宋体" w:cs="宋体"/>
                <w:color w:val="auto"/>
                <w:sz w:val="24"/>
                <w:highlight w:val="none"/>
              </w:rPr>
            </w:pPr>
          </w:p>
        </w:tc>
        <w:tc>
          <w:tcPr>
            <w:tcW w:w="1843" w:type="dxa"/>
            <w:vMerge w:val="continue"/>
            <w:tcBorders>
              <w:tl2br w:val="nil"/>
              <w:tr2bl w:val="nil"/>
            </w:tcBorders>
            <w:vAlign w:val="center"/>
          </w:tcPr>
          <w:p>
            <w:pPr>
              <w:snapToGrid w:val="0"/>
              <w:spacing w:line="360" w:lineRule="auto"/>
              <w:jc w:val="center"/>
              <w:rPr>
                <w:rFonts w:hint="eastAsia" w:ascii="宋体" w:hAnsi="宋体" w:cs="宋体"/>
                <w:b/>
                <w:color w:val="auto"/>
                <w:sz w:val="24"/>
                <w:highlight w:val="none"/>
              </w:rPr>
            </w:pPr>
          </w:p>
        </w:tc>
        <w:tc>
          <w:tcPr>
            <w:tcW w:w="6095" w:type="dxa"/>
            <w:tcBorders>
              <w:tl2br w:val="nil"/>
              <w:tr2bl w:val="nil"/>
            </w:tcBorders>
            <w:vAlign w:val="center"/>
          </w:tcPr>
          <w:p>
            <w:pPr>
              <w:spacing w:line="360" w:lineRule="auto"/>
              <w:rPr>
                <w:rFonts w:hint="eastAsia" w:cs="Arial" w:asciiTheme="minorEastAsia" w:hAnsiTheme="minorEastAsia" w:eastAsiaTheme="minorEastAsia"/>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843" w:type="dxa"/>
            <w:tcBorders>
              <w:tl2br w:val="nil"/>
              <w:tr2bl w:val="nil"/>
            </w:tcBorders>
            <w:vAlign w:val="center"/>
          </w:tcPr>
          <w:p>
            <w:pPr>
              <w:snapToGrid w:val="0"/>
              <w:spacing w:line="360" w:lineRule="auto"/>
              <w:jc w:val="center"/>
              <w:rPr>
                <w:rFonts w:hint="eastAsia"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rPr>
              <w:t>中标候选人数量</w:t>
            </w:r>
          </w:p>
        </w:tc>
        <w:tc>
          <w:tcPr>
            <w:tcW w:w="6095" w:type="dxa"/>
            <w:tcBorders>
              <w:tl2br w:val="nil"/>
              <w:tr2bl w:val="nil"/>
            </w:tcBorders>
            <w:vAlign w:val="center"/>
          </w:tcPr>
          <w:p>
            <w:pPr>
              <w:spacing w:line="360" w:lineRule="auto"/>
              <w:jc w:val="left"/>
              <w:rPr>
                <w:rFonts w:hint="eastAsia" w:ascii="宋体" w:hAnsi="宋体" w:cs="Arial"/>
                <w:color w:val="auto"/>
                <w:kern w:val="0"/>
                <w:sz w:val="24"/>
                <w:highlight w:val="none"/>
                <w:lang w:val="en"/>
              </w:rPr>
            </w:pPr>
            <w:r>
              <w:rPr>
                <w:rFonts w:hint="eastAsia" w:ascii="宋体" w:hAnsi="宋体" w:cs="Arial"/>
                <w:color w:val="auto"/>
                <w:kern w:val="0"/>
                <w:sz w:val="24"/>
                <w:highlight w:val="none"/>
                <w:lang w:val="en"/>
              </w:rPr>
              <w:t>本项目推荐的中标候选人数：</w:t>
            </w:r>
            <w:r>
              <w:rPr>
                <w:rFonts w:hint="eastAsia" w:ascii="宋体" w:hAnsi="宋体" w:cs="Arial"/>
                <w:color w:val="auto"/>
                <w:kern w:val="0"/>
                <w:sz w:val="24"/>
                <w:highlight w:val="none"/>
                <w:u w:val="single"/>
              </w:rPr>
              <w:t xml:space="preserve">    1   </w:t>
            </w:r>
            <w:r>
              <w:rPr>
                <w:rFonts w:hint="eastAsia" w:ascii="宋体" w:hAnsi="宋体" w:cs="Arial"/>
                <w:color w:val="auto"/>
                <w:kern w:val="0"/>
                <w:sz w:val="24"/>
                <w:highlight w:val="none"/>
                <w:lang w:val="e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843" w:type="dxa"/>
            <w:tcBorders>
              <w:tl2br w:val="nil"/>
              <w:tr2bl w:val="nil"/>
            </w:tcBorders>
            <w:vAlign w:val="center"/>
          </w:tcPr>
          <w:p>
            <w:pPr>
              <w:snapToGrid w:val="0"/>
              <w:spacing w:line="360" w:lineRule="auto"/>
              <w:jc w:val="center"/>
              <w:rPr>
                <w:rFonts w:hint="eastAsia" w:cs="仿宋_GB2312" w:asciiTheme="minorEastAsia" w:hAnsiTheme="minorEastAsia" w:eastAsiaTheme="minorEastAsia"/>
                <w:b/>
                <w:color w:val="auto"/>
                <w:sz w:val="24"/>
                <w:highlight w:val="none"/>
                <w:lang w:val="en"/>
              </w:rPr>
            </w:pPr>
            <w:r>
              <w:rPr>
                <w:rFonts w:hint="eastAsia" w:cs="仿宋_GB2312" w:asciiTheme="minorEastAsia" w:hAnsiTheme="minorEastAsia" w:eastAsiaTheme="minorEastAsia"/>
                <w:b/>
                <w:color w:val="auto"/>
                <w:sz w:val="24"/>
                <w:highlight w:val="none"/>
                <w:lang w:val="en"/>
              </w:rPr>
              <w:t>代理费用收取方式及标准</w:t>
            </w:r>
          </w:p>
        </w:tc>
        <w:tc>
          <w:tcPr>
            <w:tcW w:w="6095" w:type="dxa"/>
            <w:tcBorders>
              <w:tl2br w:val="nil"/>
              <w:tr2bl w:val="nil"/>
            </w:tcBorders>
            <w:vAlign w:val="center"/>
          </w:tcPr>
          <w:p>
            <w:pPr>
              <w:spacing w:line="360" w:lineRule="auto"/>
              <w:jc w:val="left"/>
              <w:rPr>
                <w:rFonts w:hint="eastAsia" w:ascii="宋体" w:hAnsi="宋体" w:cs="Arial"/>
                <w:color w:val="auto"/>
                <w:kern w:val="0"/>
                <w:sz w:val="24"/>
                <w:highlight w:val="none"/>
              </w:rPr>
            </w:pPr>
            <w:r>
              <w:rPr>
                <w:rFonts w:hint="eastAsia" w:ascii="宋体" w:hAnsi="宋体" w:cs="Arial"/>
                <w:color w:val="auto"/>
                <w:kern w:val="0"/>
                <w:sz w:val="24"/>
                <w:highlight w:val="none"/>
              </w:rPr>
              <w:t>本项目不收取代理费。</w:t>
            </w:r>
          </w:p>
        </w:tc>
      </w:tr>
    </w:tbl>
    <w:p>
      <w:pPr>
        <w:snapToGrid w:val="0"/>
        <w:spacing w:line="360" w:lineRule="auto"/>
        <w:jc w:val="center"/>
        <w:rPr>
          <w:rFonts w:hint="eastAsia" w:ascii="宋体" w:hAnsi="宋体" w:cs="宋体"/>
          <w:b/>
          <w:color w:val="auto"/>
          <w:sz w:val="32"/>
          <w:szCs w:val="20"/>
          <w:highlight w:val="none"/>
        </w:rPr>
      </w:pPr>
    </w:p>
    <w:bookmarkEnd w:id="10"/>
    <w:p>
      <w:pPr>
        <w:adjustRightInd/>
        <w:spacing w:line="360" w:lineRule="auto"/>
        <w:ind w:firstLine="3845" w:firstLineChars="1197"/>
        <w:outlineLvl w:val="0"/>
        <w:rPr>
          <w:rFonts w:hint="eastAsia"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t>一、总则</w:t>
      </w:r>
    </w:p>
    <w:p>
      <w:pPr>
        <w:snapToGrid w:val="0"/>
        <w:spacing w:line="360" w:lineRule="auto"/>
        <w:ind w:firstLine="361" w:firstLineChars="150"/>
        <w:jc w:val="left"/>
        <w:outlineLvl w:val="1"/>
        <w:rPr>
          <w:rFonts w:hint="eastAsia" w:ascii="宋体" w:hAnsi="宋体" w:cs="宋体"/>
          <w:b/>
          <w:color w:val="auto"/>
          <w:sz w:val="24"/>
          <w:highlight w:val="none"/>
        </w:rPr>
      </w:pPr>
      <w:r>
        <w:rPr>
          <w:rFonts w:hint="eastAsia" w:ascii="宋体" w:hAnsi="宋体" w:cs="宋体"/>
          <w:b/>
          <w:color w:val="auto"/>
          <w:sz w:val="24"/>
          <w:highlight w:val="none"/>
        </w:rPr>
        <w:t>1. 适用范围</w:t>
      </w:r>
    </w:p>
    <w:p>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adjustRightInd/>
        <w:spacing w:line="360" w:lineRule="auto"/>
        <w:outlineLvl w:val="0"/>
        <w:rPr>
          <w:rFonts w:hint="eastAsia" w:ascii="宋体" w:hAnsi="宋体" w:cs="宋体"/>
          <w:b/>
          <w:color w:val="auto"/>
          <w:sz w:val="24"/>
          <w:highlight w:val="none"/>
        </w:rPr>
      </w:pPr>
      <w:r>
        <w:rPr>
          <w:rFonts w:hint="eastAsia" w:ascii="宋体" w:hAnsi="宋体" w:cs="宋体"/>
          <w:b/>
          <w:color w:val="auto"/>
          <w:sz w:val="24"/>
          <w:highlight w:val="none"/>
        </w:rPr>
        <w:t xml:space="preserve">   2.定义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“采购机构”系指招标公告中载明的本项目的采购机构。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本招标文件所称的“以上”、“以下”、“以内”、“届满”、“含”、“及”，若无特别说明，则包括本数（如：45周岁以下，指不满46周岁生日当天，即“45周岁生日当天至46周岁生日前一天”均属于45周岁以下的范围）；所称的“不满”、“超过”、“以外”，若无特别说明，则不包括本数。</w:t>
      </w:r>
    </w:p>
    <w:p>
      <w:pPr>
        <w:spacing w:line="360" w:lineRule="auto"/>
        <w:ind w:firstLine="240" w:firstLineChars="1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3.2 支持绿色发展</w:t>
      </w:r>
    </w:p>
    <w:p>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▲按要求</w:t>
      </w:r>
      <w:r>
        <w:rPr>
          <w:rFonts w:hint="eastAsia" w:ascii="宋体" w:hAnsi="宋体" w:cs="宋体"/>
          <w:b/>
          <w:bCs/>
          <w:color w:val="auto"/>
          <w:kern w:val="0"/>
          <w:sz w:val="24"/>
          <w:highlight w:val="none"/>
          <w:lang w:val="zh-CN"/>
        </w:rPr>
        <w:t>实施政府强制采购的</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投标人</w:t>
      </w:r>
      <w:r>
        <w:rPr>
          <w:rFonts w:hint="eastAsia" w:ascii="宋体" w:hAnsi="宋体" w:cs="宋体"/>
          <w:b/>
          <w:bCs/>
          <w:color w:val="auto"/>
          <w:kern w:val="0"/>
          <w:sz w:val="24"/>
          <w:highlight w:val="none"/>
        </w:rPr>
        <w:t>就</w:t>
      </w:r>
      <w:r>
        <w:rPr>
          <w:rFonts w:hint="eastAsia" w:ascii="宋体" w:hAnsi="宋体" w:cs="宋体"/>
          <w:b/>
          <w:bCs/>
          <w:color w:val="auto"/>
          <w:kern w:val="0"/>
          <w:sz w:val="24"/>
          <w:highlight w:val="none"/>
          <w:lang w:val="zh-CN"/>
        </w:rPr>
        <w:t>相应的投标产品未</w:t>
      </w:r>
      <w:r>
        <w:rPr>
          <w:rFonts w:hint="eastAsia" w:ascii="宋体" w:hAnsi="宋体" w:cs="宋体"/>
          <w:b/>
          <w:bCs/>
          <w:color w:val="auto"/>
          <w:kern w:val="0"/>
          <w:sz w:val="24"/>
          <w:highlight w:val="none"/>
        </w:rPr>
        <w:t>提供</w:t>
      </w:r>
      <w:r>
        <w:rPr>
          <w:rFonts w:hint="eastAsia" w:ascii="宋体" w:hAnsi="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3.3支持中小企业发展</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pPr>
        <w:widowControl/>
        <w:spacing w:line="360" w:lineRule="auto"/>
        <w:ind w:firstLine="480" w:firstLineChars="200"/>
        <w:jc w:val="left"/>
        <w:rPr>
          <w:rFonts w:hint="eastAsia"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w:t>
      </w:r>
      <w:r>
        <w:rPr>
          <w:rFonts w:ascii="宋体" w:hAnsi="宋体" w:cs="宋体"/>
          <w:color w:val="auto"/>
          <w:sz w:val="24"/>
          <w:highlight w:val="none"/>
        </w:rPr>
        <w:t>20</w:t>
      </w:r>
      <w:r>
        <w:rPr>
          <w:rFonts w:hint="eastAsia" w:ascii="宋体" w:hAnsi="宋体" w:cs="宋体"/>
          <w:color w:val="auto"/>
          <w:sz w:val="24"/>
          <w:highlight w:val="none"/>
        </w:rPr>
        <w:t>%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3.4.1 首台套、“制造精品”、“专精特新”等创新产品按规定享受政府采购支持政策。</w:t>
      </w:r>
    </w:p>
    <w:p>
      <w:pPr>
        <w:spacing w:line="360" w:lineRule="auto"/>
        <w:ind w:left="239" w:leftChars="114" w:firstLine="240" w:firstLineChars="100"/>
        <w:rPr>
          <w:rFonts w:hint="eastAsia" w:ascii="宋体" w:hAnsi="宋体" w:cs="宋体"/>
          <w:color w:val="auto"/>
          <w:sz w:val="24"/>
          <w:highlight w:val="none"/>
        </w:rPr>
      </w:pPr>
      <w:r>
        <w:rPr>
          <w:rFonts w:hint="eastAsia" w:ascii="宋体" w:hAnsi="宋体" w:cs="仿宋"/>
          <w:color w:val="auto"/>
          <w:sz w:val="24"/>
          <w:highlight w:val="none"/>
        </w:rPr>
        <w:t>3.4.2 采购人应当贯彻落实知识产权保护相关法律法规，应当采购使用正版软件。</w:t>
      </w:r>
      <w:r>
        <w:rPr>
          <w:rFonts w:hint="eastAsia" w:ascii="宋体" w:hAnsi="宋体" w:cs="宋体"/>
          <w:color w:val="auto"/>
          <w:sz w:val="24"/>
          <w:highlight w:val="none"/>
        </w:rPr>
        <w:t>3.5平等对待内外资企业和符合条件的破产重整企业</w:t>
      </w: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rPr>
        <w:t xml:space="preserve">  3.6 支持本国产品</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3.6.1 本国产品标准适用于货物，包括政府采购货物项目和服务项目中涉及的货物。</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3.6.2 本项目既有本国产品又有非本国产品参与竞争的，对本国产品的报价给予20%的价格扣除，用扣除后的价格参与评审。</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3.6.4 评审委员会</w:t>
      </w:r>
      <w:r>
        <w:rPr>
          <w:rFonts w:hint="eastAsia" w:ascii="宋体" w:hAnsi="宋体" w:cs="宋体"/>
          <w:color w:val="auto"/>
          <w:sz w:val="24"/>
          <w:highlight w:val="none"/>
          <w:shd w:val="clear" w:color="auto" w:fill="FFFFFF"/>
        </w:rPr>
        <w:t>应当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宋体" w:hAnsi="宋体" w:cs="宋体"/>
          <w:color w:val="auto"/>
          <w:sz w:val="24"/>
          <w:highlight w:val="none"/>
        </w:rPr>
        <w:t>。</w:t>
      </w:r>
    </w:p>
    <w:p>
      <w:pPr>
        <w:spacing w:line="360" w:lineRule="auto"/>
        <w:ind w:firstLine="240" w:firstLineChars="100"/>
        <w:rPr>
          <w:rFonts w:hint="eastAsia" w:ascii="宋体" w:hAnsi="宋体" w:cs="宋体"/>
          <w:b/>
          <w:color w:val="auto"/>
          <w:sz w:val="24"/>
          <w:highlight w:val="none"/>
        </w:rPr>
      </w:pPr>
      <w:r>
        <w:rPr>
          <w:rFonts w:hint="eastAsia" w:ascii="宋体" w:hAnsi="宋体" w:cs="宋体"/>
          <w:b/>
          <w:color w:val="auto"/>
          <w:sz w:val="24"/>
          <w:highlight w:val="none"/>
        </w:rPr>
        <w:t>4. 询问、质疑、投诉</w:t>
      </w:r>
      <w:r>
        <w:rPr>
          <w:rFonts w:hint="eastAsia" w:ascii="宋体" w:hAnsi="宋体" w:cs="仿宋"/>
          <w:b/>
          <w:bCs/>
          <w:color w:val="auto"/>
          <w:sz w:val="24"/>
          <w:highlight w:val="none"/>
        </w:rPr>
        <w:t>、补偿救济</w:t>
      </w:r>
    </w:p>
    <w:p>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ascii="宋体" w:hAnsi="宋体" w:cs="宋体"/>
          <w:color w:val="auto"/>
          <w:sz w:val="24"/>
          <w:highlight w:val="none"/>
        </w:rPr>
        <w:t>政采云平台-项目采购-询问质疑投诉-投诉列表</w:t>
      </w:r>
      <w:r>
        <w:rPr>
          <w:rFonts w:hint="eastAsia" w:ascii="宋体" w:hAnsi="宋体" w:cs="宋体"/>
          <w:color w:val="auto"/>
          <w:kern w:val="0"/>
          <w:sz w:val="24"/>
          <w:highlight w:val="none"/>
          <w:lang w:val="zh-CN"/>
        </w:rPr>
        <w:t>。</w:t>
      </w:r>
    </w:p>
    <w:p>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pPr>
        <w:pStyle w:val="32"/>
        <w:spacing w:line="360" w:lineRule="auto"/>
        <w:ind w:firstLine="480" w:firstLineChars="200"/>
        <w:rPr>
          <w:rFonts w:hint="eastAsia"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pPr>
        <w:pStyle w:val="32"/>
        <w:spacing w:line="360" w:lineRule="auto"/>
        <w:ind w:firstLine="480" w:firstLineChars="200"/>
        <w:rPr>
          <w:rFonts w:hint="eastAsia"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pPr>
        <w:pStyle w:val="5"/>
        <w:spacing w:line="360" w:lineRule="auto"/>
        <w:ind w:firstLine="480" w:firstLineChars="200"/>
        <w:rPr>
          <w:rFonts w:hint="eastAsia"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pPr>
        <w:pStyle w:val="32"/>
        <w:spacing w:line="360" w:lineRule="auto"/>
        <w:ind w:left="479" w:leftChars="228"/>
        <w:rPr>
          <w:rFonts w:hint="eastAsia"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4.3.3.4事实依据；</w:t>
      </w:r>
    </w:p>
    <w:p>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pPr>
        <w:pStyle w:val="32"/>
        <w:spacing w:line="360" w:lineRule="auto"/>
        <w:ind w:firstLine="960" w:firstLineChars="400"/>
        <w:rPr>
          <w:rFonts w:hint="eastAsia"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质疑函范本及制作说明详见附件2。</w:t>
      </w: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4.3.4对同一采购程序环节的质疑，供应商须在法定质疑期内一次性提出。</w:t>
      </w: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.5采购人或者采购机构应当根据</w:t>
      </w:r>
      <w:r>
        <w:rPr>
          <w:rFonts w:hint="eastAsia" w:asciiTheme="minorEastAsia" w:hAnsiTheme="minorEastAsia" w:eastAsiaTheme="minorEastAsia"/>
          <w:color w:val="auto"/>
          <w:highlight w:val="none"/>
        </w:rPr>
        <w:t>《杭州市集中采购委托协议》的约定，</w:t>
      </w:r>
      <w:r>
        <w:rPr>
          <w:rFonts w:hint="eastAsia"/>
          <w:color w:val="auto"/>
          <w:highlight w:val="none"/>
        </w:rPr>
        <w:t>在收到供应商的书面质疑后七个工作日内作出答复，并以书面形式通知质疑供应商和其他与质疑处理结果有利害关系的政府采购当事人，但答复的内容不得涉及商业秘密。采购人或者采购机构在质疑回复后5个工作日内，质疑答复按照相关规定留存，答复内容应当完整。质疑函作为附件上传。</w:t>
      </w:r>
    </w:p>
    <w:p>
      <w:pPr>
        <w:pStyle w:val="889"/>
        <w:shd w:val="clear" w:color="auto" w:fill="FFFFFF"/>
        <w:snapToGrid w:val="0"/>
        <w:spacing w:after="240" w:line="360" w:lineRule="auto"/>
        <w:ind w:firstLine="400"/>
        <w:contextualSpacing/>
        <w:rPr>
          <w:rFonts w:hint="eastAsia"/>
          <w:color w:val="auto"/>
          <w:highlight w:val="none"/>
        </w:rPr>
      </w:pPr>
      <w:r>
        <w:rPr>
          <w:rFonts w:hint="eastAsia"/>
          <w:color w:val="auto"/>
          <w:highlight w:val="none"/>
        </w:rPr>
        <w:t>询问、质疑答复责任主体如下：</w:t>
      </w:r>
    </w:p>
    <w:p>
      <w:pPr>
        <w:widowControl/>
        <w:adjustRightInd/>
        <w:jc w:val="center"/>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询问、质疑答复责任主体一览表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pPr>
              <w:pStyle w:val="32"/>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询问、质疑内容</w:t>
            </w:r>
          </w:p>
        </w:tc>
        <w:tc>
          <w:tcPr>
            <w:tcW w:w="2232" w:type="dxa"/>
            <w:vAlign w:val="center"/>
          </w:tcPr>
          <w:p>
            <w:pPr>
              <w:pStyle w:val="32"/>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询问、质疑答复</w:t>
            </w:r>
          </w:p>
          <w:p>
            <w:pPr>
              <w:pStyle w:val="32"/>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对采购文件提出询问、质疑</w:t>
            </w: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对采购文件中“申请人的资格要求”、“采购需求”、“评审办法”、“采购合同的主要条款”、“采购文件前附表内容”、“报价内容”的询问、质疑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hint="eastAsia"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对采购文件中其他内容提出的询问、质疑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对采购过程、采购结果提出询问、质疑</w:t>
            </w: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对“现场考察、答疑会”、 “甲方负责接收和保存的样品” 、“资格审查”、“评审”等环节的询问、质疑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pPr>
              <w:pStyle w:val="32"/>
              <w:spacing w:line="360" w:lineRule="auto"/>
              <w:jc w:val="center"/>
              <w:rPr>
                <w:rFonts w:hint="eastAsia"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对采购过程、采购结果其他环节的询问、质疑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pPr>
        <w:pStyle w:val="889"/>
        <w:shd w:val="clear" w:color="auto" w:fill="FFFFFF"/>
        <w:snapToGrid w:val="0"/>
        <w:spacing w:after="240" w:afterAutospacing="0" w:line="360" w:lineRule="auto"/>
        <w:ind w:firstLine="480" w:firstLineChars="200"/>
        <w:contextualSpacing/>
        <w:rPr>
          <w:rFonts w:hint="eastAsia"/>
          <w:color w:val="auto"/>
          <w:highlight w:val="none"/>
          <w:lang w:val="zh-CN"/>
        </w:rPr>
      </w:pPr>
      <w:r>
        <w:rPr>
          <w:rFonts w:hint="eastAsia"/>
          <w:color w:val="auto"/>
          <w:highlight w:val="none"/>
          <w:lang w:val="zh-CN"/>
        </w:rPr>
        <w:t>4.4供应商投诉</w:t>
      </w: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4.4.1质疑供应商对采购人、采购机构的答复不满意或者采购人、采购机构未在规定的时间内作出答复的，可以在答复期满后十五个工作日内向同级政府采购监督管理部门提出投诉。</w:t>
      </w: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4.4.3供应商投诉应当有明确的请求和必要的证明材料。</w:t>
      </w: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4.4.4以联合体形式参加政府采购活动的，其投诉应当由组成联合体的所有供应商共同提出。</w:t>
      </w: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及各区、县（市）政府采购项目投诉材料可寄送浙江省政府采购行政裁决服务中心（杭州），地址：杭州市上城区清泰街549号城建综合大楼11楼（快递仅限ems或顺丰），收件人：朱女士、王女士，电话：0571-87227671,0571-87800218。</w:t>
      </w:r>
    </w:p>
    <w:p>
      <w:pPr>
        <w:snapToGrid w:val="0"/>
        <w:spacing w:line="360" w:lineRule="auto"/>
        <w:ind w:firstLine="480" w:firstLineChars="200"/>
        <w:rPr>
          <w:rFonts w:hint="eastAsia" w:ascii="宋体" w:hAnsi="宋体" w:cs="仿宋"/>
          <w:color w:val="auto"/>
          <w:sz w:val="24"/>
          <w:highlight w:val="none"/>
        </w:rPr>
      </w:pPr>
    </w:p>
    <w:p>
      <w:pPr>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pPr>
        <w:pStyle w:val="889"/>
        <w:shd w:val="clear" w:color="auto" w:fill="FFFFFF"/>
        <w:snapToGrid w:val="0"/>
        <w:spacing w:before="0" w:beforeAutospacing="0" w:after="240" w:afterAutospacing="0" w:line="360" w:lineRule="auto"/>
        <w:ind w:firstLine="400"/>
        <w:contextualSpacing/>
        <w:rPr>
          <w:rFonts w:hint="eastAsia"/>
          <w:color w:val="auto"/>
          <w:highlight w:val="none"/>
        </w:rPr>
      </w:pPr>
      <w:r>
        <w:rPr>
          <w:rFonts w:hint="eastAsia"/>
          <w:color w:val="auto"/>
          <w:highlight w:val="none"/>
        </w:rPr>
        <w:t>采购人因政策变化、规划调整而不履行政府采购合同的，供应商可依据《杭州市涉企补偿救济实施办法（试行）》向采购人提起补偿申请。</w:t>
      </w:r>
    </w:p>
    <w:p>
      <w:pPr>
        <w:pStyle w:val="889"/>
        <w:shd w:val="clear" w:color="auto" w:fill="FFFFFF"/>
        <w:snapToGrid w:val="0"/>
        <w:spacing w:after="240" w:afterAutospacing="0" w:line="360" w:lineRule="auto"/>
        <w:ind w:firstLine="400"/>
        <w:contextualSpacing/>
        <w:rPr>
          <w:rFonts w:hint="eastAsia"/>
          <w:color w:val="auto"/>
          <w:highlight w:val="none"/>
        </w:rPr>
      </w:pP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pPr>
        <w:pStyle w:val="131"/>
        <w:snapToGrid w:val="0"/>
        <w:spacing w:before="0"/>
        <w:ind w:firstLine="360"/>
        <w:rPr>
          <w:rFonts w:hint="eastAsia" w:ascii="宋体" w:hAnsi="宋体" w:cs="宋体"/>
          <w:color w:val="auto"/>
          <w:sz w:val="18"/>
          <w:szCs w:val="18"/>
          <w:highlight w:val="none"/>
        </w:rPr>
      </w:pPr>
    </w:p>
    <w:p>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5．招标文件的构成</w:t>
      </w:r>
    </w:p>
    <w:p>
      <w:pPr>
        <w:pStyle w:val="3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5.1 招标文件包括下列文件及附件：</w:t>
      </w:r>
    </w:p>
    <w:p>
      <w:pPr>
        <w:pStyle w:val="32"/>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5.1.1招标公告；</w:t>
      </w:r>
    </w:p>
    <w:p>
      <w:pPr>
        <w:pStyle w:val="32"/>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5.1.2投标人须知；</w:t>
      </w:r>
    </w:p>
    <w:p>
      <w:pPr>
        <w:pStyle w:val="32"/>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5.1.3采购需求；</w:t>
      </w:r>
    </w:p>
    <w:p>
      <w:pPr>
        <w:pStyle w:val="32"/>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5.1.4评标办法；</w:t>
      </w:r>
    </w:p>
    <w:p>
      <w:pPr>
        <w:pStyle w:val="32"/>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5.1.5拟签订的合同文本；</w:t>
      </w:r>
    </w:p>
    <w:p>
      <w:pPr>
        <w:pStyle w:val="32"/>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6. 招标文件的澄清、修改</w:t>
      </w:r>
    </w:p>
    <w:p>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6.1已获取招标文件的潜在投标人，若有问题需要澄清，应于投标截止时间前，以书面形式向采购机构提出。</w:t>
      </w:r>
    </w:p>
    <w:p>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hint="eastAsia" w:hAnsi="宋体" w:cs="宋体"/>
          <w:color w:val="auto"/>
          <w:sz w:val="18"/>
          <w:szCs w:val="18"/>
          <w:highlight w:val="none"/>
          <w:lang w:val="en-US"/>
        </w:rPr>
      </w:pPr>
      <w:r>
        <w:rPr>
          <w:rFonts w:hint="eastAsia" w:hAnsi="宋体" w:cs="宋体"/>
          <w:color w:val="auto"/>
          <w:szCs w:val="24"/>
          <w:highlight w:val="none"/>
          <w:lang w:val="en-US"/>
        </w:rPr>
        <w:t xml:space="preserve">    </w:t>
      </w:r>
    </w:p>
    <w:p>
      <w:pPr>
        <w:adjustRightInd/>
        <w:spacing w:line="360" w:lineRule="auto"/>
        <w:jc w:val="center"/>
        <w:outlineLvl w:val="0"/>
        <w:rPr>
          <w:rFonts w:hint="eastAsia" w:ascii="宋体" w:hAnsi="宋体" w:cs="宋体"/>
          <w:b/>
          <w:color w:val="auto"/>
          <w:sz w:val="30"/>
          <w:szCs w:val="20"/>
          <w:highlight w:val="none"/>
        </w:rPr>
      </w:pPr>
      <w:r>
        <w:rPr>
          <w:rFonts w:hint="eastAsia" w:ascii="宋体" w:hAnsi="宋体" w:cs="宋体"/>
          <w:b/>
          <w:color w:val="auto"/>
          <w:sz w:val="30"/>
          <w:szCs w:val="20"/>
          <w:highlight w:val="none"/>
        </w:rPr>
        <w:t>三、投标</w:t>
      </w:r>
    </w:p>
    <w:p>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7. 招标文件的获取</w:t>
      </w:r>
    </w:p>
    <w:p>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8.开标前答疑会或现场考察</w:t>
      </w:r>
    </w:p>
    <w:p>
      <w:pPr>
        <w:pStyle w:val="3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pPr>
        <w:pStyle w:val="32"/>
        <w:spacing w:line="360" w:lineRule="auto"/>
        <w:rPr>
          <w:rFonts w:hint="eastAsia" w:hAnsi="宋体" w:cs="宋体"/>
          <w:b/>
          <w:color w:val="auto"/>
          <w:szCs w:val="24"/>
          <w:highlight w:val="none"/>
        </w:rPr>
      </w:pPr>
      <w:r>
        <w:rPr>
          <w:rFonts w:hint="eastAsia" w:hAnsi="宋体" w:cs="宋体"/>
          <w:b/>
          <w:color w:val="auto"/>
          <w:kern w:val="28"/>
          <w:sz w:val="24"/>
          <w:szCs w:val="24"/>
          <w:highlight w:val="none"/>
        </w:rPr>
        <w:t>9.投标保证金</w:t>
      </w:r>
    </w:p>
    <w:p>
      <w:pPr>
        <w:pStyle w:val="5"/>
        <w:spacing w:line="360" w:lineRule="auto"/>
        <w:ind w:firstLine="470" w:firstLineChars="196"/>
        <w:rPr>
          <w:rFonts w:hint="eastAsia" w:hAnsi="宋体" w:cs="宋体"/>
          <w:color w:val="auto"/>
          <w:sz w:val="24"/>
          <w:highlight w:val="none"/>
        </w:rPr>
      </w:pPr>
      <w:r>
        <w:rPr>
          <w:rFonts w:hint="eastAsia" w:hAnsi="宋体" w:cs="宋体"/>
          <w:color w:val="auto"/>
          <w:sz w:val="24"/>
          <w:highlight w:val="none"/>
        </w:rPr>
        <w:t>本项目不需缴纳投标保证金。</w:t>
      </w:r>
    </w:p>
    <w:p>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10. 投标文件的语言</w:t>
      </w:r>
    </w:p>
    <w:p>
      <w:pPr>
        <w:autoSpaceDE w:val="0"/>
        <w:autoSpaceDN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11. 投标文件的组成</w:t>
      </w:r>
    </w:p>
    <w:p>
      <w:pPr>
        <w:snapToGrid w:val="0"/>
        <w:spacing w:line="360" w:lineRule="auto"/>
        <w:ind w:firstLine="481" w:firstLineChars="200"/>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11.2.7人员配置清单；</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11.2.8商务技术偏离表；</w:t>
      </w:r>
    </w:p>
    <w:p>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政府采购供应商廉洁自律承诺书；</w:t>
      </w:r>
    </w:p>
    <w:p>
      <w:pPr>
        <w:snapToGrid w:val="0"/>
        <w:spacing w:line="360" w:lineRule="auto"/>
        <w:ind w:firstLine="480" w:firstLineChars="200"/>
        <w:rPr>
          <w:rFonts w:hint="eastAsia"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11.3.2关于符合本国产品标准的声明函</w:t>
      </w:r>
      <w:r>
        <w:rPr>
          <w:rFonts w:hint="eastAsia" w:ascii="宋体" w:hAnsi="宋体" w:cs="宋体"/>
          <w:bCs/>
          <w:color w:val="auto"/>
          <w:sz w:val="24"/>
          <w:highlight w:val="none"/>
        </w:rPr>
        <w:t>或财政部会同有关部门规定的有关证明文件</w:t>
      </w:r>
      <w:r>
        <w:rPr>
          <w:rFonts w:hint="eastAsia" w:ascii="宋体" w:hAnsi="宋体" w:cs="宋体"/>
          <w:color w:val="auto"/>
          <w:sz w:val="24"/>
          <w:highlight w:val="none"/>
        </w:rPr>
        <w:t>（如果有）；</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11.3.3中小企业声明函（如果有）。</w:t>
      </w:r>
    </w:p>
    <w:p>
      <w:pPr>
        <w:spacing w:line="360" w:lineRule="auto"/>
        <w:ind w:firstLine="722" w:firstLineChars="300"/>
        <w:rPr>
          <w:rFonts w:hint="eastAsia"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722"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pPr>
        <w:spacing w:line="360" w:lineRule="auto"/>
        <w:ind w:firstLine="722" w:firstLineChars="300"/>
        <w:rPr>
          <w:color w:val="auto"/>
          <w:highlight w:val="none"/>
        </w:rPr>
      </w:pPr>
      <w:r>
        <w:rPr>
          <w:rFonts w:hint="eastAsia"/>
          <w:b/>
          <w:bCs/>
          <w:color w:val="auto"/>
          <w:sz w:val="24"/>
          <w:highlight w:val="none"/>
          <w:shd w:val="clear" w:color="auto" w:fill="FFFFFF"/>
        </w:rPr>
        <w:t>投标人应对投标文件中材料的真实性、合法性负责。</w:t>
      </w:r>
      <w:r>
        <w:rPr>
          <w:rFonts w:hint="eastAsia"/>
          <w:color w:val="auto"/>
          <w:sz w:val="24"/>
          <w:highlight w:val="none"/>
          <w:shd w:val="clear" w:color="auto" w:fill="FFFFFF"/>
        </w:rPr>
        <w:t>投标人可事先在公开官网查询、核对相关证书和报告内容，确保投标文件资料准确无误。</w:t>
      </w:r>
    </w:p>
    <w:p>
      <w:pPr>
        <w:pStyle w:val="131"/>
        <w:snapToGrid w:val="0"/>
        <w:spacing w:before="0"/>
        <w:ind w:firstLine="0" w:firstLineChars="0"/>
        <w:outlineLvl w:val="0"/>
        <w:rPr>
          <w:rFonts w:hint="eastAsia"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13.投标文件的签署、盖章</w:t>
      </w:r>
    </w:p>
    <w:p>
      <w:pPr>
        <w:pStyle w:val="131"/>
        <w:snapToGrid w:val="0"/>
        <w:spacing w:before="0"/>
        <w:ind w:firstLine="480"/>
        <w:rPr>
          <w:rFonts w:hint="eastAsia"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pPr>
        <w:pStyle w:val="131"/>
        <w:snapToGrid w:val="0"/>
        <w:spacing w:before="0"/>
        <w:ind w:firstLine="480"/>
        <w:rPr>
          <w:rFonts w:hint="eastAsia"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pPr>
        <w:pStyle w:val="131"/>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14. 投标文件的提交、补充、修改、撤回</w:t>
      </w:r>
    </w:p>
    <w:p>
      <w:pPr>
        <w:pStyle w:val="131"/>
        <w:ind w:firstLine="480"/>
        <w:rPr>
          <w:rFonts w:hint="eastAsia"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pPr>
        <w:pStyle w:val="131"/>
        <w:spacing w:before="0"/>
        <w:ind w:firstLine="480"/>
        <w:rPr>
          <w:rFonts w:hint="eastAsia"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31"/>
        <w:spacing w:before="0"/>
        <w:ind w:firstLine="480"/>
        <w:rPr>
          <w:rFonts w:hint="eastAsia" w:ascii="宋体" w:hAnsi="宋体" w:cs="宋体"/>
          <w:color w:val="auto"/>
          <w:szCs w:val="24"/>
          <w:highlight w:val="none"/>
        </w:rPr>
      </w:pPr>
      <w:r>
        <w:rPr>
          <w:rFonts w:hint="eastAsia" w:ascii="宋体" w:hAnsi="宋体" w:cs="宋体"/>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pPr>
        <w:pStyle w:val="3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15.备份投标文件</w:t>
      </w:r>
    </w:p>
    <w:p>
      <w:pPr>
        <w:pStyle w:val="32"/>
        <w:spacing w:line="360" w:lineRule="auto"/>
        <w:ind w:firstLine="360" w:firstLineChars="150"/>
        <w:rPr>
          <w:rFonts w:hint="eastAsia"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但采购人、采购机构不强制或变相强制投标人提交备份投标文件。</w:t>
      </w:r>
    </w:p>
    <w:p>
      <w:pPr>
        <w:pStyle w:val="32"/>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pPr>
        <w:pStyle w:val="3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15.3直接提交备份投标文件的，投标人应于投标截止时间前在招标公告中载明的开标地点将备份投标文件提交给采购机构，采购机构将拒绝接受逾期送达的备份投标文件。</w:t>
      </w:r>
    </w:p>
    <w:p>
      <w:pPr>
        <w:pStyle w:val="3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pPr>
        <w:pStyle w:val="32"/>
        <w:spacing w:line="360" w:lineRule="auto"/>
        <w:ind w:firstLine="479" w:firstLineChars="199"/>
        <w:rPr>
          <w:rFonts w:hint="eastAsia"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pPr>
        <w:pStyle w:val="131"/>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16.投标文件的无效处理</w:t>
      </w:r>
    </w:p>
    <w:p>
      <w:pPr>
        <w:pStyle w:val="24"/>
        <w:spacing w:line="360" w:lineRule="auto"/>
        <w:ind w:firstLine="360" w:firstLineChars="150"/>
        <w:rPr>
          <w:rFonts w:hint="eastAsia"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pPr>
        <w:pStyle w:val="131"/>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17.投标有效期</w:t>
      </w:r>
    </w:p>
    <w:p>
      <w:pPr>
        <w:spacing w:line="360" w:lineRule="auto"/>
        <w:ind w:firstLine="480" w:firstLineChars="200"/>
        <w:rPr>
          <w:rFonts w:hint="eastAsia"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pPr>
        <w:pStyle w:val="131"/>
        <w:spacing w:before="0"/>
        <w:ind w:firstLine="480"/>
        <w:rPr>
          <w:rFonts w:hint="eastAsia"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pPr>
        <w:pStyle w:val="131"/>
        <w:spacing w:before="0"/>
        <w:ind w:firstLine="480"/>
        <w:rPr>
          <w:rFonts w:hint="eastAsia" w:ascii="宋体" w:hAnsi="宋体" w:cs="宋体"/>
          <w:color w:val="auto"/>
          <w:highlight w:val="none"/>
        </w:rPr>
      </w:pPr>
      <w:r>
        <w:rPr>
          <w:rFonts w:hint="eastAsia" w:ascii="宋体" w:hAnsi="宋体" w:cs="宋体"/>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pPr>
        <w:pStyle w:val="131"/>
        <w:spacing w:before="0"/>
        <w:ind w:firstLine="480"/>
        <w:rPr>
          <w:rFonts w:hint="eastAsia"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pPr>
        <w:pStyle w:val="131"/>
        <w:spacing w:before="0"/>
        <w:ind w:firstLine="643"/>
        <w:rPr>
          <w:rFonts w:hint="eastAsia" w:ascii="宋体" w:hAnsi="宋体" w:cs="宋体"/>
          <w:b/>
          <w:color w:val="auto"/>
          <w:sz w:val="32"/>
          <w:highlight w:val="none"/>
        </w:rPr>
      </w:pPr>
    </w:p>
    <w:p>
      <w:pPr>
        <w:pStyle w:val="131"/>
        <w:spacing w:before="0"/>
        <w:ind w:firstLine="0" w:firstLineChars="0"/>
        <w:jc w:val="center"/>
        <w:rPr>
          <w:rFonts w:hint="eastAsia" w:ascii="宋体" w:hAnsi="宋体" w:cs="宋体"/>
          <w:b/>
          <w:color w:val="auto"/>
          <w:sz w:val="32"/>
          <w:highlight w:val="none"/>
        </w:rPr>
      </w:pPr>
      <w:r>
        <w:rPr>
          <w:rFonts w:hint="eastAsia" w:ascii="宋体" w:hAnsi="宋体" w:cs="宋体"/>
          <w:b/>
          <w:color w:val="auto"/>
          <w:sz w:val="32"/>
          <w:highlight w:val="none"/>
        </w:rPr>
        <w:t>四、开标</w:t>
      </w:r>
    </w:p>
    <w:p>
      <w:pPr>
        <w:pStyle w:val="557"/>
        <w:spacing w:before="0" w:line="360" w:lineRule="auto"/>
        <w:ind w:left="0" w:firstLine="240" w:firstLineChars="100"/>
        <w:contextualSpacing/>
        <w:rPr>
          <w:rFonts w:hint="eastAsia"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pPr>
        <w:pStyle w:val="557"/>
        <w:spacing w:before="0" w:line="360" w:lineRule="auto"/>
        <w:ind w:left="0"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18.1采购机构按照招标文件规定的时间通过电子交易平台组织开标，所有投标人均应当准时在线参加。投标人不足3家的，不得开标。</w:t>
      </w:r>
    </w:p>
    <w:p>
      <w:pPr>
        <w:pStyle w:val="557"/>
        <w:spacing w:before="0" w:line="360" w:lineRule="auto"/>
        <w:ind w:left="0" w:firstLine="240" w:firstLineChars="100"/>
        <w:contextualSpacing/>
        <w:rPr>
          <w:rFonts w:hint="eastAsia"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pPr>
        <w:pStyle w:val="557"/>
        <w:spacing w:before="0" w:line="360" w:lineRule="auto"/>
        <w:ind w:left="0" w:firstLine="240" w:firstLineChars="100"/>
        <w:contextualSpacing/>
        <w:rPr>
          <w:rFonts w:hint="eastAsia"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pPr>
        <w:widowControl/>
        <w:spacing w:before="100" w:beforeAutospacing="1" w:after="240" w:line="360" w:lineRule="auto"/>
        <w:jc w:val="center"/>
        <w:rPr>
          <w:rFonts w:hint="eastAsia" w:ascii="宋体" w:hAnsi="宋体" w:cs="宋体"/>
          <w:b/>
          <w:color w:val="auto"/>
          <w:sz w:val="32"/>
          <w:highlight w:val="none"/>
        </w:rPr>
      </w:pPr>
      <w:r>
        <w:rPr>
          <w:rFonts w:hint="eastAsia" w:ascii="宋体" w:hAnsi="宋体" w:cs="宋体"/>
          <w:b/>
          <w:color w:val="auto"/>
          <w:sz w:val="36"/>
          <w:szCs w:val="36"/>
          <w:highlight w:val="none"/>
        </w:rPr>
        <w:t>五、资格审查</w:t>
      </w:r>
    </w:p>
    <w:p>
      <w:pPr>
        <w:widowControl/>
        <w:spacing w:before="100" w:beforeAutospacing="1" w:after="240" w:line="360" w:lineRule="auto"/>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rPr>
        <w:t>19、资格审查</w:t>
      </w:r>
    </w:p>
    <w:p>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pPr>
        <w:pStyle w:val="131"/>
        <w:spacing w:before="0"/>
        <w:ind w:firstLine="0" w:firstLineChars="0"/>
        <w:rPr>
          <w:rFonts w:hint="eastAsia" w:ascii="宋体" w:hAnsi="宋体" w:cs="宋体"/>
          <w:b/>
          <w:color w:val="auto"/>
          <w:highlight w:val="none"/>
        </w:rPr>
      </w:pPr>
      <w:r>
        <w:rPr>
          <w:rFonts w:hint="eastAsia" w:ascii="宋体" w:hAnsi="宋体" w:cs="宋体"/>
          <w:b/>
          <w:color w:val="auto"/>
          <w:highlight w:val="none"/>
        </w:rPr>
        <w:t>20、信用信息查询</w:t>
      </w:r>
    </w:p>
    <w:p>
      <w:pPr>
        <w:pStyle w:val="131"/>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20.1信用信息查询渠道及截止时间：采购人将在资格审查时通过“信用中国”网站(www.creditchina.gov.cn)、中国政府采购网(www.ccgp.gov.cn)渠道查询投标人接受资格审查时的信用记录。</w:t>
      </w:r>
    </w:p>
    <w:p>
      <w:pPr>
        <w:pStyle w:val="131"/>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pPr>
        <w:pStyle w:val="131"/>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pPr>
        <w:pStyle w:val="131"/>
        <w:spacing w:before="0"/>
        <w:ind w:firstLine="0" w:firstLineChars="0"/>
        <w:rPr>
          <w:rFonts w:hint="eastAsia" w:ascii="宋体" w:hAnsi="宋体" w:cs="宋体"/>
          <w:color w:val="auto"/>
          <w:kern w:val="0"/>
          <w:szCs w:val="24"/>
          <w:highlight w:val="none"/>
        </w:rPr>
      </w:pPr>
    </w:p>
    <w:p>
      <w:pPr>
        <w:snapToGrid w:val="0"/>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六、评标</w:t>
      </w:r>
    </w:p>
    <w:p>
      <w:pPr>
        <w:spacing w:line="360" w:lineRule="auto"/>
        <w:rPr>
          <w:rFonts w:hint="eastAsia"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pPr>
        <w:spacing w:line="360" w:lineRule="auto"/>
        <w:rPr>
          <w:rFonts w:hint="eastAsia" w:ascii="宋体" w:hAnsi="宋体" w:cs="宋体"/>
          <w:b/>
          <w:color w:val="auto"/>
          <w:sz w:val="24"/>
          <w:highlight w:val="none"/>
        </w:rPr>
      </w:pPr>
    </w:p>
    <w:p>
      <w:pPr>
        <w:snapToGrid w:val="0"/>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七、定标</w:t>
      </w:r>
    </w:p>
    <w:p>
      <w:pPr>
        <w:pStyle w:val="24"/>
        <w:spacing w:line="360" w:lineRule="auto"/>
        <w:ind w:left="479" w:hanging="479" w:hangingChars="199"/>
        <w:rPr>
          <w:rFonts w:hint="eastAsia" w:cs="宋体"/>
          <w:b/>
          <w:color w:val="auto"/>
          <w:highlight w:val="none"/>
        </w:rPr>
      </w:pPr>
      <w:r>
        <w:rPr>
          <w:rFonts w:hint="eastAsia" w:cs="宋体"/>
          <w:b/>
          <w:color w:val="auto"/>
          <w:highlight w:val="none"/>
        </w:rPr>
        <w:t>22. 确定中标供应商</w:t>
      </w:r>
    </w:p>
    <w:p>
      <w:pPr>
        <w:pStyle w:val="131"/>
        <w:snapToGrid w:val="0"/>
        <w:spacing w:before="0"/>
        <w:ind w:firstLine="480"/>
        <w:rPr>
          <w:rFonts w:hint="eastAsia"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pPr>
        <w:pStyle w:val="131"/>
        <w:snapToGrid w:val="0"/>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23. 中标通知与中标结果公告</w:t>
      </w:r>
    </w:p>
    <w:p>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23.1自中标人确定之日起2个工作日内，采购机构通过电子交易平台向中标人发出中标通知书，同时编制发布采购结果公告。采购机构也可以以纸质形式进行中标通知。</w:t>
      </w:r>
    </w:p>
    <w:p>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23.2中标结果公告内容包括采购人及其委托的采购机构的名称、地址、联系方式，项目名称和项目编号，中标人名称、地址和中标金额，主要中标标的的名称、规格型号、数量、单价、服务要求，中标公告期限以及评审专家名单。</w:t>
      </w:r>
    </w:p>
    <w:p>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pPr>
        <w:pStyle w:val="79"/>
        <w:spacing w:line="360" w:lineRule="auto"/>
        <w:ind w:firstLine="0" w:firstLineChars="0"/>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24.投标</w:t>
      </w:r>
      <w:r>
        <w:rPr>
          <w:rFonts w:hint="eastAsia" w:ascii="宋体" w:hAnsi="宋体" w:eastAsia="宋体" w:cs="宋体"/>
          <w:b/>
          <w:bCs/>
          <w:color w:val="auto"/>
          <w:kern w:val="2"/>
          <w:sz w:val="24"/>
          <w:szCs w:val="24"/>
          <w:highlight w:val="none"/>
          <w:lang w:val="zh-CN"/>
        </w:rPr>
        <w:t>材料</w:t>
      </w:r>
      <w:r>
        <w:rPr>
          <w:rFonts w:hint="eastAsia" w:ascii="宋体" w:hAnsi="宋体" w:eastAsia="宋体" w:cs="宋体"/>
          <w:b/>
          <w:bCs/>
          <w:color w:val="auto"/>
          <w:kern w:val="2"/>
          <w:sz w:val="24"/>
          <w:szCs w:val="24"/>
          <w:highlight w:val="none"/>
        </w:rPr>
        <w:t>复核</w:t>
      </w:r>
      <w:r>
        <w:rPr>
          <w:rFonts w:hint="eastAsia" w:ascii="宋体" w:hAnsi="宋体" w:eastAsia="宋体" w:cs="宋体"/>
          <w:b/>
          <w:bCs/>
          <w:color w:val="auto"/>
          <w:kern w:val="2"/>
          <w:sz w:val="24"/>
          <w:szCs w:val="24"/>
          <w:highlight w:val="none"/>
          <w:lang w:val="zh-CN"/>
        </w:rPr>
        <w:t>。</w:t>
      </w:r>
      <w:r>
        <w:rPr>
          <w:rFonts w:hint="eastAsia" w:ascii="宋体" w:hAnsi="宋体" w:eastAsia="宋体" w:cs="宋体"/>
          <w:color w:val="auto"/>
          <w:kern w:val="2"/>
          <w:sz w:val="24"/>
          <w:szCs w:val="24"/>
          <w:highlight w:val="none"/>
        </w:rPr>
        <w:t>在评审结束后、确认采购结果前，采购人将通过网站查询、原件核对等方式对中标供应商在投标文件中涉及客观分评审内容的检测报告、认证证书等资料的真实性进行复核。发现供应商提供虚假材料的，应及时书面报告本级财政部门。中标供应商须</w:t>
      </w:r>
      <w:r>
        <w:rPr>
          <w:rFonts w:hint="eastAsia" w:ascii="宋体" w:hAnsi="宋体" w:cs="宋体"/>
          <w:color w:val="auto"/>
          <w:kern w:val="2"/>
          <w:sz w:val="24"/>
          <w:szCs w:val="24"/>
          <w:highlight w:val="none"/>
        </w:rPr>
        <w:t>积极</w:t>
      </w:r>
      <w:r>
        <w:rPr>
          <w:rFonts w:hint="eastAsia" w:ascii="宋体" w:hAnsi="宋体" w:eastAsia="宋体" w:cs="宋体"/>
          <w:color w:val="auto"/>
          <w:kern w:val="2"/>
          <w:sz w:val="24"/>
          <w:szCs w:val="24"/>
          <w:highlight w:val="none"/>
        </w:rPr>
        <w:t>配合做好相关复核工作，不配合相关复核工作的自行承担不利后果。</w:t>
      </w:r>
    </w:p>
    <w:p>
      <w:pPr>
        <w:snapToGrid w:val="0"/>
        <w:spacing w:line="360" w:lineRule="auto"/>
        <w:ind w:left="120" w:leftChars="57" w:firstLine="481" w:firstLineChars="150"/>
        <w:jc w:val="center"/>
        <w:rPr>
          <w:rFonts w:hint="eastAsia" w:ascii="宋体" w:hAnsi="宋体" w:cs="宋体"/>
          <w:b/>
          <w:color w:val="auto"/>
          <w:sz w:val="32"/>
          <w:highlight w:val="none"/>
        </w:rPr>
      </w:pPr>
    </w:p>
    <w:p>
      <w:pPr>
        <w:snapToGrid w:val="0"/>
        <w:spacing w:line="360" w:lineRule="auto"/>
        <w:jc w:val="center"/>
        <w:outlineLvl w:val="0"/>
        <w:rPr>
          <w:rFonts w:hint="eastAsia" w:ascii="宋体" w:hAnsi="宋体" w:cs="宋体"/>
          <w:b/>
          <w:color w:val="auto"/>
          <w:sz w:val="36"/>
          <w:szCs w:val="36"/>
          <w:highlight w:val="none"/>
        </w:rPr>
      </w:pPr>
      <w:r>
        <w:rPr>
          <w:rFonts w:ascii="宋体" w:hAnsi="宋体" w:cs="宋体"/>
          <w:b/>
          <w:color w:val="auto"/>
          <w:sz w:val="36"/>
          <w:szCs w:val="36"/>
          <w:highlight w:val="none"/>
        </w:rPr>
        <w:t>八、合同授予</w:t>
      </w:r>
    </w:p>
    <w:p>
      <w:pPr>
        <w:pStyle w:val="24"/>
        <w:spacing w:line="360" w:lineRule="auto"/>
        <w:ind w:left="479" w:hanging="479" w:hangingChars="199"/>
        <w:rPr>
          <w:rFonts w:hint="eastAsia" w:cs="宋体"/>
          <w:b/>
          <w:color w:val="auto"/>
          <w:highlight w:val="none"/>
        </w:rPr>
      </w:pPr>
      <w:r>
        <w:rPr>
          <w:rFonts w:hint="eastAsia" w:cs="宋体"/>
          <w:b/>
          <w:color w:val="auto"/>
          <w:highlight w:val="none"/>
        </w:rPr>
        <w:t xml:space="preserve">25. </w:t>
      </w:r>
      <w:r>
        <w:rPr>
          <w:rFonts w:hint="eastAsia" w:cs="宋体"/>
          <w:color w:val="auto"/>
          <w:highlight w:val="none"/>
        </w:rPr>
        <w:t>合同主要条款详见第五部分拟签订的合同文本。</w:t>
      </w:r>
    </w:p>
    <w:p>
      <w:pPr>
        <w:pStyle w:val="24"/>
        <w:spacing w:line="360" w:lineRule="auto"/>
        <w:ind w:left="479" w:hanging="479" w:hangingChars="199"/>
        <w:rPr>
          <w:rFonts w:hint="eastAsia" w:cs="宋体"/>
          <w:b/>
          <w:color w:val="auto"/>
          <w:highlight w:val="none"/>
        </w:rPr>
      </w:pPr>
      <w:r>
        <w:rPr>
          <w:rFonts w:hint="eastAsia" w:cs="宋体"/>
          <w:b/>
          <w:color w:val="auto"/>
          <w:highlight w:val="none"/>
        </w:rPr>
        <w:t>26. 合同的签订</w:t>
      </w:r>
    </w:p>
    <w:p>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sz w:val="24"/>
          <w:highlight w:val="none"/>
        </w:rPr>
        <w:t>26.1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31"/>
        <w:snapToGrid w:val="0"/>
        <w:spacing w:before="0"/>
        <w:ind w:firstLine="480"/>
        <w:rPr>
          <w:rFonts w:hint="eastAsia"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26.3如签订合同并生效后，供应商无故拒绝或延期，除按照合同条款处理外，列入不良行为记录一次，并给予通报。</w:t>
      </w:r>
    </w:p>
    <w:p>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26.4中标供应商拒绝与采购人签订合同的，采购人可以按照评审报告推荐的中标或者成交候选人名单排序，确定下一候选人为中标供应商，也可以重新开展政府采购活动。</w:t>
      </w:r>
    </w:p>
    <w:p>
      <w:pPr>
        <w:pStyle w:val="131"/>
        <w:snapToGrid w:val="0"/>
        <w:spacing w:before="0" w:after="120"/>
        <w:ind w:firstLine="480"/>
        <w:rPr>
          <w:rFonts w:hint="eastAsia" w:ascii="宋体" w:hAnsi="宋体" w:cs="宋体"/>
          <w:color w:val="auto"/>
          <w:highlight w:val="none"/>
        </w:rPr>
      </w:pPr>
      <w:r>
        <w:rPr>
          <w:rFonts w:hint="eastAsia" w:ascii="宋体" w:hAnsi="宋体" w:cs="宋体"/>
          <w:color w:val="auto"/>
          <w:highlight w:val="none"/>
        </w:rPr>
        <w:t>26.5采购合同由采购人与中标供应商根据招标文件、投标文件等内容通过政府采购电子交易平台在线签订，自动备案。</w:t>
      </w:r>
    </w:p>
    <w:p>
      <w:pPr>
        <w:pStyle w:val="24"/>
        <w:spacing w:line="360" w:lineRule="auto"/>
        <w:ind w:left="479" w:hanging="479" w:hangingChars="199"/>
        <w:rPr>
          <w:rFonts w:hint="eastAsia" w:cs="宋体"/>
          <w:b/>
          <w:color w:val="auto"/>
          <w:highlight w:val="none"/>
        </w:rPr>
      </w:pPr>
      <w:r>
        <w:rPr>
          <w:rFonts w:hint="eastAsia" w:cs="宋体"/>
          <w:b/>
          <w:color w:val="auto"/>
          <w:highlight w:val="none"/>
        </w:rPr>
        <w:t>27. 履约保证金</w:t>
      </w:r>
    </w:p>
    <w:p>
      <w:pPr>
        <w:tabs>
          <w:tab w:val="left" w:pos="0"/>
        </w:tabs>
        <w:spacing w:line="360" w:lineRule="auto"/>
        <w:ind w:firstLine="482"/>
        <w:rPr>
          <w:rFonts w:hint="eastAsia"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pPr>
        <w:pStyle w:val="3"/>
        <w:ind w:left="0" w:firstLine="480" w:firstLineChars="20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rPr>
        <w:t>95763</w:t>
      </w:r>
      <w:r>
        <w:rPr>
          <w:rFonts w:hint="eastAsia" w:ascii="宋体" w:hAnsi="宋体" w:eastAsia="宋体" w:cs="宋体"/>
          <w:b w:val="0"/>
          <w:bCs w:val="0"/>
          <w:snapToGrid w:val="0"/>
          <w:color w:val="auto"/>
          <w:kern w:val="28"/>
          <w:sz w:val="24"/>
          <w:highlight w:val="none"/>
        </w:rPr>
        <w:t>。</w:t>
      </w:r>
    </w:p>
    <w:p>
      <w:pPr>
        <w:pStyle w:val="3"/>
        <w:rPr>
          <w:rFonts w:hint="eastAsia"/>
          <w:color w:val="auto"/>
          <w:highlight w:val="none"/>
        </w:rPr>
      </w:pPr>
      <w:r>
        <w:rPr>
          <w:rFonts w:ascii="宋体" w:hAnsi="宋体" w:eastAsia="宋体"/>
          <w:color w:val="auto"/>
          <w:sz w:val="24"/>
          <w:highlight w:val="none"/>
          <w:lang w:val="en-US"/>
        </w:rPr>
        <w:t>2</w:t>
      </w:r>
      <w:r>
        <w:rPr>
          <w:rFonts w:hint="eastAsia" w:ascii="宋体" w:hAnsi="宋体" w:eastAsia="宋体"/>
          <w:color w:val="auto"/>
          <w:sz w:val="24"/>
          <w:highlight w:val="none"/>
          <w:lang w:val="en-US"/>
        </w:rPr>
        <w:t>8</w:t>
      </w:r>
      <w:r>
        <w:rPr>
          <w:rFonts w:ascii="宋体" w:hAnsi="宋体" w:eastAsia="宋体"/>
          <w:color w:val="auto"/>
          <w:sz w:val="24"/>
          <w:highlight w:val="none"/>
          <w:lang w:val="en-US"/>
        </w:rPr>
        <w:t>.预付款</w:t>
      </w:r>
    </w:p>
    <w:p>
      <w:pPr>
        <w:tabs>
          <w:tab w:val="left" w:pos="0"/>
        </w:tabs>
        <w:spacing w:line="360" w:lineRule="auto"/>
        <w:ind w:firstLine="482"/>
        <w:rPr>
          <w:rFonts w:hint="eastAsia" w:ascii="宋体" w:hAnsi="宋体" w:cs="宋体"/>
          <w:color w:val="auto"/>
          <w:kern w:val="0"/>
          <w:sz w:val="24"/>
          <w:highlight w:val="none"/>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cs="宋体"/>
          <w:snapToGrid w:val="0"/>
          <w:color w:val="auto"/>
          <w:kern w:val="28"/>
          <w:sz w:val="24"/>
          <w:highlight w:val="none"/>
        </w:rPr>
        <w:t>95763</w:t>
      </w:r>
      <w:r>
        <w:rPr>
          <w:rFonts w:hint="eastAsia" w:ascii="宋体" w:hAnsi="宋体" w:cs="宋体"/>
          <w:color w:val="auto"/>
          <w:kern w:val="0"/>
          <w:sz w:val="24"/>
          <w:highlight w:val="none"/>
        </w:rPr>
        <w:t>。</w:t>
      </w:r>
    </w:p>
    <w:p>
      <w:pPr>
        <w:snapToGrid w:val="0"/>
        <w:spacing w:line="360" w:lineRule="auto"/>
        <w:ind w:firstLine="3357" w:firstLineChars="1045"/>
        <w:rPr>
          <w:rFonts w:hint="eastAsia" w:ascii="宋体" w:hAnsi="宋体" w:cs="宋体"/>
          <w:b/>
          <w:color w:val="auto"/>
          <w:sz w:val="32"/>
          <w:highlight w:val="none"/>
        </w:rPr>
      </w:pPr>
    </w:p>
    <w:p>
      <w:pPr>
        <w:snapToGrid w:val="0"/>
        <w:spacing w:line="360" w:lineRule="auto"/>
        <w:ind w:firstLine="3357" w:firstLineChars="1045"/>
        <w:rPr>
          <w:rFonts w:hint="eastAsia" w:ascii="宋体" w:hAnsi="宋体" w:cs="宋体"/>
          <w:b/>
          <w:color w:val="auto"/>
          <w:sz w:val="24"/>
          <w:highlight w:val="none"/>
        </w:rPr>
      </w:pPr>
      <w:r>
        <w:rPr>
          <w:rFonts w:hint="eastAsia" w:ascii="宋体" w:hAnsi="宋体" w:cs="宋体"/>
          <w:b/>
          <w:color w:val="auto"/>
          <w:sz w:val="32"/>
          <w:highlight w:val="none"/>
        </w:rPr>
        <w:t>九、电子交易活动的中止</w:t>
      </w:r>
    </w:p>
    <w:p>
      <w:pPr>
        <w:pStyle w:val="131"/>
        <w:snapToGrid w:val="0"/>
        <w:spacing w:before="0"/>
        <w:ind w:firstLine="0" w:firstLineChars="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rPr>
        <w:t>9.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采购过程中出现以下情形，导致电子交易平台无法正常运行，或者无法保证电子交易的公平、公正和安全时，采购机构可中止电子交易活动：</w:t>
      </w:r>
    </w:p>
    <w:p>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 xml:space="preserve">29.1电子交易平台发生故障而无法登录访问的； </w:t>
      </w:r>
    </w:p>
    <w:p>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29.2电子交易平台应用或数据库出现错误，不能进行正常操作的；</w:t>
      </w:r>
    </w:p>
    <w:p>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29.3电子交易平台发现严重安全漏洞，有潜在泄密危险的；</w:t>
      </w:r>
    </w:p>
    <w:p>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 xml:space="preserve">29.4病毒发作导致不能进行正常操作的； </w:t>
      </w:r>
    </w:p>
    <w:p>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29.5其他无法保证电子交易的公平、公正和安全的情况。</w:t>
      </w:r>
    </w:p>
    <w:p>
      <w:pPr>
        <w:pStyle w:val="131"/>
        <w:snapToGrid w:val="0"/>
        <w:spacing w:before="0"/>
        <w:ind w:firstLine="0" w:firstLineChars="0"/>
        <w:rPr>
          <w:rFonts w:hint="eastAsia" w:ascii="宋体" w:hAnsi="宋体" w:cs="宋体"/>
          <w:color w:val="auto"/>
          <w:highlight w:val="none"/>
        </w:rPr>
      </w:pPr>
      <w:r>
        <w:rPr>
          <w:rFonts w:hint="eastAsia" w:ascii="宋体" w:hAnsi="宋体" w:cs="宋体"/>
          <w:color w:val="auto"/>
          <w:highlight w:val="none"/>
        </w:rPr>
        <w:t xml:space="preserve"> 30.出现以上情形，不影响采购公平、公正性的，采购组织机构可以待上述情形消除后继续组织电子交易活动，也可以决定某些环节以纸质形式进行；影响或可能影响采购公平、公正性的，应当重新采购。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hint="eastAsia" w:ascii="宋体" w:hAnsi="宋体" w:cs="宋体"/>
          <w:color w:val="auto"/>
          <w:sz w:val="24"/>
          <w:highlight w:val="none"/>
        </w:rPr>
      </w:pPr>
    </w:p>
    <w:p>
      <w:pPr>
        <w:snapToGrid w:val="0"/>
        <w:spacing w:line="360" w:lineRule="auto"/>
        <w:ind w:left="120" w:leftChars="57" w:firstLine="481" w:firstLineChars="150"/>
        <w:jc w:val="center"/>
        <w:rPr>
          <w:rFonts w:hint="eastAsia" w:ascii="宋体" w:hAnsi="宋体" w:cs="宋体"/>
          <w:b/>
          <w:color w:val="auto"/>
          <w:sz w:val="32"/>
          <w:highlight w:val="none"/>
        </w:rPr>
      </w:pPr>
      <w:r>
        <w:rPr>
          <w:rFonts w:hint="eastAsia" w:ascii="宋体" w:hAnsi="宋体" w:cs="宋体"/>
          <w:b/>
          <w:color w:val="auto"/>
          <w:sz w:val="32"/>
          <w:highlight w:val="none"/>
        </w:rPr>
        <w:t>十、验收</w:t>
      </w:r>
    </w:p>
    <w:p>
      <w:pPr>
        <w:pStyle w:val="24"/>
        <w:spacing w:line="360" w:lineRule="auto"/>
        <w:ind w:firstLine="0" w:firstLineChars="0"/>
        <w:rPr>
          <w:rFonts w:hint="eastAsia" w:cs="宋体"/>
          <w:b/>
          <w:color w:val="auto"/>
          <w:highlight w:val="none"/>
        </w:rPr>
      </w:pPr>
      <w:r>
        <w:rPr>
          <w:rFonts w:hint="eastAsia" w:cs="宋体"/>
          <w:b/>
          <w:color w:val="auto"/>
          <w:highlight w:val="none"/>
        </w:rPr>
        <w:t>31.验收</w:t>
      </w:r>
    </w:p>
    <w:p>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31.1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31.2采购人可以邀请参加本项目的其他投标人或者第三方机构参与验收。参与验收的投标人或者第三方机构的意见作为验收书的参考资料一并存档。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80"/>
        <w:ind w:firstLine="480"/>
        <w:rPr>
          <w:rFonts w:hint="eastAsia"/>
          <w:color w:val="auto"/>
          <w:highlight w:val="none"/>
        </w:rPr>
      </w:pPr>
      <w:r>
        <w:rPr>
          <w:rFonts w:hint="eastAsia" w:ascii="宋体" w:hAnsi="宋体" w:eastAsia="宋体" w:cs="宋体"/>
          <w:color w:val="auto"/>
          <w:kern w:val="0"/>
          <w:sz w:val="24"/>
          <w:szCs w:val="24"/>
          <w:highlight w:val="none"/>
          <w:lang w:val="en-US"/>
        </w:rPr>
        <w:t>31.5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bookmarkEnd w:id="13"/>
    <w:p>
      <w:pPr>
        <w:tabs>
          <w:tab w:val="left" w:pos="0"/>
        </w:tabs>
        <w:spacing w:line="360" w:lineRule="auto"/>
        <w:ind w:firstLine="480"/>
        <w:rPr>
          <w:rFonts w:hint="eastAsia"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4" w:name="_Hlt75236011"/>
      <w:bookmarkEnd w:id="14"/>
      <w:bookmarkStart w:id="15" w:name="_Hlt68403820"/>
      <w:bookmarkEnd w:id="15"/>
      <w:bookmarkStart w:id="16" w:name="_Hlt68072990"/>
      <w:bookmarkEnd w:id="16"/>
      <w:bookmarkStart w:id="17" w:name="_Hlt75236290"/>
      <w:bookmarkEnd w:id="17"/>
      <w:bookmarkStart w:id="18" w:name="_Hlt74714665"/>
      <w:bookmarkEnd w:id="18"/>
      <w:bookmarkStart w:id="19" w:name="_Hlt68073093"/>
      <w:bookmarkEnd w:id="19"/>
      <w:bookmarkStart w:id="20" w:name="_Hlt74730295"/>
      <w:bookmarkEnd w:id="20"/>
      <w:bookmarkStart w:id="21" w:name="_Hlt74707468"/>
      <w:bookmarkEnd w:id="21"/>
      <w:bookmarkStart w:id="22" w:name="_Hlt68057669"/>
      <w:bookmarkEnd w:id="22"/>
      <w:bookmarkStart w:id="23" w:name="_Hlt74729768"/>
      <w:bookmarkEnd w:id="23"/>
      <w:bookmarkStart w:id="24" w:name="_Hlt68072998"/>
      <w:bookmarkEnd w:id="24"/>
      <w:bookmarkStart w:id="25" w:name="_Hlt75236101"/>
      <w:bookmarkEnd w:id="25"/>
    </w:p>
    <w:bookmarkEnd w:id="11"/>
    <w:bookmarkEnd w:id="12"/>
    <w:p>
      <w:pPr>
        <w:spacing w:line="360" w:lineRule="auto"/>
        <w:jc w:val="center"/>
        <w:outlineLvl w:val="0"/>
        <w:rPr>
          <w:rFonts w:hint="eastAsia" w:ascii="宋体" w:hAnsi="宋体" w:cs="宋体"/>
          <w:b/>
          <w:color w:val="auto"/>
          <w:sz w:val="36"/>
          <w:szCs w:val="36"/>
          <w:highlight w:val="none"/>
        </w:rPr>
      </w:pPr>
      <w:bookmarkStart w:id="26" w:name="第四部分"/>
      <w:r>
        <w:rPr>
          <w:rFonts w:hint="eastAsia" w:ascii="宋体" w:hAnsi="宋体" w:cs="宋体"/>
          <w:b/>
          <w:color w:val="auto"/>
          <w:sz w:val="36"/>
          <w:szCs w:val="36"/>
          <w:highlight w:val="none"/>
        </w:rPr>
        <w:t>第三部分   采购需求</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一、项目概况</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（一）项目名称</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u w:val="single"/>
        </w:rPr>
        <w:t>杭州国画院2026年物业管理项目</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（二）项目地点</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本项目包含两个服务地点，分别是：</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1、浙江省 杭州市西湖区虎跑路 路31号，杭州国画院院部</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2、浙江省 杭州市西湖景区北山街38-40号，杭州国画院美术馆</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（三）项目简介</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本项目包含两个服务地点，分别是国画院院部和国画院美术馆，涉及范围包括： 办公区域、美术馆展厅区域、公共区域、配套设施等的综合物业服务，服务范围涵盖保洁服务、安防维护、绿化养护、设施设备运维、会务服务、后勤保障等内容，服务期限为 [1 年]，具体服务区域及面积以采购人现场确认为准。</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（四）采购预算</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本项目采购预算金额为人民币 186.1万 元（含税），报价不得超过采购预算，否则按无效报价处理。</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二、服务范围及内容</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（一）保洁服务</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 负责办公区域（办公室、会议室、走廊、楼梯间、卫生间等）日常清洁、垃圾清运、消毒消杀，保持区域整洁无异味、无杂物、无污渍。</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2. 负责展厅及公共区域（广场、停车场、绿化带周边、宣传栏等）清洁维护，定期进行深度保洁（如地面抛光、玻璃擦拭、墙面清洁等）。</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3. 负责垃圾的分类收集、转运及处理，严格遵守垃圾分类管理规定，做到日产日清。</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4. 配备专业保洁工具、耗材（如清洁剂、垃圾袋、消毒用品等），确保符合环保及卫生标准。</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（二）安防维护服务</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 负责项目区域 24 小时安保值守，做好人员、车辆进出登记管理，维护现场秩序，杜绝无关人员、车辆随意进入。</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2. 负责车辆停放引导、管理，规范停车秩序，保障通道畅通，防止车辆剐蹭、乱停乱放。</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3. 负责消防安全巡查，定期检查消防设施、器材，排查消防安全隐患，熟练掌握消防应急处置流程，配合开展消防演练。</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4. 负责突发事件（如盗窃、斗殴、火灾、漏水等）的应急处置，及时上报并协助处理，保障采购人财产及人员安全。</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（三）绿化养护服务</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 负责项目区域内绿植（乔木、灌木、草坪、花卉等）的日常养护，包括浇水、施肥、修剪、除草、病虫害防治、补植补种等。</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2. 定期对绿植进行养护管理，保持绿植长势良好、造型美观，无枯萎、病虫害现象。</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3. 及时清理绿化区域内的落叶、枯枝、杂草，保持绿化区域整洁。</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（四）设施设备运维服务</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 负责项目区域内公共设施（电梯、给排水系统、供电系统、空调系统、监控系统、门禁系统等）的日常巡检、维护、保养，建立巡检台账，及时上报故障并协助维修。</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2. 负责公共照明、开关、水龙头等小型设施的维修更换，确保设施设备正常运行。</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3. 配合专业维保单位完成大型设施设备的定期维保工作，做好记录存档。</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（五）会务及后勤保障服务</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 负责采购人各类会议、活动的会务保障，包括会场布置、设备调试、茶水供应、会后清洁等。</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2. 负责办公区域物资搬运、分发，协助采购人完成日常后勤保障工作。</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3. 完成采购人交办的其他临时性后勤服务任务。</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三、人员配置要求</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（一）岗位需求</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根据项目规模及服务需求，配置物业服务人员需严格按照岗位设定安排，按每周岗位设定需求为例列表如下</w:t>
      </w:r>
    </w:p>
    <w:p>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1.杭州国画院美术馆岗位需求表：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97"/>
        <w:gridCol w:w="571"/>
        <w:gridCol w:w="1276"/>
        <w:gridCol w:w="1715"/>
        <w:gridCol w:w="1701"/>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白班</w:t>
            </w: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主管管理岗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8:00-17:00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周一~周五</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7：00-19：00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监控消控岗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7：00-19：00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一层展厅安保岗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7：00-19：00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地下展厅安保岗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7：00-19：00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工程维修岗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8：15-17：15</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保洁岗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8：00-17：00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restart"/>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夜班</w:t>
            </w: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19：00-7：00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监控消控岗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19：00-7：00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bl>
    <w:p>
      <w:pPr>
        <w:rPr>
          <w:rFonts w:hint="eastAsia" w:ascii="仿宋" w:hAnsi="仿宋" w:eastAsia="仿宋" w:cs="仿宋"/>
          <w:b/>
          <w:bCs/>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2.杭州国画院院部岗位需求表</w:t>
      </w:r>
      <w:r>
        <w:rPr>
          <w:rFonts w:hint="eastAsia" w:ascii="仿宋" w:hAnsi="仿宋" w:eastAsia="仿宋" w:cs="仿宋"/>
          <w:color w:val="auto"/>
          <w:sz w:val="32"/>
          <w:szCs w:val="32"/>
          <w:highlight w:val="none"/>
        </w:rPr>
        <w:t>：</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97"/>
        <w:gridCol w:w="571"/>
        <w:gridCol w:w="1276"/>
        <w:gridCol w:w="1728"/>
        <w:gridCol w:w="1701"/>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白班</w:t>
            </w: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主管管理岗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8:30-17:30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周一~周六</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6：00-18：00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监控消控岗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6：00-18：00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院区巡逻安保岗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7：00-16：00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绿化养护岗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7：00-19：00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工程维修岗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p>
        </w:tc>
        <w:tc>
          <w:tcPr>
            <w:tcW w:w="1417" w:type="dxa"/>
          </w:tcPr>
          <w:p>
            <w:pPr>
              <w:rPr>
                <w:rFonts w:hint="eastAsia" w:ascii="仿宋" w:hAnsi="仿宋" w:eastAsia="仿宋" w:cs="仿宋"/>
                <w:color w:val="auto"/>
                <w:sz w:val="32"/>
                <w:szCs w:val="32"/>
                <w:highlight w:val="none"/>
              </w:rPr>
            </w:pP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按需临时协调</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保洁岗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7：30-16：30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restart"/>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夜班</w:t>
            </w: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18：00-6：00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仿宋" w:hAnsi="仿宋" w:eastAsia="仿宋" w:cs="仿宋"/>
                <w:color w:val="auto"/>
                <w:sz w:val="32"/>
                <w:szCs w:val="32"/>
                <w:highlight w:val="none"/>
              </w:rPr>
            </w:pPr>
          </w:p>
        </w:tc>
        <w:tc>
          <w:tcPr>
            <w:tcW w:w="169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监控消控岗</w:t>
            </w:r>
          </w:p>
        </w:tc>
        <w:tc>
          <w:tcPr>
            <w:tcW w:w="57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1个</w:t>
            </w:r>
          </w:p>
        </w:tc>
        <w:tc>
          <w:tcPr>
            <w:tcW w:w="1276"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12小时/日</w:t>
            </w:r>
          </w:p>
        </w:tc>
        <w:tc>
          <w:tcPr>
            <w:tcW w:w="1417"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18：00-6：00</w:t>
            </w:r>
          </w:p>
        </w:tc>
        <w:tc>
          <w:tcPr>
            <w:tcW w:w="1701" w:type="dxa"/>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全周</w:t>
            </w:r>
          </w:p>
        </w:tc>
        <w:tc>
          <w:tcPr>
            <w:tcW w:w="612" w:type="dxa"/>
          </w:tcPr>
          <w:p>
            <w:pPr>
              <w:rPr>
                <w:rFonts w:hint="eastAsia" w:ascii="仿宋" w:hAnsi="仿宋" w:eastAsia="仿宋" w:cs="仿宋"/>
                <w:color w:val="auto"/>
                <w:sz w:val="32"/>
                <w:szCs w:val="32"/>
                <w:highlight w:val="none"/>
              </w:rPr>
            </w:pPr>
          </w:p>
        </w:tc>
      </w:tr>
    </w:tbl>
    <w:p>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w:t>
      </w:r>
      <w:r>
        <w:rPr>
          <w:rFonts w:hint="eastAsia" w:ascii="仿宋" w:hAnsi="仿宋" w:eastAsia="仿宋" w:cs="仿宋"/>
          <w:color w:val="auto"/>
          <w:sz w:val="32"/>
          <w:szCs w:val="32"/>
          <w:highlight w:val="none"/>
        </w:rPr>
        <w:t>3.重点岗位（消控岗位）要求：</w:t>
      </w:r>
      <w:r>
        <w:rPr>
          <w:rFonts w:hint="eastAsia" w:ascii="仿宋" w:hAnsi="仿宋" w:eastAsia="仿宋" w:cs="仿宋"/>
          <w:color w:val="auto"/>
          <w:sz w:val="32"/>
          <w:szCs w:val="32"/>
          <w:highlight w:val="none"/>
          <w:u w:val="single"/>
        </w:rPr>
        <w:t xml:space="preserve">本项目有两个消控值班室，供应商至少需配备8人持消防设施操作员证 （投标时提供有效证件复印件，投标时提供承诺：消控室每日24小时专人值班，每班不应少于2人。值班人员应持有消防控制室操作职业资格证书，投标时提供有效消控上岗位操作证书复印件） </w:t>
      </w:r>
      <w:r>
        <w:rPr>
          <w:rFonts w:hint="eastAsia" w:ascii="仿宋" w:hAnsi="仿宋" w:eastAsia="仿宋" w:cs="仿宋"/>
          <w:color w:val="auto"/>
          <w:sz w:val="32"/>
          <w:szCs w:val="32"/>
          <w:highlight w:val="none"/>
        </w:rPr>
        <w:t>，人员年龄</w:t>
      </w:r>
      <w:r>
        <w:rPr>
          <w:rFonts w:hint="eastAsia" w:ascii="仿宋" w:hAnsi="仿宋" w:eastAsia="仿宋" w:cs="仿宋"/>
          <w:color w:val="auto"/>
          <w:sz w:val="32"/>
          <w:szCs w:val="32"/>
          <w:highlight w:val="none"/>
          <w:lang w:val="zh-CN"/>
        </w:rPr>
        <w:t>55周岁（含）及以下（投标时提供承诺）</w:t>
      </w:r>
      <w:r>
        <w:rPr>
          <w:rFonts w:hint="eastAsia" w:ascii="仿宋" w:hAnsi="仿宋" w:eastAsia="仿宋" w:cs="仿宋"/>
          <w:color w:val="auto"/>
          <w:sz w:val="32"/>
          <w:szCs w:val="32"/>
          <w:highlight w:val="none"/>
        </w:rPr>
        <w:t>。本要求的法律法规依据：</w:t>
      </w:r>
      <w:r>
        <w:rPr>
          <w:rFonts w:hint="eastAsia" w:ascii="仿宋" w:hAnsi="仿宋" w:eastAsia="仿宋" w:cs="仿宋"/>
          <w:color w:val="auto"/>
          <w:sz w:val="32"/>
          <w:szCs w:val="32"/>
          <w:highlight w:val="none"/>
          <w:u w:val="single"/>
        </w:rPr>
        <w:t xml:space="preserve">  《中华人民共和国消防法》第二十一条，GB25506-2010《消防控制室通用技术要求》4.2.1条     </w:t>
      </w:r>
      <w:r>
        <w:rPr>
          <w:rFonts w:hint="eastAsia" w:ascii="仿宋" w:hAnsi="仿宋" w:eastAsia="仿宋" w:cs="仿宋"/>
          <w:color w:val="auto"/>
          <w:sz w:val="32"/>
          <w:szCs w:val="32"/>
          <w:highlight w:val="none"/>
        </w:rPr>
        <w:t>。</w:t>
      </w:r>
    </w:p>
    <w:p>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4.本项目需配备一名项目经理作为项目总负责人。</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（二）人员资质</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 项目经理：具备非住宅类物业服务项目管理经验。</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2. 保安岗：年龄 18-55周岁，身体健康，无犯罪记录，需持有保安上岗证，保安负责消控岗且需持有有效上岗证书，需提供有效证书复印件。</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3. 设施设备运维员：具备相关专业技能证书（如电工证、电梯操作证等），熟悉各类设施设备运维流程。</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4. 所有服务人员需统一着装、持证上岗，具备良好的服务意识、沟通能力及职业道德。</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（三）人员管理</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 供应商需建立完善的人员管理制度，明确岗位职责、考勤制度、奖惩制度，确保人员稳定。</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2. 服务人员需接受采购人的日常管理及考核，服从采购人合理工作安排。</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3. 人员更换需提前 [7 个工作日] 书面告知采购人，经同意后方可更换，核心岗位人员不得随意更换。</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四、服务标准及考核要求</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（一）服务标准</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 保洁服务：公共区域清洁达标率 100%，垃圾清运及时率 100%，消毒消杀符合卫生防疫标准。</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2. 安防维护：安保值守（含消控监控）无空岗、漏岗，车辆停放规范率 95% 以上，消防安全隐患整改率 100%。</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3. 绿化养护：绿化养护面积约4500平方，绿植成活率 98% 以上，绿化区域整洁度 100%，无大面积病虫害。</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4. 设施运维：设施设备正常运行率 98% 以上，故障报修响应时间不超过 30 分钟，维修完成率 95% 以上。</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5. 会务服务：会议保障及时率 100%，服务满意度 95% 以上。</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 年度绿化养护及物业责任范围内的工程维护保养费用不低于物业费用总额的10%。详情以合同约定为准。</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（二）考核管理</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 采购人定期对物业服务质量进行考核（月度、季度、年度），考核结果与服务费用挂钩。</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2. 若供应商未达到服务标准，采购人有权要求限期整改；整改不合格的，按合同约定扣除相应服务费用；情节严重的，采购人有权解除合同。</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五、商务要求</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（一）服务期限</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自合同签订之日起至2026年12月31日 ，具体细则以合同约定为准。</w:t>
      </w:r>
    </w:p>
    <w:p>
      <w:pPr>
        <w:spacing w:line="360" w:lineRule="auto"/>
        <w:ind w:firstLine="640" w:firstLineChars="200"/>
        <w:rPr>
          <w:rFonts w:hint="eastAsia" w:ascii="宋体" w:hAnsi="宋体" w:cs="宋体"/>
          <w:color w:val="auto"/>
          <w:sz w:val="24"/>
          <w:highlight w:val="none"/>
        </w:rPr>
      </w:pPr>
      <w:r>
        <w:rPr>
          <w:rFonts w:hint="eastAsia" w:ascii="仿宋" w:hAnsi="仿宋" w:eastAsia="仿宋" w:cs="仿宋"/>
          <w:color w:val="auto"/>
          <w:sz w:val="32"/>
          <w:szCs w:val="32"/>
          <w:highlight w:val="none"/>
        </w:rPr>
        <w:t>（二）报价要求</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 报价为2026年度全包价，报价周期为2026年1月至12月。包含人员工资、社保、福利、工具耗材、设备维护、税费、管理费等所有费用，采购人不再另行支付其他费用。</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2. 报价需以人民币为单位，精确到元，报价单需加盖供应商公章。</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（三）付款方式</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 按合同约定支付服务费用，供应商需提交服务报告及费用申请，采购人审核通过后 [5 个工作日] 内支付费用。</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2. 付款方式为银行转账，供应商需提供合法有效的发票。</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（四）合同履约</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 供应商需严格按照本采购需求及合同约定提供服务，不得转包、分包项目。</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2. 供应商需遵守国家法律法规及采购人相关规章制度，文明服务、规范操作。</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3. 因供应商服务不当造成采购人财产损失或人员伤害的，由供应商承担全部赔偿责任。</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六、验收标准</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1. 采购人按照本采购需求、合同约定及相关行业标准，对物业服务质量进行验收。</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2. 验收过程中发现的问题，供应商需在规定时间内整改完毕，否则不予验收通过。</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▲法律法规和政策文件要求必须持证上岗的岗位，所派人员必须满足相关规定，持证上岗，在投标文件中提供证书复印件或承诺。</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其它：招标文件第四部分评分办法中评审因素相应的其它要求及第五部分采购合同中相应的其他要求。</w:t>
      </w:r>
    </w:p>
    <w:p>
      <w:pPr>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27" w:name="_Toc184310323"/>
      <w:bookmarkEnd w:id="27"/>
      <w:bookmarkStart w:id="28" w:name="_Toc184312121"/>
      <w:bookmarkEnd w:id="28"/>
      <w:bookmarkStart w:id="29" w:name="_Toc184313270"/>
      <w:bookmarkEnd w:id="29"/>
      <w:bookmarkStart w:id="30" w:name="_Toc184313257"/>
      <w:bookmarkEnd w:id="30"/>
      <w:bookmarkStart w:id="31" w:name="_Toc184312102"/>
      <w:bookmarkEnd w:id="31"/>
      <w:bookmarkStart w:id="32" w:name="_Toc184308093"/>
      <w:bookmarkEnd w:id="32"/>
      <w:bookmarkStart w:id="33" w:name="_Toc184310342"/>
      <w:bookmarkEnd w:id="33"/>
      <w:bookmarkStart w:id="34" w:name="_Toc184310306"/>
      <w:bookmarkEnd w:id="34"/>
      <w:bookmarkStart w:id="35" w:name="_Toc184308050"/>
      <w:bookmarkEnd w:id="35"/>
      <w:bookmarkStart w:id="36" w:name="_Toc184313263"/>
      <w:bookmarkEnd w:id="36"/>
      <w:bookmarkStart w:id="37" w:name="_Toc184313304"/>
      <w:bookmarkEnd w:id="37"/>
      <w:bookmarkStart w:id="38" w:name="_Toc184312119"/>
      <w:bookmarkEnd w:id="38"/>
      <w:bookmarkStart w:id="39" w:name="_Toc184312111"/>
      <w:bookmarkEnd w:id="39"/>
      <w:bookmarkStart w:id="40" w:name="_Toc184312116"/>
      <w:bookmarkEnd w:id="40"/>
      <w:bookmarkStart w:id="41" w:name="_Toc184314442"/>
      <w:bookmarkEnd w:id="41"/>
      <w:bookmarkStart w:id="42" w:name="_Toc184313269"/>
      <w:bookmarkEnd w:id="42"/>
      <w:bookmarkStart w:id="43" w:name="_Toc184310300"/>
      <w:bookmarkEnd w:id="43"/>
      <w:bookmarkStart w:id="44" w:name="_Toc184312135"/>
      <w:bookmarkEnd w:id="44"/>
      <w:bookmarkStart w:id="45" w:name="_Toc184310309"/>
      <w:bookmarkEnd w:id="45"/>
      <w:bookmarkStart w:id="46" w:name="_Toc184310303"/>
      <w:bookmarkEnd w:id="46"/>
      <w:bookmarkStart w:id="47" w:name="_Toc184314416"/>
      <w:bookmarkEnd w:id="47"/>
      <w:bookmarkStart w:id="48" w:name="_Toc184310325"/>
      <w:bookmarkEnd w:id="48"/>
      <w:bookmarkStart w:id="49" w:name="_Toc184312128"/>
      <w:bookmarkEnd w:id="49"/>
      <w:bookmarkStart w:id="50" w:name="_Toc184312073"/>
      <w:bookmarkEnd w:id="50"/>
      <w:bookmarkStart w:id="51" w:name="_Toc184308060"/>
      <w:bookmarkEnd w:id="51"/>
      <w:bookmarkStart w:id="52" w:name="_Toc184314437"/>
      <w:bookmarkEnd w:id="52"/>
      <w:bookmarkStart w:id="53" w:name="_Toc184314469"/>
      <w:bookmarkEnd w:id="53"/>
      <w:bookmarkStart w:id="54" w:name="_Toc184314417"/>
      <w:bookmarkEnd w:id="54"/>
      <w:bookmarkStart w:id="55" w:name="_Toc184308083"/>
      <w:bookmarkEnd w:id="55"/>
      <w:bookmarkStart w:id="56" w:name="_Toc184308087"/>
      <w:bookmarkEnd w:id="56"/>
      <w:bookmarkStart w:id="57" w:name="_Toc184313294"/>
      <w:bookmarkEnd w:id="57"/>
      <w:bookmarkStart w:id="58" w:name="_Toc184314467"/>
      <w:bookmarkEnd w:id="58"/>
      <w:bookmarkStart w:id="59" w:name="_Toc184308081"/>
      <w:bookmarkEnd w:id="59"/>
      <w:bookmarkStart w:id="60" w:name="_Toc184314465"/>
      <w:bookmarkEnd w:id="60"/>
      <w:bookmarkStart w:id="61" w:name="_Toc184308069"/>
      <w:bookmarkEnd w:id="61"/>
      <w:bookmarkStart w:id="62" w:name="_Toc184312081"/>
      <w:bookmarkEnd w:id="62"/>
      <w:bookmarkStart w:id="63" w:name="_Toc184314446"/>
      <w:bookmarkEnd w:id="63"/>
      <w:bookmarkStart w:id="64" w:name="_Toc184312118"/>
      <w:bookmarkEnd w:id="64"/>
      <w:bookmarkStart w:id="65" w:name="_Toc184314426"/>
      <w:bookmarkEnd w:id="65"/>
      <w:bookmarkStart w:id="66" w:name="_Toc184310292"/>
      <w:bookmarkEnd w:id="66"/>
      <w:bookmarkStart w:id="67" w:name="_Toc184313256"/>
      <w:bookmarkEnd w:id="67"/>
      <w:bookmarkStart w:id="68" w:name="_Toc184312090"/>
      <w:bookmarkEnd w:id="68"/>
      <w:bookmarkStart w:id="69" w:name="_Toc184310297"/>
      <w:bookmarkEnd w:id="69"/>
      <w:bookmarkStart w:id="70" w:name="_Toc184308054"/>
      <w:bookmarkEnd w:id="70"/>
      <w:bookmarkStart w:id="71" w:name="_Toc184314472"/>
      <w:bookmarkEnd w:id="71"/>
      <w:bookmarkStart w:id="72" w:name="_Toc184314414"/>
      <w:bookmarkEnd w:id="72"/>
      <w:bookmarkStart w:id="73" w:name="_Toc184312095"/>
      <w:bookmarkEnd w:id="73"/>
      <w:bookmarkStart w:id="74" w:name="_Toc184310280"/>
      <w:bookmarkEnd w:id="74"/>
      <w:bookmarkStart w:id="75" w:name="_Toc184308105"/>
      <w:bookmarkEnd w:id="75"/>
      <w:bookmarkStart w:id="76" w:name="_Toc184314464"/>
      <w:bookmarkEnd w:id="76"/>
      <w:bookmarkStart w:id="77" w:name="_Toc184310284"/>
      <w:bookmarkEnd w:id="77"/>
      <w:bookmarkStart w:id="78" w:name="_Toc184314435"/>
      <w:bookmarkEnd w:id="78"/>
      <w:bookmarkStart w:id="79" w:name="_Toc184312085"/>
      <w:bookmarkEnd w:id="79"/>
      <w:bookmarkStart w:id="80" w:name="_Toc184314476"/>
      <w:bookmarkEnd w:id="80"/>
      <w:bookmarkStart w:id="81" w:name="_Toc184314474"/>
      <w:bookmarkEnd w:id="81"/>
      <w:bookmarkStart w:id="82" w:name="_Toc184313277"/>
      <w:bookmarkEnd w:id="82"/>
      <w:bookmarkStart w:id="83" w:name="_Toc184314473"/>
      <w:bookmarkEnd w:id="83"/>
      <w:bookmarkStart w:id="84" w:name="_Toc184313239"/>
      <w:bookmarkEnd w:id="84"/>
      <w:bookmarkStart w:id="85" w:name="_Toc184313268"/>
      <w:bookmarkEnd w:id="85"/>
      <w:bookmarkStart w:id="86" w:name="_Toc184313285"/>
      <w:bookmarkEnd w:id="86"/>
      <w:bookmarkStart w:id="87" w:name="_Toc184314479"/>
      <w:bookmarkEnd w:id="87"/>
      <w:bookmarkStart w:id="88" w:name="_Toc184310290"/>
      <w:bookmarkEnd w:id="88"/>
      <w:bookmarkStart w:id="89" w:name="_Toc184312129"/>
      <w:bookmarkEnd w:id="89"/>
      <w:bookmarkStart w:id="90" w:name="_Toc184313297"/>
      <w:bookmarkEnd w:id="90"/>
      <w:bookmarkStart w:id="91" w:name="_Toc184310287"/>
      <w:bookmarkEnd w:id="91"/>
      <w:bookmarkStart w:id="92" w:name="_Toc184312067"/>
      <w:bookmarkEnd w:id="92"/>
      <w:bookmarkStart w:id="93" w:name="_Toc184314466"/>
      <w:bookmarkEnd w:id="93"/>
      <w:bookmarkStart w:id="94" w:name="_Toc184313267"/>
      <w:bookmarkEnd w:id="94"/>
      <w:bookmarkStart w:id="95" w:name="_Toc184308058"/>
      <w:bookmarkEnd w:id="95"/>
      <w:bookmarkStart w:id="96" w:name="_Toc184308055"/>
      <w:bookmarkEnd w:id="96"/>
      <w:bookmarkStart w:id="97" w:name="_Toc184314427"/>
      <w:bookmarkEnd w:id="97"/>
      <w:bookmarkStart w:id="98" w:name="_Toc184312137"/>
      <w:bookmarkEnd w:id="98"/>
      <w:bookmarkStart w:id="99" w:name="_Toc184312108"/>
      <w:bookmarkEnd w:id="99"/>
      <w:bookmarkStart w:id="100" w:name="_Toc184310339"/>
      <w:bookmarkEnd w:id="100"/>
      <w:bookmarkStart w:id="101" w:name="_Toc184312078"/>
      <w:bookmarkEnd w:id="101"/>
      <w:bookmarkStart w:id="102" w:name="_Toc184313295"/>
      <w:bookmarkEnd w:id="102"/>
      <w:bookmarkStart w:id="103" w:name="_Toc184308041"/>
      <w:bookmarkEnd w:id="103"/>
      <w:bookmarkStart w:id="104" w:name="_Toc184312114"/>
      <w:bookmarkEnd w:id="104"/>
      <w:bookmarkStart w:id="105" w:name="_Toc184310295"/>
      <w:bookmarkEnd w:id="105"/>
      <w:bookmarkStart w:id="106" w:name="_Toc184312104"/>
      <w:bookmarkEnd w:id="106"/>
      <w:bookmarkStart w:id="107" w:name="_Toc184313251"/>
      <w:bookmarkEnd w:id="107"/>
      <w:bookmarkStart w:id="108" w:name="_Toc184314454"/>
      <w:bookmarkEnd w:id="108"/>
      <w:bookmarkStart w:id="109" w:name="_Toc184313281"/>
      <w:bookmarkEnd w:id="109"/>
      <w:bookmarkStart w:id="110" w:name="_Toc184308061"/>
      <w:bookmarkEnd w:id="110"/>
      <w:bookmarkStart w:id="111" w:name="_Toc184308063"/>
      <w:bookmarkEnd w:id="111"/>
      <w:bookmarkStart w:id="112" w:name="_Toc184308040"/>
      <w:bookmarkEnd w:id="112"/>
      <w:bookmarkStart w:id="113" w:name="_Toc184310298"/>
      <w:bookmarkEnd w:id="113"/>
      <w:bookmarkStart w:id="114" w:name="_Toc184312077"/>
      <w:bookmarkEnd w:id="114"/>
      <w:bookmarkStart w:id="115" w:name="_Toc184314428"/>
      <w:bookmarkEnd w:id="115"/>
      <w:bookmarkStart w:id="116" w:name="_Toc184313243"/>
      <w:bookmarkEnd w:id="116"/>
      <w:bookmarkStart w:id="117" w:name="_Toc184313296"/>
      <w:bookmarkEnd w:id="117"/>
      <w:bookmarkStart w:id="118" w:name="_Toc184310331"/>
      <w:bookmarkEnd w:id="118"/>
      <w:bookmarkStart w:id="119" w:name="_Toc184310301"/>
      <w:bookmarkEnd w:id="119"/>
      <w:bookmarkStart w:id="120" w:name="_Toc184313254"/>
      <w:bookmarkEnd w:id="120"/>
      <w:bookmarkStart w:id="121" w:name="_Toc184308064"/>
      <w:bookmarkEnd w:id="121"/>
      <w:bookmarkStart w:id="122" w:name="_Toc184308089"/>
      <w:bookmarkEnd w:id="122"/>
      <w:bookmarkStart w:id="123" w:name="_Toc184312101"/>
      <w:bookmarkEnd w:id="123"/>
      <w:bookmarkStart w:id="124" w:name="_Toc184310291"/>
      <w:bookmarkEnd w:id="124"/>
      <w:bookmarkStart w:id="125" w:name="_Toc184312069"/>
      <w:bookmarkEnd w:id="125"/>
      <w:bookmarkStart w:id="126" w:name="_Toc184312092"/>
      <w:bookmarkEnd w:id="126"/>
      <w:bookmarkStart w:id="127" w:name="_Toc184308038"/>
      <w:bookmarkEnd w:id="127"/>
      <w:bookmarkStart w:id="128" w:name="_Toc184312123"/>
      <w:bookmarkEnd w:id="128"/>
      <w:bookmarkStart w:id="129" w:name="_Toc184313255"/>
      <w:bookmarkEnd w:id="129"/>
      <w:bookmarkStart w:id="130" w:name="_Toc184314463"/>
      <w:bookmarkEnd w:id="130"/>
      <w:bookmarkStart w:id="131" w:name="_Toc184310333"/>
      <w:bookmarkEnd w:id="131"/>
      <w:bookmarkStart w:id="132" w:name="_Toc184312074"/>
      <w:bookmarkEnd w:id="132"/>
      <w:bookmarkStart w:id="133" w:name="_Toc184313286"/>
      <w:bookmarkEnd w:id="133"/>
      <w:bookmarkStart w:id="134" w:name="_Toc184314477"/>
      <w:bookmarkEnd w:id="134"/>
      <w:bookmarkStart w:id="135" w:name="_Toc184314410"/>
      <w:bookmarkEnd w:id="135"/>
      <w:bookmarkStart w:id="136" w:name="_Toc184312084"/>
      <w:bookmarkEnd w:id="136"/>
      <w:bookmarkStart w:id="137" w:name="_Toc184313260"/>
      <w:bookmarkEnd w:id="137"/>
      <w:bookmarkStart w:id="138" w:name="_Toc184308062"/>
      <w:bookmarkEnd w:id="138"/>
      <w:bookmarkStart w:id="139" w:name="_Toc184312124"/>
      <w:bookmarkEnd w:id="139"/>
      <w:bookmarkStart w:id="140" w:name="_Toc184310312"/>
      <w:bookmarkEnd w:id="140"/>
      <w:bookmarkStart w:id="141" w:name="_Toc184313298"/>
      <w:bookmarkEnd w:id="141"/>
      <w:bookmarkStart w:id="142" w:name="_Toc184312076"/>
      <w:bookmarkEnd w:id="142"/>
      <w:bookmarkStart w:id="143" w:name="_Toc184314429"/>
      <w:bookmarkEnd w:id="143"/>
      <w:bookmarkStart w:id="144" w:name="_Toc184314471"/>
      <w:bookmarkEnd w:id="144"/>
      <w:bookmarkStart w:id="145" w:name="_Toc184308104"/>
      <w:bookmarkEnd w:id="145"/>
      <w:bookmarkStart w:id="146" w:name="_Toc184314468"/>
      <w:bookmarkEnd w:id="146"/>
      <w:bookmarkStart w:id="147" w:name="_Toc184312082"/>
      <w:bookmarkEnd w:id="147"/>
      <w:bookmarkStart w:id="148" w:name="_Toc184314462"/>
      <w:bookmarkEnd w:id="148"/>
      <w:bookmarkStart w:id="149" w:name="_Toc184308100"/>
      <w:bookmarkEnd w:id="149"/>
      <w:bookmarkStart w:id="150" w:name="_Toc184314441"/>
      <w:bookmarkEnd w:id="150"/>
      <w:bookmarkStart w:id="151" w:name="_Toc184313252"/>
      <w:bookmarkEnd w:id="151"/>
      <w:bookmarkStart w:id="152" w:name="_Toc184312087"/>
      <w:bookmarkEnd w:id="152"/>
      <w:bookmarkStart w:id="153" w:name="_Toc184312134"/>
      <w:bookmarkEnd w:id="153"/>
      <w:bookmarkStart w:id="154" w:name="_Toc184314420"/>
      <w:bookmarkEnd w:id="154"/>
      <w:bookmarkStart w:id="155" w:name="_Toc184312109"/>
      <w:bookmarkEnd w:id="155"/>
      <w:bookmarkStart w:id="156" w:name="_Toc184312127"/>
      <w:bookmarkEnd w:id="156"/>
      <w:bookmarkStart w:id="157" w:name="_Toc184313307"/>
      <w:bookmarkEnd w:id="157"/>
      <w:bookmarkStart w:id="158" w:name="_Toc184310318"/>
      <w:bookmarkEnd w:id="158"/>
      <w:bookmarkStart w:id="159" w:name="_Toc184313302"/>
      <w:bookmarkEnd w:id="159"/>
      <w:bookmarkStart w:id="160" w:name="_Toc184314453"/>
      <w:bookmarkEnd w:id="160"/>
      <w:bookmarkStart w:id="161" w:name="_Toc184310332"/>
      <w:bookmarkEnd w:id="161"/>
      <w:bookmarkStart w:id="162" w:name="_Toc184310286"/>
      <w:bookmarkEnd w:id="162"/>
      <w:bookmarkStart w:id="163" w:name="_Toc184314444"/>
      <w:bookmarkEnd w:id="163"/>
      <w:bookmarkStart w:id="164" w:name="_Toc184308067"/>
      <w:bookmarkEnd w:id="164"/>
      <w:bookmarkStart w:id="165" w:name="_Toc184312093"/>
      <w:bookmarkEnd w:id="165"/>
      <w:bookmarkStart w:id="166" w:name="_Toc184313310"/>
      <w:bookmarkEnd w:id="166"/>
      <w:bookmarkStart w:id="167" w:name="_Toc184313265"/>
      <w:bookmarkEnd w:id="167"/>
      <w:bookmarkStart w:id="168" w:name="_Toc184308059"/>
      <w:bookmarkEnd w:id="168"/>
      <w:bookmarkStart w:id="169" w:name="_Toc184308101"/>
      <w:bookmarkEnd w:id="169"/>
      <w:bookmarkStart w:id="170" w:name="_Toc184310335"/>
      <w:bookmarkEnd w:id="170"/>
      <w:bookmarkStart w:id="171" w:name="_Toc184314460"/>
      <w:bookmarkEnd w:id="171"/>
      <w:bookmarkStart w:id="172" w:name="_Toc184310288"/>
      <w:bookmarkEnd w:id="172"/>
      <w:bookmarkStart w:id="173" w:name="_Toc184314431"/>
      <w:bookmarkEnd w:id="173"/>
      <w:bookmarkStart w:id="174" w:name="_Toc184312083"/>
      <w:bookmarkEnd w:id="174"/>
      <w:bookmarkStart w:id="175" w:name="_Toc184312115"/>
      <w:bookmarkEnd w:id="175"/>
      <w:bookmarkStart w:id="176" w:name="_Toc184312088"/>
      <w:bookmarkEnd w:id="176"/>
      <w:bookmarkStart w:id="177" w:name="_Toc184313289"/>
      <w:bookmarkEnd w:id="177"/>
      <w:bookmarkStart w:id="178" w:name="_Toc184313262"/>
      <w:bookmarkEnd w:id="178"/>
      <w:bookmarkStart w:id="179" w:name="_Toc184313306"/>
      <w:bookmarkEnd w:id="179"/>
      <w:bookmarkStart w:id="180" w:name="_Toc184312075"/>
      <w:bookmarkEnd w:id="180"/>
      <w:bookmarkStart w:id="181" w:name="_Toc184314461"/>
      <w:bookmarkEnd w:id="181"/>
      <w:bookmarkStart w:id="182" w:name="_Toc184310317"/>
      <w:bookmarkEnd w:id="182"/>
      <w:bookmarkStart w:id="183" w:name="_Toc184308044"/>
      <w:bookmarkEnd w:id="183"/>
      <w:bookmarkStart w:id="184" w:name="_Toc184314419"/>
      <w:bookmarkEnd w:id="184"/>
      <w:bookmarkStart w:id="185" w:name="_Toc184308103"/>
      <w:bookmarkEnd w:id="185"/>
      <w:bookmarkStart w:id="186" w:name="_Toc184313274"/>
      <w:bookmarkEnd w:id="186"/>
      <w:bookmarkStart w:id="187" w:name="_Toc184310299"/>
      <w:bookmarkEnd w:id="187"/>
      <w:bookmarkStart w:id="188" w:name="_Toc184314439"/>
      <w:bookmarkEnd w:id="188"/>
      <w:bookmarkStart w:id="189" w:name="_Toc184310275"/>
      <w:bookmarkEnd w:id="189"/>
      <w:bookmarkStart w:id="190" w:name="_Toc184314475"/>
      <w:bookmarkEnd w:id="190"/>
      <w:bookmarkStart w:id="191" w:name="_Toc184313247"/>
      <w:bookmarkEnd w:id="191"/>
      <w:bookmarkStart w:id="192" w:name="_Toc184310329"/>
      <w:bookmarkEnd w:id="192"/>
      <w:bookmarkStart w:id="193" w:name="_Toc184313287"/>
      <w:bookmarkEnd w:id="193"/>
      <w:bookmarkStart w:id="194" w:name="_Toc184308106"/>
      <w:bookmarkEnd w:id="194"/>
      <w:bookmarkStart w:id="195" w:name="_Toc184314434"/>
      <w:bookmarkEnd w:id="195"/>
      <w:bookmarkStart w:id="196" w:name="_Toc184312070"/>
      <w:bookmarkEnd w:id="196"/>
      <w:bookmarkStart w:id="197" w:name="_Toc184310277"/>
      <w:bookmarkEnd w:id="197"/>
      <w:bookmarkStart w:id="198" w:name="_Toc184308049"/>
      <w:bookmarkEnd w:id="198"/>
      <w:bookmarkStart w:id="199" w:name="_Toc184312080"/>
      <w:bookmarkEnd w:id="199"/>
      <w:bookmarkStart w:id="200" w:name="_Toc184312136"/>
      <w:bookmarkEnd w:id="200"/>
      <w:bookmarkStart w:id="201" w:name="_Toc184308084"/>
      <w:bookmarkEnd w:id="201"/>
      <w:bookmarkStart w:id="202" w:name="_Toc184310273"/>
      <w:bookmarkEnd w:id="202"/>
      <w:bookmarkStart w:id="203" w:name="_Toc184308051"/>
      <w:bookmarkEnd w:id="203"/>
      <w:bookmarkStart w:id="204" w:name="_Toc184312125"/>
      <w:bookmarkEnd w:id="204"/>
      <w:bookmarkStart w:id="205" w:name="_Toc184310305"/>
      <w:bookmarkEnd w:id="205"/>
      <w:bookmarkStart w:id="206" w:name="_Toc184312139"/>
      <w:bookmarkEnd w:id="206"/>
      <w:bookmarkStart w:id="207" w:name="_Toc184310308"/>
      <w:bookmarkEnd w:id="207"/>
      <w:bookmarkStart w:id="208" w:name="_Toc184312117"/>
      <w:bookmarkEnd w:id="208"/>
      <w:bookmarkStart w:id="209" w:name="_Toc184308072"/>
      <w:bookmarkEnd w:id="209"/>
      <w:bookmarkStart w:id="210" w:name="_Toc184313240"/>
      <w:bookmarkEnd w:id="210"/>
      <w:bookmarkStart w:id="211" w:name="_Toc184314482"/>
      <w:bookmarkEnd w:id="211"/>
      <w:bookmarkStart w:id="212" w:name="_Toc184308056"/>
      <w:bookmarkEnd w:id="212"/>
      <w:bookmarkStart w:id="213" w:name="_Toc184310272"/>
      <w:bookmarkEnd w:id="213"/>
      <w:bookmarkStart w:id="214" w:name="_Toc184314481"/>
      <w:bookmarkEnd w:id="214"/>
      <w:bookmarkStart w:id="215" w:name="_Toc184308066"/>
      <w:bookmarkEnd w:id="215"/>
      <w:bookmarkStart w:id="216" w:name="_Toc184312079"/>
      <w:bookmarkEnd w:id="216"/>
      <w:bookmarkStart w:id="217" w:name="_Toc184310327"/>
      <w:bookmarkEnd w:id="217"/>
      <w:bookmarkStart w:id="218" w:name="_Toc184308098"/>
      <w:bookmarkEnd w:id="218"/>
      <w:bookmarkStart w:id="219" w:name="_Toc184310341"/>
      <w:bookmarkEnd w:id="219"/>
      <w:bookmarkStart w:id="220" w:name="_Toc184312132"/>
      <w:bookmarkEnd w:id="220"/>
      <w:bookmarkStart w:id="221" w:name="_Toc184308043"/>
      <w:bookmarkEnd w:id="221"/>
      <w:bookmarkStart w:id="222" w:name="_Toc184310337"/>
      <w:bookmarkEnd w:id="222"/>
      <w:bookmarkStart w:id="223" w:name="_Toc184314450"/>
      <w:bookmarkEnd w:id="223"/>
      <w:bookmarkStart w:id="224" w:name="_Toc184314448"/>
      <w:bookmarkEnd w:id="224"/>
      <w:bookmarkStart w:id="225" w:name="_Toc184310315"/>
      <w:bookmarkEnd w:id="225"/>
      <w:bookmarkStart w:id="226" w:name="_Toc184312072"/>
      <w:bookmarkEnd w:id="226"/>
      <w:bookmarkStart w:id="227" w:name="_Toc184308074"/>
      <w:bookmarkEnd w:id="227"/>
      <w:bookmarkStart w:id="228" w:name="_Toc184314478"/>
      <w:bookmarkEnd w:id="228"/>
      <w:bookmarkStart w:id="229" w:name="_Toc184314445"/>
      <w:bookmarkEnd w:id="229"/>
      <w:bookmarkStart w:id="230" w:name="_Toc184312120"/>
      <w:bookmarkEnd w:id="230"/>
      <w:bookmarkStart w:id="231" w:name="_Toc184308077"/>
      <w:bookmarkEnd w:id="231"/>
      <w:bookmarkStart w:id="232" w:name="_Toc184310311"/>
      <w:bookmarkEnd w:id="232"/>
      <w:bookmarkStart w:id="233" w:name="_Toc184310296"/>
      <w:bookmarkEnd w:id="233"/>
      <w:bookmarkStart w:id="234" w:name="_Toc184308096"/>
      <w:bookmarkEnd w:id="234"/>
      <w:bookmarkStart w:id="235" w:name="_Toc184310293"/>
      <w:bookmarkEnd w:id="235"/>
      <w:bookmarkStart w:id="236" w:name="_Toc184312100"/>
      <w:bookmarkEnd w:id="236"/>
      <w:bookmarkStart w:id="237" w:name="_Toc184313275"/>
      <w:bookmarkEnd w:id="237"/>
      <w:bookmarkStart w:id="238" w:name="_Toc184308092"/>
      <w:bookmarkEnd w:id="238"/>
      <w:bookmarkStart w:id="239" w:name="_Toc184310282"/>
      <w:bookmarkEnd w:id="239"/>
      <w:bookmarkStart w:id="240" w:name="_Toc184313245"/>
      <w:bookmarkEnd w:id="240"/>
      <w:bookmarkStart w:id="241" w:name="_Toc184308042"/>
      <w:bookmarkEnd w:id="241"/>
      <w:bookmarkStart w:id="242" w:name="_Toc184310274"/>
      <w:bookmarkEnd w:id="242"/>
      <w:bookmarkStart w:id="243" w:name="_Toc184313266"/>
      <w:bookmarkEnd w:id="243"/>
      <w:bookmarkStart w:id="244" w:name="_Toc184313279"/>
      <w:bookmarkEnd w:id="244"/>
      <w:bookmarkStart w:id="245" w:name="_Toc184310304"/>
      <w:bookmarkEnd w:id="245"/>
      <w:bookmarkStart w:id="246" w:name="_Toc184310320"/>
      <w:bookmarkEnd w:id="246"/>
      <w:bookmarkStart w:id="247" w:name="_Toc184310328"/>
      <w:bookmarkEnd w:id="247"/>
      <w:bookmarkStart w:id="248" w:name="_Toc184313299"/>
      <w:bookmarkEnd w:id="248"/>
      <w:bookmarkStart w:id="249" w:name="_Toc184308090"/>
      <w:bookmarkEnd w:id="249"/>
      <w:bookmarkStart w:id="250" w:name="_Toc184314447"/>
      <w:bookmarkEnd w:id="250"/>
      <w:bookmarkStart w:id="251" w:name="_Toc184308039"/>
      <w:bookmarkEnd w:id="251"/>
      <w:bookmarkStart w:id="252" w:name="_Toc184308047"/>
      <w:bookmarkEnd w:id="252"/>
      <w:bookmarkStart w:id="253" w:name="_Toc184312099"/>
      <w:bookmarkEnd w:id="253"/>
      <w:bookmarkStart w:id="254" w:name="_Toc184312105"/>
      <w:bookmarkEnd w:id="254"/>
      <w:bookmarkStart w:id="255" w:name="_Toc184313248"/>
      <w:bookmarkEnd w:id="255"/>
      <w:bookmarkStart w:id="256" w:name="_Toc184313238"/>
      <w:bookmarkEnd w:id="256"/>
      <w:bookmarkStart w:id="257" w:name="_Toc184308080"/>
      <w:bookmarkEnd w:id="257"/>
      <w:bookmarkStart w:id="258" w:name="_Toc184314455"/>
      <w:bookmarkEnd w:id="258"/>
      <w:bookmarkStart w:id="259" w:name="_Toc184308095"/>
      <w:bookmarkEnd w:id="259"/>
      <w:bookmarkStart w:id="260" w:name="_Toc184312122"/>
      <w:bookmarkEnd w:id="260"/>
      <w:bookmarkStart w:id="261" w:name="_Toc184313258"/>
      <w:bookmarkEnd w:id="261"/>
      <w:bookmarkStart w:id="262" w:name="_Toc184314457"/>
      <w:bookmarkEnd w:id="262"/>
      <w:bookmarkStart w:id="263" w:name="_Toc184313290"/>
      <w:bookmarkEnd w:id="263"/>
      <w:bookmarkStart w:id="264" w:name="_Toc184310313"/>
      <w:bookmarkEnd w:id="264"/>
      <w:bookmarkStart w:id="265" w:name="_Toc184310279"/>
      <w:bookmarkEnd w:id="265"/>
      <w:bookmarkStart w:id="266" w:name="_Toc184313253"/>
      <w:bookmarkEnd w:id="266"/>
      <w:bookmarkStart w:id="267" w:name="_Toc184312103"/>
      <w:bookmarkEnd w:id="267"/>
      <w:bookmarkStart w:id="268" w:name="_Toc184314413"/>
      <w:bookmarkEnd w:id="268"/>
      <w:bookmarkStart w:id="269" w:name="_Toc184310310"/>
      <w:bookmarkEnd w:id="269"/>
      <w:bookmarkStart w:id="270" w:name="_Toc184308045"/>
      <w:bookmarkEnd w:id="270"/>
      <w:bookmarkStart w:id="271" w:name="_Toc184313273"/>
      <w:bookmarkEnd w:id="271"/>
      <w:bookmarkStart w:id="272" w:name="_Toc184314430"/>
      <w:bookmarkEnd w:id="272"/>
      <w:bookmarkStart w:id="273" w:name="_Toc184313300"/>
      <w:bookmarkEnd w:id="273"/>
      <w:bookmarkStart w:id="274" w:name="_Toc184314451"/>
      <w:bookmarkEnd w:id="274"/>
      <w:bookmarkStart w:id="275" w:name="_Toc184308046"/>
      <w:bookmarkEnd w:id="275"/>
      <w:bookmarkStart w:id="276" w:name="_Toc184313301"/>
      <w:bookmarkEnd w:id="276"/>
      <w:bookmarkStart w:id="277" w:name="_Toc184314480"/>
      <w:bookmarkEnd w:id="277"/>
      <w:bookmarkStart w:id="278" w:name="_Toc184308057"/>
      <w:bookmarkEnd w:id="278"/>
      <w:bookmarkStart w:id="279" w:name="_Toc184314422"/>
      <w:bookmarkEnd w:id="279"/>
      <w:bookmarkStart w:id="280" w:name="_Toc184308088"/>
      <w:bookmarkEnd w:id="280"/>
      <w:bookmarkStart w:id="281" w:name="_Toc184314456"/>
      <w:bookmarkEnd w:id="281"/>
      <w:bookmarkStart w:id="282" w:name="_Toc184313288"/>
      <w:bookmarkEnd w:id="282"/>
      <w:bookmarkStart w:id="283" w:name="_Toc184308097"/>
      <w:bookmarkEnd w:id="283"/>
      <w:bookmarkStart w:id="284" w:name="_Toc184310278"/>
      <w:bookmarkEnd w:id="284"/>
      <w:bookmarkStart w:id="285" w:name="_Toc184312094"/>
      <w:bookmarkEnd w:id="285"/>
      <w:bookmarkStart w:id="286" w:name="_Toc184313282"/>
      <w:bookmarkEnd w:id="286"/>
      <w:bookmarkStart w:id="287" w:name="_Toc184313291"/>
      <w:bookmarkEnd w:id="287"/>
      <w:bookmarkStart w:id="288" w:name="_Toc184312089"/>
      <w:bookmarkEnd w:id="288"/>
      <w:bookmarkStart w:id="289" w:name="_Toc184310289"/>
      <w:bookmarkEnd w:id="289"/>
      <w:bookmarkStart w:id="290" w:name="_Toc184314423"/>
      <w:bookmarkEnd w:id="290"/>
      <w:bookmarkStart w:id="291" w:name="_Toc184313241"/>
      <w:bookmarkEnd w:id="291"/>
      <w:bookmarkStart w:id="292" w:name="_Toc184310307"/>
      <w:bookmarkEnd w:id="292"/>
      <w:bookmarkStart w:id="293" w:name="_Toc184310338"/>
      <w:bookmarkEnd w:id="293"/>
      <w:bookmarkStart w:id="294" w:name="_Toc184308091"/>
      <w:bookmarkEnd w:id="294"/>
      <w:bookmarkStart w:id="295" w:name="_Toc184313283"/>
      <w:bookmarkEnd w:id="295"/>
      <w:bookmarkStart w:id="296" w:name="_Toc184314470"/>
      <w:bookmarkEnd w:id="296"/>
      <w:bookmarkStart w:id="297" w:name="_Toc184313308"/>
      <w:bookmarkEnd w:id="297"/>
      <w:bookmarkStart w:id="298" w:name="_Toc184312138"/>
      <w:bookmarkEnd w:id="298"/>
      <w:bookmarkStart w:id="299" w:name="_Toc184312091"/>
      <w:bookmarkEnd w:id="299"/>
      <w:bookmarkStart w:id="300" w:name="_Toc184310324"/>
      <w:bookmarkEnd w:id="300"/>
      <w:bookmarkStart w:id="301" w:name="_Toc184312112"/>
      <w:bookmarkEnd w:id="301"/>
      <w:bookmarkStart w:id="302" w:name="_Toc184312110"/>
      <w:bookmarkEnd w:id="302"/>
      <w:bookmarkStart w:id="303" w:name="_Toc184308048"/>
      <w:bookmarkEnd w:id="303"/>
      <w:bookmarkStart w:id="304" w:name="_Toc184310283"/>
      <w:bookmarkEnd w:id="304"/>
      <w:bookmarkStart w:id="305" w:name="_Toc184314412"/>
      <w:bookmarkEnd w:id="305"/>
      <w:bookmarkStart w:id="306" w:name="_Toc184310322"/>
      <w:bookmarkEnd w:id="306"/>
      <w:bookmarkStart w:id="307" w:name="_Toc184312068"/>
      <w:bookmarkEnd w:id="307"/>
      <w:bookmarkStart w:id="308" w:name="_Toc184313292"/>
      <w:bookmarkEnd w:id="308"/>
      <w:bookmarkStart w:id="309" w:name="_Toc184312097"/>
      <w:bookmarkEnd w:id="309"/>
      <w:bookmarkStart w:id="310" w:name="_Toc184313261"/>
      <w:bookmarkEnd w:id="310"/>
      <w:bookmarkStart w:id="311" w:name="_Toc184313303"/>
      <w:bookmarkEnd w:id="311"/>
      <w:bookmarkStart w:id="312" w:name="_Toc184313271"/>
      <w:bookmarkEnd w:id="312"/>
      <w:bookmarkStart w:id="313" w:name="_Toc184314449"/>
      <w:bookmarkEnd w:id="313"/>
      <w:bookmarkStart w:id="314" w:name="_Toc184312113"/>
      <w:bookmarkEnd w:id="314"/>
      <w:bookmarkStart w:id="315" w:name="_Toc184313272"/>
      <w:bookmarkEnd w:id="315"/>
      <w:bookmarkStart w:id="316" w:name="_Toc184314436"/>
      <w:bookmarkEnd w:id="316"/>
      <w:bookmarkStart w:id="317" w:name="_Toc184314438"/>
      <w:bookmarkEnd w:id="317"/>
      <w:bookmarkStart w:id="318" w:name="_Toc184308107"/>
      <w:bookmarkEnd w:id="318"/>
      <w:bookmarkStart w:id="319" w:name="_Toc184308068"/>
      <w:bookmarkEnd w:id="319"/>
      <w:bookmarkStart w:id="320" w:name="_Toc184314459"/>
      <w:bookmarkEnd w:id="320"/>
      <w:bookmarkStart w:id="321" w:name="_Toc184313246"/>
      <w:bookmarkEnd w:id="321"/>
      <w:bookmarkStart w:id="322" w:name="_Toc184310336"/>
      <w:bookmarkEnd w:id="322"/>
      <w:bookmarkStart w:id="323" w:name="_Toc184308099"/>
      <w:bookmarkEnd w:id="323"/>
      <w:bookmarkStart w:id="324" w:name="_Toc184313250"/>
      <w:bookmarkEnd w:id="324"/>
      <w:bookmarkStart w:id="325" w:name="_Toc184313305"/>
      <w:bookmarkEnd w:id="325"/>
      <w:bookmarkStart w:id="326" w:name="_Toc184308053"/>
      <w:bookmarkEnd w:id="326"/>
      <w:bookmarkStart w:id="327" w:name="_Toc184314424"/>
      <w:bookmarkEnd w:id="327"/>
      <w:bookmarkStart w:id="328" w:name="_Toc184308082"/>
      <w:bookmarkEnd w:id="328"/>
      <w:bookmarkStart w:id="329" w:name="_Toc184310334"/>
      <w:bookmarkEnd w:id="329"/>
      <w:bookmarkStart w:id="330" w:name="_Toc184313242"/>
      <w:bookmarkEnd w:id="330"/>
      <w:bookmarkStart w:id="331" w:name="_Toc184308075"/>
      <w:bookmarkEnd w:id="331"/>
      <w:bookmarkStart w:id="332" w:name="_Toc184308094"/>
      <w:bookmarkEnd w:id="332"/>
      <w:bookmarkStart w:id="333" w:name="_Toc184310340"/>
      <w:bookmarkEnd w:id="333"/>
      <w:bookmarkStart w:id="334" w:name="_Toc184314411"/>
      <w:bookmarkEnd w:id="334"/>
      <w:bookmarkStart w:id="335" w:name="_Toc184310285"/>
      <w:bookmarkEnd w:id="335"/>
      <w:bookmarkStart w:id="336" w:name="_Toc184308076"/>
      <w:bookmarkEnd w:id="336"/>
      <w:bookmarkStart w:id="337" w:name="_Toc184314432"/>
      <w:bookmarkEnd w:id="337"/>
      <w:bookmarkStart w:id="338" w:name="_Toc184313249"/>
      <w:bookmarkEnd w:id="338"/>
      <w:bookmarkStart w:id="339" w:name="_Toc184310326"/>
      <w:bookmarkEnd w:id="339"/>
      <w:bookmarkStart w:id="340" w:name="_Toc184313293"/>
      <w:bookmarkEnd w:id="340"/>
      <w:bookmarkStart w:id="341" w:name="_Toc184314418"/>
      <w:bookmarkEnd w:id="341"/>
      <w:bookmarkStart w:id="342" w:name="_Toc184308037"/>
      <w:bookmarkEnd w:id="342"/>
      <w:bookmarkStart w:id="343" w:name="_Toc184308108"/>
      <w:bookmarkEnd w:id="343"/>
      <w:bookmarkStart w:id="344" w:name="_Toc184308078"/>
      <w:bookmarkEnd w:id="344"/>
      <w:bookmarkStart w:id="345" w:name="_Toc184314452"/>
      <w:bookmarkEnd w:id="345"/>
      <w:bookmarkStart w:id="346" w:name="_Toc184312086"/>
      <w:bookmarkEnd w:id="346"/>
      <w:bookmarkStart w:id="347" w:name="_Toc184310294"/>
      <w:bookmarkEnd w:id="347"/>
      <w:bookmarkStart w:id="348" w:name="_Toc184313244"/>
      <w:bookmarkEnd w:id="348"/>
      <w:bookmarkStart w:id="349" w:name="_Toc184310319"/>
      <w:bookmarkEnd w:id="349"/>
      <w:bookmarkStart w:id="350" w:name="_Toc184308086"/>
      <w:bookmarkEnd w:id="350"/>
      <w:bookmarkStart w:id="351" w:name="_Toc184310281"/>
      <w:bookmarkEnd w:id="351"/>
      <w:bookmarkStart w:id="352" w:name="_Toc184313309"/>
      <w:bookmarkEnd w:id="352"/>
      <w:bookmarkStart w:id="353" w:name="_Toc184314421"/>
      <w:bookmarkEnd w:id="353"/>
      <w:bookmarkStart w:id="354" w:name="_Toc184312071"/>
      <w:bookmarkEnd w:id="354"/>
      <w:bookmarkStart w:id="355" w:name="_Toc184310344"/>
      <w:bookmarkEnd w:id="355"/>
      <w:bookmarkStart w:id="356" w:name="_Toc184312130"/>
      <w:bookmarkEnd w:id="356"/>
      <w:bookmarkStart w:id="357" w:name="_Toc184312107"/>
      <w:bookmarkEnd w:id="357"/>
      <w:bookmarkStart w:id="358" w:name="_Toc184310321"/>
      <w:bookmarkEnd w:id="358"/>
      <w:bookmarkStart w:id="359" w:name="_Toc184310343"/>
      <w:bookmarkEnd w:id="359"/>
      <w:bookmarkStart w:id="360" w:name="_Toc184313276"/>
      <w:bookmarkEnd w:id="360"/>
      <w:bookmarkStart w:id="361" w:name="_Toc184310314"/>
      <w:bookmarkEnd w:id="361"/>
      <w:bookmarkStart w:id="362" w:name="_Toc184310302"/>
      <w:bookmarkEnd w:id="362"/>
      <w:bookmarkStart w:id="363" w:name="_Toc184308070"/>
      <w:bookmarkEnd w:id="363"/>
      <w:bookmarkStart w:id="364" w:name="_Toc184310316"/>
      <w:bookmarkEnd w:id="364"/>
      <w:bookmarkStart w:id="365" w:name="_Toc184313278"/>
      <w:bookmarkEnd w:id="365"/>
      <w:bookmarkStart w:id="366" w:name="_Toc184314443"/>
      <w:bookmarkEnd w:id="366"/>
      <w:bookmarkStart w:id="367" w:name="_Toc184313259"/>
      <w:bookmarkEnd w:id="367"/>
      <w:bookmarkStart w:id="368" w:name="_Toc184313264"/>
      <w:bookmarkEnd w:id="368"/>
      <w:bookmarkStart w:id="369" w:name="_Toc184312096"/>
      <w:bookmarkEnd w:id="369"/>
      <w:bookmarkStart w:id="370" w:name="_Toc184310276"/>
      <w:bookmarkEnd w:id="370"/>
      <w:bookmarkStart w:id="371" w:name="_Toc184308036"/>
      <w:bookmarkEnd w:id="371"/>
      <w:bookmarkStart w:id="372" w:name="_Toc184313280"/>
      <w:bookmarkEnd w:id="372"/>
      <w:bookmarkStart w:id="373" w:name="_Toc184310330"/>
      <w:bookmarkEnd w:id="373"/>
      <w:bookmarkStart w:id="374" w:name="_Toc184308102"/>
      <w:bookmarkEnd w:id="374"/>
      <w:bookmarkStart w:id="375" w:name="_Toc184313284"/>
      <w:bookmarkEnd w:id="375"/>
      <w:bookmarkStart w:id="376" w:name="_Toc184314458"/>
      <w:bookmarkEnd w:id="376"/>
      <w:bookmarkStart w:id="377" w:name="_Toc184312133"/>
      <w:bookmarkEnd w:id="377"/>
      <w:bookmarkStart w:id="378" w:name="_Toc184314415"/>
      <w:bookmarkEnd w:id="378"/>
      <w:bookmarkStart w:id="379" w:name="_Toc184314425"/>
      <w:bookmarkEnd w:id="379"/>
      <w:bookmarkStart w:id="380" w:name="_Toc184308085"/>
      <w:bookmarkEnd w:id="380"/>
      <w:bookmarkStart w:id="381" w:name="_Toc184312126"/>
      <w:bookmarkEnd w:id="381"/>
      <w:bookmarkStart w:id="382" w:name="_Toc184308065"/>
      <w:bookmarkEnd w:id="382"/>
      <w:bookmarkStart w:id="383" w:name="_Toc184314440"/>
      <w:bookmarkEnd w:id="383"/>
      <w:bookmarkStart w:id="384" w:name="_Toc184308052"/>
      <w:bookmarkEnd w:id="384"/>
      <w:bookmarkStart w:id="385" w:name="_Toc184312106"/>
      <w:bookmarkEnd w:id="385"/>
      <w:bookmarkStart w:id="386" w:name="_Toc184314433"/>
      <w:bookmarkEnd w:id="386"/>
      <w:bookmarkStart w:id="387" w:name="_Toc184308079"/>
      <w:bookmarkEnd w:id="387"/>
      <w:bookmarkStart w:id="388" w:name="_Toc184308071"/>
      <w:bookmarkEnd w:id="388"/>
      <w:bookmarkStart w:id="389" w:name="_Toc184308073"/>
      <w:bookmarkEnd w:id="389"/>
      <w:bookmarkStart w:id="390" w:name="_Toc184312098"/>
      <w:bookmarkEnd w:id="390"/>
      <w:bookmarkStart w:id="391" w:name="_Toc184312131"/>
      <w:bookmarkEnd w:id="391"/>
      <w:r>
        <w:rPr>
          <w:rFonts w:hint="eastAsia" w:ascii="宋体" w:hAnsi="宋体" w:cs="宋体"/>
          <w:b/>
          <w:color w:val="auto"/>
          <w:sz w:val="36"/>
          <w:szCs w:val="36"/>
          <w:highlight w:val="none"/>
        </w:rPr>
        <w:t>评标办法</w:t>
      </w:r>
    </w:p>
    <w:p>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4221"/>
        <w:gridCol w:w="1165"/>
        <w:gridCol w:w="972"/>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4221"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评标标准</w:t>
            </w:r>
          </w:p>
        </w:tc>
        <w:tc>
          <w:tcPr>
            <w:tcW w:w="1165"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最高分值</w:t>
            </w:r>
          </w:p>
        </w:tc>
        <w:tc>
          <w:tcPr>
            <w:tcW w:w="972" w:type="dxa"/>
            <w:vAlign w:val="center"/>
          </w:tcPr>
          <w:p>
            <w:pPr>
              <w:snapToGrid w:val="0"/>
              <w:spacing w:line="36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主观分/客观分属性</w:t>
            </w:r>
          </w:p>
        </w:tc>
        <w:tc>
          <w:tcPr>
            <w:tcW w:w="2231"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4221" w:type="dxa"/>
            <w:vAlign w:val="center"/>
          </w:tcPr>
          <w:p>
            <w:pPr>
              <w:snapToGrid w:val="0"/>
              <w:spacing w:line="360" w:lineRule="auto"/>
              <w:rPr>
                <w:rFonts w:hint="eastAsia" w:ascii="宋体" w:hAnsi="宋体" w:cs="仿宋_GB2312"/>
                <w:bCs/>
                <w:color w:val="auto"/>
                <w:sz w:val="24"/>
                <w:highlight w:val="none"/>
              </w:rPr>
            </w:pPr>
            <w:r>
              <w:rPr>
                <w:rFonts w:hint="eastAsia" w:ascii="宋体" w:hAnsi="宋体" w:cs="仿宋_GB2312"/>
                <w:bCs/>
                <w:color w:val="auto"/>
                <w:sz w:val="24"/>
                <w:highlight w:val="none"/>
              </w:rPr>
              <w:t>物业管理服务理念、组织架构及管理制度情况：根据本项目物业使用特点提出合理的物业管理服务理念，提出服务定位、目标，提出有针对性的，切实可行的方案。全部符合得4分，部分符合得2分，不符合不得分。</w:t>
            </w:r>
          </w:p>
          <w:p>
            <w:pPr>
              <w:snapToGrid w:val="0"/>
              <w:spacing w:line="360" w:lineRule="auto"/>
              <w:rPr>
                <w:rFonts w:hint="eastAsia" w:ascii="宋体" w:hAnsi="宋体" w:cs="仿宋_GB2312"/>
                <w:bCs/>
                <w:color w:val="auto"/>
                <w:sz w:val="24"/>
                <w:highlight w:val="none"/>
              </w:rPr>
            </w:pPr>
            <w:r>
              <w:rPr>
                <w:rFonts w:hint="eastAsia" w:ascii="宋体" w:hAnsi="宋体" w:cs="仿宋_GB2312"/>
                <w:bCs/>
                <w:color w:val="auto"/>
                <w:sz w:val="24"/>
                <w:highlight w:val="none"/>
              </w:rPr>
              <w:t>针对本项目有比较完善的组织架构及管理制度，清晰简练地列出主要管理流程，包括运作流程图、激励机制、监督机制、自我约束机制、信息反馈渠道及处理机制。全部符合得4分，部分符合得2分，不符合不得分。</w:t>
            </w:r>
          </w:p>
        </w:tc>
        <w:tc>
          <w:tcPr>
            <w:tcW w:w="1165"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8分</w:t>
            </w:r>
          </w:p>
        </w:tc>
        <w:tc>
          <w:tcPr>
            <w:tcW w:w="972"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w:t>
            </w:r>
          </w:p>
        </w:tc>
        <w:tc>
          <w:tcPr>
            <w:tcW w:w="2231"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（一）物业管理服务理念、组织架构及管理制度情况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4221" w:type="dxa"/>
            <w:vAlign w:val="center"/>
          </w:tcPr>
          <w:p>
            <w:pPr>
              <w:snapToGrid w:val="0"/>
              <w:spacing w:line="360" w:lineRule="auto"/>
              <w:rPr>
                <w:rFonts w:hint="eastAsia" w:ascii="宋体" w:hAnsi="宋体" w:cs="仿宋_GB2312"/>
                <w:bCs/>
                <w:color w:val="auto"/>
                <w:sz w:val="24"/>
                <w:highlight w:val="none"/>
              </w:rPr>
            </w:pPr>
            <w:r>
              <w:rPr>
                <w:rFonts w:hint="eastAsia" w:ascii="宋体" w:hAnsi="宋体" w:cs="仿宋_GB2312"/>
                <w:bCs/>
                <w:color w:val="auto"/>
                <w:sz w:val="24"/>
                <w:highlight w:val="none"/>
              </w:rPr>
              <w:t>传达、保安、秩序管理和消防、监控设施维护方案：方案包括物业服务区域内的</w:t>
            </w:r>
            <w:r>
              <w:rPr>
                <w:rFonts w:hint="eastAsia" w:ascii="宋体" w:hAnsi="宋体" w:cs="宋体"/>
                <w:bCs/>
                <w:color w:val="auto"/>
                <w:sz w:val="24"/>
                <w:highlight w:val="none"/>
              </w:rPr>
              <w:t>①</w:t>
            </w:r>
            <w:r>
              <w:rPr>
                <w:rFonts w:hint="eastAsia" w:ascii="宋体" w:hAnsi="宋体" w:cs="仿宋_GB2312"/>
                <w:bCs/>
                <w:color w:val="auto"/>
                <w:sz w:val="24"/>
                <w:highlight w:val="none"/>
              </w:rPr>
              <w:t>日常治安管理、</w:t>
            </w:r>
            <w:r>
              <w:rPr>
                <w:rFonts w:hint="eastAsia" w:ascii="宋体" w:hAnsi="宋体" w:cs="宋体"/>
                <w:bCs/>
                <w:color w:val="auto"/>
                <w:sz w:val="24"/>
                <w:highlight w:val="none"/>
              </w:rPr>
              <w:t>②</w:t>
            </w:r>
            <w:r>
              <w:rPr>
                <w:rFonts w:hint="eastAsia" w:ascii="宋体" w:hAnsi="宋体" w:cs="仿宋_GB2312"/>
                <w:bCs/>
                <w:color w:val="auto"/>
                <w:sz w:val="24"/>
                <w:highlight w:val="none"/>
              </w:rPr>
              <w:t>巡视检查、</w:t>
            </w:r>
            <w:r>
              <w:rPr>
                <w:rFonts w:hint="eastAsia" w:ascii="宋体" w:hAnsi="宋体" w:cs="宋体"/>
                <w:bCs/>
                <w:color w:val="auto"/>
                <w:sz w:val="24"/>
                <w:highlight w:val="none"/>
              </w:rPr>
              <w:t>③</w:t>
            </w:r>
            <w:r>
              <w:rPr>
                <w:rFonts w:hint="eastAsia" w:ascii="宋体" w:hAnsi="宋体" w:cs="仿宋_GB2312"/>
                <w:bCs/>
                <w:color w:val="auto"/>
                <w:sz w:val="24"/>
                <w:highlight w:val="none"/>
              </w:rPr>
              <w:t>停车管理、</w:t>
            </w:r>
            <w:r>
              <w:rPr>
                <w:rFonts w:hint="eastAsia" w:ascii="宋体" w:hAnsi="宋体" w:cs="宋体"/>
                <w:bCs/>
                <w:color w:val="auto"/>
                <w:sz w:val="24"/>
                <w:highlight w:val="none"/>
              </w:rPr>
              <w:t>④</w:t>
            </w:r>
            <w:r>
              <w:rPr>
                <w:rFonts w:hint="eastAsia" w:ascii="宋体" w:hAnsi="宋体" w:cs="仿宋_GB2312"/>
                <w:bCs/>
                <w:color w:val="auto"/>
                <w:sz w:val="24"/>
                <w:highlight w:val="none"/>
              </w:rPr>
              <w:t>消监控值班管理、</w:t>
            </w:r>
            <w:r>
              <w:rPr>
                <w:rFonts w:hint="eastAsia" w:ascii="宋体" w:hAnsi="宋体" w:cs="宋体"/>
                <w:bCs/>
                <w:color w:val="auto"/>
                <w:sz w:val="24"/>
                <w:highlight w:val="none"/>
              </w:rPr>
              <w:t>⑤</w:t>
            </w:r>
            <w:r>
              <w:rPr>
                <w:rFonts w:hint="eastAsia" w:ascii="宋体" w:hAnsi="宋体" w:cs="仿宋_GB2312"/>
                <w:bCs/>
                <w:color w:val="auto"/>
                <w:sz w:val="24"/>
                <w:highlight w:val="none"/>
              </w:rPr>
              <w:t>消防及监控设施维护、</w:t>
            </w:r>
            <w:r>
              <w:rPr>
                <w:rFonts w:hint="eastAsia" w:ascii="宋体" w:hAnsi="宋体" w:cs="宋体"/>
                <w:bCs/>
                <w:color w:val="auto"/>
                <w:sz w:val="24"/>
                <w:highlight w:val="none"/>
              </w:rPr>
              <w:t>⑥</w:t>
            </w:r>
            <w:r>
              <w:rPr>
                <w:rFonts w:hint="eastAsia" w:ascii="宋体" w:hAnsi="宋体" w:cs="仿宋_GB2312"/>
                <w:bCs/>
                <w:color w:val="auto"/>
                <w:sz w:val="24"/>
                <w:highlight w:val="none"/>
              </w:rPr>
              <w:t>展厅管理等，方案根据服务区域内实际情况设计，能满足服务质量标准（每一项符合得1.5分，不符合不得分，共9分）；</w:t>
            </w:r>
          </w:p>
          <w:p>
            <w:pPr>
              <w:snapToGrid w:val="0"/>
              <w:spacing w:line="360" w:lineRule="auto"/>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对突发事件有预警方案、应急处理计划和措施，能定期实行突发事件应急演练（全部符合得3分，部分符合得1.5分，不符合不得分）；</w:t>
            </w:r>
          </w:p>
        </w:tc>
        <w:tc>
          <w:tcPr>
            <w:tcW w:w="1165"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12分</w:t>
            </w:r>
          </w:p>
        </w:tc>
        <w:tc>
          <w:tcPr>
            <w:tcW w:w="972"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w:t>
            </w:r>
          </w:p>
        </w:tc>
        <w:tc>
          <w:tcPr>
            <w:tcW w:w="2231"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（二）传达、保安、秩序管理和消防、监控设施维护方案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4221" w:type="dxa"/>
            <w:vAlign w:val="center"/>
          </w:tcPr>
          <w:p>
            <w:pPr>
              <w:snapToGrid w:val="0"/>
              <w:spacing w:line="360" w:lineRule="auto"/>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卫生保洁管理与服务方案：方案包括物业服务区域内的①日常保洁服务【通道、休息区域、楼梯、大厅、展品、展台、走廊、天台、卫生间、开水间、接待室、领导办公室及其他用房地面、墙面、天花板、门窗玻璃、门及门窗框，墙壁附体、办公家具、椅、凳等】、②道路和停车场所有公共区域的地面、③预防与灭治白蚁、消杀老鼠、蟑螂、蚊子、苍蝇等“四害”、④垃圾收集清运、化粪池清掏等，方案根据服务区域内实际情况设计，能满足服务质量标准（符合1项得2.5分，不符合不得分，最高得10分）；</w:t>
            </w:r>
          </w:p>
        </w:tc>
        <w:tc>
          <w:tcPr>
            <w:tcW w:w="1165"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10分</w:t>
            </w:r>
          </w:p>
        </w:tc>
        <w:tc>
          <w:tcPr>
            <w:tcW w:w="972"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w:t>
            </w:r>
          </w:p>
        </w:tc>
        <w:tc>
          <w:tcPr>
            <w:tcW w:w="2231"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（三）卫生保洁管理与服务方案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4221" w:type="dxa"/>
            <w:vAlign w:val="center"/>
          </w:tcPr>
          <w:p>
            <w:pPr>
              <w:snapToGrid w:val="0"/>
              <w:spacing w:line="360" w:lineRule="auto"/>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供电设备管理维护方案:负责本项目的设施设备的安全运行维护，其中包括：①日常综合维修服务、②公共设施设备的日常巡查、③建立突发性停电应急预案、④应急供电系统的运行维护、</w:t>
            </w:r>
            <w:r>
              <w:rPr>
                <w:rFonts w:hint="eastAsia" w:ascii="宋体" w:hAnsi="宋体" w:cs="宋体"/>
                <w:bCs/>
                <w:color w:val="auto"/>
                <w:sz w:val="24"/>
                <w:highlight w:val="none"/>
              </w:rPr>
              <w:t>⑤</w:t>
            </w:r>
            <w:r>
              <w:rPr>
                <w:rFonts w:hint="eastAsia" w:ascii="宋体" w:hAnsi="宋体" w:cs="仿宋_GB2312"/>
                <w:bCs/>
                <w:color w:val="auto"/>
                <w:sz w:val="24"/>
                <w:highlight w:val="none"/>
              </w:rPr>
              <w:t>配合美术馆布展。（符合1项得2分，不符合不得分，最高得10分）</w:t>
            </w:r>
          </w:p>
        </w:tc>
        <w:tc>
          <w:tcPr>
            <w:tcW w:w="1165"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10分</w:t>
            </w:r>
          </w:p>
        </w:tc>
        <w:tc>
          <w:tcPr>
            <w:tcW w:w="972"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w:t>
            </w:r>
          </w:p>
        </w:tc>
        <w:tc>
          <w:tcPr>
            <w:tcW w:w="2231"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（四）供电设备管理维护方案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4221" w:type="dxa"/>
            <w:vAlign w:val="center"/>
          </w:tcPr>
          <w:p>
            <w:pPr>
              <w:snapToGrid w:val="0"/>
              <w:spacing w:line="360" w:lineRule="auto"/>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绿化管理与服务方案：方案包括室内植物的摆放和养护、室外绿化的养护修剪及整理、重大节日以及特殊接待活动花草的摆放3项，方案根据服务区域内实际情况设计，能满足服务质量标准（每一项全部符合得3分，部分符合得1.5分，不符合不得分，最高9分）；</w:t>
            </w:r>
          </w:p>
        </w:tc>
        <w:tc>
          <w:tcPr>
            <w:tcW w:w="1165"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9分</w:t>
            </w:r>
          </w:p>
        </w:tc>
        <w:tc>
          <w:tcPr>
            <w:tcW w:w="972"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w:t>
            </w:r>
          </w:p>
        </w:tc>
        <w:tc>
          <w:tcPr>
            <w:tcW w:w="2231"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（五）绿化管理服务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4221" w:type="dxa"/>
            <w:vAlign w:val="center"/>
          </w:tcPr>
          <w:p>
            <w:pPr>
              <w:spacing w:line="360" w:lineRule="auto"/>
              <w:outlineLvl w:val="0"/>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物业服务区域内各级各类应急预案，对突发事件应急预案及相应的措施是否合理，符合采购需求，以①化解各类矛盾纠纷、②消防、③重大接待、④应对极端天气（包括发生台风、暴雨、冻雪等灾害性天气及其他突发事件）为例（每一项符合的得2分，不符合不得分，最高8分）</w:t>
            </w:r>
          </w:p>
        </w:tc>
        <w:tc>
          <w:tcPr>
            <w:tcW w:w="1165"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8分</w:t>
            </w:r>
          </w:p>
        </w:tc>
        <w:tc>
          <w:tcPr>
            <w:tcW w:w="972"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w:t>
            </w:r>
          </w:p>
        </w:tc>
        <w:tc>
          <w:tcPr>
            <w:tcW w:w="2231"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（六）应急突发处理情况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4221" w:type="dxa"/>
            <w:vAlign w:val="center"/>
          </w:tcPr>
          <w:p>
            <w:pPr>
              <w:spacing w:line="360" w:lineRule="auto"/>
              <w:outlineLvl w:val="0"/>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在采购人日常需求以外，如遇重要活动或非工作日中，能够提供采购人日常需求之外保安、保洁、工程维修、其他特色服务和响应措施情况。（每符合一项得2分，不符合不得分，最高6分）</w:t>
            </w:r>
          </w:p>
        </w:tc>
        <w:tc>
          <w:tcPr>
            <w:tcW w:w="1165"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6分</w:t>
            </w:r>
          </w:p>
        </w:tc>
        <w:tc>
          <w:tcPr>
            <w:tcW w:w="972"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w:t>
            </w:r>
          </w:p>
        </w:tc>
        <w:tc>
          <w:tcPr>
            <w:tcW w:w="2231"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（七）特色服务响应措施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4221" w:type="dxa"/>
            <w:vAlign w:val="center"/>
          </w:tcPr>
          <w:p>
            <w:pPr>
              <w:snapToGrid w:val="0"/>
              <w:spacing w:line="360" w:lineRule="auto"/>
              <w:rPr>
                <w:rFonts w:hint="eastAsia" w:ascii="宋体" w:hAnsi="宋体" w:cs="仿宋_GB2312"/>
                <w:bCs/>
                <w:color w:val="auto"/>
                <w:sz w:val="24"/>
                <w:highlight w:val="none"/>
              </w:rPr>
            </w:pPr>
            <w:r>
              <w:rPr>
                <w:rFonts w:hint="eastAsia" w:ascii="宋体" w:hAnsi="宋体" w:cs="仿宋_GB2312"/>
                <w:bCs/>
                <w:color w:val="auto"/>
                <w:sz w:val="24"/>
                <w:highlight w:val="none"/>
              </w:rPr>
              <w:t>投标人提出详细、可行的交接方案，方案是否可行、可靠。原物业公司作为投标人则提交移交方案，新物业公司作为投标人提交接收方案。（全部符合的得3分，部分符合得2分，不符合不得分）</w:t>
            </w:r>
          </w:p>
        </w:tc>
        <w:tc>
          <w:tcPr>
            <w:tcW w:w="1165"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3分</w:t>
            </w:r>
          </w:p>
        </w:tc>
        <w:tc>
          <w:tcPr>
            <w:tcW w:w="972"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w:t>
            </w:r>
          </w:p>
        </w:tc>
        <w:tc>
          <w:tcPr>
            <w:tcW w:w="2231"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（八）交接方案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4221" w:type="dxa"/>
            <w:vAlign w:val="center"/>
          </w:tcPr>
          <w:p>
            <w:pPr>
              <w:spacing w:line="360" w:lineRule="auto"/>
              <w:outlineLvl w:val="0"/>
              <w:rPr>
                <w:rFonts w:hint="eastAsia" w:ascii="宋体" w:hAnsi="宋体" w:cs="仿宋_GB2312"/>
                <w:bCs/>
                <w:color w:val="auto"/>
                <w:sz w:val="24"/>
                <w:highlight w:val="none"/>
              </w:rPr>
            </w:pPr>
            <w:r>
              <w:rPr>
                <w:rFonts w:hint="eastAsia" w:ascii="宋体" w:hAnsi="宋体" w:cs="仿宋_GB2312"/>
                <w:bCs/>
                <w:color w:val="auto"/>
                <w:sz w:val="24"/>
                <w:highlight w:val="none"/>
              </w:rPr>
              <w:t>岗位需求：</w:t>
            </w:r>
          </w:p>
          <w:p>
            <w:pPr>
              <w:spacing w:line="360" w:lineRule="auto"/>
              <w:outlineLvl w:val="0"/>
              <w:rPr>
                <w:rFonts w:hint="eastAsia" w:ascii="宋体" w:hAnsi="宋体" w:cs="仿宋_GB2312"/>
                <w:bCs/>
                <w:color w:val="auto"/>
                <w:sz w:val="24"/>
                <w:highlight w:val="none"/>
              </w:rPr>
            </w:pPr>
            <w:r>
              <w:rPr>
                <w:rFonts w:hint="eastAsia" w:ascii="宋体" w:hAnsi="宋体" w:cs="仿宋_GB2312"/>
                <w:bCs/>
                <w:color w:val="auto"/>
                <w:sz w:val="24"/>
                <w:highlight w:val="none"/>
              </w:rPr>
              <w:t>1、项目经理岗1个，作为本项目实施总负责人，</w:t>
            </w:r>
          </w:p>
          <w:p>
            <w:pPr>
              <w:spacing w:line="360" w:lineRule="auto"/>
              <w:outlineLvl w:val="0"/>
              <w:rPr>
                <w:rFonts w:hint="eastAsia" w:ascii="宋体" w:hAnsi="宋体" w:cs="仿宋_GB2312"/>
                <w:bCs/>
                <w:color w:val="auto"/>
                <w:sz w:val="24"/>
                <w:highlight w:val="none"/>
              </w:rPr>
            </w:pPr>
            <w:r>
              <w:rPr>
                <w:rFonts w:hint="eastAsia" w:ascii="宋体" w:hAnsi="宋体" w:cs="仿宋_GB2312"/>
                <w:bCs/>
                <w:color w:val="auto"/>
                <w:sz w:val="24"/>
                <w:highlight w:val="none"/>
              </w:rPr>
              <w:t>40周岁及以下（提供有效身份证复印件，符合得1分，不符合不得分）；</w:t>
            </w:r>
          </w:p>
          <w:p>
            <w:pPr>
              <w:spacing w:line="360" w:lineRule="auto"/>
              <w:outlineLvl w:val="0"/>
              <w:rPr>
                <w:rFonts w:hint="eastAsia" w:ascii="宋体" w:hAnsi="宋体" w:cs="仿宋_GB2312"/>
                <w:bCs/>
                <w:color w:val="auto"/>
                <w:sz w:val="24"/>
                <w:highlight w:val="none"/>
              </w:rPr>
            </w:pPr>
            <w:r>
              <w:rPr>
                <w:rFonts w:hint="eastAsia" w:ascii="宋体" w:hAnsi="宋体" w:cs="仿宋_GB2312"/>
                <w:bCs/>
                <w:color w:val="auto"/>
                <w:sz w:val="24"/>
                <w:highlight w:val="none"/>
              </w:rPr>
              <w:t>学历为本科（含）及以上学历（提供学历证书复印件，符合得1分，不符合不得分）；</w:t>
            </w:r>
          </w:p>
          <w:p>
            <w:pPr>
              <w:spacing w:line="360" w:lineRule="auto"/>
              <w:outlineLvl w:val="0"/>
              <w:rPr>
                <w:rFonts w:hint="eastAsia" w:ascii="宋体" w:hAnsi="宋体" w:cs="仿宋_GB2312"/>
                <w:bCs/>
                <w:color w:val="auto"/>
                <w:sz w:val="24"/>
                <w:highlight w:val="none"/>
              </w:rPr>
            </w:pPr>
            <w:r>
              <w:rPr>
                <w:rFonts w:hint="eastAsia" w:ascii="宋体" w:hAnsi="宋体" w:cs="仿宋_GB2312"/>
                <w:bCs/>
                <w:color w:val="auto"/>
                <w:sz w:val="24"/>
                <w:highlight w:val="none"/>
              </w:rPr>
              <w:t>具有5年及以上非住宅类物业项目管理经验，提供</w:t>
            </w:r>
            <w:r>
              <w:rPr>
                <w:rFonts w:hint="eastAsia" w:asciiTheme="minorEastAsia" w:hAnsiTheme="minorEastAsia" w:eastAsiaTheme="minorEastAsia" w:cstheme="minorEastAsia"/>
                <w:color w:val="auto"/>
                <w:kern w:val="0"/>
                <w:sz w:val="24"/>
                <w:highlight w:val="none"/>
                <w:lang w:bidi="ar"/>
              </w:rPr>
              <w:t>加盖原服务单位公章的工作经验的</w:t>
            </w:r>
            <w:r>
              <w:rPr>
                <w:rFonts w:hint="eastAsia" w:ascii="宋体" w:hAnsi="宋体" w:cs="仿宋_GB2312"/>
                <w:bCs/>
                <w:color w:val="auto"/>
                <w:sz w:val="24"/>
                <w:highlight w:val="none"/>
              </w:rPr>
              <w:t>工作履历</w:t>
            </w:r>
            <w:r>
              <w:rPr>
                <w:rFonts w:hint="eastAsia" w:asciiTheme="minorEastAsia" w:hAnsiTheme="minorEastAsia" w:eastAsiaTheme="minorEastAsia" w:cstheme="minorEastAsia"/>
                <w:color w:val="auto"/>
                <w:kern w:val="0"/>
                <w:sz w:val="24"/>
                <w:highlight w:val="none"/>
                <w:lang w:bidi="ar"/>
              </w:rPr>
              <w:t>证明文件</w:t>
            </w:r>
            <w:r>
              <w:rPr>
                <w:rFonts w:hint="eastAsia" w:ascii="宋体" w:hAnsi="宋体" w:cs="仿宋_GB2312"/>
                <w:bCs/>
                <w:color w:val="auto"/>
                <w:sz w:val="24"/>
                <w:highlight w:val="none"/>
              </w:rPr>
              <w:t>（符合得3分，不符合不得分）。</w:t>
            </w:r>
          </w:p>
          <w:p>
            <w:pPr>
              <w:spacing w:line="360" w:lineRule="auto"/>
              <w:outlineLvl w:val="0"/>
              <w:rPr>
                <w:rFonts w:hint="eastAsia" w:cs="仿宋_GB2312" w:asciiTheme="minorEastAsia" w:hAnsiTheme="minorEastAsia"/>
                <w:color w:val="auto"/>
                <w:sz w:val="24"/>
                <w:highlight w:val="none"/>
              </w:rPr>
            </w:pPr>
            <w:r>
              <w:rPr>
                <w:rFonts w:hint="eastAsia" w:ascii="宋体" w:hAnsi="宋体" w:cs="仿宋_GB2312"/>
                <w:b/>
                <w:color w:val="auto"/>
                <w:sz w:val="24"/>
                <w:highlight w:val="none"/>
              </w:rPr>
              <w:t>须提供本项目总负责人近三个月内任意一个月</w:t>
            </w:r>
            <w:r>
              <w:rPr>
                <w:rFonts w:hint="eastAsia" w:ascii="宋体" w:hAnsi="宋体" w:eastAsia="宋体" w:cs="仿宋_GB2312"/>
                <w:b/>
                <w:color w:val="auto"/>
                <w:sz w:val="24"/>
                <w:highlight w:val="none"/>
              </w:rPr>
              <w:t>在投标人处的</w:t>
            </w:r>
            <w:bookmarkStart w:id="416" w:name="_GoBack"/>
            <w:bookmarkEnd w:id="416"/>
            <w:r>
              <w:rPr>
                <w:rFonts w:hint="eastAsia" w:ascii="宋体" w:hAnsi="宋体" w:cs="仿宋_GB2312"/>
                <w:b/>
                <w:color w:val="auto"/>
                <w:sz w:val="24"/>
                <w:highlight w:val="none"/>
              </w:rPr>
              <w:t>社保证明，否则不得分。</w:t>
            </w:r>
          </w:p>
        </w:tc>
        <w:tc>
          <w:tcPr>
            <w:tcW w:w="1165"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5分</w:t>
            </w:r>
          </w:p>
        </w:tc>
        <w:tc>
          <w:tcPr>
            <w:tcW w:w="972"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客观</w:t>
            </w:r>
          </w:p>
        </w:tc>
        <w:tc>
          <w:tcPr>
            <w:tcW w:w="2231"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岗位需求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p>
        </w:tc>
        <w:tc>
          <w:tcPr>
            <w:tcW w:w="4221" w:type="dxa"/>
            <w:vAlign w:val="center"/>
          </w:tcPr>
          <w:p>
            <w:pPr>
              <w:snapToGrid w:val="0"/>
              <w:spacing w:line="360" w:lineRule="auto"/>
              <w:rPr>
                <w:rFonts w:hint="eastAsia" w:ascii="宋体" w:hAnsi="宋体" w:cs="仿宋_GB2312"/>
                <w:bCs/>
                <w:color w:val="auto"/>
                <w:sz w:val="24"/>
                <w:highlight w:val="none"/>
              </w:rPr>
            </w:pPr>
            <w:r>
              <w:rPr>
                <w:rFonts w:hint="eastAsia" w:ascii="宋体" w:hAnsi="宋体" w:cs="仿宋_GB2312"/>
                <w:bCs/>
                <w:color w:val="auto"/>
                <w:sz w:val="24"/>
                <w:highlight w:val="none"/>
              </w:rPr>
              <w:t>2、管理主管2岗：</w:t>
            </w:r>
          </w:p>
          <w:p>
            <w:pPr>
              <w:snapToGrid w:val="0"/>
              <w:spacing w:line="360" w:lineRule="auto"/>
              <w:rPr>
                <w:rFonts w:hint="eastAsia" w:ascii="宋体" w:hAnsi="宋体" w:cs="仿宋_GB2312"/>
                <w:bCs/>
                <w:color w:val="auto"/>
                <w:sz w:val="24"/>
                <w:highlight w:val="none"/>
              </w:rPr>
            </w:pPr>
            <w:r>
              <w:rPr>
                <w:rFonts w:hint="eastAsia" w:ascii="宋体" w:hAnsi="宋体" w:cs="仿宋_GB2312"/>
                <w:bCs/>
                <w:color w:val="auto"/>
                <w:sz w:val="24"/>
                <w:highlight w:val="none"/>
              </w:rPr>
              <w:t>50周岁及以下（全部符合得1分，提供有效身份证复印件，须提供近三个月内</w:t>
            </w:r>
            <w:r>
              <w:rPr>
                <w:rFonts w:hint="eastAsia"/>
              </w:rPr>
              <w:t>在投标人处</w:t>
            </w:r>
            <w:r>
              <w:rPr>
                <w:rFonts w:hint="eastAsia" w:ascii="宋体" w:hAnsi="宋体" w:cs="仿宋_GB2312"/>
                <w:bCs/>
                <w:color w:val="auto"/>
                <w:sz w:val="24"/>
                <w:highlight w:val="none"/>
              </w:rPr>
              <w:t>任意一个月社保，不符合不得分）</w:t>
            </w:r>
          </w:p>
          <w:p>
            <w:pPr>
              <w:snapToGrid w:val="0"/>
              <w:spacing w:line="360" w:lineRule="auto"/>
              <w:rPr>
                <w:rFonts w:hint="eastAsia" w:ascii="宋体" w:hAnsi="宋体" w:cs="仿宋_GB2312"/>
                <w:bCs/>
                <w:color w:val="auto"/>
                <w:sz w:val="24"/>
                <w:highlight w:val="none"/>
              </w:rPr>
            </w:pPr>
            <w:r>
              <w:rPr>
                <w:rFonts w:hint="eastAsia" w:ascii="宋体" w:hAnsi="宋体" w:cs="仿宋_GB2312"/>
                <w:bCs/>
                <w:color w:val="auto"/>
                <w:sz w:val="24"/>
                <w:highlight w:val="none"/>
              </w:rPr>
              <w:t>3、工程人员岗：</w:t>
            </w:r>
          </w:p>
          <w:p>
            <w:pPr>
              <w:snapToGrid w:val="0"/>
              <w:spacing w:line="360" w:lineRule="auto"/>
              <w:rPr>
                <w:rFonts w:hint="eastAsia" w:ascii="宋体" w:hAnsi="宋体" w:cs="仿宋_GB2312"/>
                <w:bCs/>
                <w:color w:val="auto"/>
                <w:sz w:val="24"/>
                <w:highlight w:val="none"/>
              </w:rPr>
            </w:pPr>
            <w:r>
              <w:rPr>
                <w:rFonts w:hint="eastAsia" w:ascii="宋体" w:hAnsi="宋体" w:cs="仿宋_GB2312"/>
                <w:bCs/>
                <w:color w:val="auto"/>
                <w:sz w:val="24"/>
                <w:highlight w:val="none"/>
              </w:rPr>
              <w:t>55周岁及以下，（符合得,1分，提供身份证复印件，须提供近三个月内</w:t>
            </w:r>
            <w:r>
              <w:rPr>
                <w:rFonts w:hint="eastAsia"/>
                <w:color w:val="auto"/>
                <w:highlight w:val="none"/>
              </w:rPr>
              <w:t>在投标人处</w:t>
            </w:r>
            <w:r>
              <w:rPr>
                <w:rFonts w:hint="eastAsia" w:ascii="宋体" w:hAnsi="宋体" w:cs="仿宋_GB2312"/>
                <w:bCs/>
                <w:color w:val="auto"/>
                <w:sz w:val="24"/>
                <w:highlight w:val="none"/>
              </w:rPr>
              <w:t>任意一个月社保，不符合不得分）</w:t>
            </w:r>
          </w:p>
          <w:p>
            <w:pPr>
              <w:snapToGrid w:val="0"/>
              <w:spacing w:line="360" w:lineRule="auto"/>
              <w:rPr>
                <w:rFonts w:hint="eastAsia" w:ascii="宋体" w:hAnsi="宋体" w:cs="仿宋_GB2312"/>
                <w:bCs/>
                <w:color w:val="auto"/>
                <w:sz w:val="24"/>
                <w:highlight w:val="none"/>
              </w:rPr>
            </w:pPr>
            <w:r>
              <w:rPr>
                <w:rFonts w:hint="eastAsia" w:ascii="宋体" w:hAnsi="宋体" w:cs="仿宋_GB2312"/>
                <w:bCs/>
                <w:color w:val="auto"/>
                <w:sz w:val="24"/>
                <w:highlight w:val="none"/>
              </w:rPr>
              <w:t>4、消控人员4岗，50周岁（含）以下，（提</w:t>
            </w:r>
            <w:r>
              <w:rPr>
                <w:rFonts w:hint="eastAsia" w:ascii="宋体" w:hAnsi="宋体" w:cs="宋体"/>
                <w:color w:val="auto"/>
                <w:sz w:val="24"/>
                <w:highlight w:val="none"/>
              </w:rPr>
              <w:t>供</w:t>
            </w:r>
            <w:r>
              <w:rPr>
                <w:rFonts w:hint="eastAsia" w:ascii="宋体" w:hAnsi="宋体" w:cs="仿宋_GB2312"/>
                <w:bCs/>
                <w:color w:val="auto"/>
                <w:sz w:val="24"/>
                <w:highlight w:val="none"/>
              </w:rPr>
              <w:t>近三个月内任意一个月在投标人处社保，全部满足得1分，不符合不得分）：</w:t>
            </w:r>
          </w:p>
          <w:p>
            <w:pPr>
              <w:autoSpaceDE w:val="0"/>
              <w:autoSpaceDN w:val="0"/>
              <w:spacing w:line="360" w:lineRule="auto"/>
              <w:rPr>
                <w:rFonts w:hint="eastAsia" w:ascii="宋体" w:hAnsi="宋体" w:cs="仿宋_GB2312"/>
                <w:bCs/>
                <w:color w:val="auto"/>
                <w:sz w:val="24"/>
                <w:highlight w:val="none"/>
              </w:rPr>
            </w:pPr>
            <w:r>
              <w:rPr>
                <w:rFonts w:hint="eastAsia" w:ascii="宋体" w:hAnsi="宋体" w:cs="宋体"/>
                <w:color w:val="auto"/>
                <w:sz w:val="24"/>
                <w:highlight w:val="none"/>
              </w:rPr>
              <w:t>5、拟投入</w:t>
            </w:r>
            <w:r>
              <w:rPr>
                <w:rFonts w:hint="eastAsia" w:ascii="宋体" w:hAnsi="宋体" w:cs="宋体"/>
                <w:color w:val="auto"/>
                <w:sz w:val="24"/>
                <w:highlight w:val="none"/>
                <w:lang w:val="zh-CN"/>
              </w:rPr>
              <w:t>保安人员</w:t>
            </w:r>
            <w:r>
              <w:rPr>
                <w:rFonts w:hint="eastAsia" w:ascii="宋体" w:hAnsi="宋体" w:cs="宋体"/>
                <w:color w:val="auto"/>
                <w:sz w:val="24"/>
                <w:highlight w:val="none"/>
              </w:rPr>
              <w:t>7岗(</w:t>
            </w:r>
            <w:r>
              <w:rPr>
                <w:rFonts w:hint="eastAsia" w:ascii="宋体" w:hAnsi="宋体" w:cs="仿宋_GB2312"/>
                <w:bCs/>
                <w:color w:val="auto"/>
                <w:sz w:val="24"/>
                <w:highlight w:val="none"/>
              </w:rPr>
              <w:t>须提供</w:t>
            </w:r>
            <w:r>
              <w:rPr>
                <w:rFonts w:hint="eastAsia" w:ascii="宋体" w:hAnsi="宋体" w:cs="宋体"/>
                <w:color w:val="auto"/>
                <w:sz w:val="24"/>
                <w:highlight w:val="none"/>
                <w:lang w:val="zh-CN"/>
              </w:rPr>
              <w:t>保安员证</w:t>
            </w:r>
            <w:r>
              <w:rPr>
                <w:rFonts w:hint="eastAsia" w:ascii="宋体" w:hAnsi="宋体" w:cs="宋体"/>
                <w:color w:val="auto"/>
                <w:sz w:val="24"/>
                <w:highlight w:val="none"/>
              </w:rPr>
              <w:t>,</w:t>
            </w:r>
            <w:r>
              <w:rPr>
                <w:rFonts w:hint="eastAsia" w:ascii="宋体" w:hAnsi="宋体" w:cs="宋体"/>
                <w:color w:val="auto"/>
                <w:sz w:val="24"/>
                <w:highlight w:val="none"/>
                <w:lang w:val="zh-CN"/>
              </w:rPr>
              <w:t>55周岁（含）及以下</w:t>
            </w:r>
            <w:r>
              <w:rPr>
                <w:rFonts w:hint="eastAsia" w:ascii="宋体" w:hAnsi="宋体" w:cs="宋体"/>
                <w:color w:val="auto"/>
                <w:sz w:val="24"/>
                <w:highlight w:val="none"/>
              </w:rPr>
              <w:t>,提供</w:t>
            </w:r>
            <w:r>
              <w:rPr>
                <w:rFonts w:hint="eastAsia" w:ascii="宋体" w:hAnsi="宋体" w:cs="仿宋_GB2312"/>
                <w:bCs/>
                <w:color w:val="auto"/>
                <w:sz w:val="24"/>
                <w:highlight w:val="none"/>
              </w:rPr>
              <w:t>近三个月内</w:t>
            </w:r>
            <w:r>
              <w:rPr>
                <w:rFonts w:hint="eastAsia"/>
                <w:color w:val="auto"/>
                <w:highlight w:val="none"/>
              </w:rPr>
              <w:t>在投标人处</w:t>
            </w:r>
            <w:r>
              <w:rPr>
                <w:rFonts w:hint="eastAsia" w:ascii="宋体" w:hAnsi="宋体" w:cs="仿宋_GB2312"/>
                <w:bCs/>
                <w:color w:val="auto"/>
                <w:sz w:val="24"/>
                <w:highlight w:val="none"/>
              </w:rPr>
              <w:t>任意一个月社保，全部满足得2分，不符合不得分)</w:t>
            </w:r>
          </w:p>
          <w:p>
            <w:pPr>
              <w:autoSpaceDE w:val="0"/>
              <w:autoSpaceDN w:val="0"/>
              <w:spacing w:line="360" w:lineRule="auto"/>
              <w:rPr>
                <w:rFonts w:hint="eastAsia" w:ascii="宋体" w:hAnsi="宋体" w:cs="仿宋_GB2312"/>
                <w:bCs/>
                <w:color w:val="auto"/>
                <w:sz w:val="24"/>
                <w:highlight w:val="none"/>
              </w:rPr>
            </w:pPr>
            <w:r>
              <w:rPr>
                <w:rFonts w:hint="eastAsia" w:ascii="宋体" w:hAnsi="宋体" w:cs="仿宋_GB2312"/>
                <w:bCs/>
                <w:color w:val="auto"/>
                <w:sz w:val="24"/>
                <w:highlight w:val="none"/>
              </w:rPr>
              <w:t>6、人员配备须满足采购需求岗位配备，提供合理人员岗位排班表（参照采购需求中岗位需求所列表，满足得4分，不满足不得分）</w:t>
            </w:r>
          </w:p>
        </w:tc>
        <w:tc>
          <w:tcPr>
            <w:tcW w:w="1165"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9分</w:t>
            </w:r>
          </w:p>
        </w:tc>
        <w:tc>
          <w:tcPr>
            <w:tcW w:w="972"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客观</w:t>
            </w:r>
          </w:p>
        </w:tc>
        <w:tc>
          <w:tcPr>
            <w:tcW w:w="2231"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岗位需求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4221" w:type="dxa"/>
            <w:vAlign w:val="center"/>
          </w:tcPr>
          <w:p>
            <w:pPr>
              <w:spacing w:line="360" w:lineRule="auto"/>
              <w:outlineLvl w:val="0"/>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详细说明投入的管理设备、工具、药剂、耗材的环保性和优越性，提供相关设备、工具、材料的品牌、型号、产地、数量等清单，品种、数量配置是否合理。符合得</w:t>
            </w:r>
            <w:r>
              <w:rPr>
                <w:rFonts w:hint="eastAsia" w:ascii="宋体" w:hAnsi="宋体" w:cs="仿宋_GB2312"/>
                <w:bCs/>
                <w:color w:val="auto"/>
                <w:sz w:val="24"/>
                <w:highlight w:val="none"/>
                <w:lang w:val="en-US" w:eastAsia="zh-CN"/>
              </w:rPr>
              <w:t>5</w:t>
            </w:r>
            <w:r>
              <w:rPr>
                <w:rFonts w:hint="eastAsia" w:ascii="宋体" w:hAnsi="宋体" w:cs="仿宋_GB2312"/>
                <w:bCs/>
                <w:color w:val="auto"/>
                <w:sz w:val="24"/>
                <w:highlight w:val="none"/>
              </w:rPr>
              <w:t>分，部分符合得</w:t>
            </w:r>
            <w:r>
              <w:rPr>
                <w:rFonts w:hint="eastAsia" w:ascii="宋体" w:hAnsi="宋体" w:cs="仿宋_GB2312"/>
                <w:bCs/>
                <w:color w:val="auto"/>
                <w:sz w:val="24"/>
                <w:highlight w:val="none"/>
                <w:lang w:val="en-US" w:eastAsia="zh-CN"/>
              </w:rPr>
              <w:t>3</w:t>
            </w:r>
            <w:r>
              <w:rPr>
                <w:rFonts w:hint="eastAsia" w:ascii="宋体" w:hAnsi="宋体" w:cs="仿宋_GB2312"/>
                <w:bCs/>
                <w:color w:val="auto"/>
                <w:sz w:val="24"/>
                <w:highlight w:val="none"/>
              </w:rPr>
              <w:t>分，不符合不得分。</w:t>
            </w:r>
          </w:p>
        </w:tc>
        <w:tc>
          <w:tcPr>
            <w:tcW w:w="1165"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5</w:t>
            </w:r>
            <w:r>
              <w:rPr>
                <w:rFonts w:hint="eastAsia" w:cs="仿宋_GB2312" w:asciiTheme="minorEastAsia" w:hAnsiTheme="minorEastAsia" w:eastAsiaTheme="minorEastAsia"/>
                <w:color w:val="auto"/>
                <w:sz w:val="24"/>
                <w:highlight w:val="none"/>
              </w:rPr>
              <w:t>分</w:t>
            </w:r>
          </w:p>
        </w:tc>
        <w:tc>
          <w:tcPr>
            <w:tcW w:w="972"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w:t>
            </w:r>
          </w:p>
        </w:tc>
        <w:tc>
          <w:tcPr>
            <w:tcW w:w="2231"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（十）项目实施的物资配置计划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4221" w:type="dxa"/>
            <w:vAlign w:val="center"/>
          </w:tcPr>
          <w:p>
            <w:pPr>
              <w:rPr>
                <w:rFonts w:hint="eastAsia" w:ascii="宋体" w:hAnsi="宋体" w:cs="仿宋_GB2312"/>
                <w:bCs/>
                <w:color w:val="auto"/>
                <w:sz w:val="24"/>
                <w:highlight w:val="none"/>
              </w:rPr>
            </w:pPr>
            <w:r>
              <w:rPr>
                <w:rFonts w:hint="eastAsia" w:ascii="宋体" w:hAnsi="宋体" w:cs="仿宋_GB2312"/>
                <w:bCs/>
                <w:color w:val="auto"/>
                <w:sz w:val="24"/>
                <w:highlight w:val="none"/>
              </w:rPr>
              <w:t>投标人获得的有效的质量管理体系认证、环境管理体系认证、职业健康安全管理体系认证、能源管理体系认证、，每个证书得1分，最高得</w:t>
            </w:r>
            <w:r>
              <w:rPr>
                <w:rFonts w:hint="eastAsia" w:ascii="宋体" w:hAnsi="宋体" w:cs="仿宋_GB2312"/>
                <w:bCs/>
                <w:color w:val="auto"/>
                <w:sz w:val="24"/>
                <w:highlight w:val="none"/>
                <w:lang w:val="en-US" w:eastAsia="zh-CN"/>
              </w:rPr>
              <w:t>4</w:t>
            </w:r>
            <w:r>
              <w:rPr>
                <w:rFonts w:hint="eastAsia" w:ascii="宋体" w:hAnsi="宋体" w:cs="仿宋_GB2312"/>
                <w:bCs/>
                <w:color w:val="auto"/>
                <w:sz w:val="24"/>
                <w:highlight w:val="none"/>
              </w:rPr>
              <w:t>分。</w:t>
            </w:r>
          </w:p>
          <w:p>
            <w:pPr>
              <w:rPr>
                <w:rFonts w:hint="eastAsia" w:cs="仿宋_GB2312" w:asciiTheme="minorEastAsia" w:hAnsiTheme="minorEastAsia" w:eastAsiaTheme="minorEastAsia"/>
                <w:color w:val="auto"/>
                <w:sz w:val="24"/>
                <w:highlight w:val="none"/>
              </w:rPr>
            </w:pPr>
            <w:r>
              <w:rPr>
                <w:rFonts w:hint="eastAsia" w:ascii="宋体" w:hAnsi="宋体" w:cs="宋体"/>
                <w:color w:val="auto"/>
                <w:sz w:val="24"/>
                <w:highlight w:val="none"/>
              </w:rPr>
              <w:t>证明材料：提供有效期内的证书扫描件及全国认证认可信息公共服务平台网站查询页面截图。</w:t>
            </w:r>
          </w:p>
        </w:tc>
        <w:tc>
          <w:tcPr>
            <w:tcW w:w="1165"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4</w:t>
            </w:r>
            <w:r>
              <w:rPr>
                <w:rFonts w:hint="eastAsia" w:cs="仿宋_GB2312" w:asciiTheme="minorEastAsia" w:hAnsiTheme="minorEastAsia" w:eastAsiaTheme="minorEastAsia"/>
                <w:color w:val="auto"/>
                <w:sz w:val="24"/>
                <w:highlight w:val="none"/>
              </w:rPr>
              <w:t>分</w:t>
            </w:r>
          </w:p>
        </w:tc>
        <w:tc>
          <w:tcPr>
            <w:tcW w:w="972"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客观</w:t>
            </w:r>
          </w:p>
        </w:tc>
        <w:tc>
          <w:tcPr>
            <w:tcW w:w="2231"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（十一）投标人的资信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4221" w:type="dxa"/>
            <w:vAlign w:val="center"/>
          </w:tcPr>
          <w:p>
            <w:pPr>
              <w:spacing w:line="360" w:lineRule="auto"/>
              <w:outlineLvl w:val="0"/>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投标人需提供2022年1月1日至今承担的类似项目（含保安、保洁、绿化等服务内容缺一不可）业绩的成功案例，须提供合同复印件，一个项目计0.2分，最高得1分。</w:t>
            </w:r>
          </w:p>
        </w:tc>
        <w:tc>
          <w:tcPr>
            <w:tcW w:w="1165"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1分</w:t>
            </w:r>
          </w:p>
        </w:tc>
        <w:tc>
          <w:tcPr>
            <w:tcW w:w="972"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客观</w:t>
            </w:r>
          </w:p>
        </w:tc>
        <w:tc>
          <w:tcPr>
            <w:tcW w:w="2231"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ascii="宋体" w:hAnsi="宋体" w:cs="仿宋_GB2312"/>
                <w:bCs/>
                <w:color w:val="auto"/>
                <w:sz w:val="24"/>
                <w:highlight w:val="none"/>
              </w:rPr>
              <w:t>（十二）投标人类似项目建设的案例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4221" w:type="dxa"/>
            <w:vAlign w:val="center"/>
          </w:tcPr>
          <w:p>
            <w:pPr>
              <w:widowControl/>
              <w:shd w:val="clear" w:color="auto" w:fill="FFFFFF"/>
              <w:adjustRightInd/>
              <w:spacing w:after="225" w:line="315" w:lineRule="atLeast"/>
              <w:ind w:firstLine="42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有效投标报价的最低价作为评标基准价，其最低报价为满分；按［投标报价得分</w:t>
            </w:r>
            <w:r>
              <w:rPr>
                <w:rFonts w:cs="仿宋_GB2312" w:asciiTheme="minorEastAsia" w:hAnsiTheme="minorEastAsia" w:eastAsiaTheme="minorEastAsia"/>
                <w:color w:val="auto"/>
                <w:sz w:val="24"/>
                <w:highlight w:val="none"/>
              </w:rPr>
              <w:t>=（评标基准价/投标报价）*</w:t>
            </w:r>
            <w:r>
              <w:rPr>
                <w:rFonts w:hint="eastAsia" w:cs="仿宋_GB2312" w:asciiTheme="minorEastAsia" w:hAnsiTheme="minorEastAsia" w:eastAsiaTheme="minorEastAsia"/>
                <w:color w:val="auto"/>
                <w:sz w:val="24"/>
                <w:highlight w:val="none"/>
              </w:rPr>
              <w:t>最高分值</w:t>
            </w:r>
            <w:r>
              <w:rPr>
                <w:rFonts w:cs="仿宋_GB2312" w:asciiTheme="minorEastAsia" w:hAnsiTheme="minorEastAsia" w:eastAsiaTheme="minorEastAsia"/>
                <w:color w:val="auto"/>
                <w:sz w:val="24"/>
                <w:highlight w:val="none"/>
              </w:rPr>
              <w:t>］的计算公式计算。</w:t>
            </w:r>
          </w:p>
          <w:p>
            <w:pPr>
              <w:widowControl/>
              <w:shd w:val="clear" w:color="auto" w:fill="FFFFFF"/>
              <w:adjustRightInd/>
              <w:spacing w:after="225" w:line="315" w:lineRule="atLeast"/>
              <w:ind w:firstLine="420"/>
              <w:rPr>
                <w:rFonts w:hint="eastAsia" w:asciiTheme="minorEastAsia" w:hAnsiTheme="minorEastAsia" w:eastAsiaTheme="minorEastAsia"/>
                <w:color w:val="auto"/>
                <w:sz w:val="24"/>
                <w:highlight w:val="none"/>
              </w:rPr>
            </w:pPr>
            <w:r>
              <w:rPr>
                <w:rFonts w:cs="仿宋_GB2312" w:asciiTheme="minorEastAsia" w:hAnsiTheme="minorEastAsia" w:eastAsiaTheme="minorEastAsia"/>
                <w:color w:val="auto"/>
                <w:sz w:val="24"/>
                <w:highlight w:val="none"/>
              </w:rPr>
              <w:t>评标过程中，不得去掉报价中的最高报价和最低报价。</w:t>
            </w:r>
          </w:p>
        </w:tc>
        <w:tc>
          <w:tcPr>
            <w:tcW w:w="1165"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10分</w:t>
            </w:r>
          </w:p>
        </w:tc>
        <w:tc>
          <w:tcPr>
            <w:tcW w:w="972"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p>
        </w:tc>
        <w:tc>
          <w:tcPr>
            <w:tcW w:w="2231" w:type="dxa"/>
            <w:vAlign w:val="center"/>
          </w:tcPr>
          <w:p>
            <w:pPr>
              <w:spacing w:line="360" w:lineRule="auto"/>
              <w:jc w:val="center"/>
              <w:outlineLvl w:val="0"/>
              <w:rPr>
                <w:rFonts w:hint="eastAsia"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24"/>
                <w:highlight w:val="none"/>
              </w:rPr>
              <w:t>/</w:t>
            </w:r>
          </w:p>
        </w:tc>
      </w:tr>
    </w:tbl>
    <w:p>
      <w:pPr>
        <w:rPr>
          <w:color w:val="auto"/>
          <w:highlight w:val="none"/>
        </w:rPr>
      </w:pPr>
    </w:p>
    <w:p>
      <w:pPr>
        <w:snapToGrid w:val="0"/>
        <w:spacing w:line="360" w:lineRule="auto"/>
        <w:rPr>
          <w:rFonts w:hint="eastAsia"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pPr>
        <w:snapToGrid w:val="0"/>
        <w:spacing w:line="360" w:lineRule="auto"/>
        <w:rPr>
          <w:rFonts w:hint="eastAsia" w:ascii="宋体" w:hAnsi="宋体" w:cs="宋体"/>
          <w:b/>
          <w:color w:val="auto"/>
          <w:sz w:val="28"/>
          <w:szCs w:val="28"/>
          <w:highlight w:val="none"/>
        </w:rPr>
      </w:pPr>
      <w:r>
        <w:rPr>
          <w:rFonts w:hint="eastAsia" w:ascii="宋体" w:hAnsi="宋体" w:cs="宋体"/>
          <w:b/>
          <w:color w:val="auto"/>
          <w:sz w:val="32"/>
          <w:highlight w:val="none"/>
        </w:rPr>
        <w:t>一、评标方法</w:t>
      </w:r>
    </w:p>
    <w:p>
      <w:pPr>
        <w:adjustRightInd/>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rPr>
          <w:rFonts w:hint="eastAsia" w:ascii="宋体" w:hAnsi="宋体" w:cs="宋体"/>
          <w:color w:val="auto"/>
          <w:kern w:val="0"/>
          <w:sz w:val="24"/>
          <w:highlight w:val="none"/>
        </w:rPr>
      </w:pPr>
      <w:r>
        <w:rPr>
          <w:rFonts w:hint="eastAsia" w:ascii="宋体" w:hAnsi="宋体" w:cs="宋体"/>
          <w:b/>
          <w:color w:val="auto"/>
          <w:sz w:val="32"/>
          <w:highlight w:val="none"/>
        </w:rPr>
        <w:t>二、评标标准</w:t>
      </w:r>
    </w:p>
    <w:p>
      <w:pPr>
        <w:spacing w:line="360"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pPr>
        <w:spacing w:line="360" w:lineRule="auto"/>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三、评标程序</w:t>
      </w:r>
    </w:p>
    <w:p>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pPr>
        <w:spacing w:line="360" w:lineRule="auto"/>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3.4报价评审。</w:t>
      </w:r>
    </w:p>
    <w:p>
      <w:pPr>
        <w:pStyle w:val="131"/>
        <w:spacing w:before="0"/>
        <w:ind w:firstLine="508" w:firstLineChars="212"/>
        <w:rPr>
          <w:rFonts w:hint="eastAsia"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widowControl/>
        <w:shd w:val="clear" w:color="auto" w:fill="FFFFFF"/>
        <w:spacing w:line="480" w:lineRule="atLeast"/>
        <w:ind w:firstLine="640"/>
        <w:textAlignment w:val="baseline"/>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rPr>
        <w:t>3.4.2</w:t>
      </w:r>
      <w:r>
        <w:rPr>
          <w:rFonts w:hint="eastAsia" w:ascii="宋体" w:hAnsi="宋体" w:cs="宋体"/>
          <w:color w:val="auto"/>
          <w:kern w:val="0"/>
          <w:sz w:val="24"/>
          <w:highlight w:val="none"/>
          <w:shd w:val="clear" w:color="auto" w:fill="FFFFFF"/>
          <w:lang w:bidi="ar"/>
        </w:rPr>
        <w:t>政府采购评审中出现招标文件第二部分投标人须知《前附表》“报价要求”第（2）条所列情形之一的，评审委员会应当启动异常低价投标（响应）审查程序。</w:t>
      </w:r>
    </w:p>
    <w:p>
      <w:pPr>
        <w:widowControl/>
        <w:shd w:val="clear" w:color="auto" w:fill="FFFFFF"/>
        <w:spacing w:after="120" w:afterLines="50" w:line="480" w:lineRule="atLeast"/>
        <w:ind w:firstLine="641"/>
        <w:textAlignment w:val="baseline"/>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3.4.3对于未预留份额专门面向中小企业的政府采购服务项目，以及预留份额政府采购服务项目中的非预留部分标项，对小型和微型企业的投标报价给予10%-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kern w:val="0"/>
          <w:sz w:val="24"/>
          <w:highlight w:val="none"/>
        </w:rPr>
        <w:t>3.4.4</w:t>
      </w:r>
      <w:r>
        <w:rPr>
          <w:rFonts w:hint="eastAsia" w:ascii="宋体" w:hAnsi="宋体" w:cs="宋体"/>
          <w:b/>
          <w:color w:val="auto"/>
          <w:kern w:val="0"/>
          <w:sz w:val="24"/>
          <w:highlight w:val="none"/>
        </w:rPr>
        <w:t xml:space="preserve"> </w:t>
      </w:r>
      <w:r>
        <w:rPr>
          <w:rFonts w:hint="eastAsia" w:ascii="宋体" w:hAnsi="宋体" w:cs="宋体"/>
          <w:color w:val="auto"/>
          <w:sz w:val="24"/>
          <w:highlight w:val="none"/>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pPr>
        <w:spacing w:line="360" w:lineRule="auto"/>
        <w:ind w:firstLine="481" w:firstLineChars="200"/>
        <w:rPr>
          <w:rFonts w:hint="eastAsia"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hint="eastAsia"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hint="eastAsia" w:ascii="宋体" w:hAnsi="宋体" w:cs="宋体"/>
          <w:b/>
          <w:color w:val="auto"/>
          <w:sz w:val="32"/>
          <w:highlight w:val="none"/>
        </w:rPr>
      </w:pPr>
      <w:r>
        <w:rPr>
          <w:rFonts w:hint="eastAsia" w:ascii="宋体" w:hAnsi="宋体" w:cs="宋体"/>
          <w:b/>
          <w:color w:val="auto"/>
          <w:sz w:val="32"/>
          <w:highlight w:val="none"/>
        </w:rPr>
        <w:t>四、评标中的其他事项</w:t>
      </w:r>
    </w:p>
    <w:p>
      <w:pPr>
        <w:pStyle w:val="131"/>
        <w:spacing w:before="0"/>
        <w:ind w:firstLine="472" w:firstLineChars="196"/>
        <w:rPr>
          <w:rFonts w:hint="eastAsia"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4"/>
        <w:spacing w:line="360" w:lineRule="auto"/>
        <w:ind w:left="954" w:leftChars="226" w:hanging="479" w:firstLineChars="0"/>
        <w:rPr>
          <w:rFonts w:hint="eastAsia"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pPr>
        <w:snapToGrid w:val="0"/>
        <w:spacing w:line="360" w:lineRule="auto"/>
        <w:ind w:firstLine="120" w:firstLineChars="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4.2.8投标人对根据修正原则修正后的报价不确认的；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4.2.9 </w:t>
      </w:r>
      <w:r>
        <w:rPr>
          <w:rFonts w:hint="eastAsia" w:ascii="宋体" w:hAnsi="宋体" w:cs="宋体"/>
          <w:color w:val="auto"/>
          <w:kern w:val="0"/>
          <w:sz w:val="24"/>
          <w:highlight w:val="none"/>
          <w:shd w:val="clear" w:color="auto" w:fill="FFFFFF"/>
          <w:lang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color w:val="auto"/>
          <w:highlight w:val="none"/>
        </w:rPr>
      </w:pPr>
      <w:r>
        <w:rPr>
          <w:rFonts w:hint="eastAsia" w:ascii="宋体" w:hAnsi="宋体" w:cs="宋体"/>
          <w:color w:val="auto"/>
          <w:kern w:val="0"/>
          <w:sz w:val="24"/>
          <w:highlight w:val="none"/>
        </w:rPr>
        <w:t>4.2.12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4.2.13投标人仅提交备份投标文件，未在电子交易平台传输递交投标文件的，投标无效；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4.2.14投标人未提供样品或提供的样品不满足采购需求实质性条件的，投标无效；</w:t>
      </w:r>
    </w:p>
    <w:p>
      <w:pPr>
        <w:pStyle w:val="3"/>
        <w:ind w:left="862" w:leftChars="205"/>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4.2.15 投标文件不满足招标文件的其它实质性要求的；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4.2.16法律、法规、规章（适用本市的）及省级以上规范性文件（适用本市的）规定的其他无效情形。</w:t>
      </w:r>
    </w:p>
    <w:p>
      <w:pPr>
        <w:pStyle w:val="24"/>
        <w:snapToGrid w:val="0"/>
        <w:spacing w:line="360" w:lineRule="auto"/>
        <w:ind w:firstLine="472" w:firstLineChars="196"/>
        <w:rPr>
          <w:rFonts w:hint="eastAsia"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pPr>
        <w:pStyle w:val="24"/>
        <w:snapToGrid w:val="0"/>
        <w:spacing w:line="360" w:lineRule="auto"/>
        <w:rPr>
          <w:rFonts w:hint="eastAsia" w:cs="宋体"/>
          <w:color w:val="auto"/>
          <w:highlight w:val="none"/>
        </w:rPr>
      </w:pPr>
      <w:r>
        <w:rPr>
          <w:rFonts w:hint="eastAsia" w:cs="宋体"/>
          <w:color w:val="auto"/>
          <w:highlight w:val="none"/>
        </w:rPr>
        <w:t>5.1符合专业条件的供应商或者对招标文件作实质响应的供应商不足3家的；</w:t>
      </w:r>
    </w:p>
    <w:p>
      <w:pPr>
        <w:pStyle w:val="24"/>
        <w:snapToGrid w:val="0"/>
        <w:spacing w:line="360" w:lineRule="auto"/>
        <w:rPr>
          <w:rFonts w:hint="eastAsia" w:cs="宋体"/>
          <w:color w:val="auto"/>
          <w:highlight w:val="none"/>
        </w:rPr>
      </w:pPr>
      <w:r>
        <w:rPr>
          <w:rFonts w:hint="eastAsia" w:cs="宋体"/>
          <w:color w:val="auto"/>
          <w:highlight w:val="none"/>
        </w:rPr>
        <w:t>5.2出现影响采购公正的违法、违规行为的；</w:t>
      </w:r>
    </w:p>
    <w:p>
      <w:pPr>
        <w:pStyle w:val="24"/>
        <w:snapToGrid w:val="0"/>
        <w:spacing w:line="360" w:lineRule="auto"/>
        <w:rPr>
          <w:rFonts w:hint="eastAsia" w:cs="宋体"/>
          <w:color w:val="auto"/>
          <w:highlight w:val="none"/>
        </w:rPr>
      </w:pPr>
      <w:r>
        <w:rPr>
          <w:rFonts w:hint="eastAsia" w:cs="宋体"/>
          <w:color w:val="auto"/>
          <w:highlight w:val="none"/>
        </w:rPr>
        <w:t>5.3投标人的报价均超过了采购预算，采购人不能支付的；</w:t>
      </w:r>
    </w:p>
    <w:p>
      <w:pPr>
        <w:pStyle w:val="24"/>
        <w:snapToGrid w:val="0"/>
        <w:spacing w:line="360" w:lineRule="auto"/>
        <w:rPr>
          <w:rFonts w:hint="eastAsia" w:cs="宋体"/>
          <w:color w:val="auto"/>
          <w:highlight w:val="none"/>
        </w:rPr>
      </w:pPr>
      <w:r>
        <w:rPr>
          <w:rFonts w:hint="eastAsia" w:cs="宋体"/>
          <w:color w:val="auto"/>
          <w:highlight w:val="none"/>
        </w:rPr>
        <w:t>5.4因重大变故，采购任务取消的。</w:t>
      </w:r>
    </w:p>
    <w:p>
      <w:pPr>
        <w:pStyle w:val="24"/>
        <w:snapToGrid w:val="0"/>
        <w:spacing w:line="360" w:lineRule="auto"/>
        <w:rPr>
          <w:rFonts w:hint="eastAsia" w:cs="宋体"/>
          <w:color w:val="auto"/>
          <w:highlight w:val="none"/>
        </w:rPr>
      </w:pPr>
      <w:r>
        <w:rPr>
          <w:rFonts w:hint="eastAsia" w:cs="宋体"/>
          <w:color w:val="auto"/>
          <w:highlight w:val="none"/>
        </w:rPr>
        <w:t>废标后，采购机构应当将废标理由通知所有投标人。</w:t>
      </w:r>
    </w:p>
    <w:p>
      <w:pPr>
        <w:pStyle w:val="24"/>
        <w:snapToGrid w:val="0"/>
        <w:spacing w:line="360" w:lineRule="auto"/>
        <w:ind w:firstLine="590" w:firstLineChars="245"/>
        <w:rPr>
          <w:rFonts w:hint="eastAsia"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pPr>
        <w:pStyle w:val="24"/>
        <w:snapToGrid w:val="0"/>
        <w:spacing w:line="360" w:lineRule="auto"/>
        <w:ind w:firstLine="482"/>
        <w:rPr>
          <w:rFonts w:hint="eastAsia"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pPr>
        <w:pStyle w:val="24"/>
        <w:snapToGrid w:val="0"/>
        <w:spacing w:line="360" w:lineRule="auto"/>
        <w:rPr>
          <w:rFonts w:hint="eastAsia" w:cs="宋体"/>
          <w:color w:val="auto"/>
          <w:highlight w:val="none"/>
        </w:rPr>
      </w:pPr>
      <w:r>
        <w:rPr>
          <w:rFonts w:hint="eastAsia" w:cs="宋体"/>
          <w:color w:val="auto"/>
          <w:highlight w:val="none"/>
        </w:rPr>
        <w:t>7.1未确定中标供应商的，终止本次政府采购活动，重新开展政府采购活动。</w:t>
      </w:r>
    </w:p>
    <w:p>
      <w:pPr>
        <w:pStyle w:val="24"/>
        <w:snapToGrid w:val="0"/>
        <w:spacing w:line="360" w:lineRule="auto"/>
        <w:rPr>
          <w:rFonts w:hint="eastAsia"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pPr>
        <w:pStyle w:val="24"/>
        <w:snapToGrid w:val="0"/>
        <w:spacing w:line="360" w:lineRule="auto"/>
        <w:rPr>
          <w:rFonts w:hint="eastAsia"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pPr>
        <w:pStyle w:val="24"/>
        <w:snapToGrid w:val="0"/>
        <w:spacing w:line="360" w:lineRule="auto"/>
        <w:rPr>
          <w:rFonts w:hint="eastAsia" w:cs="宋体"/>
          <w:color w:val="auto"/>
          <w:highlight w:val="none"/>
        </w:rPr>
      </w:pPr>
      <w:r>
        <w:rPr>
          <w:rFonts w:hint="eastAsia" w:cs="宋体"/>
          <w:color w:val="auto"/>
          <w:highlight w:val="none"/>
        </w:rPr>
        <w:t>7.4政府采购合同已经履行，给采购人、供应商造成损失的，由责任人承担赔偿责任。</w:t>
      </w:r>
    </w:p>
    <w:p>
      <w:pPr>
        <w:pStyle w:val="24"/>
        <w:snapToGrid w:val="0"/>
        <w:spacing w:line="360" w:lineRule="auto"/>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6"/>
    <w:p>
      <w:pPr>
        <w:widowControl/>
        <w:adjustRightInd/>
        <w:jc w:val="left"/>
        <w:rPr>
          <w:rFonts w:hint="eastAsia" w:ascii="宋体" w:hAnsi="宋体" w:cs="宋体"/>
          <w:b/>
          <w:color w:val="auto"/>
          <w:sz w:val="36"/>
          <w:szCs w:val="36"/>
          <w:highlight w:val="none"/>
        </w:rPr>
      </w:pPr>
      <w:bookmarkStart w:id="392" w:name="第五部分"/>
      <w:bookmarkStart w:id="393" w:name="_Toc86217003"/>
      <w:r>
        <w:rPr>
          <w:rFonts w:ascii="宋体" w:hAnsi="宋体" w:cs="宋体"/>
          <w:b/>
          <w:color w:val="auto"/>
          <w:sz w:val="36"/>
          <w:szCs w:val="36"/>
          <w:highlight w:val="none"/>
        </w:rPr>
        <w:br w:type="page"/>
      </w:r>
    </w:p>
    <w:p>
      <w:pPr>
        <w:spacing w:line="360" w:lineRule="auto"/>
        <w:ind w:left="720" w:leftChars="343" w:firstLine="1084" w:firstLineChars="300"/>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pPr>
        <w:spacing w:line="480" w:lineRule="auto"/>
        <w:jc w:val="center"/>
        <w:rPr>
          <w:rFonts w:hint="eastAsia" w:ascii="宋体" w:hAnsi="宋体" w:cs="宋体"/>
          <w:b/>
          <w:color w:val="auto"/>
          <w:sz w:val="28"/>
          <w:szCs w:val="28"/>
          <w:highlight w:val="none"/>
        </w:rPr>
      </w:pPr>
    </w:p>
    <w:p>
      <w:pPr>
        <w:spacing w:line="480" w:lineRule="auto"/>
        <w:jc w:val="center"/>
        <w:rPr>
          <w:rFonts w:hint="eastAsia" w:ascii="宋体" w:hAnsi="宋体" w:cs="宋体"/>
          <w:b/>
          <w:color w:val="auto"/>
          <w:sz w:val="24"/>
          <w:highlight w:val="none"/>
        </w:rPr>
      </w:pPr>
    </w:p>
    <w:p>
      <w:pPr>
        <w:spacing w:line="480" w:lineRule="auto"/>
        <w:jc w:val="center"/>
        <w:rPr>
          <w:rFonts w:hint="eastAsia" w:ascii="宋体" w:hAnsi="宋体" w:cs="宋体"/>
          <w:b/>
          <w:color w:val="auto"/>
          <w:sz w:val="24"/>
          <w:highlight w:val="none"/>
        </w:rPr>
      </w:pPr>
    </w:p>
    <w:p>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（服务类）</w:t>
      </w:r>
    </w:p>
    <w:p>
      <w:pPr>
        <w:pStyle w:val="702"/>
        <w:ind w:firstLine="2843" w:firstLineChars="1180"/>
        <w:rPr>
          <w:rFonts w:hint="eastAsia" w:ascii="宋体" w:hAnsi="宋体" w:cs="宋体"/>
          <w:b/>
          <w:color w:val="auto"/>
          <w:szCs w:val="24"/>
          <w:highlight w:val="none"/>
        </w:rPr>
      </w:pPr>
      <w:r>
        <w:rPr>
          <w:rFonts w:hint="eastAsia" w:ascii="宋体" w:hAnsi="宋体" w:cs="宋体"/>
          <w:b/>
          <w:color w:val="auto"/>
          <w:szCs w:val="24"/>
          <w:highlight w:val="none"/>
        </w:rPr>
        <w:t>第一部分 合同书</w:t>
      </w:r>
    </w:p>
    <w:p>
      <w:pPr>
        <w:spacing w:before="120" w:line="22" w:lineRule="atLeast"/>
        <w:rPr>
          <w:rFonts w:hint="eastAsia" w:ascii="宋体" w:hAnsi="宋体" w:cs="宋体"/>
          <w:color w:val="auto"/>
          <w:sz w:val="24"/>
          <w:highlight w:val="none"/>
        </w:rPr>
      </w:pPr>
    </w:p>
    <w:p>
      <w:pPr>
        <w:pStyle w:val="3"/>
        <w:rPr>
          <w:rFonts w:hint="eastAsia"/>
          <w:color w:val="auto"/>
          <w:highlight w:val="none"/>
        </w:rPr>
      </w:pPr>
    </w:p>
    <w:p>
      <w:pPr>
        <w:spacing w:before="120" w:line="22" w:lineRule="atLeast"/>
        <w:ind w:left="96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pStyle w:val="599"/>
        <w:spacing w:before="120" w:line="22" w:lineRule="atLeast"/>
        <w:rPr>
          <w:rFonts w:hint="eastAsia" w:ascii="宋体" w:hAnsi="宋体" w:eastAsia="宋体" w:cs="宋体"/>
          <w:color w:val="auto"/>
          <w:szCs w:val="24"/>
          <w:highlight w:val="none"/>
        </w:rPr>
      </w:pPr>
    </w:p>
    <w:p>
      <w:pPr>
        <w:pStyle w:val="599"/>
        <w:spacing w:before="120" w:line="22" w:lineRule="atLeast"/>
        <w:rPr>
          <w:rFonts w:hint="eastAsia" w:ascii="宋体" w:hAnsi="宋体" w:eastAsia="宋体" w:cs="宋体"/>
          <w:color w:val="auto"/>
          <w:szCs w:val="24"/>
          <w:highlight w:val="none"/>
        </w:rPr>
      </w:pPr>
    </w:p>
    <w:p>
      <w:pPr>
        <w:rPr>
          <w:rFonts w:hint="eastAsia" w:ascii="宋体" w:hAnsi="宋体" w:cs="宋体"/>
          <w:color w:val="auto"/>
          <w:sz w:val="24"/>
          <w:highlight w:val="none"/>
        </w:rPr>
      </w:pPr>
    </w:p>
    <w:p>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pPr>
        <w:spacing w:before="120" w:line="22" w:lineRule="atLeast"/>
        <w:rPr>
          <w:rFonts w:hint="eastAsia" w:ascii="宋体" w:hAnsi="宋体" w:cs="宋体"/>
          <w:color w:val="auto"/>
          <w:sz w:val="24"/>
          <w:highlight w:val="none"/>
        </w:rPr>
      </w:pPr>
    </w:p>
    <w:p>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pPr>
        <w:spacing w:before="120" w:line="22" w:lineRule="atLeast"/>
        <w:rPr>
          <w:rFonts w:hint="eastAsia" w:ascii="宋体" w:hAnsi="宋体" w:cs="宋体"/>
          <w:color w:val="auto"/>
          <w:sz w:val="24"/>
          <w:highlight w:val="none"/>
        </w:rPr>
      </w:pPr>
    </w:p>
    <w:p>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pPr>
        <w:spacing w:before="120" w:line="22" w:lineRule="atLeast"/>
        <w:rPr>
          <w:rFonts w:hint="eastAsia" w:ascii="宋体" w:hAnsi="宋体" w:cs="宋体"/>
          <w:color w:val="auto"/>
          <w:sz w:val="24"/>
          <w:highlight w:val="none"/>
        </w:rPr>
      </w:pPr>
    </w:p>
    <w:p>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widowControl/>
        <w:jc w:val="left"/>
        <w:rPr>
          <w:rFonts w:hint="eastAsia" w:ascii="宋体" w:hAnsi="宋体" w:cs="宋体"/>
          <w:color w:val="auto"/>
          <w:kern w:val="0"/>
          <w:sz w:val="24"/>
          <w:highlight w:val="none"/>
        </w:rPr>
        <w:sectPr>
          <w:pgSz w:w="11907" w:h="16840"/>
          <w:pgMar w:top="1474" w:right="1814" w:bottom="1474" w:left="1814" w:header="851" w:footer="851" w:gutter="0"/>
          <w:cols w:space="720" w:num="1"/>
        </w:sectPr>
      </w:pPr>
    </w:p>
    <w:p>
      <w:pPr>
        <w:rPr>
          <w:rFonts w:hint="eastAsia" w:ascii="宋体" w:hAnsi="宋体" w:cs="宋体"/>
          <w:b/>
          <w:color w:val="auto"/>
          <w:sz w:val="24"/>
          <w:highlight w:val="none"/>
        </w:rPr>
      </w:pP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杭州国画院</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2026年杭州国画院物业管理项目（招标编号：HZZFCG-2026-064）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rPr>
        <w:t>杭州国画院</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标</w:t>
      </w:r>
      <w:r>
        <w:rPr>
          <w:rFonts w:ascii="宋体" w:hAnsi="宋体"/>
          <w:color w:val="auto"/>
          <w:sz w:val="24"/>
          <w:highlight w:val="none"/>
          <w:u w:val="single"/>
        </w:rPr>
        <w:t xml:space="preserve">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pPr>
        <w:spacing w:line="560" w:lineRule="exact"/>
        <w:ind w:firstLine="481" w:firstLineChars="200"/>
        <w:outlineLvl w:val="0"/>
        <w:rPr>
          <w:rFonts w:hint="eastAsia" w:ascii="宋体" w:hAnsi="宋体"/>
          <w:color w:val="auto"/>
          <w:sz w:val="24"/>
          <w:highlight w:val="none"/>
        </w:rPr>
      </w:pPr>
      <w:r>
        <w:rPr>
          <w:rFonts w:ascii="宋体" w:hAnsi="宋体"/>
          <w:b/>
          <w:color w:val="auto"/>
          <w:sz w:val="24"/>
          <w:highlight w:val="none"/>
        </w:rPr>
        <w:t xml:space="preserve">1.1 </w:t>
      </w:r>
      <w:r>
        <w:rPr>
          <w:rFonts w:hint="eastAsia" w:ascii="宋体" w:hAnsi="宋体"/>
          <w:b/>
          <w:color w:val="auto"/>
          <w:sz w:val="24"/>
          <w:highlight w:val="none"/>
        </w:rPr>
        <w:t>合同组成部分</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 xml:space="preserve">1.2 </w:t>
      </w:r>
      <w:r>
        <w:rPr>
          <w:rFonts w:hint="eastAsia" w:ascii="宋体" w:hAnsi="宋体"/>
          <w:b/>
          <w:color w:val="auto"/>
          <w:sz w:val="24"/>
          <w:highlight w:val="none"/>
        </w:rPr>
        <w:t>标的</w:t>
      </w:r>
    </w:p>
    <w:p>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pPr>
        <w:pStyle w:val="960"/>
        <w:spacing w:before="0" w:beforeAutospacing="0" w:after="0" w:afterAutospacing="0" w:line="360" w:lineRule="auto"/>
        <w:ind w:firstLine="480"/>
        <w:rPr>
          <w:rFonts w:hint="eastAsia"/>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1.3 价款</w:t>
      </w:r>
    </w:p>
    <w:p>
      <w:pPr>
        <w:spacing w:line="560" w:lineRule="exact"/>
        <w:ind w:firstLine="480" w:firstLineChars="200"/>
        <w:rPr>
          <w:rFonts w:hint="eastAsia"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pPr>
        <w:spacing w:line="560" w:lineRule="exact"/>
        <w:ind w:firstLine="480" w:firstLineChars="200"/>
        <w:rPr>
          <w:rFonts w:hint="eastAsia"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jc w:val="center"/>
              <w:rPr>
                <w:rFonts w:hint="eastAsia" w:hAnsi="宋体"/>
                <w:color w:val="auto"/>
                <w:sz w:val="24"/>
                <w:szCs w:val="24"/>
                <w:highlight w:val="none"/>
              </w:rPr>
            </w:pPr>
            <w:r>
              <w:rPr>
                <w:rFonts w:hAnsi="宋体"/>
                <w:color w:val="auto"/>
                <w:sz w:val="24"/>
                <w:szCs w:val="24"/>
                <w:highlight w:val="none"/>
              </w:rPr>
              <w:t>序号</w:t>
            </w:r>
          </w:p>
        </w:tc>
        <w:tc>
          <w:tcPr>
            <w:tcW w:w="3402" w:type="dxa"/>
            <w:vAlign w:val="center"/>
          </w:tcPr>
          <w:p>
            <w:pPr>
              <w:pStyle w:val="320"/>
              <w:spacing w:line="560" w:lineRule="exact"/>
              <w:ind w:firstLine="200"/>
              <w:jc w:val="center"/>
              <w:rPr>
                <w:rFonts w:hint="eastAsia" w:hAnsi="宋体"/>
                <w:color w:val="auto"/>
                <w:sz w:val="24"/>
                <w:szCs w:val="24"/>
                <w:highlight w:val="none"/>
              </w:rPr>
            </w:pPr>
            <w:r>
              <w:rPr>
                <w:rFonts w:hint="eastAsia" w:hAnsi="宋体"/>
                <w:color w:val="auto"/>
                <w:sz w:val="24"/>
                <w:szCs w:val="24"/>
                <w:highlight w:val="none"/>
              </w:rPr>
              <w:t>分项名称</w:t>
            </w:r>
          </w:p>
        </w:tc>
        <w:tc>
          <w:tcPr>
            <w:tcW w:w="2552" w:type="dxa"/>
            <w:vAlign w:val="center"/>
          </w:tcPr>
          <w:p>
            <w:pPr>
              <w:pStyle w:val="320"/>
              <w:spacing w:line="560" w:lineRule="exact"/>
              <w:jc w:val="center"/>
              <w:rPr>
                <w:rFonts w:hint="eastAsia" w:hAnsi="宋体"/>
                <w:color w:val="auto"/>
                <w:sz w:val="24"/>
                <w:szCs w:val="24"/>
                <w:highlight w:val="none"/>
              </w:rPr>
            </w:pPr>
            <w:r>
              <w:rPr>
                <w:rFonts w:hAnsi="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ind w:firstLine="200"/>
              <w:jc w:val="center"/>
              <w:rPr>
                <w:rFonts w:hint="eastAsia" w:hAnsi="宋体"/>
                <w:color w:val="auto"/>
                <w:sz w:val="24"/>
                <w:szCs w:val="24"/>
                <w:highlight w:val="none"/>
              </w:rPr>
            </w:pPr>
          </w:p>
        </w:tc>
        <w:tc>
          <w:tcPr>
            <w:tcW w:w="3402" w:type="dxa"/>
            <w:vAlign w:val="center"/>
          </w:tcPr>
          <w:p>
            <w:pPr>
              <w:pStyle w:val="320"/>
              <w:spacing w:line="560" w:lineRule="exact"/>
              <w:ind w:firstLine="200"/>
              <w:jc w:val="center"/>
              <w:rPr>
                <w:rFonts w:hint="eastAsia" w:hAnsi="宋体"/>
                <w:color w:val="auto"/>
                <w:sz w:val="24"/>
                <w:szCs w:val="24"/>
                <w:highlight w:val="none"/>
              </w:rPr>
            </w:pPr>
          </w:p>
        </w:tc>
        <w:tc>
          <w:tcPr>
            <w:tcW w:w="2552" w:type="dxa"/>
            <w:vAlign w:val="center"/>
          </w:tcPr>
          <w:p>
            <w:pPr>
              <w:pStyle w:val="320"/>
              <w:spacing w:line="560" w:lineRule="exact"/>
              <w:ind w:firstLine="200"/>
              <w:jc w:val="center"/>
              <w:rPr>
                <w:rFonts w:hint="eastAsia"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ind w:firstLine="200"/>
              <w:jc w:val="center"/>
              <w:rPr>
                <w:rFonts w:hint="eastAsia" w:hAnsi="宋体"/>
                <w:color w:val="auto"/>
                <w:sz w:val="24"/>
                <w:szCs w:val="24"/>
                <w:highlight w:val="none"/>
              </w:rPr>
            </w:pPr>
          </w:p>
        </w:tc>
        <w:tc>
          <w:tcPr>
            <w:tcW w:w="3402" w:type="dxa"/>
            <w:vAlign w:val="center"/>
          </w:tcPr>
          <w:p>
            <w:pPr>
              <w:pStyle w:val="320"/>
              <w:spacing w:line="560" w:lineRule="exact"/>
              <w:ind w:firstLine="200"/>
              <w:jc w:val="center"/>
              <w:rPr>
                <w:rFonts w:hint="eastAsia" w:hAnsi="宋体"/>
                <w:color w:val="auto"/>
                <w:sz w:val="24"/>
                <w:szCs w:val="24"/>
                <w:highlight w:val="none"/>
              </w:rPr>
            </w:pPr>
          </w:p>
        </w:tc>
        <w:tc>
          <w:tcPr>
            <w:tcW w:w="2552" w:type="dxa"/>
            <w:vAlign w:val="center"/>
          </w:tcPr>
          <w:p>
            <w:pPr>
              <w:pStyle w:val="320"/>
              <w:spacing w:line="560" w:lineRule="exact"/>
              <w:ind w:firstLine="200"/>
              <w:jc w:val="center"/>
              <w:rPr>
                <w:rFonts w:hint="eastAsia"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ind w:firstLine="200"/>
              <w:jc w:val="center"/>
              <w:rPr>
                <w:rFonts w:hint="eastAsia" w:hAnsi="宋体"/>
                <w:color w:val="auto"/>
                <w:sz w:val="24"/>
                <w:szCs w:val="24"/>
                <w:highlight w:val="none"/>
              </w:rPr>
            </w:pPr>
          </w:p>
        </w:tc>
        <w:tc>
          <w:tcPr>
            <w:tcW w:w="3402" w:type="dxa"/>
            <w:vAlign w:val="center"/>
          </w:tcPr>
          <w:p>
            <w:pPr>
              <w:pStyle w:val="320"/>
              <w:spacing w:line="560" w:lineRule="exact"/>
              <w:ind w:firstLine="200"/>
              <w:jc w:val="center"/>
              <w:rPr>
                <w:rFonts w:hint="eastAsia" w:hAnsi="宋体"/>
                <w:color w:val="auto"/>
                <w:sz w:val="24"/>
                <w:szCs w:val="24"/>
                <w:highlight w:val="none"/>
              </w:rPr>
            </w:pPr>
          </w:p>
        </w:tc>
        <w:tc>
          <w:tcPr>
            <w:tcW w:w="2552" w:type="dxa"/>
            <w:vAlign w:val="center"/>
          </w:tcPr>
          <w:p>
            <w:pPr>
              <w:pStyle w:val="320"/>
              <w:spacing w:line="560" w:lineRule="exact"/>
              <w:ind w:firstLine="200"/>
              <w:jc w:val="center"/>
              <w:rPr>
                <w:rFonts w:hint="eastAsia"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ind w:firstLine="200"/>
              <w:jc w:val="center"/>
              <w:rPr>
                <w:rFonts w:hint="eastAsia" w:hAnsi="宋体"/>
                <w:color w:val="auto"/>
                <w:sz w:val="24"/>
                <w:szCs w:val="24"/>
                <w:highlight w:val="none"/>
              </w:rPr>
            </w:pPr>
          </w:p>
        </w:tc>
        <w:tc>
          <w:tcPr>
            <w:tcW w:w="3402" w:type="dxa"/>
            <w:vAlign w:val="center"/>
          </w:tcPr>
          <w:p>
            <w:pPr>
              <w:pStyle w:val="320"/>
              <w:spacing w:line="560" w:lineRule="exact"/>
              <w:ind w:firstLine="200"/>
              <w:jc w:val="center"/>
              <w:rPr>
                <w:rFonts w:hint="eastAsia" w:hAnsi="宋体"/>
                <w:color w:val="auto"/>
                <w:sz w:val="24"/>
                <w:szCs w:val="24"/>
                <w:highlight w:val="none"/>
              </w:rPr>
            </w:pPr>
          </w:p>
        </w:tc>
        <w:tc>
          <w:tcPr>
            <w:tcW w:w="2552" w:type="dxa"/>
            <w:vAlign w:val="center"/>
          </w:tcPr>
          <w:p>
            <w:pPr>
              <w:pStyle w:val="320"/>
              <w:spacing w:line="560" w:lineRule="exact"/>
              <w:ind w:firstLine="200"/>
              <w:jc w:val="center"/>
              <w:rPr>
                <w:rFonts w:hint="eastAsia"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20"/>
              <w:spacing w:line="560" w:lineRule="exact"/>
              <w:ind w:firstLine="200"/>
              <w:jc w:val="center"/>
              <w:rPr>
                <w:rFonts w:hint="eastAsia" w:hAnsi="宋体"/>
                <w:color w:val="auto"/>
                <w:sz w:val="24"/>
                <w:szCs w:val="24"/>
                <w:highlight w:val="none"/>
              </w:rPr>
            </w:pPr>
            <w:r>
              <w:rPr>
                <w:rFonts w:hint="eastAsia" w:hAnsi="宋体"/>
                <w:color w:val="auto"/>
                <w:sz w:val="24"/>
                <w:szCs w:val="24"/>
                <w:highlight w:val="none"/>
              </w:rPr>
              <w:t>总价</w:t>
            </w:r>
          </w:p>
        </w:tc>
        <w:tc>
          <w:tcPr>
            <w:tcW w:w="2552" w:type="dxa"/>
            <w:vAlign w:val="center"/>
          </w:tcPr>
          <w:p>
            <w:pPr>
              <w:pStyle w:val="320"/>
              <w:spacing w:line="560" w:lineRule="exact"/>
              <w:ind w:firstLine="200"/>
              <w:jc w:val="center"/>
              <w:rPr>
                <w:rFonts w:hint="eastAsia" w:hAnsi="宋体"/>
                <w:color w:val="auto"/>
                <w:sz w:val="24"/>
                <w:szCs w:val="24"/>
                <w:highlight w:val="none"/>
              </w:rPr>
            </w:pPr>
          </w:p>
        </w:tc>
      </w:tr>
    </w:tbl>
    <w:p>
      <w:pPr>
        <w:spacing w:line="56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pPr>
        <w:pStyle w:val="80"/>
        <w:spacing w:after="240" w:afterLines="100"/>
        <w:ind w:firstLine="480"/>
        <w:rPr>
          <w:rFonts w:hint="eastAsia"/>
          <w:color w:val="auto"/>
          <w:highlight w:val="none"/>
          <w:lang w:val="en-US"/>
        </w:rPr>
      </w:pPr>
      <w:r>
        <w:rPr>
          <w:rFonts w:hint="eastAsia" w:ascii="宋体" w:hAnsi="宋体" w:eastAsia="宋体" w:cs="宋体"/>
          <w:color w:val="auto"/>
          <w:sz w:val="24"/>
          <w:highlight w:val="none"/>
          <w:lang w:val="en-US"/>
        </w:rPr>
        <w:t>1.3.3其他计价方式：</w:t>
      </w:r>
      <w:r>
        <w:rPr>
          <w:rFonts w:hint="eastAsia" w:ascii="宋体" w:hAnsi="宋体" w:eastAsia="宋体" w:cs="宋体"/>
          <w:color w:val="auto"/>
          <w:sz w:val="24"/>
          <w:highlight w:val="none"/>
          <w:u w:val="single"/>
          <w:lang w:val="en-US"/>
        </w:rPr>
        <w:t xml:space="preserve">   </w:t>
      </w:r>
      <w:r>
        <w:rPr>
          <w:rFonts w:hint="eastAsia" w:ascii="宋体" w:hAnsi="宋体" w:eastAsia="宋体" w:cs="宋体"/>
          <w:b/>
          <w:i/>
          <w:color w:val="auto"/>
          <w:sz w:val="24"/>
          <w:szCs w:val="24"/>
          <w:highlight w:val="none"/>
          <w:u w:val="single"/>
          <w:lang w:val="en-US"/>
        </w:rPr>
        <w:t>合同专用条款</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rPr>
        <w:t>。</w:t>
      </w:r>
    </w:p>
    <w:p>
      <w:pPr>
        <w:pStyle w:val="960"/>
        <w:spacing w:before="0" w:beforeAutospacing="0" w:after="240" w:afterLines="100" w:afterAutospacing="0" w:line="360" w:lineRule="auto"/>
        <w:ind w:firstLine="480"/>
        <w:rPr>
          <w:rFonts w:hint="eastAsia"/>
          <w:b/>
          <w:color w:val="auto"/>
          <w:highlight w:val="none"/>
        </w:rPr>
      </w:pPr>
      <w:bookmarkStart w:id="394" w:name="_Toc22618"/>
      <w:bookmarkStart w:id="395" w:name="_Toc10340"/>
      <w:bookmarkStart w:id="396" w:name="_Toc1814"/>
      <w:r>
        <w:rPr>
          <w:rFonts w:hint="eastAsia"/>
          <w:b/>
          <w:color w:val="auto"/>
          <w:highlight w:val="none"/>
        </w:rPr>
        <w:t>1.4履约保证金</w:t>
      </w:r>
    </w:p>
    <w:p>
      <w:pPr>
        <w:pStyle w:val="960"/>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pPr>
        <w:spacing w:line="560" w:lineRule="exact"/>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560" w:lineRule="exact"/>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3"/>
        <w:tabs>
          <w:tab w:val="left" w:pos="0"/>
        </w:tabs>
        <w:spacing w:line="560" w:lineRule="exact"/>
        <w:ind w:left="0" w:firstLine="480" w:firstLineChars="200"/>
        <w:rPr>
          <w:rFonts w:hint="eastAsia"/>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5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pPr>
        <w:spacing w:line="560" w:lineRule="exact"/>
        <w:ind w:firstLine="481"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1.5</w:t>
      </w:r>
      <w:bookmarkEnd w:id="394"/>
      <w:bookmarkEnd w:id="395"/>
      <w:bookmarkEnd w:id="396"/>
      <w:r>
        <w:rPr>
          <w:rFonts w:hint="eastAsia" w:ascii="宋体" w:hAnsi="宋体" w:cs="宋体"/>
          <w:b/>
          <w:color w:val="auto"/>
          <w:sz w:val="24"/>
          <w:highlight w:val="none"/>
        </w:rPr>
        <w:t>预付款</w:t>
      </w:r>
    </w:p>
    <w:p>
      <w:pPr>
        <w:pStyle w:val="960"/>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pPr>
        <w:spacing w:line="5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960"/>
        <w:spacing w:before="0" w:beforeAutospacing="0" w:after="0" w:afterAutospacing="0" w:line="360" w:lineRule="auto"/>
        <w:ind w:firstLine="480"/>
        <w:rPr>
          <w:rFonts w:hint="eastAsia"/>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960"/>
        <w:spacing w:before="0" w:beforeAutospacing="0" w:after="0" w:afterAutospacing="0" w:line="360" w:lineRule="auto"/>
        <w:ind w:firstLine="480"/>
        <w:rPr>
          <w:rFonts w:hint="eastAsia"/>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960"/>
        <w:spacing w:before="0" w:beforeAutospacing="0" w:after="0" w:afterAutospacing="0" w:line="360" w:lineRule="auto"/>
        <w:ind w:firstLine="480"/>
        <w:rPr>
          <w:rFonts w:hint="eastAsia"/>
          <w:b/>
          <w:bCs/>
          <w:color w:val="auto"/>
          <w:highlight w:val="none"/>
        </w:rPr>
      </w:pPr>
      <w:r>
        <w:rPr>
          <w:rFonts w:hint="eastAsia"/>
          <w:b/>
          <w:bCs/>
          <w:color w:val="auto"/>
          <w:highlight w:val="none"/>
        </w:rPr>
        <w:t>1.6资金支付</w:t>
      </w:r>
    </w:p>
    <w:p>
      <w:pPr>
        <w:pStyle w:val="960"/>
        <w:spacing w:before="0" w:beforeAutospacing="0" w:after="0" w:afterAutospacing="0" w:line="360" w:lineRule="auto"/>
        <w:ind w:firstLine="480"/>
        <w:rPr>
          <w:rFonts w:hint="eastAsia"/>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560" w:lineRule="exact"/>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p>
    <w:p>
      <w:pPr>
        <w:spacing w:line="560" w:lineRule="exact"/>
        <w:ind w:firstLine="480" w:firstLineChars="200"/>
        <w:rPr>
          <w:rFonts w:hint="eastAsia"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pPr>
        <w:spacing w:line="560" w:lineRule="exact"/>
        <w:ind w:firstLine="480" w:firstLineChars="200"/>
        <w:outlineLvl w:val="0"/>
        <w:rPr>
          <w:rFonts w:hint="eastAsia" w:ascii="宋体" w:hAnsi="宋体"/>
          <w:bCs/>
          <w:color w:val="auto"/>
          <w:sz w:val="24"/>
          <w:highlight w:val="none"/>
        </w:rPr>
      </w:pPr>
      <w:r>
        <w:rPr>
          <w:rFonts w:hint="eastAsia" w:ascii="宋体" w:hAnsi="宋体"/>
          <w:bCs/>
          <w:color w:val="auto"/>
          <w:sz w:val="24"/>
          <w:highlight w:val="none"/>
        </w:rPr>
        <w:t>1.7.4若服务</w:t>
      </w:r>
      <w:r>
        <w:rPr>
          <w:rFonts w:hint="eastAsia"/>
          <w:bCs/>
          <w:color w:val="auto"/>
          <w:sz w:val="24"/>
          <w:highlight w:val="none"/>
        </w:rPr>
        <w:t>涉及货物的，则货物的：</w:t>
      </w:r>
    </w:p>
    <w:p>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1" w:firstLineChars="200"/>
        <w:outlineLvl w:val="0"/>
        <w:rPr>
          <w:rFonts w:hint="eastAsia"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hint="eastAsia" w:ascii="宋体" w:hAnsi="宋体" w:cs="宋体"/>
          <w:color w:val="auto"/>
          <w:kern w:val="0"/>
          <w:sz w:val="24"/>
          <w:highlight w:val="none"/>
          <w:u w:val="single"/>
        </w:rPr>
        <w:t xml:space="preserve">（可根据情况修改）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pPr>
        <w:pStyle w:val="3"/>
        <w:ind w:left="0"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0.05（可根据情况修改）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0.05（可根据情况修改）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560" w:lineRule="exact"/>
        <w:ind w:right="-420" w:rightChars="-200" w:firstLine="480" w:firstLineChars="200"/>
        <w:rPr>
          <w:rFonts w:hint="eastAsia"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pPr>
        <w:spacing w:line="560" w:lineRule="exact"/>
        <w:ind w:firstLine="481" w:firstLineChars="200"/>
        <w:outlineLvl w:val="0"/>
        <w:rPr>
          <w:rFonts w:hint="eastAsia" w:ascii="宋体" w:hAnsi="宋体" w:cs="宋体"/>
          <w:b/>
          <w:color w:val="auto"/>
          <w:sz w:val="24"/>
          <w:highlight w:val="none"/>
        </w:rPr>
      </w:pPr>
      <w:bookmarkStart w:id="397" w:name="_Toc15583"/>
      <w:bookmarkStart w:id="398" w:name="_Toc16021"/>
      <w:bookmarkStart w:id="399" w:name="_Toc28375"/>
      <w:r>
        <w:rPr>
          <w:rFonts w:hint="eastAsia" w:ascii="宋体" w:hAnsi="宋体" w:cs="宋体"/>
          <w:b/>
          <w:color w:val="auto"/>
          <w:sz w:val="24"/>
          <w:highlight w:val="none"/>
        </w:rPr>
        <w:t>1.9合同争议的解决</w:t>
      </w:r>
      <w:bookmarkEnd w:id="397"/>
      <w:bookmarkEnd w:id="398"/>
      <w:bookmarkEnd w:id="399"/>
    </w:p>
    <w:p>
      <w:pPr>
        <w:spacing w:line="560" w:lineRule="exact"/>
        <w:ind w:left="-61" w:leftChars="-29" w:right="-420" w:rightChars="-200"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pPr>
        <w:spacing w:line="560" w:lineRule="exact"/>
        <w:ind w:left="-420" w:leftChars="-200" w:right="-420" w:rightChars="-200" w:firstLine="600" w:firstLineChars="250"/>
        <w:rPr>
          <w:rFonts w:hint="eastAsia"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pPr>
        <w:spacing w:line="560" w:lineRule="exact"/>
        <w:ind w:left="-420" w:leftChars="-200" w:right="-420" w:rightChars="-200" w:firstLine="600" w:firstLineChars="250"/>
        <w:rPr>
          <w:rFonts w:hint="eastAsia"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pPr>
        <w:spacing w:line="560" w:lineRule="exact"/>
        <w:ind w:firstLine="481" w:firstLineChars="200"/>
        <w:outlineLvl w:val="0"/>
        <w:rPr>
          <w:rFonts w:hint="eastAsia" w:ascii="宋体" w:hAnsi="宋体" w:cs="宋体"/>
          <w:b/>
          <w:color w:val="auto"/>
          <w:sz w:val="24"/>
          <w:highlight w:val="none"/>
        </w:rPr>
      </w:pPr>
      <w:bookmarkStart w:id="400" w:name="_Toc15322"/>
      <w:bookmarkStart w:id="401" w:name="_Toc7245"/>
      <w:bookmarkStart w:id="402" w:name="_Toc11173"/>
      <w:r>
        <w:rPr>
          <w:rFonts w:hint="eastAsia" w:ascii="宋体" w:hAnsi="宋体" w:cs="宋体"/>
          <w:b/>
          <w:color w:val="auto"/>
          <w:sz w:val="24"/>
          <w:highlight w:val="none"/>
        </w:rPr>
        <w:t>1.10 合同生效</w:t>
      </w:r>
      <w:bookmarkEnd w:id="400"/>
      <w:bookmarkEnd w:id="401"/>
      <w:bookmarkEnd w:id="402"/>
    </w:p>
    <w:p>
      <w:pPr>
        <w:spacing w:line="56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本合同自双方当事人盖章签字时生效。</w:t>
      </w:r>
    </w:p>
    <w:p>
      <w:pPr>
        <w:autoSpaceDE w:val="0"/>
        <w:autoSpaceDN w:val="0"/>
        <w:spacing w:line="560" w:lineRule="exact"/>
        <w:rPr>
          <w:rFonts w:hint="eastAsia" w:ascii="宋体" w:hAnsi="宋体"/>
          <w:color w:val="auto"/>
          <w:sz w:val="24"/>
          <w:highlight w:val="none"/>
          <w:lang w:val="zh-CN"/>
        </w:rPr>
      </w:pPr>
    </w:p>
    <w:p>
      <w:pPr>
        <w:autoSpaceDE w:val="0"/>
        <w:autoSpaceDN w:val="0"/>
        <w:spacing w:line="560" w:lineRule="exact"/>
        <w:rPr>
          <w:rFonts w:hint="eastAsia"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pPr>
        <w:autoSpaceDE w:val="0"/>
        <w:autoSpaceDN w:val="0"/>
        <w:spacing w:line="560" w:lineRule="exact"/>
        <w:rPr>
          <w:rFonts w:hint="eastAsia" w:ascii="宋体" w:hAnsi="宋体"/>
          <w:color w:val="auto"/>
          <w:sz w:val="24"/>
          <w:highlight w:val="none"/>
          <w:lang w:val="zh-CN"/>
        </w:rPr>
      </w:pPr>
    </w:p>
    <w:p>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pPr>
        <w:autoSpaceDE w:val="0"/>
        <w:autoSpaceDN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pPr>
        <w:autoSpaceDE w:val="0"/>
        <w:autoSpaceDN w:val="0"/>
        <w:spacing w:line="560" w:lineRule="exact"/>
        <w:rPr>
          <w:rFonts w:hint="eastAsia"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pPr>
        <w:autoSpaceDE w:val="0"/>
        <w:autoSpaceDN w:val="0"/>
        <w:spacing w:line="560" w:lineRule="exact"/>
        <w:rPr>
          <w:rFonts w:hint="eastAsia"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pPr>
        <w:autoSpaceDE w:val="0"/>
        <w:autoSpaceDN w:val="0"/>
        <w:spacing w:line="560" w:lineRule="exact"/>
        <w:rPr>
          <w:rFonts w:hint="eastAsia"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pPr>
        <w:autoSpaceDE w:val="0"/>
        <w:autoSpaceDN w:val="0"/>
        <w:spacing w:line="560" w:lineRule="exact"/>
        <w:rPr>
          <w:rFonts w:hint="eastAsia"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pPr>
        <w:widowControl/>
        <w:spacing w:line="560" w:lineRule="exact"/>
        <w:jc w:val="left"/>
        <w:rPr>
          <w:rFonts w:hint="eastAsia" w:ascii="宋体" w:hAnsi="宋体"/>
          <w:b/>
          <w:color w:val="auto"/>
          <w:sz w:val="24"/>
          <w:highlight w:val="none"/>
        </w:rPr>
      </w:pPr>
    </w:p>
    <w:p>
      <w:pPr>
        <w:widowControl/>
        <w:adjustRightInd/>
        <w:jc w:val="left"/>
        <w:rPr>
          <w:rFonts w:hint="eastAsia" w:ascii="宋体" w:hAnsi="宋体"/>
          <w:b/>
          <w:color w:val="auto"/>
          <w:sz w:val="24"/>
          <w:highlight w:val="none"/>
        </w:rPr>
      </w:pPr>
      <w:r>
        <w:rPr>
          <w:rFonts w:ascii="宋体" w:hAnsi="宋体"/>
          <w:b/>
          <w:color w:val="auto"/>
          <w:highlight w:val="none"/>
        </w:rPr>
        <w:br w:type="page"/>
      </w:r>
    </w:p>
    <w:p>
      <w:pPr>
        <w:pStyle w:val="702"/>
        <w:spacing w:line="560" w:lineRule="exact"/>
        <w:ind w:firstLine="482"/>
        <w:jc w:val="center"/>
        <w:rPr>
          <w:rFonts w:hint="eastAsia"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2.1 定义</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2.1.6 “现场”系指合同约定提供服务的地点。</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2.2 技术规范</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2.3 知识产权</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pPr>
        <w:spacing w:line="560" w:lineRule="exact"/>
        <w:ind w:firstLine="481" w:firstLineChars="200"/>
        <w:rPr>
          <w:rFonts w:hint="eastAsia"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2.5 结算方式和付款条件</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2.6 技术资料和保密义务</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 xml:space="preserve">2.7 </w:t>
      </w:r>
      <w:r>
        <w:rPr>
          <w:rFonts w:hint="eastAsia" w:ascii="宋体" w:hAnsi="宋体"/>
          <w:b/>
          <w:color w:val="auto"/>
          <w:sz w:val="24"/>
          <w:highlight w:val="none"/>
        </w:rPr>
        <w:t>质量保证</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 xml:space="preserve">2.8 </w:t>
      </w:r>
      <w:r>
        <w:rPr>
          <w:rFonts w:hint="eastAsia" w:ascii="宋体" w:hAnsi="宋体"/>
          <w:b/>
          <w:color w:val="auto"/>
          <w:sz w:val="24"/>
          <w:highlight w:val="none"/>
        </w:rPr>
        <w:t>延迟履行</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 xml:space="preserve">2.9 </w:t>
      </w:r>
      <w:r>
        <w:rPr>
          <w:rFonts w:hint="eastAsia" w:ascii="宋体" w:hAnsi="宋体"/>
          <w:b/>
          <w:color w:val="auto"/>
          <w:sz w:val="24"/>
          <w:highlight w:val="none"/>
        </w:rPr>
        <w:t>合同变更</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2.10 合同转让和分包</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书面同意，乙方可以依法采取分包方式履行合同，即：依法可以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2.11 不可抗力</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2.12 税费</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2.13 乙方破产</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2.14 合同中止、终止</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2.15 检验和验收</w:t>
      </w:r>
    </w:p>
    <w:p>
      <w:pPr>
        <w:tabs>
          <w:tab w:val="left" w:pos="360"/>
          <w:tab w:val="left" w:pos="540"/>
          <w:tab w:val="left" w:pos="1080"/>
        </w:tabs>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pPr>
        <w:tabs>
          <w:tab w:val="left" w:pos="360"/>
          <w:tab w:val="left" w:pos="540"/>
          <w:tab w:val="left" w:pos="1080"/>
        </w:tabs>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2.16 通知和送达</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6</w:t>
      </w:r>
      <w:r>
        <w:rPr>
          <w:rFonts w:ascii="宋体" w:hAnsi="宋体"/>
          <w:color w:val="auto"/>
          <w:sz w:val="24"/>
          <w:highlight w:val="none"/>
        </w:rPr>
        <w:t>.1</w:t>
      </w:r>
      <w:r>
        <w:rPr>
          <w:rFonts w:hint="eastAsia" w:ascii="宋体" w:hAnsi="宋体"/>
          <w:color w:val="auto"/>
          <w:sz w:val="24"/>
          <w:highlight w:val="none"/>
        </w:rPr>
        <w:t>任何一方因履行合同而以合同第一部分尾部所列明的传真或电子邮件发出的所有通知、文件、材料，均视为已向对方当事人送达；任何一方变更上述送达方式或者地址的，应于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6</w:t>
      </w:r>
      <w:r>
        <w:rPr>
          <w:rFonts w:ascii="宋体" w:hAnsi="宋体"/>
          <w:color w:val="auto"/>
          <w:sz w:val="24"/>
          <w:highlight w:val="none"/>
        </w:rPr>
        <w:t>.2以当面交付方式送达的，交付之时视为送达；以电子邮件方式送达的，发出电子邮件之时视为送达；以传真方式送达的，发出传真之时视为送达；以邮寄方式送达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p>
    <w:p>
      <w:pPr>
        <w:spacing w:line="560" w:lineRule="exact"/>
        <w:ind w:firstLine="481" w:firstLineChars="200"/>
        <w:outlineLvl w:val="0"/>
        <w:rPr>
          <w:rFonts w:hint="eastAsia" w:ascii="宋体" w:hAnsi="宋体"/>
          <w:b/>
          <w:color w:val="auto"/>
          <w:sz w:val="24"/>
          <w:highlight w:val="none"/>
        </w:rPr>
      </w:pPr>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pPr>
        <w:spacing w:line="560" w:lineRule="exact"/>
        <w:ind w:firstLine="481" w:firstLineChars="200"/>
        <w:outlineLvl w:val="0"/>
        <w:rPr>
          <w:rFonts w:hint="eastAsia" w:ascii="宋体" w:hAnsi="宋体" w:cs="宋体"/>
          <w:b/>
          <w:color w:val="auto"/>
          <w:sz w:val="24"/>
          <w:highlight w:val="none"/>
        </w:rPr>
      </w:pPr>
      <w:bookmarkStart w:id="403" w:name="_Toc4355"/>
      <w:bookmarkStart w:id="404" w:name="_Toc18540"/>
      <w:bookmarkStart w:id="405" w:name="_Toc30599"/>
      <w:r>
        <w:rPr>
          <w:rFonts w:hint="eastAsia" w:ascii="宋体" w:hAnsi="宋体" w:cs="宋体"/>
          <w:b/>
          <w:color w:val="auto"/>
          <w:sz w:val="24"/>
          <w:highlight w:val="none"/>
        </w:rPr>
        <w:t>2.18 计量单位</w:t>
      </w:r>
      <w:bookmarkEnd w:id="403"/>
      <w:bookmarkEnd w:id="404"/>
      <w:bookmarkEnd w:id="405"/>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560" w:lineRule="exact"/>
        <w:ind w:firstLine="481" w:firstLineChars="200"/>
        <w:rPr>
          <w:rFonts w:hint="eastAsia"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pPr>
        <w:spacing w:line="560" w:lineRule="exact"/>
        <w:ind w:firstLine="480" w:firstLineChars="200"/>
        <w:rPr>
          <w:rFonts w:hint="eastAsia"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pPr>
        <w:spacing w:line="360" w:lineRule="auto"/>
        <w:jc w:val="center"/>
        <w:outlineLvl w:val="0"/>
        <w:rPr>
          <w:rFonts w:hint="eastAsia"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 xml:space="preserve"> 第三部分  合同专用条款</w:t>
      </w:r>
    </w:p>
    <w:p>
      <w:pPr>
        <w:spacing w:line="560" w:lineRule="exact"/>
        <w:ind w:left="-420" w:leftChars="-200" w:right="-420" w:rightChars="-200" w:firstLine="480" w:firstLineChars="200"/>
        <w:rPr>
          <w:rFonts w:hint="eastAsia"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rPr>
                <w:rFonts w:hint="eastAsia" w:ascii="宋体" w:hAnsi="宋体" w:cs="宋体"/>
                <w:b/>
                <w:color w:val="auto"/>
                <w:sz w:val="24"/>
                <w:highlight w:val="none"/>
              </w:rPr>
            </w:pPr>
            <w:r>
              <w:rPr>
                <w:rFonts w:hint="eastAsia" w:ascii="宋体" w:hAnsi="宋体" w:cs="宋体"/>
                <w:bCs/>
                <w:color w:val="auto"/>
                <w:sz w:val="24"/>
                <w:highlight w:val="none"/>
              </w:rPr>
              <w:t>1.3</w:t>
            </w:r>
          </w:p>
        </w:tc>
        <w:tc>
          <w:tcPr>
            <w:tcW w:w="4464" w:type="pct"/>
            <w:vAlign w:val="center"/>
          </w:tcPr>
          <w:p>
            <w:pPr>
              <w:spacing w:line="560" w:lineRule="exact"/>
              <w:rPr>
                <w:rFonts w:hint="eastAsia" w:ascii="宋体" w:hAnsi="宋体" w:cs="宋体"/>
                <w:b/>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1.3.1    </w:t>
            </w:r>
            <w:r>
              <w:rPr>
                <w:rFonts w:hint="eastAsia" w:ascii="宋体" w:hAnsi="宋体" w:cs="宋体"/>
                <w:color w:val="auto"/>
                <w:sz w:val="24"/>
                <w:highlight w:val="none"/>
              </w:rPr>
              <w:t>条款规定的计价方式计价。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1.3.3</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1.4</w:t>
            </w:r>
          </w:p>
        </w:tc>
        <w:tc>
          <w:tcPr>
            <w:tcW w:w="4464" w:type="pct"/>
            <w:vAlign w:val="center"/>
          </w:tcPr>
          <w:p>
            <w:pPr>
              <w:spacing w:line="360" w:lineRule="auto"/>
              <w:rPr>
                <w:rFonts w:hint="eastAsia"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是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1.4.1</w:t>
            </w:r>
          </w:p>
        </w:tc>
        <w:tc>
          <w:tcPr>
            <w:tcW w:w="4464" w:type="pct"/>
            <w:vAlign w:val="center"/>
          </w:tcPr>
          <w:p>
            <w:pPr>
              <w:spacing w:line="360" w:lineRule="auto"/>
              <w:rPr>
                <w:color w:val="auto"/>
                <w:sz w:val="24"/>
                <w:highlight w:val="none"/>
              </w:rPr>
            </w:pPr>
            <w:r>
              <w:rPr>
                <w:rFonts w:hint="eastAsia" w:ascii="宋体" w:hAnsi="宋体" w:cs="宋体"/>
                <w:color w:val="auto"/>
                <w:kern w:val="0"/>
                <w:sz w:val="24"/>
                <w:highlight w:val="none"/>
              </w:rPr>
              <w:t>履约保证金的比例为合同金额的</w:t>
            </w:r>
            <w:r>
              <w:rPr>
                <w:rFonts w:hint="eastAsia" w:ascii="宋体" w:hAnsi="宋体" w:cs="宋体"/>
                <w:color w:val="auto"/>
                <w:kern w:val="0"/>
                <w:sz w:val="24"/>
                <w:highlight w:val="none"/>
                <w:u w:val="single"/>
              </w:rPr>
              <w:t xml:space="preserve">   1  </w:t>
            </w:r>
            <w:r>
              <w:rPr>
                <w:rFonts w:hint="eastAsia" w:ascii="宋体" w:hAnsi="宋体" w:cs="宋体"/>
                <w:color w:val="auto"/>
                <w:kern w:val="0"/>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签订合同后7个工作日内，乙方以支票、汇票或本票或金融机构、担保机构出局的保函等非现金形式向甲方提交相当于合同总额1%的履约保证金。以保证与i放遵守本合同的一切条款、条件和承诺，该保证金在甲方的规定存续期间不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1.5</w:t>
            </w:r>
          </w:p>
        </w:tc>
        <w:tc>
          <w:tcPr>
            <w:tcW w:w="4464" w:type="pct"/>
            <w:vAlign w:val="center"/>
          </w:tcPr>
          <w:p>
            <w:pPr>
              <w:spacing w:line="360" w:lineRule="auto"/>
              <w:rPr>
                <w:rFonts w:hint="eastAsia"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是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本合同签订后且乙方缴纳履约保证金后5个工作日内甲方应向乙方支付合同金额的70%。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1.9</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pPr>
              <w:spacing w:line="360" w:lineRule="auto"/>
              <w:ind w:left="-420" w:leftChars="-200" w:right="-420" w:rightChars="-200" w:firstLine="480" w:firstLineChars="200"/>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pPr>
              <w:spacing w:line="360" w:lineRule="auto"/>
              <w:ind w:left="-420" w:leftChars="-200" w:right="-420" w:rightChars="-200" w:firstLine="480" w:firstLineChars="200"/>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2.19</w:t>
            </w:r>
          </w:p>
        </w:tc>
        <w:tc>
          <w:tcPr>
            <w:tcW w:w="4464" w:type="pct"/>
          </w:tcPr>
          <w:p>
            <w:pPr>
              <w:spacing w:line="360" w:lineRule="auto"/>
              <w:rPr>
                <w:rFonts w:hint="eastAsia" w:ascii="宋体" w:hAnsi="宋体" w:cs="宋体"/>
                <w:color w:val="auto"/>
                <w:sz w:val="24"/>
                <w:highlight w:val="none"/>
              </w:rPr>
            </w:pPr>
          </w:p>
        </w:tc>
      </w:tr>
    </w:tbl>
    <w:p>
      <w:pPr>
        <w:spacing w:line="360" w:lineRule="auto"/>
        <w:ind w:left="-420" w:leftChars="-200" w:right="-420" w:rightChars="-200" w:firstLine="480" w:firstLineChars="200"/>
        <w:rPr>
          <w:rFonts w:hint="eastAsia" w:ascii="宋体" w:hAnsi="宋体" w:cs="宋体"/>
          <w:color w:val="auto"/>
          <w:sz w:val="24"/>
          <w:highlight w:val="none"/>
        </w:rPr>
      </w:pPr>
    </w:p>
    <w:p>
      <w:pPr>
        <w:spacing w:line="360" w:lineRule="auto"/>
        <w:ind w:left="-420" w:leftChars="-200" w:right="-420" w:rightChars="-200" w:firstLine="480" w:firstLineChars="200"/>
        <w:rPr>
          <w:rFonts w:hint="eastAsia" w:ascii="宋体" w:hAnsi="宋体" w:cs="宋体"/>
          <w:color w:val="auto"/>
          <w:sz w:val="24"/>
          <w:highlight w:val="none"/>
        </w:rPr>
      </w:pPr>
    </w:p>
    <w:p>
      <w:pPr>
        <w:spacing w:line="360" w:lineRule="auto"/>
        <w:ind w:left="-420" w:leftChars="-200" w:right="-420" w:rightChars="-200"/>
        <w:rPr>
          <w:rFonts w:hint="eastAsia" w:ascii="宋体" w:hAnsi="宋体" w:cs="宋体"/>
          <w:color w:val="auto"/>
          <w:sz w:val="24"/>
          <w:highlight w:val="none"/>
        </w:rPr>
      </w:pPr>
    </w:p>
    <w:p>
      <w:pPr>
        <w:spacing w:line="360" w:lineRule="auto"/>
        <w:ind w:left="-420" w:leftChars="-200" w:right="-420" w:rightChars="-200" w:firstLine="480" w:firstLineChars="200"/>
        <w:jc w:val="center"/>
        <w:outlineLvl w:val="0"/>
        <w:rPr>
          <w:rFonts w:hint="eastAsia" w:ascii="宋体" w:hAnsi="宋体" w:cs="宋体"/>
          <w:color w:val="auto"/>
          <w:sz w:val="24"/>
          <w:highlight w:val="none"/>
        </w:rPr>
      </w:pPr>
    </w:p>
    <w:p>
      <w:pPr>
        <w:spacing w:line="360" w:lineRule="auto"/>
        <w:ind w:left="-420" w:leftChars="-200" w:right="-420" w:rightChars="-200" w:firstLine="480" w:firstLineChars="200"/>
        <w:jc w:val="center"/>
        <w:outlineLvl w:val="0"/>
        <w:rPr>
          <w:rFonts w:hint="eastAsia" w:ascii="宋体" w:hAnsi="宋体" w:cs="宋体"/>
          <w:color w:val="auto"/>
          <w:sz w:val="24"/>
          <w:highlight w:val="none"/>
        </w:rPr>
      </w:pPr>
    </w:p>
    <w:p>
      <w:pPr>
        <w:widowControl/>
        <w:adjustRightInd/>
        <w:jc w:val="left"/>
        <w:rPr>
          <w:rFonts w:hint="eastAsia" w:ascii="宋体" w:hAnsi="宋体" w:cs="宋体"/>
          <w:b/>
          <w:color w:val="auto"/>
          <w:sz w:val="36"/>
          <w:szCs w:val="20"/>
          <w:highlight w:val="none"/>
        </w:rPr>
      </w:pPr>
      <w:r>
        <w:rPr>
          <w:rFonts w:ascii="宋体" w:hAnsi="宋体" w:cs="宋体"/>
          <w:b/>
          <w:color w:val="auto"/>
          <w:sz w:val="36"/>
          <w:szCs w:val="20"/>
          <w:highlight w:val="none"/>
        </w:rPr>
        <w:br w:type="page"/>
      </w:r>
    </w:p>
    <w:p>
      <w:pPr>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2"/>
      <w:r>
        <w:rPr>
          <w:rFonts w:hint="eastAsia" w:ascii="宋体" w:hAnsi="宋体" w:cs="宋体"/>
          <w:b/>
          <w:color w:val="auto"/>
          <w:sz w:val="36"/>
          <w:szCs w:val="20"/>
          <w:highlight w:val="none"/>
        </w:rPr>
        <w:t xml:space="preserve"> </w:t>
      </w:r>
      <w:bookmarkEnd w:id="393"/>
      <w:r>
        <w:rPr>
          <w:rFonts w:hint="eastAsia" w:ascii="宋体" w:hAnsi="宋体" w:cs="宋体"/>
          <w:b/>
          <w:color w:val="auto"/>
          <w:sz w:val="36"/>
          <w:szCs w:val="20"/>
          <w:highlight w:val="none"/>
        </w:rPr>
        <w:t>应提交的有关格式范例</w:t>
      </w:r>
    </w:p>
    <w:p>
      <w:pPr>
        <w:spacing w:line="360" w:lineRule="auto"/>
        <w:jc w:val="center"/>
        <w:outlineLvl w:val="0"/>
        <w:rPr>
          <w:rFonts w:hint="eastAsia" w:ascii="宋体" w:hAnsi="宋体" w:cs="宋体"/>
          <w:b/>
          <w:color w:val="auto"/>
          <w:kern w:val="0"/>
          <w:sz w:val="36"/>
          <w:szCs w:val="36"/>
          <w:highlight w:val="none"/>
        </w:rPr>
      </w:pPr>
    </w:p>
    <w:p>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hint="eastAsia" w:ascii="宋体" w:hAnsi="宋体" w:cs="宋体"/>
          <w:b/>
          <w:color w:val="auto"/>
          <w:kern w:val="0"/>
          <w:sz w:val="36"/>
          <w:szCs w:val="36"/>
          <w:highlight w:val="none"/>
        </w:rPr>
      </w:pP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pPr>
        <w:snapToGrid w:val="0"/>
        <w:spacing w:line="360" w:lineRule="auto"/>
        <w:rPr>
          <w:rFonts w:hint="eastAsia"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pPr>
        <w:snapToGrid w:val="0"/>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p>
    <w:p>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杭州国画院、杭州市公共资源交易中心：</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我方参与2026年杭州国画院物业管理项目【招标编号：HZZFCG-2026-064】政府采购活动，郑重承诺：</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6、具有法律、行政法规规定的其他条件。</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（三）不存在以下情况：</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napToGrid w:val="0"/>
        <w:spacing w:line="360" w:lineRule="auto"/>
        <w:ind w:right="480" w:firstLine="480" w:firstLineChars="200"/>
        <w:jc w:val="left"/>
        <w:rPr>
          <w:rFonts w:hint="eastAsia" w:ascii="宋体" w:hAnsi="宋体" w:cs="宋体"/>
          <w:b/>
          <w:color w:val="auto"/>
          <w:kern w:val="0"/>
          <w:sz w:val="32"/>
          <w:szCs w:val="32"/>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pPr>
        <w:widowControl/>
        <w:adjustRightInd/>
        <w:jc w:val="left"/>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pacing w:line="360" w:lineRule="auto"/>
        <w:ind w:firstLine="642" w:firstLineChars="20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pPr>
        <w:widowControl/>
        <w:spacing w:line="360" w:lineRule="auto"/>
        <w:ind w:firstLine="481"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pPr>
        <w:widowControl/>
        <w:spacing w:line="360" w:lineRule="auto"/>
        <w:ind w:firstLine="480"/>
        <w:jc w:val="left"/>
        <w:rPr>
          <w:rFonts w:hint="eastAsia" w:ascii="宋体" w:hAnsi="宋体" w:cs="宋体"/>
          <w:color w:val="auto"/>
          <w:sz w:val="24"/>
          <w:highlight w:val="none"/>
        </w:rPr>
      </w:pPr>
    </w:p>
    <w:p>
      <w:pPr>
        <w:widowControl/>
        <w:spacing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pPr>
        <w:snapToGrid w:val="0"/>
        <w:spacing w:before="50" w:after="50" w:line="360" w:lineRule="auto"/>
        <w:jc w:val="center"/>
        <w:rPr>
          <w:rFonts w:hint="eastAsia"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ind w:firstLine="481" w:firstLineChars="200"/>
        <w:rPr>
          <w:rFonts w:hint="eastAsia"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pPr>
        <w:widowControl/>
        <w:spacing w:line="360" w:lineRule="auto"/>
        <w:ind w:left="150"/>
        <w:jc w:val="center"/>
        <w:rPr>
          <w:rFonts w:hint="eastAsia" w:ascii="宋体" w:hAnsi="宋体" w:cs="宋体"/>
          <w:b/>
          <w:color w:val="auto"/>
          <w:kern w:val="0"/>
          <w:sz w:val="32"/>
          <w:szCs w:val="32"/>
          <w:highlight w:val="none"/>
        </w:rPr>
      </w:pPr>
    </w:p>
    <w:p>
      <w:pPr>
        <w:widowControl/>
        <w:spacing w:line="360" w:lineRule="auto"/>
        <w:ind w:left="15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pPr>
        <w:rPr>
          <w:rFonts w:hint="eastAsia" w:ascii="宋体" w:hAnsi="宋体" w:cs="宋体"/>
          <w:color w:val="auto"/>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widowControl/>
        <w:adjustRightInd/>
        <w:jc w:val="left"/>
        <w:rPr>
          <w:rFonts w:hint="eastAsia" w:ascii="宋体" w:hAnsi="宋体" w:cs="宋体"/>
          <w:b/>
          <w:color w:val="auto"/>
          <w:kern w:val="0"/>
          <w:sz w:val="36"/>
          <w:szCs w:val="36"/>
          <w:highlight w:val="none"/>
        </w:rPr>
      </w:pPr>
      <w:r>
        <w:rPr>
          <w:rFonts w:ascii="宋体" w:hAnsi="宋体" w:cs="宋体"/>
          <w:b/>
          <w:color w:val="auto"/>
          <w:kern w:val="0"/>
          <w:sz w:val="36"/>
          <w:szCs w:val="36"/>
          <w:highlight w:val="none"/>
        </w:rPr>
        <w:br w:type="page"/>
      </w:r>
    </w:p>
    <w:p>
      <w:pPr>
        <w:spacing w:line="360" w:lineRule="auto"/>
        <w:ind w:right="420" w:firstLine="3614" w:firstLineChars="100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pPr>
        <w:spacing w:line="360" w:lineRule="auto"/>
        <w:jc w:val="center"/>
        <w:outlineLvl w:val="0"/>
        <w:rPr>
          <w:rFonts w:hint="eastAsia" w:ascii="宋体" w:hAnsi="宋体" w:cs="宋体"/>
          <w:b/>
          <w:color w:val="auto"/>
          <w:kern w:val="0"/>
          <w:sz w:val="24"/>
          <w:highlight w:val="none"/>
        </w:rPr>
      </w:pPr>
    </w:p>
    <w:p>
      <w:pPr>
        <w:spacing w:line="360" w:lineRule="auto"/>
        <w:jc w:val="center"/>
        <w:outlineLvl w:val="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（1）投标函</w:t>
      </w:r>
      <w:r>
        <w:rPr>
          <w:rFonts w:hint="eastAsia" w:ascii="宋体" w:hAnsi="宋体" w:cs="宋体"/>
          <w:color w:val="auto"/>
          <w:highlight w:val="none"/>
        </w:rPr>
        <w:t>…………………………………………………………………………………</w:t>
      </w:r>
      <w:r>
        <w:rPr>
          <w:rFonts w:hint="eastAsia" w:ascii="宋体" w:hAnsi="宋体" w:cs="宋体"/>
          <w:color w:val="auto"/>
          <w:sz w:val="24"/>
          <w:highlight w:val="none"/>
        </w:rPr>
        <w:t>（页码）（2）授权委托书或法定代表人（单位负责人、自然人本人）身份证明</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（7）人员配置清单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（页码）（8）商务技术偏离表</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rPr>
          <w:rFonts w:hint="eastAsia" w:ascii="宋体" w:hAnsi="宋体" w:cs="宋体"/>
          <w:b/>
          <w:color w:val="auto"/>
          <w:kern w:val="0"/>
          <w:sz w:val="32"/>
          <w:szCs w:val="32"/>
          <w:highlight w:val="none"/>
          <w:lang w:val="zh-CN"/>
        </w:rPr>
      </w:pPr>
    </w:p>
    <w:p>
      <w:pPr>
        <w:widowControl/>
        <w:adjustRightInd/>
        <w:jc w:val="left"/>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jc w:val="center"/>
        <w:outlineLvl w:val="0"/>
        <w:rPr>
          <w:rFonts w:hint="eastAsia"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杭州国画院、杭州市公共资源交易中心：</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我方参加你方组织的2026年杭州国画院物业管理项目【招标编号：HZZFCG-2026-064】招标的有关活动，并对此项目进行投标。为此：</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06" w:name="_Hlk101257010"/>
      <w:r>
        <w:rPr>
          <w:rFonts w:hint="eastAsia" w:ascii="宋体" w:hAnsi="宋体" w:cs="宋体"/>
          <w:color w:val="auto"/>
          <w:sz w:val="24"/>
          <w:highlight w:val="none"/>
        </w:rPr>
        <w:t>（如果有)</w:t>
      </w:r>
      <w:bookmarkEnd w:id="406"/>
      <w:r>
        <w:rPr>
          <w:rFonts w:hint="eastAsia" w:ascii="宋体" w:hAnsi="宋体" w:cs="宋体"/>
          <w:snapToGrid w:val="0"/>
          <w:color w:val="auto"/>
          <w:kern w:val="28"/>
          <w:sz w:val="24"/>
          <w:szCs w:val="20"/>
          <w:highlight w:val="none"/>
        </w:rPr>
        <w:t>；</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pPr>
        <w:snapToGrid w:val="0"/>
        <w:spacing w:line="360" w:lineRule="auto"/>
        <w:ind w:left="210" w:leftChars="1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人员配置清单；</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2.2.8商务技术偏离表；</w:t>
      </w:r>
    </w:p>
    <w:p>
      <w:pPr>
        <w:snapToGrid w:val="0"/>
        <w:spacing w:line="360" w:lineRule="auto"/>
        <w:ind w:left="420" w:leftChars="2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政府采购供应商廉洁自律承诺书；</w:t>
      </w:r>
    </w:p>
    <w:p>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2.3.2关于符合本国产品标准的声明函</w:t>
      </w:r>
      <w:r>
        <w:rPr>
          <w:rFonts w:hint="eastAsia" w:ascii="宋体" w:hAnsi="宋体" w:cs="宋体"/>
          <w:bCs/>
          <w:color w:val="auto"/>
          <w:sz w:val="24"/>
          <w:highlight w:val="none"/>
        </w:rPr>
        <w:t>或财政部会同有关部门规定的有关证明文件</w:t>
      </w:r>
      <w:r>
        <w:rPr>
          <w:rFonts w:hint="eastAsia" w:ascii="宋体" w:hAnsi="宋体" w:cs="宋体"/>
          <w:color w:val="auto"/>
          <w:sz w:val="24"/>
          <w:highlight w:val="none"/>
        </w:rPr>
        <w:t>（如果有）；</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2.3.3中小企业声明函（如果有）。</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3、我方承诺除商务技术偏离表列出的偏离外，我方响应招标文件的全部要求。对投标文件中材料的真实性、合法性负责，积极配合采购人复核投标文件中的资料。</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numPr>
          <w:ilvl w:val="0"/>
          <w:numId w:val="1"/>
        </w:num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rPr>
        <w:t>对</w:t>
      </w:r>
      <w:r>
        <w:rPr>
          <w:rFonts w:hint="eastAsia" w:ascii="宋体" w:hAnsi="宋体" w:cs="宋体"/>
          <w:color w:val="auto"/>
          <w:sz w:val="24"/>
          <w:highlight w:val="none"/>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pPr>
        <w:numPr>
          <w:ilvl w:val="0"/>
          <w:numId w:val="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投标人名称（电子签名）：                          </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hint="eastAsia" w:ascii="宋体" w:hAnsi="宋体" w:cs="宋体"/>
          <w:color w:val="auto"/>
          <w:kern w:val="0"/>
          <w:sz w:val="24"/>
          <w:highlight w:val="none"/>
          <w:u w:val="singl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pStyle w:val="3"/>
        <w:rPr>
          <w:rFonts w:hint="eastAsia"/>
          <w:color w:val="auto"/>
          <w:highlight w:val="none"/>
          <w:lang w:val="en-US"/>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widowControl/>
        <w:adjustRightInd/>
        <w:jc w:val="left"/>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jc w:val="cente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pPr>
        <w:snapToGrid w:val="0"/>
        <w:spacing w:line="360" w:lineRule="auto"/>
        <w:ind w:firstLine="2871" w:firstLineChars="894"/>
        <w:rPr>
          <w:rFonts w:hint="eastAsia"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杭州国画院、杭州市公共资源交易中心</w:t>
      </w:r>
      <w:r>
        <w:rPr>
          <w:rFonts w:hint="eastAsia" w:ascii="宋体" w:hAnsi="宋体" w:cs="宋体"/>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2026年杭州国画院物业管理项目【招标编号：HZZFCG-2026-064】</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snapToGrid w:val="0"/>
        <w:spacing w:line="360" w:lineRule="auto"/>
        <w:rPr>
          <w:rFonts w:hint="eastAsia" w:ascii="宋体" w:hAnsi="宋体" w:cs="宋体"/>
          <w:color w:val="auto"/>
          <w:sz w:val="24"/>
          <w:highlight w:val="none"/>
        </w:rPr>
      </w:pPr>
    </w:p>
    <w:p>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杭州国画院、杭州市公共资源交易中心</w:t>
      </w:r>
      <w:r>
        <w:rPr>
          <w:rFonts w:hint="eastAsia" w:ascii="宋体" w:hAnsi="宋体" w:cs="宋体"/>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2026年杭州国画院物业管理项目【招标编号：HZZFCG-2026-064】</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hint="eastAsia" w:ascii="宋体" w:hAnsi="宋体" w:cs="宋体"/>
          <w:b/>
          <w:color w:val="auto"/>
          <w:kern w:val="0"/>
          <w:sz w:val="32"/>
          <w:szCs w:val="32"/>
          <w:highlight w:val="none"/>
        </w:rPr>
      </w:pPr>
    </w:p>
    <w:p>
      <w:pPr>
        <w:rPr>
          <w:rFonts w:hint="eastAsia" w:ascii="宋体" w:hAnsi="宋体" w:cs="宋体"/>
          <w:color w:val="auto"/>
          <w:highlight w:val="none"/>
        </w:rPr>
      </w:pP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napToGrid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pPr>
        <w:pStyle w:val="149"/>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49"/>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pPr>
              <w:pStyle w:val="149"/>
              <w:adjustRightInd w:val="0"/>
              <w:spacing w:line="360" w:lineRule="auto"/>
              <w:rPr>
                <w:rFonts w:hint="eastAsia" w:hAnsi="宋体" w:cs="宋体"/>
                <w:bCs/>
                <w:color w:val="auto"/>
                <w:sz w:val="24"/>
                <w:highlight w:val="none"/>
              </w:rPr>
            </w:pPr>
          </w:p>
        </w:tc>
      </w:tr>
    </w:tbl>
    <w:p>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snapToGrid w:val="0"/>
        <w:spacing w:line="360" w:lineRule="auto"/>
        <w:ind w:right="480"/>
        <w:rPr>
          <w:rFonts w:hint="eastAsia"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ind w:firstLine="3533" w:firstLineChars="110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pPr>
        <w:widowControl/>
        <w:spacing w:line="360" w:lineRule="auto"/>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rPr>
          <w:rFonts w:hint="eastAsia" w:ascii="宋体" w:hAnsi="宋体" w:cs="宋体"/>
          <w:color w:val="auto"/>
          <w:kern w:val="0"/>
          <w:sz w:val="24"/>
          <w:highlight w:val="none"/>
        </w:rPr>
      </w:pPr>
    </w:p>
    <w:p>
      <w:pPr>
        <w:numPr>
          <w:ilvl w:val="0"/>
          <w:numId w:val="2"/>
        </w:num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符合性审查资料</w:t>
      </w:r>
    </w:p>
    <w:p>
      <w:pPr>
        <w:jc w:val="center"/>
        <w:rPr>
          <w:rFonts w:hint="eastAsia"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874"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pPr>
              <w:rPr>
                <w:rFonts w:hint="eastAsia" w:ascii="宋体" w:hAnsi="宋体" w:cs="宋体"/>
                <w:color w:val="auto"/>
                <w:sz w:val="24"/>
                <w:highlight w:val="none"/>
              </w:rPr>
            </w:pPr>
          </w:p>
          <w:p>
            <w:pPr>
              <w:rPr>
                <w:rFonts w:hint="eastAsia" w:ascii="宋体" w:hAnsi="宋体" w:cs="宋体"/>
                <w:color w:val="auto"/>
                <w:sz w:val="24"/>
                <w:highlight w:val="none"/>
              </w:rPr>
            </w:pPr>
            <w:r>
              <w:rPr>
                <w:rFonts w:hint="eastAsia" w:ascii="宋体" w:hAnsi="宋体" w:cs="宋体"/>
                <w:color w:val="auto"/>
                <w:sz w:val="24"/>
                <w:highlight w:val="none"/>
              </w:rPr>
              <w:t>见投标文件</w:t>
            </w:r>
          </w:p>
          <w:p>
            <w:pPr>
              <w:rPr>
                <w:rFonts w:hint="eastAsia"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874"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投标函</w:t>
            </w:r>
          </w:p>
        </w:tc>
        <w:tc>
          <w:tcPr>
            <w:tcW w:w="1418" w:type="dxa"/>
          </w:tcPr>
          <w:p>
            <w:pPr>
              <w:rPr>
                <w:rFonts w:hint="eastAsia"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763"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4874" w:type="dxa"/>
          </w:tcPr>
          <w:p>
            <w:pPr>
              <w:snapToGrid w:val="0"/>
              <w:spacing w:line="360" w:lineRule="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投标文件的组成应符合招标文件要求</w:t>
            </w:r>
          </w:p>
          <w:p>
            <w:pPr>
              <w:spacing w:line="360" w:lineRule="auto"/>
              <w:rPr>
                <w:rFonts w:hint="eastAsia" w:ascii="宋体" w:hAnsi="宋体" w:cs="宋体"/>
                <w:snapToGrid w:val="0"/>
                <w:color w:val="auto"/>
                <w:sz w:val="24"/>
                <w:highlight w:val="none"/>
              </w:rPr>
            </w:pPr>
          </w:p>
        </w:tc>
        <w:tc>
          <w:tcPr>
            <w:tcW w:w="2551"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投标文件</w:t>
            </w:r>
          </w:p>
        </w:tc>
        <w:tc>
          <w:tcPr>
            <w:tcW w:w="1418" w:type="dxa"/>
          </w:tcPr>
          <w:p>
            <w:pPr>
              <w:rPr>
                <w:rFonts w:hint="eastAsia"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4874" w:type="dxa"/>
          </w:tcPr>
          <w:p>
            <w:pPr>
              <w:spacing w:line="360" w:lineRule="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其他实质性要求1：</w:t>
            </w:r>
          </w:p>
        </w:tc>
        <w:tc>
          <w:tcPr>
            <w:tcW w:w="2551" w:type="dxa"/>
            <w:vMerge w:val="restart"/>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pPr>
              <w:rPr>
                <w:rFonts w:hint="eastAsia"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4874" w:type="dxa"/>
          </w:tcPr>
          <w:p>
            <w:pPr>
              <w:spacing w:line="360" w:lineRule="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其他实质性要求2：</w:t>
            </w:r>
          </w:p>
        </w:tc>
        <w:tc>
          <w:tcPr>
            <w:tcW w:w="2551" w:type="dxa"/>
            <w:vMerge w:val="continue"/>
            <w:vAlign w:val="center"/>
          </w:tcPr>
          <w:p>
            <w:pPr>
              <w:rPr>
                <w:rFonts w:hint="eastAsia" w:ascii="宋体" w:hAnsi="宋体" w:cs="宋体"/>
                <w:color w:val="auto"/>
                <w:kern w:val="0"/>
                <w:sz w:val="24"/>
                <w:highlight w:val="none"/>
              </w:rPr>
            </w:pPr>
          </w:p>
        </w:tc>
        <w:tc>
          <w:tcPr>
            <w:tcW w:w="1418" w:type="dxa"/>
          </w:tcPr>
          <w:p>
            <w:pPr>
              <w:rPr>
                <w:rFonts w:hint="eastAsia"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eastAsia" w:ascii="宋体" w:hAnsi="宋体" w:cs="宋体"/>
                <w:color w:val="auto"/>
                <w:sz w:val="24"/>
                <w:highlight w:val="none"/>
              </w:rPr>
            </w:pPr>
            <w:r>
              <w:rPr>
                <w:rFonts w:hint="eastAsia" w:ascii="宋体" w:hAnsi="宋体" w:cs="宋体"/>
                <w:color w:val="auto"/>
                <w:kern w:val="0"/>
                <w:sz w:val="24"/>
                <w:highlight w:val="none"/>
              </w:rPr>
              <w:t>……</w:t>
            </w:r>
          </w:p>
        </w:tc>
        <w:tc>
          <w:tcPr>
            <w:tcW w:w="4874" w:type="dxa"/>
          </w:tcPr>
          <w:p>
            <w:pPr>
              <w:spacing w:line="360" w:lineRule="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其他实质性要求</w:t>
            </w:r>
            <w:r>
              <w:rPr>
                <w:rFonts w:hint="eastAsia" w:ascii="宋体" w:hAnsi="宋体" w:cs="宋体"/>
                <w:color w:val="auto"/>
                <w:kern w:val="0"/>
                <w:sz w:val="24"/>
                <w:highlight w:val="none"/>
              </w:rPr>
              <w:t>……</w:t>
            </w:r>
            <w:r>
              <w:rPr>
                <w:rFonts w:hint="eastAsia" w:ascii="宋体" w:hAnsi="宋体" w:cs="宋体"/>
                <w:snapToGrid w:val="0"/>
                <w:color w:val="auto"/>
                <w:sz w:val="24"/>
                <w:highlight w:val="none"/>
              </w:rPr>
              <w:t>：</w:t>
            </w:r>
          </w:p>
        </w:tc>
        <w:tc>
          <w:tcPr>
            <w:tcW w:w="2551" w:type="dxa"/>
            <w:vMerge w:val="continue"/>
            <w:vAlign w:val="center"/>
          </w:tcPr>
          <w:p>
            <w:pPr>
              <w:rPr>
                <w:rFonts w:hint="eastAsia" w:ascii="宋体" w:hAnsi="宋体" w:cs="宋体"/>
                <w:color w:val="auto"/>
                <w:kern w:val="0"/>
                <w:sz w:val="24"/>
                <w:highlight w:val="none"/>
              </w:rPr>
            </w:pPr>
          </w:p>
        </w:tc>
        <w:tc>
          <w:tcPr>
            <w:tcW w:w="1418" w:type="dxa"/>
          </w:tcPr>
          <w:p>
            <w:pPr>
              <w:rPr>
                <w:rFonts w:hint="eastAsia"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pPr>
        <w:spacing w:line="360" w:lineRule="auto"/>
        <w:ind w:right="420"/>
        <w:rPr>
          <w:rFonts w:hint="eastAsia"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p>
    <w:p>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pPr>
              <w:snapToGrid w:val="0"/>
              <w:spacing w:line="360" w:lineRule="auto"/>
              <w:jc w:val="center"/>
              <w:rPr>
                <w:rFonts w:hint="eastAsia"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c>
          <w:tcPr>
            <w:tcW w:w="3046" w:type="dxa"/>
          </w:tcPr>
          <w:p>
            <w:pPr>
              <w:snapToGrid w:val="0"/>
              <w:spacing w:line="240" w:lineRule="atLeast"/>
              <w:jc w:val="center"/>
              <w:rPr>
                <w:rFonts w:hint="eastAsia" w:ascii="宋体" w:hAnsi="宋体" w:cs="宋体"/>
                <w:bCs/>
                <w:color w:val="auto"/>
                <w:sz w:val="24"/>
                <w:highlight w:val="none"/>
              </w:rPr>
            </w:pPr>
            <w:r>
              <w:rPr>
                <w:rFonts w:hint="eastAsia" w:ascii="宋体" w:hAnsi="宋体" w:cs="宋体"/>
                <w:bCs/>
                <w:color w:val="auto"/>
                <w:sz w:val="24"/>
                <w:highlight w:val="none"/>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5465" w:type="dxa"/>
          </w:tcPr>
          <w:p>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5465" w:type="dxa"/>
          </w:tcPr>
          <w:p>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pPr>
              <w:snapToGrid w:val="0"/>
              <w:spacing w:line="360" w:lineRule="auto"/>
              <w:jc w:val="center"/>
              <w:rPr>
                <w:rFonts w:hint="eastAsia" w:ascii="宋体" w:hAnsi="宋体" w:cs="宋体"/>
                <w:bCs/>
                <w:color w:val="auto"/>
                <w:sz w:val="24"/>
                <w:highlight w:val="none"/>
              </w:rPr>
            </w:pPr>
            <w:r>
              <w:rPr>
                <w:rFonts w:hint="eastAsia" w:ascii="宋体" w:hAnsi="宋体" w:cs="宋体"/>
                <w:color w:val="auto"/>
                <w:kern w:val="0"/>
                <w:sz w:val="24"/>
                <w:highlight w:val="none"/>
              </w:rPr>
              <w:t>……</w:t>
            </w:r>
          </w:p>
        </w:tc>
        <w:tc>
          <w:tcPr>
            <w:tcW w:w="5465" w:type="dxa"/>
          </w:tcPr>
          <w:p>
            <w:pPr>
              <w:snapToGrid w:val="0"/>
              <w:spacing w:line="360" w:lineRule="auto"/>
              <w:jc w:val="center"/>
              <w:rPr>
                <w:rFonts w:hint="eastAsia" w:ascii="宋体" w:hAnsi="宋体" w:cs="宋体"/>
                <w:bCs/>
                <w:color w:val="auto"/>
                <w:sz w:val="24"/>
                <w:highlight w:val="none"/>
              </w:rPr>
            </w:pPr>
          </w:p>
        </w:tc>
        <w:tc>
          <w:tcPr>
            <w:tcW w:w="3046" w:type="dxa"/>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pPr>
        <w:jc w:val="center"/>
        <w:rPr>
          <w:rFonts w:hint="eastAsia" w:ascii="宋体" w:hAnsi="宋体" w:cs="宋体"/>
          <w:b/>
          <w:color w:val="auto"/>
          <w:kern w:val="0"/>
          <w:sz w:val="32"/>
          <w:szCs w:val="32"/>
          <w:highlight w:val="none"/>
        </w:rPr>
      </w:pPr>
    </w:p>
    <w:p>
      <w:pPr>
        <w:pStyle w:val="79"/>
        <w:rPr>
          <w:rFonts w:hint="eastAsia"/>
          <w:color w:val="auto"/>
          <w:highlight w:val="none"/>
        </w:rPr>
      </w:pPr>
    </w:p>
    <w:p>
      <w:pPr>
        <w:ind w:firstLine="2891" w:firstLineChars="90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r>
    </w:tbl>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snapToGrid w:val="0"/>
        <w:spacing w:line="360" w:lineRule="auto"/>
        <w:jc w:val="center"/>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七、人员配置清单</w:t>
      </w:r>
    </w:p>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（按招标文件内容提供，格式自拟）</w:t>
      </w:r>
    </w:p>
    <w:p>
      <w:pPr>
        <w:jc w:val="center"/>
        <w:rPr>
          <w:rFonts w:hint="eastAsia" w:ascii="宋体" w:hAnsi="宋体" w:cs="宋体"/>
          <w:b/>
          <w:color w:val="auto"/>
          <w:kern w:val="0"/>
          <w:sz w:val="32"/>
          <w:szCs w:val="32"/>
          <w:highlight w:val="none"/>
        </w:rPr>
      </w:pPr>
    </w:p>
    <w:p>
      <w:pPr>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八、商务技术偏离表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pPr>
              <w:jc w:val="center"/>
              <w:rPr>
                <w:rFonts w:hint="eastAsia" w:ascii="宋体" w:hAnsi="宋体" w:cs="宋体"/>
                <w:b/>
                <w:color w:val="auto"/>
                <w:kern w:val="0"/>
                <w:sz w:val="32"/>
                <w:szCs w:val="32"/>
                <w:highlight w:val="none"/>
              </w:rPr>
            </w:pPr>
          </w:p>
        </w:tc>
        <w:tc>
          <w:tcPr>
            <w:tcW w:w="3546" w:type="dxa"/>
          </w:tcPr>
          <w:p>
            <w:pPr>
              <w:jc w:val="center"/>
              <w:rPr>
                <w:rFonts w:hint="eastAsia" w:ascii="宋体" w:hAnsi="宋体" w:cs="宋体"/>
                <w:b/>
                <w:color w:val="auto"/>
                <w:kern w:val="0"/>
                <w:sz w:val="32"/>
                <w:szCs w:val="32"/>
                <w:highlight w:val="none"/>
              </w:rPr>
            </w:pPr>
          </w:p>
        </w:tc>
        <w:tc>
          <w:tcPr>
            <w:tcW w:w="1276" w:type="dxa"/>
          </w:tcPr>
          <w:p>
            <w:pPr>
              <w:jc w:val="center"/>
              <w:rPr>
                <w:rFonts w:hint="eastAsia"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pPr>
              <w:jc w:val="center"/>
              <w:rPr>
                <w:rFonts w:hint="eastAsia" w:ascii="宋体" w:hAnsi="宋体" w:cs="宋体"/>
                <w:b/>
                <w:color w:val="auto"/>
                <w:kern w:val="0"/>
                <w:sz w:val="32"/>
                <w:szCs w:val="32"/>
                <w:highlight w:val="none"/>
              </w:rPr>
            </w:pPr>
          </w:p>
        </w:tc>
        <w:tc>
          <w:tcPr>
            <w:tcW w:w="3546" w:type="dxa"/>
          </w:tcPr>
          <w:p>
            <w:pPr>
              <w:jc w:val="center"/>
              <w:rPr>
                <w:rFonts w:hint="eastAsia" w:ascii="宋体" w:hAnsi="宋体" w:cs="宋体"/>
                <w:b/>
                <w:color w:val="auto"/>
                <w:kern w:val="0"/>
                <w:sz w:val="32"/>
                <w:szCs w:val="32"/>
                <w:highlight w:val="none"/>
              </w:rPr>
            </w:pPr>
          </w:p>
        </w:tc>
        <w:tc>
          <w:tcPr>
            <w:tcW w:w="1276" w:type="dxa"/>
          </w:tcPr>
          <w:p>
            <w:pPr>
              <w:jc w:val="center"/>
              <w:rPr>
                <w:rFonts w:hint="eastAsia"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pPr>
              <w:jc w:val="center"/>
              <w:rPr>
                <w:rFonts w:hint="eastAsia" w:ascii="宋体" w:hAnsi="宋体" w:cs="宋体"/>
                <w:b/>
                <w:color w:val="auto"/>
                <w:kern w:val="0"/>
                <w:sz w:val="32"/>
                <w:szCs w:val="32"/>
                <w:highlight w:val="none"/>
              </w:rPr>
            </w:pPr>
          </w:p>
        </w:tc>
        <w:tc>
          <w:tcPr>
            <w:tcW w:w="3546" w:type="dxa"/>
          </w:tcPr>
          <w:p>
            <w:pPr>
              <w:jc w:val="center"/>
              <w:rPr>
                <w:rFonts w:hint="eastAsia" w:ascii="宋体" w:hAnsi="宋体" w:cs="宋体"/>
                <w:b/>
                <w:color w:val="auto"/>
                <w:kern w:val="0"/>
                <w:sz w:val="32"/>
                <w:szCs w:val="32"/>
                <w:highlight w:val="none"/>
              </w:rPr>
            </w:pPr>
          </w:p>
        </w:tc>
        <w:tc>
          <w:tcPr>
            <w:tcW w:w="1276" w:type="dxa"/>
          </w:tcPr>
          <w:p>
            <w:pPr>
              <w:jc w:val="center"/>
              <w:rPr>
                <w:rFonts w:hint="eastAsia" w:ascii="宋体" w:hAnsi="宋体" w:cs="宋体"/>
                <w:b/>
                <w:color w:val="auto"/>
                <w:kern w:val="0"/>
                <w:sz w:val="32"/>
                <w:szCs w:val="32"/>
                <w:highlight w:val="none"/>
              </w:rPr>
            </w:pPr>
          </w:p>
        </w:tc>
      </w:tr>
    </w:tbl>
    <w:p>
      <w:pPr>
        <w:jc w:val="center"/>
        <w:rPr>
          <w:rFonts w:hint="eastAsia" w:ascii="宋体" w:hAnsi="宋体" w:cs="宋体"/>
          <w:b/>
          <w:color w:val="auto"/>
          <w:kern w:val="0"/>
          <w:sz w:val="32"/>
          <w:szCs w:val="32"/>
          <w:highlight w:val="non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2、本表格所反映的偏离情况与“符合性审查资料”、“评标标准相应的商务技术资料”不一致的，以“符合性审查资料”、“评标标准相应的商务技术资料”为准。</w:t>
      </w: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3、投标人须保证：除商务技术偏离表列出的偏离外，投标人响应招标文件的全部非实质性要求。</w:t>
      </w:r>
    </w:p>
    <w:p>
      <w:pPr>
        <w:spacing w:line="360" w:lineRule="auto"/>
        <w:ind w:right="420"/>
        <w:rPr>
          <w:rFonts w:hint="eastAsia" w:ascii="宋体" w:hAnsi="宋体" w:cs="宋体"/>
          <w:color w:val="auto"/>
          <w:sz w:val="24"/>
          <w:highlight w:val="none"/>
        </w:rPr>
      </w:pPr>
    </w:p>
    <w:p>
      <w:pPr>
        <w:ind w:firstLine="1911" w:firstLineChars="595"/>
        <w:rPr>
          <w:rFonts w:hint="eastAsia" w:ascii="宋体" w:hAnsi="宋体" w:cs="宋体"/>
          <w:b/>
          <w:bCs/>
          <w:color w:val="auto"/>
          <w:sz w:val="32"/>
          <w:szCs w:val="32"/>
          <w:highlight w:val="none"/>
        </w:rPr>
      </w:pPr>
    </w:p>
    <w:p>
      <w:pPr>
        <w:ind w:firstLine="1911" w:firstLineChars="595"/>
        <w:rPr>
          <w:rFonts w:hint="eastAsia" w:ascii="宋体" w:hAnsi="宋体" w:cs="宋体"/>
          <w:b/>
          <w:bCs/>
          <w:color w:val="auto"/>
          <w:sz w:val="32"/>
          <w:szCs w:val="32"/>
          <w:highlight w:val="none"/>
        </w:rPr>
      </w:pPr>
    </w:p>
    <w:p>
      <w:pPr>
        <w:widowControl/>
        <w:adjustRightInd/>
        <w:jc w:val="left"/>
        <w:rPr>
          <w:rFonts w:hint="eastAsia" w:ascii="宋体" w:hAnsi="宋体" w:cs="宋体"/>
          <w:b/>
          <w:bCs/>
          <w:color w:val="auto"/>
          <w:sz w:val="32"/>
          <w:szCs w:val="32"/>
          <w:highlight w:val="none"/>
        </w:rPr>
      </w:pPr>
      <w:r>
        <w:rPr>
          <w:rFonts w:ascii="宋体" w:hAnsi="宋体" w:cs="宋体"/>
          <w:b/>
          <w:bCs/>
          <w:color w:val="auto"/>
          <w:sz w:val="32"/>
          <w:szCs w:val="32"/>
          <w:highlight w:val="none"/>
        </w:rPr>
        <w:br w:type="page"/>
      </w:r>
    </w:p>
    <w:p>
      <w:pPr>
        <w:ind w:firstLine="1911" w:firstLineChars="595"/>
        <w:rPr>
          <w:rFonts w:hint="eastAsia" w:ascii="宋体" w:hAnsi="宋体" w:cs="宋体"/>
          <w:b/>
          <w:color w:val="auto"/>
          <w:kern w:val="0"/>
          <w:sz w:val="32"/>
          <w:szCs w:val="32"/>
          <w:highlight w:val="none"/>
        </w:rPr>
      </w:pPr>
      <w:r>
        <w:rPr>
          <w:rFonts w:hint="eastAsia" w:ascii="宋体" w:hAnsi="宋体" w:cs="宋体"/>
          <w:b/>
          <w:bCs/>
          <w:color w:val="auto"/>
          <w:sz w:val="32"/>
          <w:szCs w:val="32"/>
          <w:highlight w:val="none"/>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pPr>
        <w:snapToGrid w:val="0"/>
        <w:spacing w:line="360" w:lineRule="auto"/>
        <w:rPr>
          <w:rFonts w:hint="eastAsia" w:ascii="宋体" w:hAnsi="宋体" w:cs="宋体"/>
          <w:color w:val="auto"/>
          <w:sz w:val="24"/>
          <w:highlight w:val="none"/>
        </w:rPr>
      </w:pPr>
    </w:p>
    <w:p>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杭州国画院、杭州市公共资源交易中心</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pPr>
        <w:autoSpaceDE w:val="0"/>
        <w:autoSpaceDN w:val="0"/>
        <w:spacing w:line="360" w:lineRule="auto"/>
        <w:ind w:left="481" w:leftChars="229"/>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pPr>
        <w:autoSpaceDE w:val="0"/>
        <w:autoSpaceDN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hint="eastAsia" w:ascii="宋体" w:hAnsi="宋体" w:cs="宋体"/>
          <w:color w:val="auto"/>
          <w:kern w:val="0"/>
          <w:sz w:val="24"/>
          <w:highlight w:val="none"/>
          <w:lang w:val="zh-CN"/>
        </w:rPr>
      </w:pPr>
    </w:p>
    <w:p>
      <w:pPr>
        <w:autoSpaceDE w:val="0"/>
        <w:autoSpaceDN w:val="0"/>
        <w:spacing w:line="360" w:lineRule="auto"/>
        <w:ind w:left="2"/>
        <w:jc w:val="left"/>
        <w:rPr>
          <w:rFonts w:hint="eastAsia" w:ascii="宋体" w:hAnsi="宋体" w:cs="宋体"/>
          <w:color w:val="auto"/>
          <w:kern w:val="0"/>
          <w:sz w:val="24"/>
          <w:highlight w:val="none"/>
          <w:lang w:val="zh-CN"/>
        </w:rPr>
      </w:pPr>
    </w:p>
    <w:p>
      <w:pPr>
        <w:autoSpaceDE w:val="0"/>
        <w:autoSpaceDN w:val="0"/>
        <w:spacing w:line="360" w:lineRule="auto"/>
        <w:ind w:left="2"/>
        <w:jc w:val="left"/>
        <w:rPr>
          <w:rFonts w:hint="eastAsia" w:ascii="宋体" w:hAnsi="宋体" w:cs="宋体"/>
          <w:color w:val="auto"/>
          <w:kern w:val="0"/>
          <w:sz w:val="24"/>
          <w:highlight w:val="none"/>
          <w:lang w:val="zh-CN"/>
        </w:rPr>
      </w:pPr>
    </w:p>
    <w:p>
      <w:pPr>
        <w:autoSpaceDE w:val="0"/>
        <w:autoSpaceDN w:val="0"/>
        <w:spacing w:line="360" w:lineRule="auto"/>
        <w:ind w:left="2" w:leftChars="1" w:right="1120" w:firstLine="4560" w:firstLineChars="19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pPr>
        <w:spacing w:line="360" w:lineRule="auto"/>
        <w:ind w:left="4620" w:leftChars="2200"/>
        <w:rPr>
          <w:rFonts w:hint="eastAsia"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pPr>
        <w:spacing w:line="360" w:lineRule="auto"/>
        <w:jc w:val="center"/>
        <w:rPr>
          <w:rFonts w:hint="eastAsia" w:ascii="宋体" w:hAnsi="宋体" w:cs="宋体"/>
          <w:b/>
          <w:bCs/>
          <w:color w:val="auto"/>
          <w:sz w:val="24"/>
          <w:highlight w:val="non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hint="eastAsia"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hint="eastAsia" w:ascii="宋体" w:hAnsi="宋体" w:cs="宋体"/>
          <w:b/>
          <w:color w:val="auto"/>
          <w:kern w:val="0"/>
          <w:sz w:val="36"/>
          <w:szCs w:val="36"/>
          <w:highlight w:val="none"/>
        </w:rPr>
      </w:pP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（1）开标一览表（报价表）………………………………………………………（页码）</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（2）关于符合本国产品标准的声明函</w:t>
      </w:r>
      <w:r>
        <w:rPr>
          <w:rFonts w:hint="eastAsia" w:ascii="宋体" w:hAnsi="宋体" w:cs="宋体"/>
          <w:bCs/>
          <w:color w:val="auto"/>
          <w:sz w:val="24"/>
          <w:highlight w:val="none"/>
        </w:rPr>
        <w:t>或财政部会同有关部门规定的有关证明文件</w:t>
      </w:r>
      <w:r>
        <w:rPr>
          <w:rFonts w:hint="eastAsia" w:ascii="宋体" w:hAnsi="宋体" w:cs="宋体"/>
          <w:color w:val="auto"/>
          <w:sz w:val="24"/>
          <w:highlight w:val="none"/>
        </w:rPr>
        <w:t>………………………………………………………………………………………（页码）</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（3）中小企业声明函………………………………………………………………（页码）</w:t>
      </w: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杭州国画院、杭州市公共资源交易中心</w:t>
      </w:r>
      <w:r>
        <w:rPr>
          <w:rFonts w:hint="eastAsia" w:ascii="宋体" w:hAnsi="宋体" w:cs="宋体"/>
          <w:color w:val="auto"/>
          <w:kern w:val="0"/>
          <w:sz w:val="24"/>
          <w:highlight w:val="none"/>
          <w:lang w:val="zh-CN"/>
        </w:rPr>
        <w:t>：</w:t>
      </w:r>
    </w:p>
    <w:p>
      <w:pPr>
        <w:snapToGrid w:val="0"/>
        <w:spacing w:line="360" w:lineRule="auto"/>
        <w:ind w:firstLine="482"/>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rPr>
        <w:t>2026年杭州国画院物业管理项目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HZZFCG-2026-064】的实施</w:t>
      </w:r>
      <w:r>
        <w:rPr>
          <w:rFonts w:hint="eastAsia" w:ascii="宋体" w:hAnsi="宋体" w:cs="宋体"/>
          <w:color w:val="auto"/>
          <w:kern w:val="0"/>
          <w:sz w:val="24"/>
          <w:highlight w:val="none"/>
          <w:lang w:val="zh-CN"/>
        </w:rPr>
        <w:t>。</w:t>
      </w:r>
    </w:p>
    <w:p>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78"/>
        <w:gridCol w:w="1282"/>
        <w:gridCol w:w="2410"/>
        <w:gridCol w:w="2268"/>
        <w:gridCol w:w="425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978" w:type="dxa"/>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名称</w:t>
            </w:r>
          </w:p>
        </w:tc>
        <w:tc>
          <w:tcPr>
            <w:tcW w:w="1282" w:type="dxa"/>
          </w:tcPr>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服务时间</w:t>
            </w:r>
          </w:p>
        </w:tc>
        <w:tc>
          <w:tcPr>
            <w:tcW w:w="4253" w:type="dxa"/>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服务标准</w:t>
            </w:r>
          </w:p>
        </w:tc>
        <w:tc>
          <w:tcPr>
            <w:tcW w:w="2126" w:type="dxa"/>
            <w:vAlign w:val="center"/>
          </w:tcPr>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978"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2026年杭州国画院物业管理项目</w:t>
            </w:r>
          </w:p>
        </w:tc>
        <w:tc>
          <w:tcPr>
            <w:tcW w:w="1282" w:type="dxa"/>
            <w:vAlign w:val="center"/>
          </w:tcPr>
          <w:p>
            <w:pPr>
              <w:snapToGrid w:val="0"/>
              <w:spacing w:line="360" w:lineRule="auto"/>
              <w:jc w:val="center"/>
              <w:rPr>
                <w:rFonts w:hint="eastAsia" w:ascii="宋体" w:hAnsi="宋体" w:cs="宋体"/>
                <w:color w:val="auto"/>
                <w:sz w:val="24"/>
                <w:highlight w:val="none"/>
              </w:rPr>
            </w:pPr>
          </w:p>
        </w:tc>
        <w:tc>
          <w:tcPr>
            <w:tcW w:w="2410" w:type="dxa"/>
            <w:vAlign w:val="center"/>
          </w:tcPr>
          <w:p>
            <w:pPr>
              <w:snapToGrid w:val="0"/>
              <w:spacing w:line="360" w:lineRule="auto"/>
              <w:jc w:val="center"/>
              <w:rPr>
                <w:rFonts w:hint="eastAsia" w:ascii="宋体" w:hAnsi="宋体" w:cs="宋体"/>
                <w:color w:val="auto"/>
                <w:sz w:val="24"/>
                <w:highlight w:val="none"/>
              </w:rPr>
            </w:pPr>
          </w:p>
        </w:tc>
        <w:tc>
          <w:tcPr>
            <w:tcW w:w="2268"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12个月</w:t>
            </w:r>
          </w:p>
        </w:tc>
        <w:tc>
          <w:tcPr>
            <w:tcW w:w="4253" w:type="dxa"/>
            <w:vAlign w:val="center"/>
          </w:tcPr>
          <w:p>
            <w:pPr>
              <w:spacing w:line="360" w:lineRule="auto"/>
              <w:jc w:val="center"/>
              <w:rPr>
                <w:rFonts w:hint="eastAsia" w:ascii="宋体" w:hAnsi="宋体" w:cs="宋体"/>
                <w:color w:val="auto"/>
                <w:sz w:val="24"/>
                <w:highlight w:val="none"/>
              </w:rPr>
            </w:pPr>
          </w:p>
        </w:tc>
        <w:tc>
          <w:tcPr>
            <w:tcW w:w="2126" w:type="dxa"/>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3"/>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3"/>
          </w:tcPr>
          <w:p>
            <w:pPr>
              <w:spacing w:line="360" w:lineRule="auto"/>
              <w:jc w:val="center"/>
              <w:rPr>
                <w:rFonts w:hint="eastAsia" w:ascii="宋体" w:hAnsi="宋体" w:cs="宋体"/>
                <w:color w:val="auto"/>
                <w:sz w:val="24"/>
                <w:highlight w:val="none"/>
              </w:rPr>
            </w:pPr>
          </w:p>
        </w:tc>
      </w:tr>
    </w:tbl>
    <w:p>
      <w:pPr>
        <w:snapToGrid w:val="0"/>
        <w:spacing w:line="360" w:lineRule="auto"/>
        <w:ind w:left="480"/>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3、特别提示：采购机构将对项目名称和项目编号，中标供应商名称、地址和中标金额，主要中标标的名称、服务范围、服务要求、服务时间、服务标准等予以公示。</w:t>
      </w:r>
    </w:p>
    <w:p>
      <w:pPr>
        <w:snapToGrid w:val="0"/>
        <w:spacing w:line="360" w:lineRule="auto"/>
        <w:ind w:firstLine="480" w:firstLineChars="200"/>
        <w:jc w:val="left"/>
        <w:rPr>
          <w:rFonts w:hint="eastAsia" w:ascii="宋体" w:hAnsi="宋体" w:cs="宋体"/>
          <w:color w:val="auto"/>
          <w:kern w:val="0"/>
          <w:sz w:val="24"/>
          <w:highlight w:val="none"/>
          <w:lang w:val="zh-CN"/>
        </w:rPr>
      </w:pPr>
    </w:p>
    <w:p>
      <w:pPr>
        <w:snapToGrid w:val="0"/>
        <w:spacing w:line="360" w:lineRule="auto"/>
        <w:ind w:firstLine="5520" w:firstLineChars="23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firstLine="481" w:firstLineChars="200"/>
        <w:rPr>
          <w:rFonts w:hint="eastAsia" w:ascii="宋体" w:hAnsi="宋体" w:cs="宋体"/>
          <w:b/>
          <w:color w:val="auto"/>
          <w:sz w:val="24"/>
          <w:highlight w:val="none"/>
        </w:rPr>
      </w:pPr>
    </w:p>
    <w:p>
      <w:pPr>
        <w:spacing w:line="360" w:lineRule="auto"/>
        <w:ind w:firstLine="481" w:firstLineChars="200"/>
        <w:rPr>
          <w:rFonts w:hint="eastAsia" w:ascii="宋体" w:hAnsi="宋体" w:cs="宋体"/>
          <w:b/>
          <w:color w:val="auto"/>
          <w:kern w:val="0"/>
          <w:sz w:val="24"/>
          <w:highlight w:val="none"/>
        </w:rPr>
      </w:pPr>
    </w:p>
    <w:p>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二、关于符合本国产品标准的声明函或财政部会同有关部门规定的有关证明文件（如果有）</w:t>
      </w:r>
    </w:p>
    <w:p>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国务院办公厅关于在政府采购中实施本国产品标准及相关政策的通知》规定的本国产品拟享受价格扣除政策的，需提供关于符合本国产品标准的声明函（附件9）或财政部会同有关部门规定的有关证明文件。]</w:t>
      </w:r>
    </w:p>
    <w:p>
      <w:pPr>
        <w:widowControl/>
        <w:spacing w:line="360" w:lineRule="auto"/>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rPr>
        <w:t>注：投标人未提供关于符合本国产品标准的声明函（</w:t>
      </w:r>
      <w:r>
        <w:rPr>
          <w:rFonts w:hint="eastAsia" w:ascii="宋体" w:hAnsi="宋体" w:cs="宋体"/>
          <w:b/>
          <w:color w:val="auto"/>
          <w:sz w:val="24"/>
          <w:highlight w:val="none"/>
        </w:rPr>
        <w:t>或财政部会同有关部门规定的有关证明文件</w:t>
      </w:r>
      <w:r>
        <w:rPr>
          <w:rFonts w:hint="eastAsia" w:ascii="宋体" w:hAnsi="宋体" w:cs="宋体"/>
          <w:b/>
          <w:color w:val="auto"/>
          <w:sz w:val="24"/>
          <w:highlight w:val="none"/>
          <w:u w:val="single"/>
        </w:rPr>
        <w:t>）或提供的关于符合本国产品标准的声明函（</w:t>
      </w:r>
      <w:r>
        <w:rPr>
          <w:rFonts w:hint="eastAsia" w:ascii="宋体" w:hAnsi="宋体" w:cs="宋体"/>
          <w:b/>
          <w:color w:val="auto"/>
          <w:sz w:val="24"/>
          <w:highlight w:val="none"/>
        </w:rPr>
        <w:t>或财政部会同有关部门规定的有关证明文件</w:t>
      </w:r>
      <w:r>
        <w:rPr>
          <w:rFonts w:hint="eastAsia" w:ascii="宋体" w:hAnsi="宋体" w:cs="宋体"/>
          <w:b/>
          <w:color w:val="auto"/>
          <w:sz w:val="24"/>
          <w:highlight w:val="none"/>
          <w:u w:val="single"/>
        </w:rPr>
        <w:t>）不符合要求的，不享受该价格扣除政策。</w:t>
      </w:r>
    </w:p>
    <w:p>
      <w:pPr>
        <w:pStyle w:val="693"/>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rPr>
      </w:pPr>
    </w:p>
    <w:p>
      <w:pPr>
        <w:pStyle w:val="693"/>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三、中小企业声明函（如果有）</w:t>
      </w:r>
    </w:p>
    <w:p>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pStyle w:val="2"/>
        <w:keepNext w:val="0"/>
        <w:keepLines w:val="0"/>
        <w:pageBreakBefore/>
        <w:widowControl/>
        <w:spacing w:before="100" w:beforeAutospacing="1" w:after="100" w:afterAutospacing="1" w:line="360" w:lineRule="auto"/>
        <w:ind w:left="1290" w:firstLine="3092" w:firstLineChars="700"/>
        <w:rPr>
          <w:rFonts w:hint="eastAsia" w:ascii="宋体" w:hAnsi="宋体" w:cs="宋体"/>
          <w:color w:val="auto"/>
          <w:highlight w:val="none"/>
        </w:rPr>
      </w:pPr>
      <w:r>
        <w:rPr>
          <w:rFonts w:hint="eastAsia" w:ascii="宋体" w:hAnsi="宋体" w:cs="宋体"/>
          <w:color w:val="auto"/>
          <w:highlight w:val="none"/>
        </w:rPr>
        <w:t>附件</w:t>
      </w:r>
    </w:p>
    <w:p>
      <w:pPr>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pPr>
        <w:spacing w:line="360" w:lineRule="auto"/>
        <w:jc w:val="center"/>
        <w:rPr>
          <w:rFonts w:hint="eastAsia" w:ascii="宋体" w:hAnsi="宋体" w:cs="宋体"/>
          <w:b/>
          <w:color w:val="auto"/>
          <w:spacing w:val="6"/>
          <w:sz w:val="32"/>
          <w:szCs w:val="32"/>
          <w:highlight w:val="none"/>
        </w:rPr>
      </w:pPr>
      <w:bookmarkStart w:id="407" w:name="OLE_LINK13"/>
      <w:bookmarkStart w:id="408" w:name="OLE_LINK14"/>
      <w:r>
        <w:rPr>
          <w:rFonts w:hint="eastAsia" w:ascii="宋体" w:hAnsi="宋体" w:cs="宋体"/>
          <w:b/>
          <w:color w:val="auto"/>
          <w:spacing w:val="6"/>
          <w:sz w:val="32"/>
          <w:szCs w:val="32"/>
          <w:highlight w:val="none"/>
        </w:rPr>
        <w:t>残疾人福利性单位声明函</w:t>
      </w:r>
    </w:p>
    <w:bookmarkEnd w:id="407"/>
    <w:bookmarkEnd w:id="408"/>
    <w:p>
      <w:pPr>
        <w:spacing w:line="360" w:lineRule="auto"/>
        <w:rPr>
          <w:rFonts w:hint="eastAsia" w:ascii="宋体" w:hAnsi="宋体" w:cs="宋体"/>
          <w:b/>
          <w:color w:val="auto"/>
          <w:spacing w:val="6"/>
          <w:sz w:val="30"/>
          <w:szCs w:val="30"/>
          <w:highlight w:val="none"/>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杭州国画院</w:t>
      </w:r>
      <w:r>
        <w:rPr>
          <w:rFonts w:hint="eastAsia" w:ascii="宋体" w:hAnsi="宋体" w:cs="宋体"/>
          <w:color w:val="auto"/>
          <w:sz w:val="24"/>
          <w:highlight w:val="none"/>
        </w:rPr>
        <w:t>单位的</w:t>
      </w:r>
      <w:r>
        <w:rPr>
          <w:rFonts w:hint="eastAsia" w:ascii="宋体" w:hAnsi="宋体" w:cs="宋体"/>
          <w:color w:val="auto"/>
          <w:sz w:val="24"/>
          <w:highlight w:val="none"/>
          <w:u w:val="single"/>
        </w:rPr>
        <w:t>2026年杭州国画院物业管理项目</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p>
    <w:p>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日  期：</w:t>
      </w:r>
    </w:p>
    <w:p>
      <w:pPr>
        <w:spacing w:line="360" w:lineRule="auto"/>
        <w:ind w:firstLine="480" w:firstLineChars="200"/>
        <w:rPr>
          <w:rFonts w:hint="eastAsia" w:ascii="宋体" w:hAnsi="宋体" w:cs="宋体"/>
          <w:color w:val="auto"/>
          <w:sz w:val="24"/>
          <w:highlight w:val="none"/>
        </w:rPr>
      </w:pPr>
    </w:p>
    <w:p>
      <w:pPr>
        <w:spacing w:line="360" w:lineRule="auto"/>
        <w:ind w:firstLine="420" w:firstLineChars="200"/>
        <w:rPr>
          <w:rFonts w:hint="eastAsia" w:ascii="宋体" w:hAnsi="宋体" w:cs="宋体"/>
          <w:color w:val="auto"/>
          <w:highlight w:val="none"/>
        </w:rPr>
      </w:pPr>
    </w:p>
    <w:p>
      <w:pPr>
        <w:spacing w:line="360" w:lineRule="auto"/>
        <w:ind w:firstLine="420" w:firstLineChars="200"/>
        <w:rPr>
          <w:rFonts w:hint="eastAsia" w:ascii="宋体" w:hAnsi="宋体" w:cs="宋体"/>
          <w:color w:val="auto"/>
          <w:highlight w:val="none"/>
        </w:rPr>
      </w:pPr>
    </w:p>
    <w:p>
      <w:pPr>
        <w:spacing w:line="360" w:lineRule="auto"/>
        <w:ind w:firstLine="420" w:firstLineChars="200"/>
        <w:rPr>
          <w:rFonts w:hint="eastAsia" w:ascii="宋体" w:hAnsi="宋体" w:cs="宋体"/>
          <w:color w:val="auto"/>
          <w:highlight w:val="none"/>
        </w:rPr>
      </w:pPr>
    </w:p>
    <w:p>
      <w:pPr>
        <w:spacing w:line="360" w:lineRule="auto"/>
        <w:ind w:firstLine="420" w:firstLineChars="200"/>
        <w:rPr>
          <w:rFonts w:hint="eastAsia" w:ascii="宋体" w:hAnsi="宋体" w:cs="宋体"/>
          <w:color w:val="auto"/>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240"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hint="eastAsia" w:ascii="宋体" w:hAnsi="宋体" w:cs="宋体"/>
          <w:b/>
          <w:bCs/>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ascii="宋体" w:hAnsi="宋体" w:cs="宋体"/>
          <w:color w:val="auto"/>
          <w:sz w:val="30"/>
          <w:szCs w:val="30"/>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left"/>
        <w:rPr>
          <w:rFonts w:hint="eastAsia" w:ascii="宋体" w:hAnsi="宋体" w:cs="宋体"/>
          <w:b/>
          <w:color w:val="auto"/>
          <w:spacing w:val="6"/>
          <w:sz w:val="32"/>
          <w:szCs w:val="32"/>
          <w:highlight w:val="none"/>
        </w:rPr>
      </w:pPr>
    </w:p>
    <w:p>
      <w:pPr>
        <w:spacing w:line="360" w:lineRule="auto"/>
        <w:jc w:val="left"/>
        <w:rPr>
          <w:rFonts w:hint="eastAsia" w:ascii="宋体" w:hAnsi="宋体" w:cs="宋体"/>
          <w:b/>
          <w:color w:val="auto"/>
          <w:spacing w:val="6"/>
          <w:sz w:val="32"/>
          <w:szCs w:val="32"/>
          <w:highlight w:val="none"/>
        </w:rPr>
      </w:pPr>
    </w:p>
    <w:p>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tabs>
          <w:tab w:val="left" w:pos="651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tabs>
          <w:tab w:val="left" w:pos="6510"/>
        </w:tabs>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hint="eastAsia"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hint="eastAsia" w:ascii="宋体" w:hAnsi="宋体" w:cs="宋体"/>
          <w:b/>
          <w:color w:val="auto"/>
          <w:sz w:val="24"/>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pPr>
        <w:spacing w:line="360" w:lineRule="auto"/>
        <w:rPr>
          <w:rFonts w:hint="eastAsia" w:ascii="宋体" w:hAnsi="宋体" w:cs="宋体"/>
          <w:color w:val="auto"/>
          <w:sz w:val="24"/>
          <w:highlight w:val="none"/>
          <w:u w:val="singl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杭州国画院、杭州市公共资源交易中心：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你方组织的2026年杭州国画院物业管理项目【招标编号：HZZFCG-2026-064】</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94"/>
        <w:rPr>
          <w:rFonts w:hint="eastAsia" w:ascii="宋体" w:hAnsi="宋体" w:cs="宋体"/>
          <w:color w:val="auto"/>
          <w:sz w:val="24"/>
          <w:highlight w:val="none"/>
        </w:rPr>
      </w:pPr>
    </w:p>
    <w:p>
      <w:pPr>
        <w:spacing w:line="360" w:lineRule="auto"/>
        <w:ind w:firstLine="494"/>
        <w:rPr>
          <w:rFonts w:hint="eastAsia" w:ascii="宋体" w:hAnsi="宋体" w:cs="宋体"/>
          <w:color w:val="auto"/>
          <w:sz w:val="24"/>
          <w:highlight w:val="none"/>
        </w:rPr>
      </w:pPr>
    </w:p>
    <w:p>
      <w:pPr>
        <w:spacing w:line="360" w:lineRule="auto"/>
        <w:ind w:firstLine="494"/>
        <w:rPr>
          <w:rFonts w:hint="eastAsia" w:ascii="宋体" w:hAnsi="宋体" w:cs="宋体"/>
          <w:color w:val="auto"/>
          <w:sz w:val="24"/>
          <w:highlight w:val="none"/>
        </w:rPr>
      </w:pPr>
    </w:p>
    <w:p>
      <w:pPr>
        <w:spacing w:line="360" w:lineRule="auto"/>
        <w:ind w:firstLine="494"/>
        <w:rPr>
          <w:rFonts w:hint="eastAsia" w:ascii="宋体" w:hAnsi="宋体" w:cs="宋体"/>
          <w:color w:val="auto"/>
          <w:sz w:val="24"/>
          <w:highlight w:val="none"/>
        </w:rPr>
      </w:pPr>
    </w:p>
    <w:p>
      <w:pPr>
        <w:spacing w:line="360" w:lineRule="auto"/>
        <w:ind w:right="480" w:firstLine="4080" w:firstLineChars="1700"/>
        <w:rPr>
          <w:rFonts w:hint="eastAsia" w:ascii="宋体" w:hAnsi="宋体" w:cs="宋体"/>
          <w:color w:val="auto"/>
          <w:sz w:val="24"/>
          <w:highlight w:val="none"/>
        </w:rPr>
      </w:pPr>
      <w:r>
        <w:rPr>
          <w:rFonts w:hint="eastAsia" w:ascii="宋体" w:hAnsi="宋体" w:cs="宋体"/>
          <w:color w:val="auto"/>
          <w:sz w:val="24"/>
          <w:highlight w:val="none"/>
        </w:rPr>
        <w:t>投标单位（法定名称章）：</w:t>
      </w:r>
    </w:p>
    <w:p>
      <w:pPr>
        <w:ind w:right="1440" w:firstLine="494"/>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rPr>
          <w:rFonts w:hint="eastAsia" w:ascii="宋体" w:hAnsi="宋体" w:cs="宋体"/>
          <w:color w:val="auto"/>
          <w:sz w:val="24"/>
          <w:highlight w:val="none"/>
        </w:rPr>
      </w:pPr>
      <w:r>
        <w:rPr>
          <w:rFonts w:hint="eastAsia" w:ascii="宋体" w:hAnsi="宋体" w:cs="宋体"/>
          <w:b/>
          <w:bCs/>
          <w:color w:val="auto"/>
          <w:sz w:val="24"/>
          <w:highlight w:val="none"/>
        </w:rPr>
        <w:t>附：</w:t>
      </w:r>
    </w:p>
    <w:p>
      <w:pPr>
        <w:spacing w:line="360" w:lineRule="auto"/>
        <w:rPr>
          <w:rFonts w:hint="eastAsia"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9ZAPP9gAAAAKAQAADwAAAAAAAAABACAAAAA4AAAA&#10;ZHJzL2Rvd25yZXYueG1sUEsBAhQAFAAAAAgAh07iQOLXmAk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GYxHptgAAAAKAQAADwAAAAAAAAABACAAAAA4AAAA&#10;ZHJzL2Rvd25yZXYueG1sUEsBAhQAFAAAAAgAh07iQHeCfUQ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pPr>
        <w:widowControl/>
        <w:spacing w:line="360" w:lineRule="auto"/>
        <w:ind w:firstLine="481"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2026年杭州国画院物业管理项目【招标编号：HZZFCG-2026-064】</w:t>
      </w:r>
      <w:r>
        <w:rPr>
          <w:rFonts w:hint="eastAsia" w:ascii="宋体" w:hAnsi="宋体" w:cs="宋体"/>
          <w:color w:val="auto"/>
          <w:kern w:val="0"/>
          <w:sz w:val="24"/>
          <w:highlight w:val="none"/>
          <w:lang w:val="zh-CN"/>
        </w:rPr>
        <w:t xml:space="preserve">投标。 </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w:t>
      </w:r>
      <w:r>
        <w:rPr>
          <w:rFonts w:hint="eastAsia" w:ascii="宋体" w:hAnsi="宋体" w:cs="宋体"/>
          <w:color w:val="auto"/>
          <w:kern w:val="0"/>
          <w:sz w:val="24"/>
          <w:highlight w:val="none"/>
        </w:rPr>
        <w:t>响</w:t>
      </w:r>
      <w:r>
        <w:rPr>
          <w:rFonts w:hint="eastAsia" w:ascii="宋体" w:hAnsi="宋体" w:cs="宋体"/>
          <w:color w:val="auto"/>
          <w:kern w:val="0"/>
          <w:sz w:val="24"/>
          <w:highlight w:val="none"/>
          <w:lang w:val="zh-CN"/>
        </w:rPr>
        <w:t>应等均对联合投标各方产生约束力。</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rPr>
        <w:t>所有联合体成员</w:t>
      </w:r>
      <w:r>
        <w:rPr>
          <w:rFonts w:hint="eastAsia" w:ascii="宋体" w:hAnsi="宋体" w:cs="宋体"/>
          <w:color w:val="auto"/>
          <w:kern w:val="0"/>
          <w:sz w:val="24"/>
          <w:highlight w:val="none"/>
          <w:lang w:val="zh-CN"/>
        </w:rPr>
        <w:t>分工如下：</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（联合体成员1名称）</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rPr>
        <w:t>根据项目具体情况二选一填写）</w:t>
      </w:r>
      <w:r>
        <w:rPr>
          <w:rFonts w:hint="eastAsia" w:ascii="宋体" w:hAnsi="宋体" w:cs="宋体"/>
          <w:color w:val="auto"/>
          <w:kern w:val="0"/>
          <w:sz w:val="24"/>
          <w:highlight w:val="none"/>
          <w:lang w:val="zh-CN"/>
        </w:rPr>
        <w:t>。</w:t>
      </w:r>
    </w:p>
    <w:p>
      <w:pPr>
        <w:snapToGrid w:val="0"/>
        <w:spacing w:line="360" w:lineRule="auto"/>
        <w:ind w:firstLine="576"/>
        <w:rPr>
          <w:rFonts w:hint="eastAsia"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w:t>
      </w:r>
      <w:bookmarkStart w:id="409"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09"/>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10"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10"/>
      <w:r>
        <w:rPr>
          <w:rFonts w:hint="eastAsia" w:ascii="宋体" w:hAnsi="宋体" w:cs="宋体"/>
          <w:b/>
          <w:color w:val="auto"/>
          <w:kern w:val="0"/>
          <w:sz w:val="24"/>
          <w:highlight w:val="none"/>
          <w:lang w:val="zh-CN"/>
        </w:rPr>
        <w:t>）</w:t>
      </w:r>
    </w:p>
    <w:p>
      <w:pPr>
        <w:spacing w:line="360" w:lineRule="auto"/>
        <w:ind w:firstLine="480" w:firstLineChars="200"/>
        <w:rPr>
          <w:rFonts w:hint="eastAsia"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38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w:t>
      </w:r>
      <w:bookmarkStart w:id="411"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11"/>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3、本协议提交采购人、采购机构后，联合体各方不得以任何形式对上述内容进行修改或撤销。</w:t>
      </w: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right="96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snapToGrid w:val="0"/>
        <w:spacing w:line="360" w:lineRule="auto"/>
        <w:ind w:firstLine="3665" w:firstLineChars="1100"/>
        <w:rPr>
          <w:rFonts w:hint="eastAsia" w:ascii="宋体" w:hAnsi="宋体" w:cs="宋体"/>
          <w:b/>
          <w:color w:val="auto"/>
          <w:spacing w:val="6"/>
          <w:sz w:val="32"/>
          <w:szCs w:val="32"/>
          <w:highlight w:val="none"/>
        </w:rPr>
      </w:pPr>
    </w:p>
    <w:p>
      <w:pPr>
        <w:widowControl/>
        <w:adjustRightInd/>
        <w:jc w:val="left"/>
        <w:rPr>
          <w:rFonts w:hint="eastAsia"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pPr>
        <w:snapToGrid w:val="0"/>
        <w:spacing w:line="360" w:lineRule="auto"/>
        <w:ind w:firstLine="3665" w:firstLineChars="1100"/>
        <w:rPr>
          <w:rFonts w:hint="eastAsia"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pPr>
        <w:widowControl/>
        <w:spacing w:line="360" w:lineRule="auto"/>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2026年杭州国画院物业管理项目【招标编号：HZZFCG-2026-064】</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lang w:val="zh-CN"/>
        </w:rPr>
        <w:t>将工作分包如下：</w:t>
      </w:r>
      <w:r>
        <w:rPr>
          <w:rFonts w:hint="eastAsia" w:ascii="宋体" w:hAnsi="宋体" w:cs="宋体"/>
          <w:b/>
          <w:bCs/>
          <w:i/>
          <w:iCs/>
          <w:color w:val="auto"/>
          <w:kern w:val="0"/>
          <w:sz w:val="24"/>
          <w:highlight w:val="none"/>
          <w:lang w:val="zh-CN"/>
        </w:rPr>
        <w:t>（注：投标人只能将招标文件第二部分中“前附表”的“分包”规定的工作进行分包）</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p>
    <w:p>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（分包供应商2名称）；</w:t>
      </w:r>
    </w:p>
    <w:p>
      <w:pPr>
        <w:pStyle w:val="3"/>
        <w:ind w:left="664" w:leftChars="316" w:firstLine="228"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tabs>
          <w:tab w:val="left" w:pos="432"/>
        </w:tabs>
        <w:snapToGrid w:val="0"/>
        <w:ind w:left="664" w:leftChars="316" w:firstLine="228" w:firstLineChars="95"/>
        <w:rPr>
          <w:rFonts w:hint="eastAsia" w:ascii="宋体" w:hAnsi="宋体" w:cs="宋体"/>
          <w:color w:val="auto"/>
          <w:kern w:val="0"/>
          <w:sz w:val="24"/>
          <w:highlight w:val="none"/>
        </w:rPr>
      </w:pPr>
      <w:r>
        <w:rPr>
          <w:rFonts w:hint="eastAsia" w:ascii="宋体" w:hAnsi="宋体" w:cs="宋体"/>
          <w:color w:val="auto"/>
          <w:kern w:val="0"/>
          <w:sz w:val="24"/>
          <w:highlight w:val="none"/>
        </w:rPr>
        <w:t>以上分包供应商</w:t>
      </w:r>
      <w:r>
        <w:rPr>
          <w:rFonts w:hint="eastAsia" w:ascii="宋体" w:hAnsi="宋体" w:cs="宋体"/>
          <w:color w:val="auto"/>
          <w:kern w:val="0"/>
          <w:sz w:val="24"/>
          <w:highlight w:val="none"/>
          <w:lang w:val="zh-CN"/>
        </w:rPr>
        <w:t>具备所承</w:t>
      </w:r>
      <w:r>
        <w:rPr>
          <w:rFonts w:hint="eastAsia" w:ascii="宋体" w:hAnsi="宋体" w:cs="宋体"/>
          <w:color w:val="auto"/>
          <w:kern w:val="0"/>
          <w:sz w:val="24"/>
          <w:highlight w:val="none"/>
        </w:rPr>
        <w:t>担</w:t>
      </w:r>
      <w:r>
        <w:rPr>
          <w:rFonts w:hint="eastAsia" w:ascii="宋体" w:hAnsi="宋体" w:cs="宋体"/>
          <w:color w:val="auto"/>
          <w:kern w:val="0"/>
          <w:sz w:val="24"/>
          <w:highlight w:val="none"/>
          <w:lang w:val="zh-CN"/>
        </w:rPr>
        <w:t>分包工作内容相应的资质条件且不得再次分包。</w:t>
      </w:r>
    </w:p>
    <w:p>
      <w:pPr>
        <w:pStyle w:val="3"/>
        <w:ind w:left="664" w:leftChars="316" w:firstLine="305" w:firstLineChars="95"/>
        <w:rPr>
          <w:rFonts w:hint="eastAsia"/>
          <w:color w:val="auto"/>
          <w:highlight w:val="none"/>
        </w:rPr>
      </w:pP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rPr>
        <w:t>根据项目具体情况二选一填写）。</w:t>
      </w:r>
    </w:p>
    <w:p>
      <w:pPr>
        <w:snapToGrid w:val="0"/>
        <w:spacing w:line="360" w:lineRule="auto"/>
        <w:ind w:firstLine="576"/>
        <w:rPr>
          <w:rFonts w:hint="eastAsia" w:ascii="宋体" w:hAnsi="宋体" w:cs="宋体"/>
          <w:b/>
          <w:color w:val="auto"/>
          <w:kern w:val="0"/>
          <w:sz w:val="24"/>
          <w:highlight w:val="none"/>
          <w:lang w:val="zh-CN"/>
        </w:rPr>
      </w:pPr>
      <w:sdt>
        <w:sdtPr>
          <w:rPr>
            <w:rFonts w:hint="eastAsia" w:ascii="宋体" w:hAnsi="宋体" w:cs="宋体"/>
            <w:color w:val="auto"/>
            <w:kern w:val="0"/>
            <w:sz w:val="24"/>
            <w:highlight w:val="none"/>
          </w:rPr>
          <w:id w:val="14745199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hint="eastAsia"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52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pPr>
        <w:snapToGrid w:val="0"/>
        <w:spacing w:line="360" w:lineRule="auto"/>
        <w:ind w:firstLine="576"/>
        <w:rPr>
          <w:rFonts w:hint="eastAsia"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pPr>
        <w:snapToGrid w:val="0"/>
        <w:spacing w:line="360" w:lineRule="auto"/>
        <w:ind w:left="573" w:leftChars="273"/>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3" w:leftChars="273"/>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pPr>
        <w:snapToGrid w:val="0"/>
        <w:spacing w:line="360" w:lineRule="auto"/>
        <w:ind w:left="5128" w:leftChars="342" w:hanging="4410" w:hangingChars="2100"/>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pPr>
        <w:snapToGrid w:val="0"/>
        <w:spacing w:line="360" w:lineRule="auto"/>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ind w:left="5758" w:leftChars="342" w:hanging="5040" w:hanging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spacing w:line="360" w:lineRule="auto"/>
        <w:jc w:val="left"/>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杭州国画院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2026年杭州国画院物业管理项目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rPr>
        <w:t>标的名称：</w:t>
      </w:r>
      <w:r>
        <w:rPr>
          <w:rFonts w:hint="eastAsia" w:ascii="宋体" w:hAnsi="宋体" w:cs="宋体"/>
          <w:color w:val="auto"/>
          <w:sz w:val="24"/>
          <w:highlight w:val="none"/>
          <w:u w:val="single"/>
        </w:rPr>
        <w:t xml:space="preserve"> 2026年杭州国画院物业管理项目</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物业管理行业</w:t>
      </w:r>
      <w:r>
        <w:rPr>
          <w:rFonts w:hint="eastAsia" w:ascii="宋体" w:hAnsi="宋体" w:cs="宋体"/>
          <w:color w:val="auto"/>
          <w:sz w:val="24"/>
          <w:highlight w:val="none"/>
        </w:rPr>
        <w:t xml:space="preserve"> ；承接企业为 </w:t>
      </w:r>
      <w:r>
        <w:rPr>
          <w:rFonts w:hint="eastAsia" w:ascii="宋体" w:hAnsi="宋体" w:cs="宋体"/>
          <w:color w:val="auto"/>
          <w:sz w:val="24"/>
          <w:highlight w:val="none"/>
          <w:u w:val="single"/>
        </w:rPr>
        <w:t>①（企业名称）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②（中型企业、小型企业、微型企业） </w:t>
      </w:r>
      <w:r>
        <w:rPr>
          <w:rFonts w:hint="eastAsia" w:ascii="宋体" w:hAnsi="宋体" w:cs="宋体"/>
          <w:color w:val="auto"/>
          <w:sz w:val="24"/>
          <w:highlight w:val="none"/>
        </w:rPr>
        <w:t>；</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pacing w:line="360" w:lineRule="auto"/>
        <w:ind w:right="1760"/>
        <w:jc w:val="right"/>
        <w:rPr>
          <w:rFonts w:hint="eastAsia" w:ascii="宋体" w:hAnsi="宋体" w:cs="宋体"/>
          <w:color w:val="auto"/>
          <w:sz w:val="24"/>
          <w:highlight w:val="none"/>
        </w:rPr>
      </w:pPr>
      <w:r>
        <w:rPr>
          <w:rFonts w:hint="eastAsia" w:ascii="宋体" w:hAnsi="宋体" w:cs="宋体"/>
          <w:color w:val="auto"/>
          <w:sz w:val="24"/>
          <w:highlight w:val="none"/>
        </w:rPr>
        <w:t>投标人名称（电子签名）：</w:t>
      </w:r>
    </w:p>
    <w:p>
      <w:pPr>
        <w:spacing w:line="360" w:lineRule="auto"/>
        <w:ind w:right="1120" w:firstLine="4680" w:firstLineChars="1950"/>
        <w:rPr>
          <w:rFonts w:hint="eastAsia" w:ascii="宋体" w:hAnsi="宋体" w:cs="宋体"/>
          <w:color w:val="auto"/>
          <w:sz w:val="24"/>
          <w:highlight w:val="none"/>
        </w:rPr>
      </w:pPr>
      <w:r>
        <w:rPr>
          <w:rFonts w:hint="eastAsia" w:ascii="宋体" w:hAnsi="宋体" w:cs="宋体"/>
          <w:color w:val="auto"/>
          <w:sz w:val="24"/>
          <w:highlight w:val="none"/>
        </w:rPr>
        <w:t>日 期：</w:t>
      </w:r>
    </w:p>
    <w:p>
      <w:pPr>
        <w:spacing w:line="360" w:lineRule="auto"/>
        <w:ind w:firstLine="309"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 xml:space="preserve">   注：</w:t>
      </w:r>
    </w:p>
    <w:p>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1、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pStyle w:val="3"/>
        <w:rPr>
          <w:rFonts w:hint="eastAsia" w:ascii="宋体" w:hAnsi="宋体" w:eastAsia="宋体" w:cs="宋体"/>
          <w:bCs w:val="0"/>
          <w:color w:val="auto"/>
          <w:sz w:val="36"/>
          <w:szCs w:val="20"/>
          <w:highlight w:val="none"/>
          <w:lang w:val="en-US"/>
        </w:rPr>
      </w:pPr>
      <w:r>
        <w:rPr>
          <w:rFonts w:hint="eastAsia" w:ascii="宋体" w:hAnsi="宋体" w:eastAsia="宋体" w:cs="宋体"/>
          <w:bCs w:val="0"/>
          <w:color w:val="auto"/>
          <w:sz w:val="36"/>
          <w:szCs w:val="20"/>
          <w:highlight w:val="none"/>
          <w:lang w:val="en-US"/>
        </w:rPr>
        <w:t>附件8：中小企业划型标准</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各行业划型标准为：</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（十六）其他未列明行业。从业人员300人以下的为中小微型企业。其中，从业人员100人及以上的为中型企业；从业人员10人及以上的为小型企业；从业人员10人以下的为微型企业。</w:t>
      </w:r>
    </w:p>
    <w:p>
      <w:pPr>
        <w:rPr>
          <w:rFonts w:hint="eastAsia" w:ascii="宋体" w:hAnsi="宋体" w:cs="宋体"/>
          <w:color w:val="auto"/>
          <w:kern w:val="0"/>
          <w:sz w:val="24"/>
          <w:highlight w:val="none"/>
        </w:rPr>
      </w:pPr>
      <w:r>
        <w:rPr>
          <w:rFonts w:hint="eastAsia" w:ascii="宋体" w:hAnsi="宋体" w:cs="宋体"/>
          <w:color w:val="auto"/>
          <w:kern w:val="0"/>
          <w:sz w:val="24"/>
          <w:highlight w:val="none"/>
        </w:rPr>
        <w:br w:type="page"/>
      </w:r>
    </w:p>
    <w:p>
      <w:pPr>
        <w:snapToGrid w:val="0"/>
        <w:spacing w:line="360" w:lineRule="auto"/>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附件</w:t>
      </w:r>
      <w:r>
        <w:rPr>
          <w:rFonts w:hint="eastAsia" w:ascii="宋体" w:hAnsi="宋体" w:cs="宋体"/>
          <w:b/>
          <w:color w:val="auto"/>
          <w:kern w:val="0"/>
          <w:sz w:val="32"/>
          <w:szCs w:val="32"/>
          <w:highlight w:val="none"/>
        </w:rPr>
        <w:t>9：</w:t>
      </w:r>
    </w:p>
    <w:p>
      <w:pPr>
        <w:snapToGrid w:val="0"/>
        <w:spacing w:line="360" w:lineRule="auto"/>
        <w:ind w:firstLine="642" w:firstLineChars="200"/>
        <w:jc w:val="center"/>
        <w:rPr>
          <w:rFonts w:hint="eastAsia" w:ascii="宋体" w:hAnsi="宋体" w:cs="宋体"/>
          <w:color w:val="auto"/>
          <w:kern w:val="0"/>
          <w:sz w:val="24"/>
          <w:highlight w:val="none"/>
        </w:rPr>
      </w:pPr>
      <w:r>
        <w:rPr>
          <w:rFonts w:hint="eastAsia" w:ascii="宋体" w:hAnsi="宋体" w:cs="宋体"/>
          <w:b/>
          <w:color w:val="auto"/>
          <w:sz w:val="32"/>
          <w:szCs w:val="32"/>
          <w:highlight w:val="none"/>
          <w:lang w:val="zh-CN"/>
        </w:rPr>
        <w:t>关于符合本国产品标准的声明函</w:t>
      </w:r>
    </w:p>
    <w:p>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一、</w:t>
      </w:r>
      <w:r>
        <w:rPr>
          <w:rFonts w:hint="eastAsia" w:ascii="宋体" w:hAnsi="宋体" w:cs="宋体"/>
          <w:color w:val="auto"/>
          <w:kern w:val="0"/>
          <w:sz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lang w:val="zh-CN"/>
        </w:rPr>
        <w:t>（产品名称1）</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lang w:val="zh-CN"/>
        </w:rPr>
        <w:t>，生产厂为</w:t>
      </w:r>
      <w:r>
        <w:rPr>
          <w:rFonts w:hint="eastAsia" w:ascii="宋体" w:hAnsi="宋体" w:cs="宋体"/>
          <w:color w:val="auto"/>
          <w:kern w:val="0"/>
          <w:sz w:val="24"/>
          <w:highlight w:val="none"/>
          <w:u w:val="single"/>
          <w:lang w:val="zh-CN"/>
        </w:rPr>
        <w:t>（厂名）</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vertAlign w:val="superscript"/>
        </w:rPr>
        <w:t>2</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lang w:val="zh-CN"/>
        </w:rPr>
        <w:t>，厂址为</w:t>
      </w:r>
      <w:r>
        <w:rPr>
          <w:rFonts w:hint="eastAsia" w:ascii="宋体" w:hAnsi="宋体" w:cs="宋体"/>
          <w:color w:val="auto"/>
          <w:kern w:val="0"/>
          <w:sz w:val="24"/>
          <w:highlight w:val="none"/>
          <w:u w:val="single"/>
          <w:lang w:val="zh-CN"/>
        </w:rPr>
        <w:t>（生产厂址）</w:t>
      </w:r>
      <w:r>
        <w:rPr>
          <w:rFonts w:hint="eastAsia" w:ascii="宋体" w:hAnsi="宋体" w:cs="宋体"/>
          <w:color w:val="auto"/>
          <w:kern w:val="0"/>
          <w:sz w:val="24"/>
          <w:highlight w:val="none"/>
          <w:lang w:val="zh-CN"/>
        </w:rPr>
        <w:t>。</w:t>
      </w:r>
    </w:p>
    <w:p>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lang w:val="zh-CN"/>
        </w:rPr>
        <w:t>（产品名称</w:t>
      </w:r>
      <w:r>
        <w:rPr>
          <w:rFonts w:hint="eastAsia" w:ascii="宋体" w:hAnsi="宋体" w:cs="宋体"/>
          <w:color w:val="auto"/>
          <w:kern w:val="0"/>
          <w:sz w:val="24"/>
          <w:highlight w:val="none"/>
          <w:u w:val="single"/>
        </w:rPr>
        <w:t>2</w:t>
      </w:r>
      <w:r>
        <w:rPr>
          <w:rFonts w:hint="eastAsia" w:ascii="宋体" w:hAnsi="宋体" w:cs="宋体"/>
          <w:color w:val="auto"/>
          <w:kern w:val="0"/>
          <w:sz w:val="24"/>
          <w:highlight w:val="none"/>
          <w:u w:val="single"/>
          <w:lang w:val="zh-CN"/>
        </w:rPr>
        <w:t>）</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lang w:val="zh-CN"/>
        </w:rPr>
        <w:t>，生产厂为</w:t>
      </w:r>
      <w:r>
        <w:rPr>
          <w:rFonts w:hint="eastAsia" w:ascii="宋体" w:hAnsi="宋体" w:cs="宋体"/>
          <w:color w:val="auto"/>
          <w:kern w:val="0"/>
          <w:sz w:val="24"/>
          <w:highlight w:val="none"/>
          <w:u w:val="single"/>
          <w:lang w:val="zh-CN"/>
        </w:rPr>
        <w:t>（厂名）</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vertAlign w:val="superscript"/>
        </w:rPr>
        <w:t>2</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lang w:val="zh-CN"/>
        </w:rPr>
        <w:t>，厂址为</w:t>
      </w:r>
      <w:r>
        <w:rPr>
          <w:rFonts w:hint="eastAsia" w:ascii="宋体" w:hAnsi="宋体" w:cs="宋体"/>
          <w:color w:val="auto"/>
          <w:kern w:val="0"/>
          <w:sz w:val="24"/>
          <w:highlight w:val="none"/>
          <w:u w:val="single"/>
          <w:lang w:val="zh-CN"/>
        </w:rPr>
        <w:t>（生产厂址）</w:t>
      </w:r>
      <w:r>
        <w:rPr>
          <w:rFonts w:hint="eastAsia" w:ascii="宋体" w:hAnsi="宋体" w:cs="宋体"/>
          <w:color w:val="auto"/>
          <w:kern w:val="0"/>
          <w:sz w:val="24"/>
          <w:highlight w:val="none"/>
          <w:lang w:val="zh-CN"/>
        </w:rPr>
        <w:t>。</w:t>
      </w:r>
    </w:p>
    <w:p>
      <w:pPr>
        <w:snapToGrid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pPr>
        <w:adjustRightInd/>
        <w:ind w:firstLine="481" w:firstLineChars="200"/>
        <w:jc w:val="left"/>
        <w:rPr>
          <w:rFonts w:hint="eastAsia" w:ascii="宋体" w:hAnsi="宋体" w:cs="宋体"/>
          <w:color w:val="auto"/>
          <w:sz w:val="32"/>
          <w:szCs w:val="32"/>
          <w:highlight w:val="none"/>
        </w:rPr>
      </w:pPr>
      <w:r>
        <w:rPr>
          <w:rFonts w:hint="eastAsia" w:ascii="宋体" w:hAnsi="宋体" w:cs="宋体"/>
          <w:b/>
          <w:bCs/>
          <w:color w:val="auto"/>
          <w:sz w:val="24"/>
          <w:highlight w:val="none"/>
        </w:rPr>
        <w:t>二、关于符合本国产品标准的成本占比情况：</w:t>
      </w:r>
    </w:p>
    <w:p>
      <w:pPr>
        <w:adjustRightInd/>
        <w:jc w:val="center"/>
        <w:rPr>
          <w:rFonts w:hint="eastAsia" w:ascii="宋体" w:hAnsi="宋体" w:cs="宋体"/>
          <w:color w:val="auto"/>
          <w:sz w:val="32"/>
          <w:szCs w:val="32"/>
          <w:highlight w:val="none"/>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pPr>
              <w:jc w:val="center"/>
              <w:rPr>
                <w:rFonts w:hint="eastAsia"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计算公式</w:t>
            </w:r>
          </w:p>
        </w:tc>
        <w:tc>
          <w:tcPr>
            <w:tcW w:w="2092" w:type="dxa"/>
            <w:vAlign w:val="center"/>
          </w:tcPr>
          <w:p>
            <w:pPr>
              <w:jc w:val="center"/>
              <w:rPr>
                <w:rFonts w:hint="eastAsia"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占比情况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pPr>
              <w:jc w:val="center"/>
              <w:rPr>
                <w:rFonts w:hint="eastAsia" w:ascii="宋体" w:hAnsi="宋体" w:cs="宋体"/>
                <w:color w:val="auto"/>
                <w:sz w:val="24"/>
                <w:highlight w:val="none"/>
                <w:shd w:val="clear" w:color="auto" w:fill="FFFFFF"/>
              </w:rPr>
            </w:pPr>
          </w:p>
          <w:p>
            <w:pPr>
              <w:jc w:val="center"/>
              <w:rPr>
                <w:rFonts w:hint="eastAsia" w:ascii="宋体" w:hAnsi="宋体" w:cs="宋体"/>
                <w:color w:val="auto"/>
                <w:spacing w:val="4"/>
                <w:sz w:val="24"/>
                <w:highlight w:val="none"/>
                <w:bdr w:val="single" w:color="auto" w:sz="2" w:space="0"/>
                <w:shd w:val="clear" w:color="auto" w:fill="FFFFFF"/>
              </w:rPr>
            </w:pPr>
            <m:oMathPara>
              <m:oMath>
                <m:r>
                  <m:rPr>
                    <m:sty m:val="p"/>
                  </m:rPr>
                  <w:rPr>
                    <w:rFonts w:hint="eastAsia" w:ascii="Cambria Math" w:hAnsi="Cambria Math" w:cs="宋体"/>
                    <w:color w:val="auto"/>
                    <w:sz w:val="24"/>
                    <w:highlight w:val="none"/>
                  </w:rPr>
                  <m:t>比例</m:t>
                </m:r>
                <m:r>
                  <m:rPr/>
                  <w:rPr>
                    <w:rFonts w:hint="eastAsia" w:ascii="Cambria Math" w:hAnsi="Cambria Math" w:cs="宋体"/>
                    <w:color w:val="auto"/>
                    <w:sz w:val="24"/>
                    <w:highlight w:val="none"/>
                  </w:rPr>
                  <m:t>=</m:t>
                </m:r>
                <m:f>
                  <m:fPr>
                    <m:ctrlPr>
                      <w:rPr>
                        <w:rFonts w:hint="eastAsia" w:ascii="Cambria Math" w:hAnsi="Cambria Math" w:cs="宋体"/>
                        <w:i/>
                        <w:color w:val="auto"/>
                        <w:sz w:val="24"/>
                        <w:highlight w:val="none"/>
                      </w:rPr>
                    </m:ctrlPr>
                  </m:fPr>
                  <m:num>
                    <m:r>
                      <m:rPr>
                        <m:sty m:val="p"/>
                      </m:rPr>
                      <w:rPr>
                        <w:rFonts w:hint="eastAsia" w:ascii="Cambria Math" w:hAnsi="Cambria Math" w:cs="宋体"/>
                        <w:color w:val="auto"/>
                        <w:sz w:val="24"/>
                        <w:highlight w:val="none"/>
                      </w:rPr>
                      <m:t>符合本国产品标准的投标产品成本之和</m:t>
                    </m:r>
                    <m:ctrlPr>
                      <w:rPr>
                        <w:rFonts w:hint="eastAsia" w:ascii="Cambria Math" w:hAnsi="Cambria Math" w:cs="宋体"/>
                        <w:color w:val="auto"/>
                        <w:sz w:val="24"/>
                        <w:highlight w:val="none"/>
                      </w:rPr>
                    </m:ctrlPr>
                  </m:num>
                  <m:den>
                    <m:r>
                      <m:rPr>
                        <m:sty m:val="p"/>
                      </m:rPr>
                      <w:rPr>
                        <w:rFonts w:hint="eastAsia" w:ascii="Cambria Math" w:hAnsi="Cambria Math" w:cs="宋体"/>
                        <w:color w:val="auto"/>
                        <w:sz w:val="24"/>
                        <w:highlight w:val="none"/>
                      </w:rPr>
                      <m:t>提供的全部产品成本之和</m:t>
                    </m:r>
                    <m:ctrlPr>
                      <w:rPr>
                        <w:rFonts w:hint="eastAsia" w:ascii="Cambria Math" w:hAnsi="Cambria Math" w:cs="宋体"/>
                        <w:color w:val="auto"/>
                        <w:sz w:val="24"/>
                        <w:highlight w:val="none"/>
                      </w:rPr>
                    </m:ctrlPr>
                  </m:den>
                </m:f>
                <m:r>
                  <m:rPr>
                    <m:sty m:val="p"/>
                  </m:rPr>
                  <w:rPr>
                    <w:rFonts w:hint="eastAsia" w:ascii="Cambria Math" w:hAnsi="Cambria Math" w:cs="宋体"/>
                    <w:color w:val="auto"/>
                    <w:sz w:val="24"/>
                    <w:highlight w:val="none"/>
                  </w:rPr>
                  <m:t>×</m:t>
                </m:r>
                <m:r>
                  <m:rPr/>
                  <w:rPr>
                    <w:rFonts w:hint="eastAsia" w:ascii="Cambria Math" w:hAnsi="Cambria Math" w:cs="宋体"/>
                    <w:color w:val="auto"/>
                    <w:sz w:val="24"/>
                    <w:highlight w:val="none"/>
                  </w:rPr>
                  <m:t>100%</m:t>
                </m:r>
              </m:oMath>
            </m:oMathPara>
          </w:p>
          <w:p>
            <w:pPr>
              <w:jc w:val="center"/>
              <w:rPr>
                <w:rFonts w:hint="eastAsia" w:ascii="宋体" w:hAnsi="宋体" w:cs="宋体"/>
                <w:color w:val="auto"/>
                <w:spacing w:val="4"/>
                <w:sz w:val="24"/>
                <w:highlight w:val="none"/>
                <w:bdr w:val="single" w:color="auto" w:sz="2" w:space="0"/>
                <w:shd w:val="clear" w:color="auto" w:fill="FFFFFF"/>
              </w:rPr>
            </w:pPr>
          </w:p>
          <w:p>
            <w:pPr>
              <w:jc w:val="center"/>
              <w:rPr>
                <w:rFonts w:hint="eastAsia" w:ascii="宋体" w:hAnsi="宋体" w:cs="宋体"/>
                <w:color w:val="auto"/>
                <w:sz w:val="24"/>
                <w:highlight w:val="none"/>
                <w:shd w:val="clear" w:color="auto" w:fill="FFFFFF"/>
              </w:rPr>
            </w:pPr>
          </w:p>
        </w:tc>
        <w:tc>
          <w:tcPr>
            <w:tcW w:w="2092" w:type="dxa"/>
            <w:vAlign w:val="center"/>
          </w:tcPr>
          <w:p>
            <w:pPr>
              <w:jc w:val="center"/>
              <w:rPr>
                <w:rFonts w:hint="eastAsia" w:ascii="宋体" w:hAnsi="宋体" w:cs="宋体"/>
                <w:color w:val="auto"/>
                <w:sz w:val="24"/>
                <w:highlight w:val="none"/>
                <w:shd w:val="clear" w:color="auto" w:fill="FFFFFF"/>
              </w:rPr>
            </w:pP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w:t>
            </w:r>
          </w:p>
        </w:tc>
      </w:tr>
    </w:tbl>
    <w:p>
      <w:pPr>
        <w:snapToGrid w:val="0"/>
        <w:spacing w:line="360" w:lineRule="auto"/>
        <w:ind w:firstLine="480" w:firstLineChars="200"/>
        <w:jc w:val="left"/>
        <w:rPr>
          <w:rFonts w:hint="eastAsia" w:ascii="宋体" w:hAnsi="宋体" w:cs="宋体"/>
          <w:color w:val="auto"/>
          <w:kern w:val="0"/>
          <w:sz w:val="24"/>
          <w:highlight w:val="none"/>
          <w:lang w:val="zh-CN"/>
        </w:rPr>
      </w:pPr>
    </w:p>
    <w:p>
      <w:pPr>
        <w:snapToGrid w:val="0"/>
        <w:spacing w:line="360" w:lineRule="auto"/>
        <w:rPr>
          <w:rFonts w:hint="eastAsia" w:ascii="宋体" w:hAnsi="宋体" w:cs="宋体"/>
          <w:color w:val="auto"/>
          <w:kern w:val="0"/>
          <w:sz w:val="24"/>
          <w:highlight w:val="none"/>
          <w:lang w:val="zh-CN"/>
        </w:rPr>
      </w:pPr>
    </w:p>
    <w:p>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本公司（单位）对上述声明内容的真实性负责。如有虚假，愿承担相应法律责任。</w:t>
      </w:r>
    </w:p>
    <w:p>
      <w:pPr>
        <w:snapToGrid w:val="0"/>
        <w:spacing w:line="360" w:lineRule="auto"/>
        <w:rPr>
          <w:rFonts w:hint="eastAsia" w:ascii="宋体" w:hAnsi="宋体" w:cs="宋体"/>
          <w:color w:val="auto"/>
          <w:kern w:val="0"/>
          <w:sz w:val="24"/>
          <w:highlight w:val="none"/>
          <w:lang w:val="zh-CN"/>
        </w:rPr>
      </w:pPr>
    </w:p>
    <w:p>
      <w:pPr>
        <w:snapToGrid w:val="0"/>
        <w:spacing w:line="360" w:lineRule="auto"/>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公司（单位）名称（盖章）：</w:t>
      </w:r>
    </w:p>
    <w:p>
      <w:pPr>
        <w:snapToGrid w:val="0"/>
        <w:spacing w:line="360" w:lineRule="auto"/>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cs="宋体"/>
          <w:color w:val="auto"/>
          <w:kern w:val="0"/>
          <w:sz w:val="24"/>
          <w:highlight w:val="none"/>
          <w:lang w:val="zh-CN"/>
        </w:rPr>
        <w:t>日期：       年    月     日</w:t>
      </w:r>
    </w:p>
    <w:p>
      <w:pPr>
        <w:snapToGrid w:val="0"/>
        <w:spacing w:line="360" w:lineRule="auto"/>
        <w:rPr>
          <w:rFonts w:hint="eastAsia" w:ascii="宋体" w:hAnsi="宋体" w:cs="宋体"/>
          <w:color w:val="auto"/>
          <w:kern w:val="0"/>
          <w:sz w:val="24"/>
          <w:highlight w:val="none"/>
          <w:lang w:val="zh-CN"/>
        </w:rPr>
      </w:pPr>
    </w:p>
    <w:p>
      <w:pPr>
        <w:snapToGrid w:val="0"/>
        <w:spacing w:line="360" w:lineRule="auto"/>
        <w:rPr>
          <w:rFonts w:hint="eastAsia" w:ascii="宋体" w:hAnsi="宋体" w:cs="宋体"/>
          <w:color w:val="auto"/>
          <w:kern w:val="0"/>
          <w:sz w:val="24"/>
          <w:highlight w:val="none"/>
          <w:lang w:val="zh-CN"/>
        </w:rPr>
      </w:pPr>
    </w:p>
    <w:p>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zh-CN"/>
        </w:rPr>
        <w:t>】.产品如有型号，请在“产品名称”栏一并填写。</w:t>
      </w:r>
    </w:p>
    <w:p>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zh-CN"/>
        </w:rPr>
        <w:t>】.生产厂名与厂址应与生产厂营业执照载明的相关信息保持一致。</w:t>
      </w:r>
    </w:p>
    <w:p>
      <w:pPr>
        <w:pStyle w:val="79"/>
        <w:rPr>
          <w:rFonts w:hint="eastAsia"/>
          <w:color w:val="auto"/>
          <w:highlight w:val="none"/>
        </w:rPr>
      </w:pPr>
    </w:p>
    <w:p>
      <w:pPr>
        <w:pStyle w:val="3"/>
        <w:rPr>
          <w:rFonts w:hint="eastAsia" w:ascii="宋体" w:hAnsi="宋体" w:eastAsia="宋体" w:cs="宋体"/>
          <w:color w:val="auto"/>
          <w:highlight w:val="none"/>
          <w:lang w:val="en-US"/>
        </w:rPr>
      </w:pPr>
    </w:p>
    <w:p>
      <w:pPr>
        <w:spacing w:line="360" w:lineRule="auto"/>
        <w:ind w:right="420"/>
        <w:rPr>
          <w:rFonts w:hint="eastAsia" w:ascii="宋体" w:hAnsi="宋体" w:cs="宋体"/>
          <w:color w:val="auto"/>
          <w:highlight w:val="none"/>
        </w:rPr>
      </w:pPr>
    </w:p>
    <w:p>
      <w:pPr>
        <w:spacing w:line="360" w:lineRule="auto"/>
        <w:rPr>
          <w:rFonts w:hint="eastAsia" w:ascii="宋体" w:hAnsi="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国标宋体-超大字符集"/>
    <w:panose1 w:val="00000000000000000000"/>
    <w:charset w:val="00"/>
    <w:family w:val="auto"/>
    <w:pitch w:val="default"/>
    <w:sig w:usb0="00000000" w:usb1="00000000" w:usb2="00000000" w:usb3="00000000" w:csb0="0000009F" w:csb1="00000000"/>
  </w:font>
  <w:font w:name="国标宋体-超大字符集">
    <w:panose1 w:val="03000509000000000000"/>
    <w:charset w:val="86"/>
    <w:family w:val="auto"/>
    <w:pitch w:val="default"/>
    <w:sig w:usb0="00000001" w:usb1="08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altName w:val="DejaVu Math TeX Gyre"/>
    <w:panose1 w:val="00000000000000000000"/>
    <w:charset w:val="00"/>
    <w:family w:val="swiss"/>
    <w:pitch w:val="default"/>
    <w:sig w:usb0="00000000" w:usb1="00000000" w:usb2="00000000" w:usb3="00000000" w:csb0="00000001" w:csb1="00000000"/>
  </w:font>
  <w:font w:name="等线 Light">
    <w:altName w:val="华文中宋"/>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ˎ̥">
    <w:altName w:val="华文中宋"/>
    <w:panose1 w:val="00000000000000000000"/>
    <w:charset w:val="00"/>
    <w:family w:val="auto"/>
    <w:pitch w:val="default"/>
    <w:sig w:usb0="00000000" w:usb1="00000000" w:usb2="00000000" w:usb3="00000000" w:csb0="00040001" w:csb1="00000000"/>
  </w:font>
  <w:font w:name="幼圆">
    <w:altName w:val="华文中宋"/>
    <w:panose1 w:val="02010509060101010101"/>
    <w:charset w:val="86"/>
    <w:family w:val="modern"/>
    <w:pitch w:val="default"/>
    <w:sig w:usb0="00000000" w:usb1="0000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FHLHE E+ Futura Bk">
    <w:altName w:val="华文中宋"/>
    <w:panose1 w:val="00000000000000000000"/>
    <w:charset w:val="86"/>
    <w:family w:val="swiss"/>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8" w:usb3="00000000" w:csb0="000001FF" w:csb1="00000000"/>
  </w:font>
  <w:font w:name="Arial Unicode MS">
    <w:altName w:val="DejaVu Sans"/>
    <w:panose1 w:val="020B0604020202020204"/>
    <w:charset w:val="86"/>
    <w:family w:val="swiss"/>
    <w:pitch w:val="default"/>
    <w:sig w:usb0="00000000" w:usb1="00000000" w:usb2="0000003F" w:usb3="00000000" w:csb0="003F01FF" w:csb1="00000000"/>
  </w:font>
  <w:font w:name="Helvetica">
    <w:altName w:val="DejaVu Sans"/>
    <w:panose1 w:val="020B0604020202020204"/>
    <w:charset w:val="00"/>
    <w:family w:val="swiss"/>
    <w:pitch w:val="default"/>
    <w:sig w:usb0="00000000" w:usb1="00000000" w:usb2="00000000" w:usb3="00000000" w:csb0="00000001"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Latha">
    <w:altName w:val="DejaVu Math TeX Gyre"/>
    <w:panose1 w:val="02000400000000000000"/>
    <w:charset w:val="00"/>
    <w:family w:val="swiss"/>
    <w:pitch w:val="default"/>
    <w:sig w:usb0="00000000" w:usb1="00000000" w:usb2="00000000" w:usb3="00000000" w:csb0="00000001" w:csb1="00000000"/>
  </w:font>
  <w:font w:name="等线">
    <w:altName w:val="华文中宋"/>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0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Lucida Sans Unicode">
    <w:altName w:val="Noto Naskh Arabic"/>
    <w:panose1 w:val="020B0602030504020204"/>
    <w:charset w:val="00"/>
    <w:family w:val="swiss"/>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2000009F" w:csb1="DFD7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华文中宋"/>
    <w:panose1 w:val="00000000000000000000"/>
    <w:charset w:val="00"/>
    <w:family w:val="modern"/>
    <w:pitch w:val="default"/>
    <w:sig w:usb0="00000000" w:usb1="00000000" w:usb2="00000000" w:usb3="00000000" w:csb0="00040001"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MS Gothic">
    <w:altName w:val="方正书宋_GBK"/>
    <w:panose1 w:val="020B0609070205080204"/>
    <w:charset w:val="80"/>
    <w:family w:val="modern"/>
    <w:pitch w:val="default"/>
    <w:sig w:usb0="00000000" w:usb1="00000000"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S Mincho">
    <w:altName w:val="方正书宋_GBK"/>
    <w:panose1 w:val="02020609040205080304"/>
    <w:charset w:val="80"/>
    <w:family w:val="modern"/>
    <w:pitch w:val="default"/>
    <w:sig w:usb0="00000000" w:usb1="00000000" w:usb2="08000012" w:usb3="00000000" w:csb0="0002009F" w:csb1="00000000"/>
  </w:font>
  <w:font w:name="Cambria Math">
    <w:altName w:val="DejaVu Math TeX Gyre"/>
    <w:panose1 w:val="02040503050406030204"/>
    <w:charset w:val="00"/>
    <w:family w:val="roman"/>
    <w:pitch w:val="default"/>
    <w:sig w:usb0="00000000" w:usb1="00000000" w:usb2="02000000" w:usb3="00000000" w:csb0="2000019F" w:csb1="00000000"/>
  </w:font>
  <w:font w:name="Noto Sans CJK JP Bold">
    <w:panose1 w:val="020B0800000000000000"/>
    <w:charset w:val="86"/>
    <w:family w:val="auto"/>
    <w:pitch w:val="default"/>
    <w:sig w:usb0="30000003" w:usb1="2BDF3C10" w:usb2="00000016" w:usb3="00000000" w:csb0="602E0107"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2" w:name="_Toc131845147"/>
    <w:bookmarkStart w:id="413" w:name="_Toc91899912"/>
    <w:bookmarkStart w:id="414" w:name="_Toc36110187"/>
    <w:bookmarkStart w:id="415" w:name="_Toc164085800"/>
    <w:r>
      <w:rPr>
        <w:rFonts w:hint="eastAsia" w:ascii="仿宋_GB2312" w:eastAsia="仿宋_GB2312"/>
        <w:kern w:val="0"/>
        <w:szCs w:val="21"/>
      </w:rPr>
      <w:t xml:space="preserve"> 页</w:t>
    </w:r>
    <w:bookmarkEnd w:id="412"/>
    <w:bookmarkEnd w:id="413"/>
    <w:bookmarkEnd w:id="414"/>
    <w:bookmarkEnd w:id="4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rPr>
        <w:rFonts w:hint="eastAsia"/>
      </w:rPr>
      <w:t xml:space="preserve">                                  </w:t>
    </w:r>
    <w:r>
      <w:t>杭州市政府采购公开招标文件</w:t>
    </w:r>
  </w:p>
  <w:p>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0CE5D3FC"/>
    <w:multiLevelType w:val="singleLevel"/>
    <w:tmpl w:val="0CE5D3F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C10"/>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1C9"/>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3E7"/>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A89"/>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981"/>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076D9"/>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AEF"/>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A03"/>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396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87A82"/>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4D8D"/>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6C0"/>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2FF"/>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9F7441"/>
    <w:rsid w:val="01B37585"/>
    <w:rsid w:val="01D55165"/>
    <w:rsid w:val="01DF6BF8"/>
    <w:rsid w:val="01EC2C57"/>
    <w:rsid w:val="021900C6"/>
    <w:rsid w:val="025F0711"/>
    <w:rsid w:val="026B2E25"/>
    <w:rsid w:val="02794AFC"/>
    <w:rsid w:val="02824D4D"/>
    <w:rsid w:val="02DC4B10"/>
    <w:rsid w:val="02DD76CE"/>
    <w:rsid w:val="02F36323"/>
    <w:rsid w:val="02F5619C"/>
    <w:rsid w:val="0326446A"/>
    <w:rsid w:val="032D5555"/>
    <w:rsid w:val="036634D2"/>
    <w:rsid w:val="03DD35E4"/>
    <w:rsid w:val="04076900"/>
    <w:rsid w:val="04093CE0"/>
    <w:rsid w:val="041A5A3B"/>
    <w:rsid w:val="042311BA"/>
    <w:rsid w:val="042B157A"/>
    <w:rsid w:val="048F763B"/>
    <w:rsid w:val="049F330E"/>
    <w:rsid w:val="04AA775C"/>
    <w:rsid w:val="04AE367F"/>
    <w:rsid w:val="04AF1889"/>
    <w:rsid w:val="04F66F48"/>
    <w:rsid w:val="05251E14"/>
    <w:rsid w:val="05A16594"/>
    <w:rsid w:val="05A7762D"/>
    <w:rsid w:val="060E5941"/>
    <w:rsid w:val="06110FAF"/>
    <w:rsid w:val="06493CA7"/>
    <w:rsid w:val="065A6178"/>
    <w:rsid w:val="066F1CF3"/>
    <w:rsid w:val="06757199"/>
    <w:rsid w:val="06930BB8"/>
    <w:rsid w:val="07245D42"/>
    <w:rsid w:val="07264C62"/>
    <w:rsid w:val="0779354C"/>
    <w:rsid w:val="07871192"/>
    <w:rsid w:val="08061376"/>
    <w:rsid w:val="08452D77"/>
    <w:rsid w:val="086401F8"/>
    <w:rsid w:val="08751CAA"/>
    <w:rsid w:val="087E4C40"/>
    <w:rsid w:val="08A871D0"/>
    <w:rsid w:val="08D66AD6"/>
    <w:rsid w:val="08DA33A3"/>
    <w:rsid w:val="08E80F13"/>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2A6DCE"/>
    <w:rsid w:val="0C571A41"/>
    <w:rsid w:val="0C5C1171"/>
    <w:rsid w:val="0C5E1CBC"/>
    <w:rsid w:val="0C615B50"/>
    <w:rsid w:val="0C6A432F"/>
    <w:rsid w:val="0C8445DA"/>
    <w:rsid w:val="0C87121B"/>
    <w:rsid w:val="0CBA4E1D"/>
    <w:rsid w:val="0CC007F7"/>
    <w:rsid w:val="0CC617AC"/>
    <w:rsid w:val="0CE618DF"/>
    <w:rsid w:val="0CFE707A"/>
    <w:rsid w:val="0D063BDA"/>
    <w:rsid w:val="0D08375F"/>
    <w:rsid w:val="0D184CFB"/>
    <w:rsid w:val="0D202D3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7724C"/>
    <w:rsid w:val="0F693536"/>
    <w:rsid w:val="0F7B0511"/>
    <w:rsid w:val="0F7B76D9"/>
    <w:rsid w:val="0F816ACD"/>
    <w:rsid w:val="0F9832DB"/>
    <w:rsid w:val="0FBF3FD2"/>
    <w:rsid w:val="0FBF7FF3"/>
    <w:rsid w:val="101975A5"/>
    <w:rsid w:val="10646583"/>
    <w:rsid w:val="107D4B15"/>
    <w:rsid w:val="108A3C80"/>
    <w:rsid w:val="10C26171"/>
    <w:rsid w:val="10F33360"/>
    <w:rsid w:val="10FC16EA"/>
    <w:rsid w:val="110F1D40"/>
    <w:rsid w:val="111D3B37"/>
    <w:rsid w:val="11266F33"/>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9B1A0A"/>
    <w:rsid w:val="139D25C7"/>
    <w:rsid w:val="13BF3CE4"/>
    <w:rsid w:val="141008D8"/>
    <w:rsid w:val="14125FE6"/>
    <w:rsid w:val="146D271E"/>
    <w:rsid w:val="14982588"/>
    <w:rsid w:val="149A5AD9"/>
    <w:rsid w:val="14A7619D"/>
    <w:rsid w:val="14BA7E1E"/>
    <w:rsid w:val="150536C3"/>
    <w:rsid w:val="150C1963"/>
    <w:rsid w:val="151447A0"/>
    <w:rsid w:val="154A6454"/>
    <w:rsid w:val="15762120"/>
    <w:rsid w:val="16701161"/>
    <w:rsid w:val="16A8729C"/>
    <w:rsid w:val="16B33777"/>
    <w:rsid w:val="16BC70A7"/>
    <w:rsid w:val="16C31696"/>
    <w:rsid w:val="16C6339E"/>
    <w:rsid w:val="172F2D79"/>
    <w:rsid w:val="17557BEF"/>
    <w:rsid w:val="17D349C1"/>
    <w:rsid w:val="17E63F73"/>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BD96C46"/>
    <w:rsid w:val="1C0459C2"/>
    <w:rsid w:val="1C1B3B4A"/>
    <w:rsid w:val="1C88086E"/>
    <w:rsid w:val="1D266CE1"/>
    <w:rsid w:val="1D3963AF"/>
    <w:rsid w:val="1D6A673C"/>
    <w:rsid w:val="1D9247AE"/>
    <w:rsid w:val="1D9F68AF"/>
    <w:rsid w:val="1DB567EC"/>
    <w:rsid w:val="1DF51A98"/>
    <w:rsid w:val="1E022DAA"/>
    <w:rsid w:val="1E2F53D8"/>
    <w:rsid w:val="1E3D060F"/>
    <w:rsid w:val="1E3F7D2E"/>
    <w:rsid w:val="1E4134E4"/>
    <w:rsid w:val="1E5062B3"/>
    <w:rsid w:val="1E523514"/>
    <w:rsid w:val="1E714A66"/>
    <w:rsid w:val="1E802593"/>
    <w:rsid w:val="1E8B6156"/>
    <w:rsid w:val="1EA703CC"/>
    <w:rsid w:val="1EB7330C"/>
    <w:rsid w:val="1F0A0FF3"/>
    <w:rsid w:val="1F1C1B35"/>
    <w:rsid w:val="1F5771FF"/>
    <w:rsid w:val="1FBFB08E"/>
    <w:rsid w:val="1FE868A9"/>
    <w:rsid w:val="20034907"/>
    <w:rsid w:val="20173E4B"/>
    <w:rsid w:val="204E48BC"/>
    <w:rsid w:val="207737BF"/>
    <w:rsid w:val="208921B3"/>
    <w:rsid w:val="20973DEB"/>
    <w:rsid w:val="20B26522"/>
    <w:rsid w:val="20B44310"/>
    <w:rsid w:val="21021A7E"/>
    <w:rsid w:val="211116EB"/>
    <w:rsid w:val="216133FC"/>
    <w:rsid w:val="21B5B083"/>
    <w:rsid w:val="21D56769"/>
    <w:rsid w:val="21E52EF3"/>
    <w:rsid w:val="21FB5D7B"/>
    <w:rsid w:val="22015E94"/>
    <w:rsid w:val="220B1C3D"/>
    <w:rsid w:val="221B2723"/>
    <w:rsid w:val="221D1D20"/>
    <w:rsid w:val="22334A87"/>
    <w:rsid w:val="22A52C56"/>
    <w:rsid w:val="22BE6801"/>
    <w:rsid w:val="22F8366E"/>
    <w:rsid w:val="23246389"/>
    <w:rsid w:val="233500BF"/>
    <w:rsid w:val="23377FF7"/>
    <w:rsid w:val="236B425F"/>
    <w:rsid w:val="23836192"/>
    <w:rsid w:val="23901F29"/>
    <w:rsid w:val="239C0061"/>
    <w:rsid w:val="23B908A4"/>
    <w:rsid w:val="23CC0B31"/>
    <w:rsid w:val="23E95BEF"/>
    <w:rsid w:val="23FD0064"/>
    <w:rsid w:val="245375B0"/>
    <w:rsid w:val="24642C0A"/>
    <w:rsid w:val="24B22173"/>
    <w:rsid w:val="24B95AD9"/>
    <w:rsid w:val="24BE24DA"/>
    <w:rsid w:val="24CF5825"/>
    <w:rsid w:val="24D663E6"/>
    <w:rsid w:val="24D77F2B"/>
    <w:rsid w:val="252D55D5"/>
    <w:rsid w:val="258B00E2"/>
    <w:rsid w:val="25A917A6"/>
    <w:rsid w:val="25BE27CC"/>
    <w:rsid w:val="25F74A5C"/>
    <w:rsid w:val="26216C89"/>
    <w:rsid w:val="2628662C"/>
    <w:rsid w:val="262D45DE"/>
    <w:rsid w:val="26777E78"/>
    <w:rsid w:val="26871DC8"/>
    <w:rsid w:val="269F3DA4"/>
    <w:rsid w:val="26A53EF9"/>
    <w:rsid w:val="26A94201"/>
    <w:rsid w:val="26AC274F"/>
    <w:rsid w:val="27044A29"/>
    <w:rsid w:val="271D34C8"/>
    <w:rsid w:val="276142BF"/>
    <w:rsid w:val="27783712"/>
    <w:rsid w:val="27907362"/>
    <w:rsid w:val="28333E1D"/>
    <w:rsid w:val="28454BD6"/>
    <w:rsid w:val="28455253"/>
    <w:rsid w:val="28551971"/>
    <w:rsid w:val="285B1C53"/>
    <w:rsid w:val="289F7086"/>
    <w:rsid w:val="28B64CF2"/>
    <w:rsid w:val="28C32028"/>
    <w:rsid w:val="28CC490F"/>
    <w:rsid w:val="28DE40AA"/>
    <w:rsid w:val="29345E77"/>
    <w:rsid w:val="294C65AD"/>
    <w:rsid w:val="29806583"/>
    <w:rsid w:val="298B3C4C"/>
    <w:rsid w:val="29F26D24"/>
    <w:rsid w:val="2A04710F"/>
    <w:rsid w:val="2A15033F"/>
    <w:rsid w:val="2A1662C1"/>
    <w:rsid w:val="2A1C7367"/>
    <w:rsid w:val="2A2815FA"/>
    <w:rsid w:val="2A6D6092"/>
    <w:rsid w:val="2A7D76B4"/>
    <w:rsid w:val="2B437463"/>
    <w:rsid w:val="2B6D12EE"/>
    <w:rsid w:val="2B7807EE"/>
    <w:rsid w:val="2BA50BF7"/>
    <w:rsid w:val="2BBF00EC"/>
    <w:rsid w:val="2BC37CFD"/>
    <w:rsid w:val="2BD5237F"/>
    <w:rsid w:val="2BE536CE"/>
    <w:rsid w:val="2BE758D9"/>
    <w:rsid w:val="2C09049E"/>
    <w:rsid w:val="2C0A653C"/>
    <w:rsid w:val="2C191F85"/>
    <w:rsid w:val="2C6208C4"/>
    <w:rsid w:val="2CE82D6F"/>
    <w:rsid w:val="2D343236"/>
    <w:rsid w:val="2DD15014"/>
    <w:rsid w:val="2DF72DE4"/>
    <w:rsid w:val="2E0220AF"/>
    <w:rsid w:val="2E4B082A"/>
    <w:rsid w:val="2E5D4E86"/>
    <w:rsid w:val="2E5D790B"/>
    <w:rsid w:val="2E6F4DE5"/>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1F52DDF"/>
    <w:rsid w:val="32517576"/>
    <w:rsid w:val="32BE5C2C"/>
    <w:rsid w:val="32FB6478"/>
    <w:rsid w:val="33263B3F"/>
    <w:rsid w:val="33587748"/>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4A002F"/>
    <w:rsid w:val="365302AE"/>
    <w:rsid w:val="36607A0A"/>
    <w:rsid w:val="366E227C"/>
    <w:rsid w:val="366F2E0D"/>
    <w:rsid w:val="367B6A5C"/>
    <w:rsid w:val="36846564"/>
    <w:rsid w:val="36A74ADA"/>
    <w:rsid w:val="36AD60D5"/>
    <w:rsid w:val="36B224F9"/>
    <w:rsid w:val="36EC0CC9"/>
    <w:rsid w:val="37267CA4"/>
    <w:rsid w:val="373F410B"/>
    <w:rsid w:val="379E599E"/>
    <w:rsid w:val="37EE7094"/>
    <w:rsid w:val="38296C89"/>
    <w:rsid w:val="383002EB"/>
    <w:rsid w:val="38586797"/>
    <w:rsid w:val="38BC0149"/>
    <w:rsid w:val="38D87D1C"/>
    <w:rsid w:val="393B4615"/>
    <w:rsid w:val="39463BE4"/>
    <w:rsid w:val="39636459"/>
    <w:rsid w:val="396B7F6C"/>
    <w:rsid w:val="39B417A9"/>
    <w:rsid w:val="39FC5695"/>
    <w:rsid w:val="3A006D8E"/>
    <w:rsid w:val="3A3651E5"/>
    <w:rsid w:val="3A744481"/>
    <w:rsid w:val="3A8C7BEF"/>
    <w:rsid w:val="3A906246"/>
    <w:rsid w:val="3AC2354B"/>
    <w:rsid w:val="3B2349B7"/>
    <w:rsid w:val="3B30643F"/>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528C9"/>
    <w:rsid w:val="3E8F51FE"/>
    <w:rsid w:val="3E926F87"/>
    <w:rsid w:val="3E9A59DE"/>
    <w:rsid w:val="3EA031FF"/>
    <w:rsid w:val="3EAF4836"/>
    <w:rsid w:val="3EC33DFA"/>
    <w:rsid w:val="3F060E16"/>
    <w:rsid w:val="3F1D1096"/>
    <w:rsid w:val="3F2F0234"/>
    <w:rsid w:val="3F6363FE"/>
    <w:rsid w:val="3F756B8F"/>
    <w:rsid w:val="3F95482B"/>
    <w:rsid w:val="3F9C4A49"/>
    <w:rsid w:val="3FFB0241"/>
    <w:rsid w:val="4019356B"/>
    <w:rsid w:val="40592157"/>
    <w:rsid w:val="406E1CAE"/>
    <w:rsid w:val="408E0F77"/>
    <w:rsid w:val="40A0133A"/>
    <w:rsid w:val="40C31A53"/>
    <w:rsid w:val="40DE4DE3"/>
    <w:rsid w:val="40F5154D"/>
    <w:rsid w:val="40FF545D"/>
    <w:rsid w:val="410067C8"/>
    <w:rsid w:val="418F0D2A"/>
    <w:rsid w:val="41D01505"/>
    <w:rsid w:val="42474939"/>
    <w:rsid w:val="424C3C57"/>
    <w:rsid w:val="42613FF3"/>
    <w:rsid w:val="42660D96"/>
    <w:rsid w:val="428667D2"/>
    <w:rsid w:val="42AE38A9"/>
    <w:rsid w:val="42CD1CE0"/>
    <w:rsid w:val="42DD54B7"/>
    <w:rsid w:val="42E1381E"/>
    <w:rsid w:val="42ED6459"/>
    <w:rsid w:val="42FE58DD"/>
    <w:rsid w:val="43174B3D"/>
    <w:rsid w:val="434B790E"/>
    <w:rsid w:val="435621A5"/>
    <w:rsid w:val="4360274F"/>
    <w:rsid w:val="43977AB6"/>
    <w:rsid w:val="43A3342B"/>
    <w:rsid w:val="43C77C27"/>
    <w:rsid w:val="43DE09EE"/>
    <w:rsid w:val="44002FAD"/>
    <w:rsid w:val="446300D3"/>
    <w:rsid w:val="449101DD"/>
    <w:rsid w:val="44B45CB7"/>
    <w:rsid w:val="44DE1391"/>
    <w:rsid w:val="451B225C"/>
    <w:rsid w:val="452410C9"/>
    <w:rsid w:val="452E7646"/>
    <w:rsid w:val="45317DFB"/>
    <w:rsid w:val="456D3CE4"/>
    <w:rsid w:val="4579042C"/>
    <w:rsid w:val="457F0571"/>
    <w:rsid w:val="458350BF"/>
    <w:rsid w:val="45851176"/>
    <w:rsid w:val="459536FB"/>
    <w:rsid w:val="45C63B94"/>
    <w:rsid w:val="460E7DA5"/>
    <w:rsid w:val="46385CCA"/>
    <w:rsid w:val="46422483"/>
    <w:rsid w:val="4659254A"/>
    <w:rsid w:val="465B0637"/>
    <w:rsid w:val="465E3F0D"/>
    <w:rsid w:val="466A16E6"/>
    <w:rsid w:val="46893F2B"/>
    <w:rsid w:val="46C4686E"/>
    <w:rsid w:val="47023A54"/>
    <w:rsid w:val="477B778F"/>
    <w:rsid w:val="478203EC"/>
    <w:rsid w:val="47870957"/>
    <w:rsid w:val="47B025FA"/>
    <w:rsid w:val="47F866B8"/>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32185E"/>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4F1F93"/>
    <w:rsid w:val="5182713F"/>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864205"/>
    <w:rsid w:val="5397158E"/>
    <w:rsid w:val="54013861"/>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66B6D1E"/>
    <w:rsid w:val="56917403"/>
    <w:rsid w:val="57032A2C"/>
    <w:rsid w:val="570F5219"/>
    <w:rsid w:val="5757BD47"/>
    <w:rsid w:val="575D12B5"/>
    <w:rsid w:val="57610A87"/>
    <w:rsid w:val="577B1140"/>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AE4F0C"/>
    <w:rsid w:val="58B85899"/>
    <w:rsid w:val="58E363A9"/>
    <w:rsid w:val="595E1678"/>
    <w:rsid w:val="596D5BD4"/>
    <w:rsid w:val="597E3DD8"/>
    <w:rsid w:val="59A20D32"/>
    <w:rsid w:val="59F80043"/>
    <w:rsid w:val="5A09252F"/>
    <w:rsid w:val="5A0B2778"/>
    <w:rsid w:val="5A2A7C7B"/>
    <w:rsid w:val="5A3E2560"/>
    <w:rsid w:val="5A5D3B6E"/>
    <w:rsid w:val="5A637A76"/>
    <w:rsid w:val="5A6D33BA"/>
    <w:rsid w:val="5A792B1F"/>
    <w:rsid w:val="5A874767"/>
    <w:rsid w:val="5AA85BE2"/>
    <w:rsid w:val="5AAD6F28"/>
    <w:rsid w:val="5AD63A24"/>
    <w:rsid w:val="5B0F2CB6"/>
    <w:rsid w:val="5B2E1A1D"/>
    <w:rsid w:val="5B843A1C"/>
    <w:rsid w:val="5B873E3F"/>
    <w:rsid w:val="5C02690E"/>
    <w:rsid w:val="5C196DA7"/>
    <w:rsid w:val="5C2A048C"/>
    <w:rsid w:val="5C585E94"/>
    <w:rsid w:val="5C80234E"/>
    <w:rsid w:val="5C8A680C"/>
    <w:rsid w:val="5CA27166"/>
    <w:rsid w:val="5D03036F"/>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3F103E"/>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0642B6"/>
    <w:rsid w:val="64240056"/>
    <w:rsid w:val="643E143A"/>
    <w:rsid w:val="64491666"/>
    <w:rsid w:val="648B6EEF"/>
    <w:rsid w:val="64C158BF"/>
    <w:rsid w:val="64CE2EAA"/>
    <w:rsid w:val="653C3090"/>
    <w:rsid w:val="65854376"/>
    <w:rsid w:val="658767BE"/>
    <w:rsid w:val="65892531"/>
    <w:rsid w:val="658D79C4"/>
    <w:rsid w:val="66195831"/>
    <w:rsid w:val="661C2CA5"/>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403BD"/>
    <w:rsid w:val="68B96DBB"/>
    <w:rsid w:val="68CA2805"/>
    <w:rsid w:val="68D36AD6"/>
    <w:rsid w:val="68E937A3"/>
    <w:rsid w:val="693E15D3"/>
    <w:rsid w:val="695B4640"/>
    <w:rsid w:val="69627681"/>
    <w:rsid w:val="6977531D"/>
    <w:rsid w:val="69CC2BFF"/>
    <w:rsid w:val="69FD55B8"/>
    <w:rsid w:val="6A0B1C62"/>
    <w:rsid w:val="6A2406C8"/>
    <w:rsid w:val="6ADE0BD1"/>
    <w:rsid w:val="6AE96859"/>
    <w:rsid w:val="6B147746"/>
    <w:rsid w:val="6B24787C"/>
    <w:rsid w:val="6B573233"/>
    <w:rsid w:val="6B5B6274"/>
    <w:rsid w:val="6B935D53"/>
    <w:rsid w:val="6BA52253"/>
    <w:rsid w:val="6BAB6FB0"/>
    <w:rsid w:val="6BF90264"/>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502A8"/>
    <w:rsid w:val="6F2A7D94"/>
    <w:rsid w:val="6F8331F1"/>
    <w:rsid w:val="6FAE1A09"/>
    <w:rsid w:val="6FB86358"/>
    <w:rsid w:val="6FD7431D"/>
    <w:rsid w:val="6FD75BF8"/>
    <w:rsid w:val="6FEEFDE2"/>
    <w:rsid w:val="707723D0"/>
    <w:rsid w:val="707D6A8A"/>
    <w:rsid w:val="70F5661B"/>
    <w:rsid w:val="71360107"/>
    <w:rsid w:val="713B688E"/>
    <w:rsid w:val="719077DA"/>
    <w:rsid w:val="71D43752"/>
    <w:rsid w:val="71F1796A"/>
    <w:rsid w:val="72154626"/>
    <w:rsid w:val="72262B5D"/>
    <w:rsid w:val="72283FF7"/>
    <w:rsid w:val="722E7212"/>
    <w:rsid w:val="723A0474"/>
    <w:rsid w:val="725923E4"/>
    <w:rsid w:val="726E5CBB"/>
    <w:rsid w:val="72864BF7"/>
    <w:rsid w:val="729023FC"/>
    <w:rsid w:val="7362065C"/>
    <w:rsid w:val="73C0646E"/>
    <w:rsid w:val="742222F5"/>
    <w:rsid w:val="744040C3"/>
    <w:rsid w:val="74476126"/>
    <w:rsid w:val="74706664"/>
    <w:rsid w:val="747F3682"/>
    <w:rsid w:val="749C4185"/>
    <w:rsid w:val="74EB7541"/>
    <w:rsid w:val="75067759"/>
    <w:rsid w:val="752E6DCD"/>
    <w:rsid w:val="7551380D"/>
    <w:rsid w:val="75600BE5"/>
    <w:rsid w:val="7564475C"/>
    <w:rsid w:val="7583797F"/>
    <w:rsid w:val="759D3E47"/>
    <w:rsid w:val="75D20F1D"/>
    <w:rsid w:val="75DA2C18"/>
    <w:rsid w:val="75F54412"/>
    <w:rsid w:val="761D08E0"/>
    <w:rsid w:val="765D347C"/>
    <w:rsid w:val="76826699"/>
    <w:rsid w:val="76C87133"/>
    <w:rsid w:val="76CD08D5"/>
    <w:rsid w:val="76DB4B92"/>
    <w:rsid w:val="77052AA4"/>
    <w:rsid w:val="77136511"/>
    <w:rsid w:val="77184757"/>
    <w:rsid w:val="77340A39"/>
    <w:rsid w:val="77351FD0"/>
    <w:rsid w:val="77472422"/>
    <w:rsid w:val="777F31F2"/>
    <w:rsid w:val="77D1700D"/>
    <w:rsid w:val="77EC04CC"/>
    <w:rsid w:val="78775729"/>
    <w:rsid w:val="78827C45"/>
    <w:rsid w:val="78A42DB0"/>
    <w:rsid w:val="78A656AB"/>
    <w:rsid w:val="78B2245C"/>
    <w:rsid w:val="78BB6E67"/>
    <w:rsid w:val="78E172CC"/>
    <w:rsid w:val="78E6B0F9"/>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5C26D2"/>
    <w:rsid w:val="7A615382"/>
    <w:rsid w:val="7A67303B"/>
    <w:rsid w:val="7A7B7AB9"/>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CF7A1B5"/>
    <w:rsid w:val="7D0C32F1"/>
    <w:rsid w:val="7D0F408D"/>
    <w:rsid w:val="7D491C6C"/>
    <w:rsid w:val="7D5429C0"/>
    <w:rsid w:val="7D6E6D43"/>
    <w:rsid w:val="7DB57A34"/>
    <w:rsid w:val="7DE60973"/>
    <w:rsid w:val="7DEF0916"/>
    <w:rsid w:val="7E1E5218"/>
    <w:rsid w:val="7E9A4E1F"/>
    <w:rsid w:val="7EA7723A"/>
    <w:rsid w:val="7ED52645"/>
    <w:rsid w:val="7EF56FBB"/>
    <w:rsid w:val="7F0768EB"/>
    <w:rsid w:val="7F143BEC"/>
    <w:rsid w:val="7F715AF2"/>
    <w:rsid w:val="7F886E69"/>
    <w:rsid w:val="7FBF2C50"/>
    <w:rsid w:val="7FFE0F09"/>
    <w:rsid w:val="A379E1D0"/>
    <w:rsid w:val="AE7FB481"/>
    <w:rsid w:val="AF73BAF3"/>
    <w:rsid w:val="BB7FA927"/>
    <w:rsid w:val="D6DE5EB8"/>
    <w:rsid w:val="EE4C2D3A"/>
    <w:rsid w:val="F5FFD31F"/>
    <w:rsid w:val="F7F72E34"/>
    <w:rsid w:val="F9FC1916"/>
    <w:rsid w:val="FB9C63DD"/>
    <w:rsid w:val="FC7F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1"/>
    <w:qFormat/>
    <w:uiPriority w:val="0"/>
    <w:pPr>
      <w:ind w:left="100" w:leftChars="2500"/>
    </w:pPr>
    <w:rPr>
      <w:rFonts w:ascii="宋体"/>
      <w:sz w:val="24"/>
      <w:szCs w:val="21"/>
      <w:lang w:val="zh-CN"/>
    </w:rPr>
  </w:style>
  <w:style w:type="paragraph" w:styleId="36">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88"/>
    <w:qFormat/>
    <w:uiPriority w:val="0"/>
    <w:rPr>
      <w:sz w:val="18"/>
      <w:szCs w:val="18"/>
    </w:rPr>
  </w:style>
  <w:style w:type="paragraph" w:styleId="39">
    <w:name w:val="footer"/>
    <w:basedOn w:val="1"/>
    <w:link w:val="383"/>
    <w:qFormat/>
    <w:uiPriority w:val="99"/>
    <w:pPr>
      <w:tabs>
        <w:tab w:val="center" w:pos="4153"/>
        <w:tab w:val="right" w:pos="8306"/>
      </w:tabs>
      <w:snapToGrid w:val="0"/>
      <w:jc w:val="left"/>
    </w:pPr>
    <w:rPr>
      <w:sz w:val="18"/>
      <w:szCs w:val="18"/>
    </w:rPr>
  </w:style>
  <w:style w:type="paragraph" w:styleId="40">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5"/>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2"/>
    <w:qFormat/>
    <w:uiPriority w:val="0"/>
    <w:pPr>
      <w:spacing w:after="120" w:line="480" w:lineRule="auto"/>
    </w:pPr>
  </w:style>
  <w:style w:type="paragraph" w:styleId="56">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qFormat/>
    <w:uiPriority w:val="0"/>
    <w:rPr>
      <w:b/>
      <w:bCs/>
    </w:rPr>
  </w:style>
  <w:style w:type="paragraph" w:styleId="60">
    <w:name w:val="Body Text First Indent"/>
    <w:basedOn w:val="23"/>
    <w:link w:val="321"/>
    <w:qFormat/>
    <w:uiPriority w:val="0"/>
    <w:pPr>
      <w:ind w:firstLine="420"/>
    </w:pPr>
    <w:rPr>
      <w:rFonts w:hAnsi="Calibri" w:cs="Times New Roman"/>
      <w:snapToGrid/>
      <w:szCs w:val="20"/>
    </w:rPr>
  </w:style>
  <w:style w:type="paragraph" w:styleId="61">
    <w:name w:val="Body Text First Indent 2"/>
    <w:basedOn w:val="24"/>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字符"/>
    <w:link w:val="59"/>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文本首行缩进 2 字符"/>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字符"/>
    <w:link w:val="46"/>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字符"/>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字符"/>
    <w:link w:val="35"/>
    <w:qFormat/>
    <w:uiPriority w:val="0"/>
    <w:rPr>
      <w:rFonts w:ascii="宋体"/>
      <w:kern w:val="2"/>
      <w:sz w:val="24"/>
      <w:szCs w:val="21"/>
      <w:lang w:val="zh-CN"/>
    </w:rPr>
  </w:style>
  <w:style w:type="character" w:customStyle="1" w:styleId="182">
    <w:name w:val="标题 9 字符"/>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字符1"/>
    <w:link w:val="38"/>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字符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字符"/>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字符"/>
    <w:link w:val="29"/>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字符"/>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字符1"/>
    <w:link w:val="24"/>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字符1"/>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字符"/>
    <w:link w:val="58"/>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字符"/>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字符"/>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字符"/>
    <w:link w:val="56"/>
    <w:qFormat/>
    <w:uiPriority w:val="0"/>
    <w:rPr>
      <w:rFonts w:ascii="黑体" w:hAnsi="Courier New" w:eastAsia="黑体"/>
    </w:rPr>
  </w:style>
  <w:style w:type="character" w:customStyle="1" w:styleId="302">
    <w:name w:val="正文文本 2 字符1"/>
    <w:link w:val="55"/>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字符"/>
    <w:link w:val="9"/>
    <w:qFormat/>
    <w:uiPriority w:val="0"/>
    <w:rPr>
      <w:b/>
      <w:bCs/>
      <w:kern w:val="2"/>
      <w:sz w:val="24"/>
      <w:szCs w:val="24"/>
    </w:rPr>
  </w:style>
  <w:style w:type="character" w:customStyle="1" w:styleId="308">
    <w:name w:val="正文文本缩进 2 字符"/>
    <w:link w:val="36"/>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字符"/>
    <w:link w:val="49"/>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文本首行缩进 字符"/>
    <w:link w:val="60"/>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字符1"/>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字符"/>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字符1"/>
    <w:link w:val="19"/>
    <w:qFormat/>
    <w:uiPriority w:val="99"/>
    <w:rPr>
      <w:kern w:val="2"/>
      <w:sz w:val="21"/>
      <w:szCs w:val="24"/>
    </w:rPr>
  </w:style>
  <w:style w:type="character" w:customStyle="1" w:styleId="345">
    <w:name w:val="签名 字符"/>
    <w:link w:val="41"/>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字符"/>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字符"/>
    <w:link w:val="52"/>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字符2"/>
    <w:link w:val="39"/>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字符2"/>
    <w:link w:val="40"/>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字符"/>
    <w:link w:val="37"/>
    <w:qFormat/>
    <w:uiPriority w:val="0"/>
    <w:rPr>
      <w:kern w:val="2"/>
      <w:sz w:val="21"/>
      <w:szCs w:val="24"/>
      <w:lang w:val="zh-CN"/>
    </w:rPr>
  </w:style>
  <w:style w:type="character" w:customStyle="1" w:styleId="933">
    <w:name w:val="无间隔 字符"/>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88</Pages>
  <Words>111</Words>
  <Characters>129</Characters>
  <Lines>1612</Lines>
  <Paragraphs>1402</Paragraphs>
  <TotalTime>22</TotalTime>
  <ScaleCrop>false</ScaleCrop>
  <LinksUpToDate>false</LinksUpToDate>
  <CharactersWithSpaces>172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2026-04-28T13:38:00Z</dcterms:created>
  <dc:creator>玥</dc:creator>
  <cp:lastModifiedBy>rzq</cp:lastModifiedBy>
  <cp:lastPrinted>2021-12-30T11:06:00Z</cp:lastPrinted>
  <dcterms:modified xsi:type="dcterms:W3CDTF">2026-04-28T10:26:00Z</dcterms:modified>
  <dc:title>杭州市市民卡扩大发卡工程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eyJoZGlkIjoiMjZiOWFlZmQ0YjdlMGEyODBkZDg0ZWZkOTVhYWZjMDgiLCJ1c2VySWQiOiIxMDcxMDQyMDA1In0=</vt:lpwstr>
  </property>
</Properties>
</file>