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70CD6">
      <w:pPr>
        <w:outlineLvl w:val="9"/>
        <w:rPr>
          <w:rFonts w:hint="eastAsia" w:ascii="仿宋" w:hAnsi="仿宋" w:eastAsia="仿宋" w:cs="仿宋"/>
          <w:color w:val="auto"/>
          <w:highlight w:val="none"/>
        </w:rPr>
      </w:pPr>
    </w:p>
    <w:p w14:paraId="2F9530A5">
      <w:pPr>
        <w:outlineLvl w:val="9"/>
        <w:rPr>
          <w:rFonts w:hint="eastAsia" w:ascii="仿宋" w:hAnsi="仿宋" w:eastAsia="仿宋" w:cs="仿宋"/>
          <w:color w:val="auto"/>
          <w:highlight w:val="none"/>
        </w:rPr>
      </w:pPr>
    </w:p>
    <w:p w14:paraId="4DAB70B1">
      <w:pPr>
        <w:jc w:val="both"/>
        <w:outlineLvl w:val="9"/>
        <w:rPr>
          <w:rFonts w:hint="eastAsia" w:ascii="仿宋" w:hAnsi="仿宋" w:eastAsia="仿宋" w:cs="仿宋"/>
          <w:b/>
          <w:color w:val="auto"/>
          <w:sz w:val="52"/>
          <w:highlight w:val="none"/>
        </w:rPr>
      </w:pPr>
    </w:p>
    <w:p w14:paraId="5FF2C0C7">
      <w:pPr>
        <w:jc w:val="center"/>
        <w:outlineLvl w:val="9"/>
        <w:rPr>
          <w:rFonts w:hint="eastAsia" w:ascii="仿宋" w:hAnsi="仿宋" w:eastAsia="仿宋" w:cs="仿宋"/>
          <w:b/>
          <w:color w:val="auto"/>
          <w:sz w:val="52"/>
          <w:highlight w:val="none"/>
        </w:rPr>
      </w:pPr>
    </w:p>
    <w:p w14:paraId="0D6E5C4F">
      <w:pPr>
        <w:jc w:val="center"/>
        <w:outlineLvl w:val="9"/>
        <w:rPr>
          <w:rFonts w:hint="eastAsia" w:ascii="仿宋" w:hAnsi="仿宋" w:eastAsia="仿宋" w:cs="仿宋"/>
          <w:color w:val="auto"/>
          <w:sz w:val="48"/>
          <w:highlight w:val="none"/>
        </w:rPr>
      </w:pPr>
      <w:r>
        <w:rPr>
          <w:rFonts w:hint="eastAsia" w:ascii="仿宋" w:hAnsi="仿宋" w:eastAsia="仿宋" w:cs="仿宋"/>
          <w:b/>
          <w:bCs/>
          <w:color w:val="auto"/>
          <w:sz w:val="96"/>
          <w:szCs w:val="96"/>
          <w:highlight w:val="none"/>
        </w:rPr>
        <w:t>招 标 文 件</w:t>
      </w:r>
    </w:p>
    <w:p w14:paraId="06365972">
      <w:pPr>
        <w:pStyle w:val="23"/>
        <w:spacing w:before="1716" w:beforeLines="550" w:line="360" w:lineRule="auto"/>
        <w:ind w:left="0" w:leftChars="0" w:firstLine="0" w:firstLineChars="0"/>
        <w:outlineLvl w:val="9"/>
        <w:rPr>
          <w:rFonts w:hint="eastAsia" w:ascii="仿宋" w:hAnsi="仿宋" w:eastAsia="仿宋" w:cs="仿宋"/>
          <w:color w:val="auto"/>
          <w:sz w:val="28"/>
          <w:szCs w:val="28"/>
          <w:highlight w:val="none"/>
        </w:rPr>
      </w:pPr>
    </w:p>
    <w:p w14:paraId="578AF192">
      <w:pPr>
        <w:pStyle w:val="23"/>
        <w:spacing w:line="360" w:lineRule="auto"/>
        <w:ind w:left="1398" w:leftChars="266" w:hanging="840" w:hangingChars="300"/>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项目名称：富蕴县疾病预防控制中心标准化建设项目——相关设备设施及配套系统采购项目</w:t>
      </w:r>
    </w:p>
    <w:p w14:paraId="522383D3">
      <w:pPr>
        <w:pStyle w:val="23"/>
        <w:spacing w:line="360" w:lineRule="auto"/>
        <w:ind w:left="0" w:leftChars="0" w:firstLine="560" w:firstLineChars="200"/>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XJHRXFYXJK-2026-01</w:t>
      </w:r>
    </w:p>
    <w:p w14:paraId="1E5C6A68">
      <w:pPr>
        <w:pStyle w:val="23"/>
        <w:spacing w:line="360" w:lineRule="auto"/>
        <w:ind w:left="0" w:leftChars="0" w:firstLine="560" w:firstLineChars="200"/>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 购 人</w:t>
      </w:r>
      <w:r>
        <w:rPr>
          <w:rFonts w:hint="eastAsia" w:ascii="仿宋" w:hAnsi="仿宋" w:eastAsia="仿宋" w:cs="仿宋"/>
          <w:color w:val="auto"/>
          <w:sz w:val="28"/>
          <w:szCs w:val="28"/>
          <w:highlight w:val="none"/>
          <w:lang w:val="en-US" w:eastAsia="zh-CN"/>
        </w:rPr>
        <w:t>： 富蕴县疾病预防控制中心(卫生监督所）（盖章）</w:t>
      </w:r>
    </w:p>
    <w:p w14:paraId="7321468A">
      <w:pPr>
        <w:pStyle w:val="23"/>
        <w:spacing w:line="360" w:lineRule="auto"/>
        <w:ind w:left="0" w:leftChars="0" w:firstLine="560" w:firstLineChars="200"/>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李先生</w:t>
      </w:r>
    </w:p>
    <w:p w14:paraId="06930327">
      <w:pPr>
        <w:pStyle w:val="23"/>
        <w:spacing w:line="360" w:lineRule="auto"/>
        <w:ind w:left="0" w:leftChars="0"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联系电话：0906-8722313</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baidu.com/link?url=iyDC7CxmmsVyTqZoMhQN3YnIt7l21jUq1blE2gF5IoYzkA7Yz8T0YVHINxqIVN6JtybFWKEBPmHt1DxBWRQq7_sRdUYOGxIUyP2cvlhirie8ILyBbDHrwRNOIGVBDjgpBQ-CtlSJXCK7QqT2IV32yNvlr6UM9QfGXbFEGqH3bbv6KacOTxj9feM502R6c29UHEGZNzPxmU1MIqqkVS8EXygx-O7E-L33PGskUJiyuVBPy9psmJeRrf__uJsgGQ8lcczR0Wtv-w9LVtVYoj3WzqEBfzEKcL7W0GZzR03sXYbsRZjaAj2en2MHcjWecTdg" \t "https://www.baidu.com/_blank" </w:instrText>
      </w:r>
      <w:r>
        <w:rPr>
          <w:rFonts w:hint="eastAsia" w:ascii="仿宋" w:hAnsi="仿宋" w:eastAsia="仿宋" w:cs="仿宋"/>
          <w:color w:val="auto"/>
          <w:sz w:val="28"/>
          <w:szCs w:val="28"/>
          <w:highlight w:val="none"/>
          <w:lang w:val="en-US" w:eastAsia="zh-CN"/>
        </w:rPr>
        <w:fldChar w:fldCharType="separate"/>
      </w:r>
    </w:p>
    <w:p w14:paraId="742691F4">
      <w:pPr>
        <w:pStyle w:val="23"/>
        <w:spacing w:line="360" w:lineRule="auto"/>
        <w:ind w:left="0" w:leftChars="0" w:firstLine="0" w:firstLineChars="0"/>
        <w:outlineLvl w:val="9"/>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 xml:space="preserve">    地    址：富蕴县</w:t>
      </w:r>
    </w:p>
    <w:p w14:paraId="4A3DC41F">
      <w:pPr>
        <w:pStyle w:val="23"/>
        <w:spacing w:line="360" w:lineRule="auto"/>
        <w:ind w:left="0" w:leftChars="0" w:firstLine="0" w:firstLineChars="0"/>
        <w:outlineLvl w:val="9"/>
        <w:rPr>
          <w:rFonts w:hint="eastAsia" w:ascii="仿宋" w:hAnsi="仿宋" w:eastAsia="仿宋" w:cs="仿宋"/>
          <w:color w:val="auto"/>
          <w:sz w:val="28"/>
          <w:szCs w:val="28"/>
          <w:highlight w:val="none"/>
        </w:rPr>
      </w:pPr>
    </w:p>
    <w:p w14:paraId="6B2D9C12">
      <w:pPr>
        <w:pStyle w:val="23"/>
        <w:spacing w:line="360" w:lineRule="auto"/>
        <w:ind w:left="0" w:leftChars="0" w:firstLine="56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采购代理：</w:t>
      </w:r>
      <w:r>
        <w:rPr>
          <w:rFonts w:hint="eastAsia" w:ascii="仿宋" w:hAnsi="仿宋" w:eastAsia="仿宋" w:cs="仿宋"/>
          <w:color w:val="auto"/>
          <w:sz w:val="28"/>
          <w:szCs w:val="28"/>
          <w:highlight w:val="none"/>
          <w:lang w:eastAsia="zh-CN"/>
        </w:rPr>
        <w:t>新疆浩瑞兴建设工程项目管理咨询有限公司（</w:t>
      </w:r>
      <w:r>
        <w:rPr>
          <w:rFonts w:hint="eastAsia" w:ascii="仿宋" w:hAnsi="仿宋" w:eastAsia="仿宋" w:cs="仿宋"/>
          <w:color w:val="auto"/>
          <w:sz w:val="28"/>
          <w:szCs w:val="28"/>
          <w:highlight w:val="none"/>
          <w:lang w:val="en-US" w:eastAsia="zh-CN"/>
        </w:rPr>
        <w:t>盖章</w:t>
      </w:r>
      <w:r>
        <w:rPr>
          <w:rFonts w:hint="eastAsia" w:ascii="仿宋" w:hAnsi="仿宋" w:eastAsia="仿宋" w:cs="仿宋"/>
          <w:color w:val="auto"/>
          <w:sz w:val="28"/>
          <w:szCs w:val="28"/>
          <w:highlight w:val="none"/>
          <w:lang w:eastAsia="zh-CN"/>
        </w:rPr>
        <w:t>）</w:t>
      </w:r>
    </w:p>
    <w:p w14:paraId="72CCE90A">
      <w:pPr>
        <w:pStyle w:val="23"/>
        <w:spacing w:line="360" w:lineRule="auto"/>
        <w:ind w:left="0" w:leftChars="0" w:firstLine="56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新疆乌鲁木齐市水磨沟区安居南路鸿瑞豪庭四号楼908</w:t>
      </w:r>
    </w:p>
    <w:p w14:paraId="6D6DA586">
      <w:pPr>
        <w:pStyle w:val="23"/>
        <w:spacing w:line="360" w:lineRule="auto"/>
        <w:ind w:left="0" w:leftChars="0" w:firstLine="560" w:firstLineChars="200"/>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陈女士</w:t>
      </w:r>
    </w:p>
    <w:p w14:paraId="2551F740">
      <w:pPr>
        <w:pStyle w:val="23"/>
        <w:spacing w:line="360" w:lineRule="auto"/>
        <w:ind w:left="0" w:leftChars="0" w:firstLine="560" w:firstLineChars="200"/>
        <w:outlineLvl w:val="9"/>
        <w:rPr>
          <w:rFonts w:hint="eastAsia" w:ascii="仿宋" w:hAnsi="仿宋" w:eastAsia="仿宋" w:cs="仿宋"/>
          <w:b/>
          <w:color w:val="auto"/>
          <w:sz w:val="44"/>
          <w:szCs w:val="44"/>
          <w:highlight w:val="none"/>
        </w:rPr>
        <w:sectPr>
          <w:headerReference r:id="rId4" w:type="first"/>
          <w:footerReference r:id="rId5" w:type="first"/>
          <w:headerReference r:id="rId3" w:type="default"/>
          <w:pgSz w:w="11906" w:h="16838"/>
          <w:pgMar w:top="1440" w:right="1080" w:bottom="1440" w:left="1080" w:header="851" w:footer="851" w:gutter="0"/>
          <w:pgNumType w:fmt="numberInDash" w:start="1"/>
          <w:cols w:space="720" w:num="1"/>
          <w:titlePg/>
          <w:docGrid w:type="linesAndChars" w:linePitch="312" w:charSpace="0"/>
        </w:sect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18016878872</w:t>
      </w:r>
      <w:bookmarkStart w:id="0" w:name="_Toc14418"/>
    </w:p>
    <w:p w14:paraId="2762410F">
      <w:pPr>
        <w:keepNext w:val="0"/>
        <w:keepLines w:val="0"/>
        <w:pageBreakBefore w:val="0"/>
        <w:widowControl w:val="0"/>
        <w:tabs>
          <w:tab w:val="left" w:pos="2700"/>
        </w:tabs>
        <w:kinsoku/>
        <w:wordWrap/>
        <w:overflowPunct/>
        <w:topLinePunct w:val="0"/>
        <w:autoSpaceDE/>
        <w:autoSpaceDN/>
        <w:bidi w:val="0"/>
        <w:adjustRightInd/>
        <w:snapToGrid/>
        <w:spacing w:before="624" w:beforeLines="200" w:line="360" w:lineRule="auto"/>
        <w:jc w:val="center"/>
        <w:textAlignment w:val="auto"/>
        <w:outlineLvl w:val="9"/>
        <w:rPr>
          <w:rFonts w:hint="eastAsia" w:ascii="仿宋" w:hAnsi="仿宋" w:eastAsia="仿宋" w:cs="仿宋"/>
          <w:b/>
          <w:color w:val="auto"/>
          <w:sz w:val="24"/>
          <w:szCs w:val="24"/>
          <w:highlight w:val="none"/>
        </w:rPr>
      </w:pPr>
      <w:bookmarkStart w:id="1" w:name="_Toc4191"/>
      <w:r>
        <w:rPr>
          <w:rFonts w:hint="eastAsia" w:ascii="仿宋" w:hAnsi="仿宋" w:eastAsia="仿宋" w:cs="仿宋"/>
          <w:b/>
          <w:color w:val="auto"/>
          <w:sz w:val="44"/>
          <w:szCs w:val="44"/>
          <w:highlight w:val="none"/>
        </w:rPr>
        <w:t>目  录</w:t>
      </w:r>
      <w:bookmarkEnd w:id="0"/>
      <w:bookmarkEnd w:id="1"/>
    </w:p>
    <w:p w14:paraId="0AF28094">
      <w:pPr>
        <w:pStyle w:val="11"/>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 TOC \o "1-3" \h \z \u </w:instrText>
      </w:r>
      <w:r>
        <w:rPr>
          <w:rFonts w:hint="eastAsia" w:ascii="仿宋" w:hAnsi="仿宋" w:eastAsia="仿宋" w:cs="仿宋"/>
          <w:b w:val="0"/>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_Toc2310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 xml:space="preserve">第一章 </w:t>
      </w:r>
      <w:r>
        <w:rPr>
          <w:rFonts w:hint="eastAsia" w:ascii="仿宋" w:hAnsi="仿宋" w:eastAsia="仿宋" w:cs="仿宋"/>
          <w:bCs/>
          <w:color w:val="auto"/>
          <w:sz w:val="24"/>
          <w:szCs w:val="24"/>
          <w:highlight w:val="none"/>
        </w:rPr>
        <w:t>招标公告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_Toc2310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26B510">
      <w:pPr>
        <w:pStyle w:val="11"/>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_Toc19966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第二章 投标须知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_Toc19966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84F1AE0">
      <w:pPr>
        <w:pStyle w:val="11"/>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_Toc17416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第三章 评标办法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_Toc17416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627BBD">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_Toc5254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总  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_Toc5254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71F4E3B">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_Toc18154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  投标文件初审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_Toc18154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- 36 -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7F8716F">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_Toc20754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  投标文件的澄清和补正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_Toc20754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75F26A8">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_Toc26574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 比较与评价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_Toc26574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- 39 -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EF1944">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_Toc30836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五 评分标准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_Toc30836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- 40 -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C673AC5">
      <w:pPr>
        <w:pStyle w:val="11"/>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_Toc10919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 招标内容及技术要求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_Toc10919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- 44 -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0499724">
      <w:pPr>
        <w:keepNext w:val="0"/>
        <w:keepLines w:val="0"/>
        <w:pageBreakBefore w:val="0"/>
        <w:widowControl w:val="0"/>
        <w:tabs>
          <w:tab w:val="left" w:leader="dot" w:pos="8820"/>
          <w:tab w:val="left" w:pos="9030"/>
          <w:tab w:val="left" w:leader="dot" w:pos="9240"/>
          <w:tab w:val="left" w:leader="dot" w:pos="9450"/>
          <w:tab w:val="left" w:leader="dot" w:pos="9660"/>
        </w:tabs>
        <w:kinsoku/>
        <w:wordWrap/>
        <w:overflowPunct/>
        <w:topLinePunct w:val="0"/>
        <w:autoSpaceDE/>
        <w:autoSpaceDN/>
        <w:bidi w:val="0"/>
        <w:adjustRightIn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第五章 合同条款及格式...................</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..- 82-</w:t>
      </w:r>
    </w:p>
    <w:p w14:paraId="4969C7DF">
      <w:pPr>
        <w:pStyle w:val="11"/>
        <w:keepNext w:val="0"/>
        <w:keepLines w:val="0"/>
        <w:pageBreakBefore w:val="0"/>
        <w:widowControl w:val="0"/>
        <w:tabs>
          <w:tab w:val="right" w:leader="dot" w:pos="9746"/>
        </w:tabs>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_Toc32653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 xml:space="preserve">第六章 </w:t>
      </w:r>
      <w:r>
        <w:rPr>
          <w:rFonts w:hint="eastAsia" w:ascii="仿宋" w:hAnsi="仿宋" w:eastAsia="仿宋" w:cs="仿宋"/>
          <w:color w:val="auto"/>
          <w:sz w:val="24"/>
          <w:szCs w:val="24"/>
          <w:highlight w:val="none"/>
        </w:rPr>
        <w:t>投标书格式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_Toc32653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- 83 -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25D968">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_Toc13962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附件一、投标书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_Toc13962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CBA4B11">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_Toc18422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附件二、法定代表人资格证明书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_Toc18422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- 86 -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044C3B">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_Toc10811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附件三、法定代表人授权委托书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_Toc10811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- 87 -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AD2D13C">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_Toc21188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附件四、关于招标文件的声明函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_Toc21188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- 88 -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B2D5D63">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_Toc29264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附件五、诚信投标承诺书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_Toc29264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- 89 -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F20EA15">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_Toc29347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附件六、供应商反商业贿赂承诺书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_Toc29347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- 90 -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E471342">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_Toc5490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附件七、中小企业声明函（货物）</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_Toc5490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- 91 -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3945219">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_Toc16288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附件八、开标一览表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_Toc16288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C3A3AC4">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_Toc20340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附件九、投标产品名称、数量、规格分项报价表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_Toc20340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- 92 -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56049A8">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_Toc25169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附件十、技术规格偏离表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_Toc25169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- 94 -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FED9BB2">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_Toc23133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附件十一、商务条款偏离表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_Toc23133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- 95 -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140F65C">
      <w:pPr>
        <w:pStyle w:val="14"/>
        <w:keepNext w:val="0"/>
        <w:keepLines w:val="0"/>
        <w:pageBreakBefore w:val="0"/>
        <w:widowControl w:val="0"/>
        <w:tabs>
          <w:tab w:val="right" w:leader="dot" w:pos="9746"/>
        </w:tabs>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_Toc14660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附件十二、投标产品近三年</w:t>
      </w:r>
      <w:r>
        <w:rPr>
          <w:rFonts w:hint="eastAsia" w:ascii="仿宋" w:hAnsi="仿宋" w:eastAsia="仿宋" w:cs="仿宋"/>
          <w:color w:val="auto"/>
          <w:sz w:val="24"/>
          <w:szCs w:val="24"/>
          <w:highlight w:val="none"/>
          <w:lang w:eastAsia="zh-CN"/>
        </w:rPr>
        <w:t>（从投标截至时间往前推算）</w:t>
      </w:r>
      <w:r>
        <w:rPr>
          <w:rFonts w:hint="eastAsia" w:ascii="仿宋" w:hAnsi="仿宋" w:eastAsia="仿宋" w:cs="仿宋"/>
          <w:color w:val="auto"/>
          <w:sz w:val="24"/>
          <w:szCs w:val="24"/>
          <w:highlight w:val="none"/>
        </w:rPr>
        <w:t>同类产品销售业绩表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_Toc14660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- 96 -</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1B16230">
      <w:pPr>
        <w:pStyle w:val="12"/>
        <w:keepNext w:val="0"/>
        <w:keepLines w:val="0"/>
        <w:pageBreakBefore w:val="0"/>
        <w:widowControl w:val="0"/>
        <w:kinsoku/>
        <w:wordWrap/>
        <w:overflowPunct/>
        <w:topLinePunct w:val="0"/>
        <w:autoSpaceDE/>
        <w:autoSpaceDN/>
        <w:bidi w:val="0"/>
        <w:adjustRightIn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 xml:space="preserve">  附件十三、</w:t>
      </w:r>
      <w:r>
        <w:rPr>
          <w:rFonts w:hint="eastAsia" w:ascii="仿宋" w:hAnsi="仿宋" w:eastAsia="仿宋" w:cs="仿宋"/>
          <w:color w:val="auto"/>
          <w:sz w:val="24"/>
          <w:szCs w:val="24"/>
          <w:highlight w:val="none"/>
        </w:rPr>
        <w:t>招标文件要求的或投标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认为有必要提供的其他文件</w:t>
      </w:r>
      <w:r>
        <w:rPr>
          <w:rFonts w:hint="eastAsia" w:ascii="仿宋" w:hAnsi="仿宋" w:eastAsia="仿宋" w:cs="仿宋"/>
          <w:color w:val="auto"/>
          <w:sz w:val="24"/>
          <w:szCs w:val="24"/>
          <w:highlight w:val="none"/>
          <w:lang w:val="en-US" w:eastAsia="zh-CN"/>
        </w:rPr>
        <w:t>............  -80-</w:t>
      </w:r>
    </w:p>
    <w:p w14:paraId="0E4D9A3B">
      <w:pPr>
        <w:pStyle w:val="12"/>
        <w:keepNext w:val="0"/>
        <w:keepLines w:val="0"/>
        <w:pageBreakBefore w:val="0"/>
        <w:widowControl w:val="0"/>
        <w:kinsoku/>
        <w:wordWrap/>
        <w:overflowPunct/>
        <w:topLinePunct w:val="0"/>
        <w:autoSpaceDE/>
        <w:autoSpaceDN/>
        <w:bidi w:val="0"/>
        <w:adjustRightInd/>
        <w:spacing w:line="360" w:lineRule="auto"/>
        <w:ind w:firstLine="240" w:firstLineChars="1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附表：退保证金的函</w:t>
      </w:r>
      <w:r>
        <w:rPr>
          <w:rFonts w:hint="eastAsia" w:ascii="仿宋" w:hAnsi="仿宋" w:eastAsia="仿宋" w:cs="仿宋"/>
          <w:color w:val="auto"/>
          <w:sz w:val="24"/>
          <w:szCs w:val="24"/>
          <w:highlight w:val="none"/>
          <w:lang w:val="en-US" w:eastAsia="zh-CN"/>
        </w:rPr>
        <w:t>....................................................... -81-</w:t>
      </w:r>
    </w:p>
    <w:p w14:paraId="0A67DF66">
      <w:pPr>
        <w:pStyle w:val="12"/>
        <w:jc w:val="center"/>
        <w:outlineLvl w:val="0"/>
        <w:rPr>
          <w:rFonts w:hint="eastAsia" w:ascii="仿宋" w:hAnsi="仿宋" w:eastAsia="仿宋" w:cs="仿宋"/>
          <w:color w:val="auto"/>
          <w:sz w:val="36"/>
          <w:szCs w:val="36"/>
          <w:highlight w:val="none"/>
        </w:rPr>
      </w:pPr>
      <w:r>
        <w:rPr>
          <w:rFonts w:hint="eastAsia" w:ascii="仿宋" w:hAnsi="仿宋" w:eastAsia="仿宋" w:cs="仿宋"/>
          <w:color w:val="auto"/>
          <w:szCs w:val="30"/>
          <w:highlight w:val="none"/>
        </w:rPr>
        <w:br w:type="page"/>
      </w:r>
      <w:bookmarkStart w:id="2" w:name="_Toc2310"/>
      <w:bookmarkStart w:id="3" w:name="_Toc2698"/>
      <w:r>
        <w:rPr>
          <w:rFonts w:hint="eastAsia" w:ascii="仿宋" w:hAnsi="仿宋" w:eastAsia="仿宋" w:cs="仿宋"/>
          <w:b/>
          <w:bCs/>
          <w:color w:val="auto"/>
          <w:sz w:val="36"/>
          <w:highlight w:val="none"/>
          <w:lang w:val="en-US" w:eastAsia="zh-CN"/>
        </w:rPr>
        <w:t xml:space="preserve">第一章 </w:t>
      </w:r>
      <w:r>
        <w:rPr>
          <w:rFonts w:hint="eastAsia" w:ascii="仿宋" w:hAnsi="仿宋" w:eastAsia="仿宋" w:cs="仿宋"/>
          <w:b/>
          <w:bCs/>
          <w:color w:val="auto"/>
          <w:sz w:val="36"/>
          <w:szCs w:val="36"/>
          <w:highlight w:val="none"/>
        </w:rPr>
        <w:t>招标公告</w:t>
      </w:r>
      <w:bookmarkEnd w:id="2"/>
      <w:bookmarkEnd w:id="3"/>
    </w:p>
    <w:tbl>
      <w:tblPr>
        <w:tblStyle w:val="18"/>
        <w:tblW w:w="9217"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17"/>
      </w:tblGrid>
      <w:tr w14:paraId="14DA75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34" w:hRule="atLeast"/>
          <w:jc w:val="center"/>
        </w:trPr>
        <w:tc>
          <w:tcPr>
            <w:tcW w:w="9217" w:type="dxa"/>
            <w:noWrap w:val="0"/>
            <w:vAlign w:val="center"/>
          </w:tcPr>
          <w:p w14:paraId="7EB688D7">
            <w:pPr>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7F5D6CCB">
            <w:pPr>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富蕴县疾病预防控制中心标准化建设项目——相关设备设施及配套系统采购项目的潜在投标人应在供应商登录新疆政府采购云平台https://www.zcygov.cn/在线申请获取采购文件（进入“项目采购”应用，在获取采购文件菜单中选择项目，申请获取采购文件）获取招标文件，并于2026年06月02日11:00（北京时间）前递交投标文件。</w:t>
            </w:r>
          </w:p>
        </w:tc>
      </w:tr>
    </w:tbl>
    <w:p w14:paraId="19D94C52">
      <w:pPr>
        <w:pStyle w:val="24"/>
        <w:spacing w:line="420" w:lineRule="exact"/>
        <w:ind w:firstLine="237" w:firstLineChars="99"/>
        <w:jc w:val="both"/>
        <w:outlineLvl w:val="9"/>
        <w:rPr>
          <w:rFonts w:hint="eastAsia" w:ascii="仿宋" w:hAnsi="仿宋" w:eastAsia="仿宋" w:cs="仿宋"/>
          <w:b/>
          <w:color w:val="auto"/>
          <w:sz w:val="24"/>
          <w:szCs w:val="24"/>
          <w:highlight w:val="none"/>
        </w:rPr>
      </w:pPr>
      <w:bookmarkStart w:id="4" w:name="_Toc5896489"/>
      <w:bookmarkStart w:id="5" w:name="_Toc399523005"/>
      <w:r>
        <w:rPr>
          <w:rFonts w:hint="eastAsia" w:ascii="仿宋" w:hAnsi="仿宋" w:eastAsia="仿宋" w:cs="仿宋"/>
          <w:b/>
          <w:color w:val="auto"/>
          <w:sz w:val="24"/>
          <w:szCs w:val="24"/>
          <w:highlight w:val="none"/>
        </w:rPr>
        <w:t>一、项目基本情况</w:t>
      </w:r>
    </w:p>
    <w:p w14:paraId="136BF34D">
      <w:pPr>
        <w:pStyle w:val="24"/>
        <w:spacing w:line="420" w:lineRule="exact"/>
        <w:ind w:firstLine="237" w:firstLineChars="99"/>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XJHRXFYXJK-2026-01</w:t>
      </w:r>
    </w:p>
    <w:p w14:paraId="606958E6">
      <w:pPr>
        <w:pStyle w:val="24"/>
        <w:spacing w:line="420" w:lineRule="exact"/>
        <w:ind w:firstLine="237" w:firstLineChars="99"/>
        <w:jc w:val="both"/>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富蕴县疾病预防控制中心标准化建设项目——相关设备设施及配套系统采购项目</w:t>
      </w:r>
    </w:p>
    <w:p w14:paraId="4A486B85">
      <w:pPr>
        <w:pStyle w:val="24"/>
        <w:spacing w:line="420" w:lineRule="exact"/>
        <w:ind w:firstLine="237" w:firstLineChars="99"/>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公开招标</w:t>
      </w:r>
    </w:p>
    <w:p w14:paraId="34E599E2">
      <w:pPr>
        <w:pStyle w:val="24"/>
        <w:spacing w:line="420" w:lineRule="exact"/>
        <w:ind w:firstLine="237" w:firstLineChars="99"/>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3633300.00</w:t>
      </w:r>
    </w:p>
    <w:p w14:paraId="29967948">
      <w:pPr>
        <w:pStyle w:val="24"/>
        <w:spacing w:line="420" w:lineRule="exact"/>
        <w:ind w:left="2130" w:leftChars="100" w:hanging="1920" w:hangingChars="800"/>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2600000.00</w:t>
      </w:r>
    </w:p>
    <w:p w14:paraId="2DE94478">
      <w:pPr>
        <w:pStyle w:val="24"/>
        <w:spacing w:line="420" w:lineRule="exact"/>
        <w:ind w:firstLine="237" w:firstLineChars="99"/>
        <w:jc w:val="both"/>
        <w:outlineLvl w:val="9"/>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采购医疗设备一批</w:t>
      </w:r>
    </w:p>
    <w:p w14:paraId="075D5AEA">
      <w:pPr>
        <w:pStyle w:val="24"/>
        <w:spacing w:line="420" w:lineRule="exact"/>
        <w:ind w:firstLine="237" w:firstLineChars="99"/>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简要规格描述：具体采购要求详见</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w:t>
      </w:r>
    </w:p>
    <w:p w14:paraId="6EF66E1E">
      <w:pPr>
        <w:pStyle w:val="24"/>
        <w:spacing w:line="420" w:lineRule="exact"/>
        <w:ind w:firstLine="237" w:firstLineChars="99"/>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自合同签订之日起按甲方通知30日内完成供货（具体以实际签订合同为准）</w:t>
      </w:r>
    </w:p>
    <w:p w14:paraId="3EAA46BD">
      <w:pPr>
        <w:pStyle w:val="24"/>
        <w:numPr>
          <w:ilvl w:val="0"/>
          <w:numId w:val="2"/>
        </w:numPr>
        <w:snapToGrid w:val="0"/>
        <w:spacing w:line="360" w:lineRule="auto"/>
        <w:jc w:val="both"/>
        <w:outlineLvl w:val="9"/>
        <w:rPr>
          <w:rFonts w:hint="eastAsia" w:ascii="仿宋" w:hAnsi="仿宋" w:eastAsia="仿宋" w:cs="仿宋"/>
          <w:color w:val="auto"/>
          <w:sz w:val="24"/>
          <w:szCs w:val="24"/>
          <w:highlight w:val="none"/>
        </w:rPr>
      </w:pPr>
      <w:bookmarkStart w:id="6" w:name="_Toc18547"/>
      <w:bookmarkStart w:id="7" w:name="_Toc780"/>
      <w:bookmarkStart w:id="8" w:name="_Toc260"/>
      <w:r>
        <w:rPr>
          <w:rFonts w:hint="eastAsia" w:ascii="仿宋" w:hAnsi="仿宋" w:eastAsia="仿宋" w:cs="仿宋"/>
          <w:b/>
          <w:bCs/>
          <w:color w:val="auto"/>
          <w:sz w:val="24"/>
          <w:szCs w:val="24"/>
          <w:highlight w:val="none"/>
        </w:rPr>
        <w:t>申请人的资格要求：</w:t>
      </w:r>
      <w:bookmarkEnd w:id="6"/>
      <w:bookmarkEnd w:id="7"/>
      <w:bookmarkEnd w:id="8"/>
    </w:p>
    <w:p w14:paraId="4F625BE9">
      <w:pPr>
        <w:pStyle w:val="24"/>
        <w:numPr>
          <w:ilvl w:val="0"/>
          <w:numId w:val="0"/>
        </w:numPr>
        <w:snapToGrid w:val="0"/>
        <w:spacing w:line="360" w:lineRule="auto"/>
        <w:ind w:firstLine="480" w:firstLineChars="200"/>
        <w:jc w:val="both"/>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1.满足《中华人民共和国政府采购法》第二十二条规定；</w:t>
      </w:r>
    </w:p>
    <w:p w14:paraId="4CFABAF4">
      <w:pPr>
        <w:pStyle w:val="24"/>
        <w:numPr>
          <w:ilvl w:val="0"/>
          <w:numId w:val="0"/>
        </w:numPr>
        <w:snapToGrid w:val="0"/>
        <w:spacing w:line="360" w:lineRule="auto"/>
        <w:ind w:firstLine="480" w:firstLineChars="200"/>
        <w:jc w:val="both"/>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2.落实政府采购政策需满足的资格要求：本项目为不专门面向中小企业（含中型、小型、微型企业）采购项目。</w:t>
      </w:r>
    </w:p>
    <w:p w14:paraId="50D047E9">
      <w:pPr>
        <w:pStyle w:val="24"/>
        <w:numPr>
          <w:ilvl w:val="0"/>
          <w:numId w:val="0"/>
        </w:numPr>
        <w:snapToGrid w:val="0"/>
        <w:spacing w:line="360" w:lineRule="auto"/>
        <w:ind w:firstLine="480" w:firstLineChars="200"/>
        <w:jc w:val="both"/>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.本项目的特定资格要求：</w:t>
      </w:r>
    </w:p>
    <w:p w14:paraId="4CF8A087">
      <w:pPr>
        <w:pStyle w:val="25"/>
        <w:spacing w:before="27" w:line="246" w:lineRule="auto"/>
        <w:ind w:left="119" w:right="106" w:firstLine="480" w:firstLineChars="200"/>
        <w:jc w:val="both"/>
        <w:rPr>
          <w:rFonts w:hint="eastAsia" w:ascii="仿宋" w:hAnsi="仿宋" w:eastAsia="仿宋" w:cs="仿宋"/>
          <w:color w:val="auto"/>
          <w:sz w:val="24"/>
          <w:szCs w:val="24"/>
        </w:rPr>
      </w:pPr>
      <w:bookmarkStart w:id="9" w:name="_Toc17354"/>
      <w:bookmarkStart w:id="10" w:name="_Toc18894"/>
      <w:bookmarkStart w:id="11" w:name="_Toc13896"/>
      <w:r>
        <w:rPr>
          <w:rFonts w:hint="default" w:ascii="仿宋" w:hAnsi="仿宋" w:eastAsia="仿宋" w:cs="仿宋"/>
          <w:color w:val="auto"/>
          <w:kern w:val="0"/>
          <w:sz w:val="24"/>
          <w:highlight w:val="none"/>
          <w:lang w:val="en-US" w:eastAsia="zh-CN"/>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w:t>
      </w:r>
      <w:r>
        <w:rPr>
          <w:rFonts w:hint="eastAsia" w:ascii="仿宋" w:hAnsi="仿宋" w:eastAsia="仿宋" w:cs="仿宋"/>
          <w:b w:val="0"/>
          <w:bCs w:val="0"/>
          <w:color w:val="auto"/>
          <w:sz w:val="24"/>
          <w:szCs w:val="24"/>
          <w:highlight w:val="none"/>
          <w:lang w:val="en-US" w:eastAsia="zh-CN"/>
        </w:rPr>
        <w:t>。</w:t>
      </w:r>
      <w:r>
        <w:rPr>
          <w:rFonts w:hint="eastAsia" w:hAnsi="宋体" w:cs="宋体"/>
          <w:color w:val="auto"/>
          <w:sz w:val="24"/>
          <w:szCs w:val="24"/>
        </w:rPr>
        <w:t>根据《医疗器械监督管理条例》（国务院令第650号）有关内容办理医疗器械产品注册或备案</w:t>
      </w:r>
      <w:r>
        <w:rPr>
          <w:rFonts w:hint="eastAsia" w:hAnsi="宋体" w:cs="宋体"/>
          <w:color w:val="auto"/>
          <w:sz w:val="24"/>
          <w:szCs w:val="24"/>
          <w:lang w:eastAsia="zh-CN"/>
        </w:rPr>
        <w:t>。</w:t>
      </w:r>
    </w:p>
    <w:p w14:paraId="5C4E1C7C">
      <w:pPr>
        <w:pStyle w:val="24"/>
        <w:numPr>
          <w:ilvl w:val="0"/>
          <w:numId w:val="0"/>
        </w:numPr>
        <w:snapToGrid w:val="0"/>
        <w:spacing w:line="360" w:lineRule="auto"/>
        <w:ind w:firstLine="480" w:firstLineChars="200"/>
        <w:jc w:val="both"/>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获取采购文件</w:t>
      </w:r>
      <w:bookmarkEnd w:id="9"/>
      <w:bookmarkEnd w:id="10"/>
      <w:bookmarkEnd w:id="11"/>
    </w:p>
    <w:p w14:paraId="7E311399">
      <w:pPr>
        <w:widowControl/>
        <w:shd w:val="clear" w:color="auto" w:fill="FFFFFF"/>
        <w:snapToGrid w:val="0"/>
        <w:spacing w:line="312"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时间：</w:t>
      </w:r>
      <w:r>
        <w:rPr>
          <w:rFonts w:hint="eastAsia" w:ascii="仿宋" w:hAnsi="仿宋" w:eastAsia="仿宋" w:cs="仿宋"/>
          <w:color w:val="auto"/>
          <w:kern w:val="0"/>
          <w:sz w:val="24"/>
          <w:szCs w:val="24"/>
          <w:highlight w:val="none"/>
          <w:lang w:eastAsia="zh-CN"/>
        </w:rPr>
        <w:t>2026年05月09日至2026年05月15日</w:t>
      </w:r>
      <w:r>
        <w:rPr>
          <w:rFonts w:hint="eastAsia" w:ascii="仿宋" w:hAnsi="仿宋" w:eastAsia="仿宋" w:cs="仿宋"/>
          <w:color w:val="auto"/>
          <w:kern w:val="0"/>
          <w:sz w:val="24"/>
          <w:szCs w:val="24"/>
          <w:highlight w:val="none"/>
        </w:rPr>
        <w:t>，每天上午</w:t>
      </w:r>
      <w:r>
        <w:rPr>
          <w:rFonts w:hint="eastAsia" w:ascii="仿宋" w:hAnsi="仿宋" w:eastAsia="仿宋" w:cs="仿宋"/>
          <w:color w:val="auto"/>
          <w:kern w:val="0"/>
          <w:sz w:val="24"/>
          <w:szCs w:val="24"/>
          <w:highlight w:val="none"/>
          <w:lang w:val="en-US" w:eastAsia="zh-CN"/>
        </w:rPr>
        <w:t>00</w:t>
      </w:r>
      <w:r>
        <w:rPr>
          <w:rFonts w:hint="eastAsia" w:ascii="仿宋" w:hAnsi="仿宋" w:eastAsia="仿宋" w:cs="仿宋"/>
          <w:color w:val="auto"/>
          <w:kern w:val="0"/>
          <w:sz w:val="24"/>
          <w:szCs w:val="24"/>
          <w:highlight w:val="none"/>
        </w:rPr>
        <w:t>:00至1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:00，下午1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:00至</w:t>
      </w:r>
      <w:r>
        <w:rPr>
          <w:rFonts w:hint="eastAsia" w:ascii="仿宋" w:hAnsi="仿宋" w:eastAsia="仿宋" w:cs="仿宋"/>
          <w:color w:val="auto"/>
          <w:kern w:val="0"/>
          <w:sz w:val="24"/>
          <w:szCs w:val="24"/>
          <w:highlight w:val="none"/>
          <w:lang w:val="en-US" w:eastAsia="zh-CN"/>
        </w:rPr>
        <w:t>23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59</w:t>
      </w:r>
      <w:r>
        <w:rPr>
          <w:rFonts w:hint="eastAsia" w:ascii="仿宋" w:hAnsi="仿宋" w:eastAsia="仿宋" w:cs="仿宋"/>
          <w:color w:val="auto"/>
          <w:kern w:val="0"/>
          <w:sz w:val="24"/>
          <w:szCs w:val="24"/>
          <w:highlight w:val="none"/>
        </w:rPr>
        <w:t>（北京时间，法定节假日除外）</w:t>
      </w:r>
    </w:p>
    <w:p w14:paraId="4D3B2D2E">
      <w:pPr>
        <w:widowControl/>
        <w:shd w:val="clear" w:color="auto" w:fill="FFFFFF"/>
        <w:snapToGrid w:val="0"/>
        <w:spacing w:line="312"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地点：供应商登陆政采云平台http://www.zcygov.cn/，在线申请获取竞</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文件（登录政府采购云平台→项目采购→获取</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文件→申请，审核通过后可下载</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文件，如有操作性问题，可与政采云在线客服进行咨询，咨询电话：</w:t>
      </w:r>
      <w:r>
        <w:rPr>
          <w:rFonts w:hint="eastAsia" w:ascii="仿宋" w:hAnsi="仿宋" w:eastAsia="仿宋" w:cs="仿宋"/>
          <w:color w:val="auto"/>
          <w:kern w:val="0"/>
          <w:sz w:val="24"/>
          <w:szCs w:val="24"/>
          <w:highlight w:val="none"/>
          <w:lang w:eastAsia="zh-CN"/>
        </w:rPr>
        <w:t>95763</w:t>
      </w:r>
      <w:r>
        <w:rPr>
          <w:rFonts w:hint="eastAsia" w:ascii="仿宋" w:hAnsi="仿宋" w:eastAsia="仿宋" w:cs="仿宋"/>
          <w:color w:val="auto"/>
          <w:kern w:val="0"/>
          <w:sz w:val="24"/>
          <w:szCs w:val="24"/>
          <w:highlight w:val="none"/>
        </w:rPr>
        <w:t>）。</w:t>
      </w:r>
    </w:p>
    <w:p w14:paraId="0AF458AF">
      <w:pPr>
        <w:widowControl/>
        <w:shd w:val="clear" w:color="auto" w:fill="FFFFFF"/>
        <w:snapToGrid w:val="0"/>
        <w:spacing w:line="312"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方式：供应商登录政采云平台https://www.zcygov.cn/在线申请获取采购文件（进入“项目采购”应用，在获取采购文件菜单中选择项目，申请获取采购文件）</w:t>
      </w:r>
      <w:r>
        <w:rPr>
          <w:rFonts w:hint="eastAsia" w:ascii="仿宋" w:hAnsi="仿宋" w:eastAsia="仿宋" w:cs="仿宋"/>
          <w:color w:val="auto"/>
          <w:kern w:val="0"/>
          <w:sz w:val="24"/>
          <w:szCs w:val="24"/>
          <w:highlight w:val="none"/>
          <w:lang w:eastAsia="zh-CN"/>
        </w:rPr>
        <w:t>。</w:t>
      </w:r>
    </w:p>
    <w:p w14:paraId="4459610C">
      <w:pPr>
        <w:widowControl/>
        <w:shd w:val="clear" w:color="auto" w:fill="FFFFFF"/>
        <w:snapToGrid w:val="0"/>
        <w:spacing w:line="312" w:lineRule="auto"/>
        <w:ind w:firstLine="480" w:firstLineChars="200"/>
        <w:jc w:val="left"/>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售价（元）：0</w:t>
      </w:r>
      <w:r>
        <w:rPr>
          <w:rFonts w:hint="eastAsia" w:ascii="仿宋" w:hAnsi="仿宋" w:eastAsia="仿宋" w:cs="仿宋"/>
          <w:color w:val="auto"/>
          <w:kern w:val="0"/>
          <w:sz w:val="24"/>
          <w:szCs w:val="24"/>
          <w:highlight w:val="none"/>
          <w:lang w:eastAsia="zh-CN"/>
        </w:rPr>
        <w:t>。</w:t>
      </w:r>
    </w:p>
    <w:p w14:paraId="44151F88">
      <w:pPr>
        <w:pStyle w:val="24"/>
        <w:snapToGrid w:val="0"/>
        <w:spacing w:line="360" w:lineRule="auto"/>
        <w:jc w:val="both"/>
        <w:outlineLvl w:val="9"/>
        <w:rPr>
          <w:rFonts w:hint="eastAsia" w:ascii="仿宋" w:hAnsi="仿宋" w:eastAsia="仿宋" w:cs="仿宋"/>
          <w:b/>
          <w:bCs/>
          <w:color w:val="auto"/>
          <w:sz w:val="24"/>
          <w:szCs w:val="24"/>
          <w:highlight w:val="none"/>
          <w:lang w:val="en-US"/>
        </w:rPr>
      </w:pPr>
      <w:bookmarkStart w:id="12" w:name="_Toc26424"/>
      <w:bookmarkStart w:id="13" w:name="_Toc2392"/>
      <w:bookmarkStart w:id="14" w:name="_Toc12701"/>
      <w:r>
        <w:rPr>
          <w:rFonts w:hint="eastAsia" w:ascii="仿宋" w:hAnsi="仿宋" w:eastAsia="仿宋" w:cs="仿宋"/>
          <w:b/>
          <w:bCs/>
          <w:color w:val="auto"/>
          <w:sz w:val="24"/>
          <w:szCs w:val="24"/>
          <w:highlight w:val="none"/>
          <w:lang w:val="en-US" w:eastAsia="zh-CN"/>
        </w:rPr>
        <w:t>四、响应文件提交</w:t>
      </w:r>
      <w:bookmarkEnd w:id="12"/>
      <w:bookmarkEnd w:id="13"/>
      <w:bookmarkEnd w:id="14"/>
    </w:p>
    <w:p w14:paraId="7BED098A">
      <w:pPr>
        <w:pStyle w:val="24"/>
        <w:snapToGrid w:val="0"/>
        <w:spacing w:line="360" w:lineRule="auto"/>
        <w:ind w:firstLine="480" w:firstLineChars="2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截止时间：2026年06月02日11:00（北京时间）</w:t>
      </w:r>
    </w:p>
    <w:p w14:paraId="463D6190">
      <w:pPr>
        <w:pStyle w:val="24"/>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地点：新疆政府采购云平台（www.zcygov.cn）</w:t>
      </w:r>
    </w:p>
    <w:p w14:paraId="513A6115">
      <w:pPr>
        <w:pStyle w:val="24"/>
        <w:snapToGrid w:val="0"/>
        <w:spacing w:line="360" w:lineRule="auto"/>
        <w:jc w:val="both"/>
        <w:outlineLvl w:val="9"/>
        <w:rPr>
          <w:rFonts w:hint="eastAsia" w:ascii="仿宋" w:hAnsi="仿宋" w:eastAsia="仿宋" w:cs="仿宋"/>
          <w:b/>
          <w:bCs/>
          <w:color w:val="auto"/>
          <w:sz w:val="24"/>
          <w:szCs w:val="24"/>
          <w:highlight w:val="none"/>
          <w:lang w:val="en-US"/>
        </w:rPr>
      </w:pPr>
      <w:bookmarkStart w:id="15" w:name="_Toc10127"/>
      <w:bookmarkStart w:id="16" w:name="_Toc12079"/>
      <w:bookmarkStart w:id="17" w:name="_Toc28149"/>
      <w:r>
        <w:rPr>
          <w:rFonts w:hint="eastAsia" w:ascii="仿宋" w:hAnsi="仿宋" w:eastAsia="仿宋" w:cs="仿宋"/>
          <w:b/>
          <w:bCs/>
          <w:color w:val="auto"/>
          <w:sz w:val="24"/>
          <w:szCs w:val="24"/>
          <w:highlight w:val="none"/>
          <w:lang w:val="en-US" w:eastAsia="zh-CN"/>
        </w:rPr>
        <w:t>五、响应文件开启</w:t>
      </w:r>
      <w:bookmarkEnd w:id="15"/>
      <w:bookmarkEnd w:id="16"/>
      <w:bookmarkEnd w:id="17"/>
    </w:p>
    <w:p w14:paraId="5267876B">
      <w:pPr>
        <w:pStyle w:val="24"/>
        <w:snapToGrid w:val="0"/>
        <w:spacing w:line="360" w:lineRule="auto"/>
        <w:ind w:firstLine="480" w:firstLineChars="20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lang w:val="en-US" w:eastAsia="zh-CN"/>
        </w:rPr>
        <w:t>2026年06月02日11:00（北京时间）</w:t>
      </w:r>
    </w:p>
    <w:p w14:paraId="21EB262F">
      <w:pPr>
        <w:pStyle w:val="24"/>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地点：在新疆政府采购云平台（www.zcygov.cn）上开启投标文件</w:t>
      </w:r>
    </w:p>
    <w:p w14:paraId="7AA81D33">
      <w:pPr>
        <w:pStyle w:val="24"/>
        <w:snapToGrid w:val="0"/>
        <w:spacing w:line="360" w:lineRule="auto"/>
        <w:jc w:val="both"/>
        <w:outlineLvl w:val="9"/>
        <w:rPr>
          <w:rFonts w:hint="eastAsia" w:ascii="仿宋" w:hAnsi="仿宋" w:eastAsia="仿宋" w:cs="仿宋"/>
          <w:b/>
          <w:bCs/>
          <w:color w:val="auto"/>
          <w:sz w:val="24"/>
          <w:szCs w:val="24"/>
          <w:highlight w:val="none"/>
          <w:lang w:val="en-US"/>
        </w:rPr>
      </w:pPr>
      <w:bookmarkStart w:id="18" w:name="_Toc17313"/>
      <w:bookmarkStart w:id="19" w:name="_Toc7109"/>
      <w:bookmarkStart w:id="20" w:name="_Toc26055"/>
      <w:r>
        <w:rPr>
          <w:rFonts w:hint="eastAsia" w:ascii="仿宋" w:hAnsi="仿宋" w:eastAsia="仿宋" w:cs="仿宋"/>
          <w:b/>
          <w:bCs/>
          <w:color w:val="auto"/>
          <w:sz w:val="24"/>
          <w:szCs w:val="24"/>
          <w:highlight w:val="none"/>
          <w:lang w:val="en-US" w:eastAsia="zh-CN"/>
        </w:rPr>
        <w:t>六、公告期限</w:t>
      </w:r>
      <w:bookmarkEnd w:id="18"/>
      <w:bookmarkEnd w:id="19"/>
      <w:bookmarkEnd w:id="20"/>
    </w:p>
    <w:p w14:paraId="3450805C">
      <w:pPr>
        <w:pStyle w:val="24"/>
        <w:snapToGrid w:val="0"/>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14:paraId="236F437A">
      <w:pPr>
        <w:pStyle w:val="24"/>
        <w:snapToGrid w:val="0"/>
        <w:spacing w:line="360" w:lineRule="auto"/>
        <w:jc w:val="both"/>
        <w:outlineLvl w:val="9"/>
        <w:rPr>
          <w:rFonts w:hint="eastAsia" w:ascii="仿宋" w:hAnsi="仿宋" w:eastAsia="仿宋" w:cs="仿宋"/>
          <w:b/>
          <w:bCs/>
          <w:color w:val="auto"/>
          <w:sz w:val="24"/>
          <w:szCs w:val="24"/>
          <w:highlight w:val="none"/>
          <w:lang w:val="en-US"/>
        </w:rPr>
      </w:pPr>
      <w:bookmarkStart w:id="21" w:name="_Toc14030"/>
      <w:bookmarkStart w:id="22" w:name="_Toc12418"/>
      <w:bookmarkStart w:id="23" w:name="_Toc856"/>
      <w:r>
        <w:rPr>
          <w:rFonts w:hint="eastAsia" w:ascii="仿宋" w:hAnsi="仿宋" w:eastAsia="仿宋" w:cs="仿宋"/>
          <w:b/>
          <w:bCs/>
          <w:color w:val="auto"/>
          <w:sz w:val="24"/>
          <w:szCs w:val="24"/>
          <w:highlight w:val="none"/>
          <w:lang w:val="en-US" w:eastAsia="zh-CN"/>
        </w:rPr>
        <w:t>七、其他补充事宜</w:t>
      </w:r>
      <w:bookmarkEnd w:id="21"/>
      <w:bookmarkEnd w:id="22"/>
      <w:bookmarkEnd w:id="23"/>
    </w:p>
    <w:p w14:paraId="6AEA3B68">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14:paraId="1E83BFE6">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2.本项目实行网上投标，采用加密电子投标文件(供应商须使用CA加密设备通过政采云电子投标客户端制作投标文件)。若供应商参与投标，自行承担投标一切费用。</w:t>
      </w:r>
    </w:p>
    <w:p w14:paraId="3F0FB07F">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412DE680">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6B60C55">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5.供应商在开标时须使用制作加密电子投标文件所使用的CA锁及电脑，电脑须提前配置好浏览器（建议使用谷歌浏览器），以便开标时解锁。</w:t>
      </w:r>
    </w:p>
    <w:p w14:paraId="57AD767A">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561"/>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051FF317">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7.为了保证开评标顺利进行，政采云线上开标功能完全实现，供应商开标所使用的电脑设备须具有视频及语音功能。</w:t>
      </w:r>
    </w:p>
    <w:p w14:paraId="359EB892">
      <w:pPr>
        <w:pStyle w:val="24"/>
        <w:snapToGrid w:val="0"/>
        <w:spacing w:line="360" w:lineRule="auto"/>
        <w:jc w:val="both"/>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特别提示：</w:t>
      </w:r>
    </w:p>
    <w:p w14:paraId="35D4141C">
      <w:pPr>
        <w:pStyle w:val="24"/>
        <w:snapToGrid w:val="0"/>
        <w:spacing w:line="360" w:lineRule="auto"/>
        <w:jc w:val="both"/>
        <w:outlineLvl w:val="9"/>
        <w:rPr>
          <w:rFonts w:hint="eastAsia" w:ascii="仿宋" w:hAnsi="仿宋" w:eastAsia="仿宋" w:cs="仿宋"/>
          <w:b/>
          <w:bCs/>
          <w:i w:val="0"/>
          <w:iCs w:val="0"/>
          <w:caps w:val="0"/>
          <w:color w:val="auto"/>
          <w:spacing w:val="0"/>
          <w:sz w:val="24"/>
          <w:szCs w:val="24"/>
          <w:highlight w:val="none"/>
          <w:lang w:eastAsia="zh-CN"/>
        </w:rPr>
      </w:pPr>
      <w:r>
        <w:rPr>
          <w:rFonts w:hint="eastAsia" w:ascii="仿宋" w:hAnsi="仿宋" w:eastAsia="仿宋" w:cs="仿宋"/>
          <w:b/>
          <w:bCs/>
          <w:i w:val="0"/>
          <w:iCs w:val="0"/>
          <w: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184ED85E">
      <w:pPr>
        <w:pStyle w:val="24"/>
        <w:snapToGrid w:val="0"/>
        <w:spacing w:line="360" w:lineRule="auto"/>
        <w:jc w:val="both"/>
        <w:outlineLvl w:val="9"/>
        <w:rPr>
          <w:rFonts w:hint="eastAsia" w:ascii="仿宋" w:hAnsi="仿宋" w:eastAsia="仿宋" w:cs="仿宋"/>
          <w:b/>
          <w:bCs/>
          <w:i w:val="0"/>
          <w:iCs w:val="0"/>
          <w:caps w:val="0"/>
          <w:color w:val="auto"/>
          <w:spacing w:val="0"/>
          <w:sz w:val="24"/>
          <w:szCs w:val="24"/>
          <w:highlight w:val="none"/>
          <w:lang w:eastAsia="zh-CN"/>
        </w:rPr>
      </w:pPr>
      <w:r>
        <w:rPr>
          <w:rFonts w:hint="eastAsia" w:ascii="仿宋" w:hAnsi="仿宋" w:eastAsia="仿宋" w:cs="仿宋"/>
          <w:b/>
          <w:bCs/>
          <w:i w:val="0"/>
          <w:iCs w:val="0"/>
          <w:caps w:val="0"/>
          <w:color w:val="auto"/>
          <w:spacing w:val="0"/>
          <w:sz w:val="24"/>
          <w:szCs w:val="24"/>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2A975F23">
      <w:pPr>
        <w:pStyle w:val="24"/>
        <w:snapToGrid w:val="0"/>
        <w:spacing w:line="360" w:lineRule="auto"/>
        <w:jc w:val="both"/>
        <w:outlineLvl w:val="9"/>
        <w:rPr>
          <w:rFonts w:hint="eastAsia" w:ascii="仿宋" w:hAnsi="仿宋" w:eastAsia="仿宋" w:cs="仿宋"/>
          <w:b/>
          <w:bCs/>
          <w:i w:val="0"/>
          <w:iCs w:val="0"/>
          <w:caps w:val="0"/>
          <w:color w:val="auto"/>
          <w:spacing w:val="0"/>
          <w:sz w:val="24"/>
          <w:szCs w:val="24"/>
          <w:highlight w:val="none"/>
          <w:lang w:eastAsia="zh-CN"/>
        </w:rPr>
      </w:pPr>
      <w:r>
        <w:rPr>
          <w:rFonts w:hint="eastAsia" w:ascii="仿宋" w:hAnsi="仿宋" w:eastAsia="仿宋" w:cs="仿宋"/>
          <w:b/>
          <w:bCs/>
          <w:i w:val="0"/>
          <w:iCs w:val="0"/>
          <w:caps w:val="0"/>
          <w:color w:val="auto"/>
          <w:spacing w:val="0"/>
          <w:sz w:val="24"/>
          <w:szCs w:val="24"/>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31C5E80">
      <w:pPr>
        <w:pStyle w:val="24"/>
        <w:snapToGrid w:val="0"/>
        <w:spacing w:line="360" w:lineRule="auto"/>
        <w:jc w:val="both"/>
        <w:outlineLvl w:val="9"/>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4408F3C">
      <w:pPr>
        <w:pStyle w:val="24"/>
        <w:snapToGrid w:val="0"/>
        <w:spacing w:line="360" w:lineRule="auto"/>
        <w:jc w:val="both"/>
        <w:outlineLvl w:val="9"/>
        <w:rPr>
          <w:rFonts w:hint="eastAsia" w:ascii="仿宋" w:hAnsi="仿宋" w:eastAsia="仿宋" w:cs="仿宋"/>
          <w:b/>
          <w:bCs/>
          <w:color w:val="auto"/>
          <w:sz w:val="24"/>
          <w:szCs w:val="24"/>
          <w:highlight w:val="none"/>
          <w:lang w:val="en-US" w:eastAsia="zh-CN"/>
        </w:rPr>
      </w:pPr>
      <w:bookmarkStart w:id="24" w:name="_Toc20803"/>
      <w:bookmarkStart w:id="25" w:name="_Toc30431"/>
      <w:bookmarkStart w:id="26" w:name="_Toc24616"/>
      <w:r>
        <w:rPr>
          <w:rFonts w:hint="eastAsia" w:ascii="仿宋" w:hAnsi="仿宋" w:eastAsia="仿宋" w:cs="仿宋"/>
          <w:b/>
          <w:bCs/>
          <w:color w:val="auto"/>
          <w:sz w:val="24"/>
          <w:szCs w:val="24"/>
          <w:highlight w:val="none"/>
          <w:lang w:val="en-US" w:eastAsia="zh-CN"/>
        </w:rPr>
        <w:t>八、凡对本次招标提出询问，请按以下方式联系</w:t>
      </w:r>
      <w:bookmarkEnd w:id="24"/>
      <w:bookmarkEnd w:id="25"/>
      <w:bookmarkEnd w:id="26"/>
    </w:p>
    <w:p w14:paraId="50463768">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58582ED9">
      <w:pPr>
        <w:pStyle w:val="24"/>
        <w:snapToGrid w:val="0"/>
        <w:spacing w:line="360" w:lineRule="auto"/>
        <w:ind w:firstLine="56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val="en-US" w:eastAsia="zh-CN"/>
        </w:rPr>
        <w:t>富蕴县疾病预防控制中心(卫生监督所）</w:t>
      </w:r>
    </w:p>
    <w:p w14:paraId="7415E93D">
      <w:pPr>
        <w:pStyle w:val="24"/>
        <w:snapToGrid w:val="0"/>
        <w:spacing w:line="360" w:lineRule="auto"/>
        <w:ind w:firstLine="560"/>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址：富蕴县</w:t>
      </w:r>
    </w:p>
    <w:p w14:paraId="2FF9C29D">
      <w:pPr>
        <w:pStyle w:val="24"/>
        <w:snapToGrid w:val="0"/>
        <w:spacing w:line="360" w:lineRule="auto"/>
        <w:ind w:firstLine="560"/>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联系方式：0906-8722313</w:t>
      </w:r>
    </w:p>
    <w:p w14:paraId="6658A259">
      <w:pPr>
        <w:pStyle w:val="24"/>
        <w:snapToGrid w:val="0"/>
        <w:spacing w:line="360" w:lineRule="auto"/>
        <w:ind w:firstLine="56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1A195C74">
      <w:pPr>
        <w:pStyle w:val="24"/>
        <w:snapToGrid w:val="0"/>
        <w:spacing w:line="360" w:lineRule="auto"/>
        <w:ind w:firstLine="56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名 称：</w:t>
      </w:r>
      <w:r>
        <w:rPr>
          <w:rFonts w:hint="eastAsia" w:ascii="仿宋" w:hAnsi="仿宋" w:eastAsia="仿宋" w:cs="仿宋"/>
          <w:color w:val="auto"/>
          <w:sz w:val="24"/>
          <w:szCs w:val="24"/>
          <w:highlight w:val="none"/>
          <w:lang w:val="en-US" w:eastAsia="zh-CN"/>
        </w:rPr>
        <w:t>新疆浩瑞兴建设工程项目管理咨询有限公司</w:t>
      </w:r>
    </w:p>
    <w:p w14:paraId="6C77AC2E">
      <w:pPr>
        <w:pStyle w:val="24"/>
        <w:snapToGrid w:val="0"/>
        <w:spacing w:line="360" w:lineRule="auto"/>
        <w:ind w:firstLine="56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地 址：</w:t>
      </w:r>
      <w:r>
        <w:rPr>
          <w:rFonts w:hint="eastAsia" w:ascii="仿宋" w:hAnsi="仿宋" w:eastAsia="仿宋" w:cs="仿宋"/>
          <w:color w:val="auto"/>
          <w:sz w:val="24"/>
          <w:szCs w:val="24"/>
          <w:highlight w:val="none"/>
          <w:lang w:val="en-US" w:eastAsia="zh-CN"/>
        </w:rPr>
        <w:t>新疆乌鲁木齐市水磨沟区安居南路鸿瑞豪庭四号楼908</w:t>
      </w:r>
    </w:p>
    <w:p w14:paraId="19C09267">
      <w:pPr>
        <w:pStyle w:val="24"/>
        <w:snapToGrid w:val="0"/>
        <w:spacing w:line="360" w:lineRule="auto"/>
        <w:ind w:firstLine="56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联系方式：</w:t>
      </w:r>
      <w:r>
        <w:rPr>
          <w:rFonts w:hint="eastAsia" w:ascii="仿宋" w:hAnsi="仿宋" w:eastAsia="仿宋" w:cs="仿宋"/>
          <w:color w:val="auto"/>
          <w:sz w:val="24"/>
          <w:szCs w:val="24"/>
          <w:highlight w:val="none"/>
          <w:lang w:val="en-US" w:eastAsia="zh-CN"/>
        </w:rPr>
        <w:t>18016878872</w:t>
      </w:r>
    </w:p>
    <w:p w14:paraId="5E47256A">
      <w:pPr>
        <w:pStyle w:val="24"/>
        <w:snapToGrid w:val="0"/>
        <w:spacing w:line="360" w:lineRule="auto"/>
        <w:ind w:firstLine="560"/>
        <w:jc w:val="both"/>
        <w:outlineLvl w:val="9"/>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3.项目联系方式</w:t>
      </w:r>
    </w:p>
    <w:p w14:paraId="04CB9685">
      <w:pPr>
        <w:pStyle w:val="24"/>
        <w:snapToGrid w:val="0"/>
        <w:spacing w:line="360" w:lineRule="auto"/>
        <w:ind w:firstLine="560"/>
        <w:jc w:val="both"/>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项目联系人：</w:t>
      </w:r>
      <w:r>
        <w:rPr>
          <w:rFonts w:hint="eastAsia" w:ascii="仿宋" w:hAnsi="仿宋" w:eastAsia="仿宋" w:cs="仿宋"/>
          <w:color w:val="auto"/>
          <w:sz w:val="24"/>
          <w:szCs w:val="24"/>
          <w:highlight w:val="none"/>
          <w:lang w:val="en-US" w:eastAsia="zh-CN"/>
        </w:rPr>
        <w:t>陈女士</w:t>
      </w:r>
    </w:p>
    <w:p w14:paraId="5995B056">
      <w:pPr>
        <w:pStyle w:val="24"/>
        <w:snapToGrid w:val="0"/>
        <w:spacing w:line="360" w:lineRule="auto"/>
        <w:ind w:firstLine="560"/>
        <w:jc w:val="both"/>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电 话：</w:t>
      </w:r>
      <w:r>
        <w:rPr>
          <w:rFonts w:hint="eastAsia" w:ascii="仿宋" w:hAnsi="仿宋" w:eastAsia="仿宋" w:cs="仿宋"/>
          <w:color w:val="auto"/>
          <w:sz w:val="24"/>
          <w:szCs w:val="24"/>
          <w:highlight w:val="none"/>
          <w:lang w:val="en-US" w:eastAsia="zh-CN"/>
        </w:rPr>
        <w:t>18016878872</w:t>
      </w:r>
    </w:p>
    <w:p w14:paraId="337C814C">
      <w:pPr>
        <w:rPr>
          <w:rFonts w:hint="eastAsia" w:ascii="仿宋" w:hAnsi="仿宋" w:eastAsia="仿宋" w:cs="仿宋"/>
          <w:color w:val="auto"/>
          <w:sz w:val="24"/>
          <w:szCs w:val="24"/>
          <w:highlight w:val="none"/>
          <w:lang w:val="en-US" w:eastAsia="zh-CN"/>
        </w:rPr>
      </w:pPr>
    </w:p>
    <w:p w14:paraId="7DA8C7D0">
      <w:pPr>
        <w:pStyle w:val="24"/>
        <w:snapToGrid w:val="0"/>
        <w:spacing w:line="360" w:lineRule="auto"/>
        <w:ind w:firstLine="560"/>
        <w:jc w:val="center"/>
        <w:outlineLvl w:val="0"/>
        <w:rPr>
          <w:rFonts w:hint="eastAsia" w:ascii="仿宋" w:hAnsi="仿宋" w:eastAsia="仿宋" w:cs="仿宋"/>
          <w:color w:val="auto"/>
          <w:sz w:val="36"/>
          <w:highlight w:val="none"/>
        </w:rPr>
      </w:pPr>
      <w:bookmarkStart w:id="27" w:name="_Toc31679"/>
      <w:bookmarkStart w:id="28" w:name="_Toc19966"/>
      <w:r>
        <w:rPr>
          <w:rFonts w:hint="eastAsia" w:ascii="仿宋" w:hAnsi="仿宋" w:eastAsia="仿宋" w:cs="仿宋"/>
          <w:b/>
          <w:bCs/>
          <w:color w:val="auto"/>
          <w:kern w:val="2"/>
          <w:sz w:val="36"/>
          <w:szCs w:val="32"/>
          <w:highlight w:val="none"/>
          <w:lang w:val="en-US" w:eastAsia="zh-CN" w:bidi="ar-SA"/>
        </w:rPr>
        <w:t>第二章 投标须知</w:t>
      </w:r>
      <w:bookmarkEnd w:id="4"/>
      <w:bookmarkEnd w:id="27"/>
      <w:bookmarkEnd w:id="28"/>
    </w:p>
    <w:p w14:paraId="081403FE">
      <w:pPr>
        <w:shd w:val="clear" w:color="auto" w:fill="auto"/>
        <w:snapToGrid w:val="0"/>
        <w:spacing w:line="500" w:lineRule="exact"/>
        <w:jc w:val="center"/>
        <w:outlineLvl w:val="9"/>
        <w:rPr>
          <w:rFonts w:hint="eastAsia" w:ascii="仿宋" w:hAnsi="仿宋" w:eastAsia="仿宋" w:cs="仿宋"/>
          <w:b/>
          <w:color w:val="auto"/>
          <w:sz w:val="32"/>
          <w:szCs w:val="32"/>
          <w:highlight w:val="none"/>
        </w:rPr>
      </w:pPr>
      <w:bookmarkStart w:id="29" w:name="_Toc10866"/>
      <w:bookmarkStart w:id="30" w:name="_Toc469495722"/>
      <w:r>
        <w:rPr>
          <w:rFonts w:hint="eastAsia" w:ascii="仿宋" w:hAnsi="仿宋" w:eastAsia="仿宋" w:cs="仿宋"/>
          <w:b/>
          <w:color w:val="auto"/>
          <w:sz w:val="32"/>
          <w:szCs w:val="32"/>
          <w:highlight w:val="none"/>
        </w:rPr>
        <w:t>一、投标人须知前附表</w:t>
      </w:r>
      <w:bookmarkEnd w:id="29"/>
      <w:bookmarkEnd w:id="30"/>
    </w:p>
    <w:tbl>
      <w:tblPr>
        <w:tblStyle w:val="18"/>
        <w:tblW w:w="96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40"/>
        <w:gridCol w:w="1524"/>
        <w:gridCol w:w="7607"/>
      </w:tblGrid>
      <w:tr w14:paraId="3DC1C1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540" w:type="dxa"/>
            <w:noWrap w:val="0"/>
            <w:vAlign w:val="center"/>
          </w:tcPr>
          <w:p w14:paraId="067190A2">
            <w:pPr>
              <w:pStyle w:val="8"/>
              <w:keepNext w:val="0"/>
              <w:keepLines w:val="0"/>
              <w:pageBreakBefore w:val="0"/>
              <w:shd w:val="clear" w:color="auto" w:fill="auto"/>
              <w:kinsoku/>
              <w:wordWrap/>
              <w:overflowPunct/>
              <w:topLinePunct w:val="0"/>
              <w:autoSpaceDE/>
              <w:autoSpaceDN/>
              <w:bidi w:val="0"/>
              <w:adjustRightInd/>
              <w:snapToGrid w:val="0"/>
              <w:spacing w:line="290" w:lineRule="exact"/>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条款号</w:t>
            </w:r>
          </w:p>
        </w:tc>
        <w:tc>
          <w:tcPr>
            <w:tcW w:w="1524" w:type="dxa"/>
            <w:noWrap w:val="0"/>
            <w:vAlign w:val="center"/>
          </w:tcPr>
          <w:p w14:paraId="5FD0EA05">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7607" w:type="dxa"/>
            <w:noWrap w:val="0"/>
            <w:vAlign w:val="center"/>
          </w:tcPr>
          <w:p w14:paraId="4D72D9E5">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14:paraId="7CE3F0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0" w:type="dxa"/>
            <w:noWrap w:val="0"/>
            <w:vAlign w:val="center"/>
          </w:tcPr>
          <w:p w14:paraId="2863DCAB">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524" w:type="dxa"/>
            <w:noWrap w:val="0"/>
            <w:vAlign w:val="center"/>
          </w:tcPr>
          <w:p w14:paraId="121A7417">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4607B2AD">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3C8DBACB">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采购内容</w:t>
            </w:r>
          </w:p>
        </w:tc>
        <w:tc>
          <w:tcPr>
            <w:tcW w:w="7607" w:type="dxa"/>
            <w:noWrap w:val="0"/>
            <w:vAlign w:val="center"/>
          </w:tcPr>
          <w:p w14:paraId="1D6B2FA5">
            <w:pPr>
              <w:widowControl/>
              <w:spacing w:line="240" w:lineRule="auto"/>
              <w:outlineLvl w:val="9"/>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val="en-US" w:eastAsia="zh-CN"/>
              </w:rPr>
              <w:t>项目名称：富蕴县疾病预防控制中心标准化建设项目——相关设备设施及配套系统采购项目</w:t>
            </w:r>
          </w:p>
          <w:p w14:paraId="1FC3CF8E">
            <w:pPr>
              <w:widowControl/>
              <w:spacing w:line="24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8"/>
                <w:szCs w:val="28"/>
                <w:highlight w:val="none"/>
                <w:lang w:val="en-US" w:eastAsia="zh-CN"/>
              </w:rPr>
              <w:t>项</w:t>
            </w:r>
            <w:r>
              <w:rPr>
                <w:rFonts w:hint="eastAsia" w:ascii="仿宋" w:hAnsi="仿宋" w:eastAsia="仿宋" w:cs="仿宋"/>
                <w:color w:val="auto"/>
                <w:sz w:val="24"/>
                <w:szCs w:val="24"/>
                <w:highlight w:val="none"/>
                <w:lang w:val="en-US" w:eastAsia="zh-CN"/>
              </w:rPr>
              <w:t>目编号：XJHRXFYXJK-2026-01</w:t>
            </w:r>
          </w:p>
          <w:p w14:paraId="1808DF6B">
            <w:pPr>
              <w:widowControl/>
              <w:spacing w:line="24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采购内容：详见第四章招标内容及技术要求</w:t>
            </w:r>
          </w:p>
        </w:tc>
      </w:tr>
      <w:tr w14:paraId="1028DE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540" w:type="dxa"/>
            <w:noWrap w:val="0"/>
            <w:vAlign w:val="center"/>
          </w:tcPr>
          <w:p w14:paraId="260596CE">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524" w:type="dxa"/>
            <w:noWrap w:val="0"/>
            <w:vAlign w:val="center"/>
          </w:tcPr>
          <w:p w14:paraId="7A6E36CB">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lang w:val="en-US" w:eastAsia="zh-CN"/>
              </w:rPr>
              <w:t>信息</w:t>
            </w:r>
          </w:p>
        </w:tc>
        <w:tc>
          <w:tcPr>
            <w:tcW w:w="7607" w:type="dxa"/>
            <w:noWrap w:val="0"/>
            <w:vAlign w:val="center"/>
          </w:tcPr>
          <w:p w14:paraId="1BDB675D">
            <w:pPr>
              <w:widowControl/>
              <w:spacing w:line="24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 购 人：富蕴县疾病预防控制中心(卫生监督所）</w:t>
            </w:r>
          </w:p>
          <w:p w14:paraId="422C0491">
            <w:pPr>
              <w:widowControl/>
              <w:spacing w:line="24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人：李先生</w:t>
            </w:r>
          </w:p>
          <w:p w14:paraId="07B83EB2">
            <w:pPr>
              <w:widowControl/>
              <w:spacing w:line="24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r>
              <w:rPr>
                <w:rFonts w:hint="eastAsia" w:ascii="仿宋" w:hAnsi="仿宋" w:eastAsia="仿宋" w:cs="仿宋"/>
                <w:color w:val="auto"/>
                <w:sz w:val="24"/>
                <w:szCs w:val="24"/>
                <w:highlight w:val="none"/>
              </w:rPr>
              <w:t>0906-8722313</w:t>
            </w:r>
          </w:p>
        </w:tc>
      </w:tr>
      <w:tr w14:paraId="087EC2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4" w:hRule="atLeast"/>
          <w:jc w:val="center"/>
        </w:trPr>
        <w:tc>
          <w:tcPr>
            <w:tcW w:w="540" w:type="dxa"/>
            <w:noWrap w:val="0"/>
            <w:vAlign w:val="center"/>
          </w:tcPr>
          <w:p w14:paraId="13481276">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24" w:type="dxa"/>
            <w:noWrap w:val="0"/>
            <w:vAlign w:val="center"/>
          </w:tcPr>
          <w:p w14:paraId="52E00D88">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采购代理机构</w:t>
            </w:r>
          </w:p>
        </w:tc>
        <w:tc>
          <w:tcPr>
            <w:tcW w:w="7607" w:type="dxa"/>
            <w:noWrap w:val="0"/>
            <w:vAlign w:val="center"/>
          </w:tcPr>
          <w:p w14:paraId="3E2D7682">
            <w:pPr>
              <w:widowControl/>
              <w:spacing w:line="240" w:lineRule="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称：</w:t>
            </w:r>
            <w:r>
              <w:rPr>
                <w:rFonts w:hint="eastAsia" w:ascii="仿宋" w:hAnsi="仿宋" w:eastAsia="仿宋" w:cs="仿宋"/>
                <w:color w:val="auto"/>
                <w:sz w:val="24"/>
                <w:szCs w:val="24"/>
                <w:highlight w:val="none"/>
                <w:lang w:eastAsia="zh-CN"/>
              </w:rPr>
              <w:t>新疆浩瑞兴建设工程项目管理咨询有限公司</w:t>
            </w:r>
          </w:p>
          <w:p w14:paraId="2A622FFA">
            <w:pPr>
              <w:widowControl/>
              <w:spacing w:line="240" w:lineRule="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址：</w:t>
            </w:r>
            <w:r>
              <w:rPr>
                <w:rFonts w:hint="eastAsia" w:ascii="仿宋" w:hAnsi="仿宋" w:eastAsia="仿宋" w:cs="仿宋"/>
                <w:color w:val="auto"/>
                <w:sz w:val="24"/>
                <w:szCs w:val="24"/>
                <w:highlight w:val="none"/>
                <w:lang w:eastAsia="zh-CN"/>
              </w:rPr>
              <w:t>新疆乌鲁木齐市水磨沟区安居南路鸿瑞豪庭四号楼908</w:t>
            </w:r>
          </w:p>
          <w:p w14:paraId="43DEC772">
            <w:pPr>
              <w:widowControl/>
              <w:spacing w:line="240" w:lineRule="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陈女士</w:t>
            </w:r>
          </w:p>
          <w:p w14:paraId="3B4A8D42">
            <w:pPr>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18016878872</w:t>
            </w:r>
          </w:p>
        </w:tc>
      </w:tr>
      <w:tr w14:paraId="1D917B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40" w:type="dxa"/>
            <w:noWrap w:val="0"/>
            <w:vAlign w:val="center"/>
          </w:tcPr>
          <w:p w14:paraId="7B1EE421">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524" w:type="dxa"/>
            <w:noWrap w:val="0"/>
            <w:vAlign w:val="center"/>
          </w:tcPr>
          <w:p w14:paraId="3AD3A289">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配送地点</w:t>
            </w:r>
          </w:p>
        </w:tc>
        <w:tc>
          <w:tcPr>
            <w:tcW w:w="7607" w:type="dxa"/>
            <w:noWrap w:val="0"/>
            <w:vAlign w:val="center"/>
          </w:tcPr>
          <w:p w14:paraId="162752F0">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富蕴县疾病预防控制中心(卫生监督所）</w:t>
            </w:r>
            <w:r>
              <w:rPr>
                <w:rFonts w:hint="eastAsia" w:ascii="仿宋" w:hAnsi="仿宋" w:eastAsia="仿宋" w:cs="仿宋"/>
                <w:color w:val="auto"/>
                <w:sz w:val="24"/>
                <w:szCs w:val="24"/>
                <w:highlight w:val="none"/>
              </w:rPr>
              <w:t>指定地点。</w:t>
            </w:r>
          </w:p>
        </w:tc>
      </w:tr>
      <w:tr w14:paraId="2842E8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540" w:type="dxa"/>
            <w:noWrap w:val="0"/>
            <w:vAlign w:val="center"/>
          </w:tcPr>
          <w:p w14:paraId="70A4577F">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1524" w:type="dxa"/>
            <w:noWrap w:val="0"/>
            <w:vAlign w:val="center"/>
          </w:tcPr>
          <w:p w14:paraId="3B149E18">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供货期</w:t>
            </w:r>
          </w:p>
        </w:tc>
        <w:tc>
          <w:tcPr>
            <w:tcW w:w="7607" w:type="dxa"/>
            <w:noWrap w:val="0"/>
            <w:vAlign w:val="center"/>
          </w:tcPr>
          <w:p w14:paraId="2C374649">
            <w:pPr>
              <w:pStyle w:val="24"/>
              <w:spacing w:line="420" w:lineRule="exact"/>
              <w:jc w:val="both"/>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自合同签订之日起按甲方通知30日内完成供货（具体以实际签订合同为准）</w:t>
            </w:r>
          </w:p>
        </w:tc>
      </w:tr>
      <w:tr w14:paraId="1BCA0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5" w:hRule="atLeast"/>
          <w:jc w:val="center"/>
        </w:trPr>
        <w:tc>
          <w:tcPr>
            <w:tcW w:w="540" w:type="dxa"/>
            <w:noWrap w:val="0"/>
            <w:vAlign w:val="center"/>
          </w:tcPr>
          <w:p w14:paraId="52137853">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c>
          <w:tcPr>
            <w:tcW w:w="1524" w:type="dxa"/>
            <w:noWrap w:val="0"/>
            <w:vAlign w:val="center"/>
          </w:tcPr>
          <w:p w14:paraId="388B0DD9">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付款方式</w:t>
            </w:r>
          </w:p>
        </w:tc>
        <w:tc>
          <w:tcPr>
            <w:tcW w:w="7607" w:type="dxa"/>
            <w:noWrap w:val="0"/>
            <w:vAlign w:val="center"/>
          </w:tcPr>
          <w:p w14:paraId="24CF79FD">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合同签订后甲方支付给乙方合同总价款30%的设备款，乙方向甲方支付合同总价款 6%的履约保证金（以银行保函形式，保期不低于2年），产品到货安装验收合格且正常运转之后支付70%的设备款。</w:t>
            </w:r>
          </w:p>
        </w:tc>
      </w:tr>
      <w:tr w14:paraId="5BD96A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2" w:hRule="atLeast"/>
          <w:jc w:val="center"/>
        </w:trPr>
        <w:tc>
          <w:tcPr>
            <w:tcW w:w="540" w:type="dxa"/>
            <w:noWrap w:val="0"/>
            <w:vAlign w:val="center"/>
          </w:tcPr>
          <w:p w14:paraId="4B477588">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24" w:type="dxa"/>
            <w:noWrap w:val="0"/>
            <w:vAlign w:val="center"/>
          </w:tcPr>
          <w:p w14:paraId="0E2D1098">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w:t>
            </w:r>
          </w:p>
        </w:tc>
        <w:tc>
          <w:tcPr>
            <w:tcW w:w="7607" w:type="dxa"/>
            <w:noWrap w:val="0"/>
            <w:vAlign w:val="center"/>
          </w:tcPr>
          <w:p w14:paraId="4E210229">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质保期贰年</w:t>
            </w:r>
          </w:p>
        </w:tc>
      </w:tr>
      <w:tr w14:paraId="4BE3B7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540" w:type="dxa"/>
            <w:noWrap w:val="0"/>
            <w:vAlign w:val="center"/>
          </w:tcPr>
          <w:p w14:paraId="0E2316BA">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524" w:type="dxa"/>
            <w:noWrap w:val="0"/>
            <w:vAlign w:val="center"/>
          </w:tcPr>
          <w:p w14:paraId="0D1DB336">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7607" w:type="dxa"/>
            <w:noWrap w:val="0"/>
            <w:vAlign w:val="center"/>
          </w:tcPr>
          <w:p w14:paraId="167F34B5">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b/>
                <w:color w:val="auto"/>
                <w:sz w:val="24"/>
                <w:szCs w:val="24"/>
                <w:highlight w:val="none"/>
                <w:lang w:val="en-US" w:eastAsia="zh-CN"/>
              </w:rPr>
              <w:t>(本项目采用网上电子招投标)</w:t>
            </w:r>
          </w:p>
        </w:tc>
      </w:tr>
      <w:tr w14:paraId="7982B6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9" w:hRule="atLeast"/>
          <w:jc w:val="center"/>
        </w:trPr>
        <w:tc>
          <w:tcPr>
            <w:tcW w:w="540" w:type="dxa"/>
            <w:noWrap w:val="0"/>
            <w:vAlign w:val="center"/>
          </w:tcPr>
          <w:p w14:paraId="1D224932">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524" w:type="dxa"/>
            <w:noWrap w:val="0"/>
            <w:vAlign w:val="center"/>
          </w:tcPr>
          <w:p w14:paraId="556057E3">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7607" w:type="dxa"/>
            <w:noWrap w:val="0"/>
            <w:vAlign w:val="top"/>
          </w:tcPr>
          <w:p w14:paraId="7F743A49">
            <w:pPr>
              <w:pStyle w:val="25"/>
              <w:spacing w:before="25" w:line="187" w:lineRule="auto"/>
              <w:ind w:left="108"/>
              <w:rPr>
                <w:rFonts w:hint="eastAsia" w:ascii="仿宋" w:hAnsi="仿宋" w:eastAsia="仿宋" w:cs="仿宋"/>
                <w:color w:val="auto"/>
                <w:sz w:val="24"/>
                <w:szCs w:val="24"/>
              </w:rPr>
            </w:pPr>
            <w:r>
              <w:rPr>
                <w:rFonts w:hint="eastAsia" w:ascii="仿宋" w:hAnsi="仿宋" w:eastAsia="仿宋" w:cs="仿宋"/>
                <w:color w:val="auto"/>
                <w:spacing w:val="5"/>
                <w:sz w:val="24"/>
                <w:szCs w:val="24"/>
                <w:lang w:val="en-US" w:eastAsia="zh-CN"/>
              </w:rPr>
              <w:t>1、</w:t>
            </w:r>
            <w:r>
              <w:rPr>
                <w:rFonts w:hint="eastAsia" w:ascii="仿宋" w:hAnsi="仿宋" w:eastAsia="仿宋" w:cs="仿宋"/>
                <w:color w:val="auto"/>
                <w:spacing w:val="-2"/>
                <w:sz w:val="24"/>
                <w:szCs w:val="24"/>
                <w:lang w:val="en-US" w:eastAsia="zh-CN"/>
              </w:rPr>
              <w:t>合格有效的法人或者非法人组织营业执照</w:t>
            </w:r>
            <w:r>
              <w:rPr>
                <w:rFonts w:hint="eastAsia" w:ascii="仿宋" w:hAnsi="仿宋" w:eastAsia="仿宋" w:cs="仿宋"/>
                <w:color w:val="auto"/>
                <w:spacing w:val="5"/>
                <w:sz w:val="24"/>
                <w:szCs w:val="24"/>
              </w:rPr>
              <w:t>；</w:t>
            </w:r>
          </w:p>
          <w:p w14:paraId="42E579EE">
            <w:pPr>
              <w:pStyle w:val="25"/>
              <w:spacing w:before="4" w:line="187" w:lineRule="auto"/>
              <w:ind w:left="108"/>
              <w:rPr>
                <w:rFonts w:hint="eastAsia" w:ascii="仿宋" w:hAnsi="仿宋" w:eastAsia="仿宋" w:cs="仿宋"/>
                <w:color w:val="auto"/>
                <w:sz w:val="24"/>
                <w:szCs w:val="24"/>
              </w:rPr>
            </w:pPr>
            <w:r>
              <w:rPr>
                <w:rFonts w:hint="eastAsia" w:ascii="仿宋" w:hAnsi="仿宋" w:eastAsia="仿宋" w:cs="仿宋"/>
                <w:color w:val="auto"/>
                <w:spacing w:val="8"/>
                <w:sz w:val="24"/>
                <w:szCs w:val="24"/>
                <w:lang w:val="en-US" w:eastAsia="zh-CN"/>
              </w:rPr>
              <w:t>2、</w:t>
            </w: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健全的财务会计制度</w:t>
            </w:r>
            <w:r>
              <w:rPr>
                <w:rFonts w:hint="eastAsia" w:cs="仿宋"/>
                <w:color w:val="auto"/>
                <w:sz w:val="24"/>
                <w:szCs w:val="24"/>
                <w:highlight w:val="none"/>
                <w:lang w:eastAsia="zh-CN"/>
              </w:rPr>
              <w:t>，</w:t>
            </w:r>
            <w:r>
              <w:rPr>
                <w:rFonts w:hint="eastAsia" w:ascii="仿宋" w:hAnsi="仿宋" w:eastAsia="仿宋" w:cs="仿宋"/>
                <w:color w:val="auto"/>
                <w:sz w:val="24"/>
                <w:szCs w:val="24"/>
                <w:highlight w:val="none"/>
              </w:rPr>
              <w:t>由具备资质的中介机构出具的</w:t>
            </w:r>
            <w:r>
              <w:rPr>
                <w:rFonts w:hint="eastAsia" w:cs="仿宋"/>
                <w:color w:val="auto"/>
                <w:sz w:val="24"/>
                <w:szCs w:val="24"/>
                <w:highlight w:val="none"/>
                <w:lang w:val="en-US" w:eastAsia="zh-CN"/>
              </w:rPr>
              <w:t>2024或2025年度</w:t>
            </w:r>
            <w:r>
              <w:rPr>
                <w:rFonts w:hint="eastAsia" w:ascii="仿宋" w:hAnsi="仿宋" w:eastAsia="仿宋" w:cs="仿宋"/>
                <w:color w:val="auto"/>
                <w:sz w:val="24"/>
                <w:szCs w:val="24"/>
                <w:highlight w:val="none"/>
              </w:rPr>
              <w:t>财务审计报告</w:t>
            </w:r>
            <w:r>
              <w:rPr>
                <w:rFonts w:hint="eastAsia" w:cs="仿宋"/>
                <w:color w:val="auto"/>
                <w:sz w:val="24"/>
                <w:szCs w:val="24"/>
                <w:highlight w:val="none"/>
                <w:lang w:val="en-US" w:eastAsia="zh-CN"/>
              </w:rPr>
              <w:t>或</w:t>
            </w:r>
            <w:r>
              <w:rPr>
                <w:rFonts w:hint="eastAsia" w:ascii="仿宋" w:hAnsi="仿宋" w:eastAsia="仿宋" w:cs="仿宋"/>
                <w:color w:val="auto"/>
                <w:sz w:val="24"/>
                <w:szCs w:val="24"/>
                <w:highlight w:val="none"/>
                <w:lang w:val="en-US" w:eastAsia="zh-CN"/>
              </w:rPr>
              <w:t>由基本户开户行出具的银行资信证明</w:t>
            </w:r>
            <w:r>
              <w:rPr>
                <w:rFonts w:hint="eastAsia" w:cs="仿宋"/>
                <w:color w:val="auto"/>
                <w:sz w:val="24"/>
                <w:szCs w:val="24"/>
                <w:highlight w:val="none"/>
                <w:lang w:val="en-US" w:eastAsia="zh-CN"/>
              </w:rPr>
              <w:t>，</w:t>
            </w:r>
            <w:r>
              <w:rPr>
                <w:rFonts w:hint="eastAsia" w:ascii="仿宋" w:hAnsi="仿宋" w:eastAsia="仿宋" w:cs="仿宋"/>
                <w:color w:val="auto"/>
                <w:sz w:val="24"/>
                <w:szCs w:val="24"/>
                <w:highlight w:val="none"/>
              </w:rPr>
              <w:t>成立不满一年企业提供</w:t>
            </w:r>
            <w:r>
              <w:rPr>
                <w:rFonts w:hint="eastAsia" w:cs="仿宋"/>
                <w:color w:val="auto"/>
                <w:sz w:val="24"/>
                <w:szCs w:val="24"/>
                <w:highlight w:val="none"/>
                <w:lang w:val="en-US" w:eastAsia="zh-CN"/>
              </w:rPr>
              <w:t>完整的</w:t>
            </w:r>
            <w:r>
              <w:rPr>
                <w:rFonts w:hint="eastAsia" w:ascii="仿宋" w:hAnsi="仿宋" w:eastAsia="仿宋" w:cs="仿宋"/>
                <w:color w:val="auto"/>
                <w:sz w:val="24"/>
                <w:szCs w:val="24"/>
                <w:highlight w:val="none"/>
              </w:rPr>
              <w:t>财务报表</w:t>
            </w:r>
            <w:r>
              <w:rPr>
                <w:rFonts w:hint="eastAsia" w:cs="仿宋"/>
                <w:color w:val="auto"/>
                <w:sz w:val="24"/>
                <w:szCs w:val="24"/>
                <w:highlight w:val="none"/>
                <w:lang w:val="en-US" w:eastAsia="zh-CN"/>
              </w:rPr>
              <w:t>或</w:t>
            </w:r>
            <w:r>
              <w:rPr>
                <w:rFonts w:hint="eastAsia" w:ascii="仿宋" w:hAnsi="仿宋" w:eastAsia="仿宋" w:cs="仿宋"/>
                <w:color w:val="auto"/>
                <w:sz w:val="24"/>
                <w:szCs w:val="24"/>
                <w:highlight w:val="none"/>
                <w:lang w:val="en-US" w:eastAsia="zh-CN"/>
              </w:rPr>
              <w:t>由基本户开户行出具的银行资信证明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9"/>
                <w:sz w:val="24"/>
                <w:szCs w:val="24"/>
              </w:rPr>
              <w:t>；</w:t>
            </w:r>
          </w:p>
          <w:p w14:paraId="01FCA6F1">
            <w:pPr>
              <w:pStyle w:val="25"/>
              <w:spacing w:before="6" w:line="187" w:lineRule="auto"/>
              <w:ind w:left="108"/>
              <w:rPr>
                <w:rFonts w:hint="eastAsia" w:ascii="仿宋" w:hAnsi="仿宋" w:eastAsia="仿宋" w:cs="仿宋"/>
                <w:color w:val="auto"/>
                <w:sz w:val="24"/>
                <w:szCs w:val="24"/>
              </w:rPr>
            </w:pPr>
            <w:r>
              <w:rPr>
                <w:rFonts w:hint="eastAsia" w:ascii="仿宋" w:hAnsi="仿宋" w:eastAsia="仿宋" w:cs="仿宋"/>
                <w:color w:val="auto"/>
                <w:spacing w:val="7"/>
                <w:sz w:val="24"/>
                <w:szCs w:val="24"/>
                <w:lang w:val="en-US" w:eastAsia="zh-CN"/>
              </w:rPr>
              <w:t>3、</w:t>
            </w:r>
            <w:r>
              <w:rPr>
                <w:rFonts w:hint="eastAsia" w:ascii="仿宋" w:hAnsi="仿宋" w:eastAsia="仿宋" w:cs="仿宋"/>
                <w:color w:val="auto"/>
                <w:spacing w:val="7"/>
                <w:sz w:val="24"/>
                <w:szCs w:val="24"/>
              </w:rPr>
              <w:t>具有履行合同所必需的设备和专业技术能力；</w:t>
            </w:r>
          </w:p>
          <w:p w14:paraId="249E0064">
            <w:pPr>
              <w:pStyle w:val="25"/>
              <w:spacing w:before="6" w:line="208" w:lineRule="auto"/>
              <w:ind w:left="119" w:right="106" w:hanging="11"/>
              <w:rPr>
                <w:rFonts w:hint="eastAsia" w:ascii="仿宋" w:hAnsi="仿宋" w:eastAsia="仿宋" w:cs="仿宋"/>
                <w:color w:val="auto"/>
                <w:sz w:val="24"/>
                <w:szCs w:val="24"/>
              </w:rPr>
            </w:pPr>
            <w:r>
              <w:rPr>
                <w:rFonts w:hint="eastAsia" w:ascii="仿宋" w:hAnsi="仿宋" w:eastAsia="仿宋" w:cs="仿宋"/>
                <w:color w:val="auto"/>
                <w:spacing w:val="9"/>
                <w:sz w:val="24"/>
                <w:szCs w:val="24"/>
                <w:lang w:val="en-US" w:eastAsia="zh-CN"/>
              </w:rPr>
              <w:t>4、</w:t>
            </w:r>
            <w:r>
              <w:rPr>
                <w:rFonts w:hint="eastAsia" w:ascii="仿宋" w:hAnsi="仿宋" w:eastAsia="仿宋" w:cs="仿宋"/>
                <w:color w:val="auto"/>
                <w:sz w:val="24"/>
                <w:szCs w:val="24"/>
                <w:highlight w:val="none"/>
              </w:rPr>
              <w:t>有依法缴纳税收和社会保障资金的良好记录（近</w:t>
            </w:r>
            <w:r>
              <w:rPr>
                <w:rFonts w:hint="eastAsia" w:ascii="仿宋" w:hAnsi="仿宋" w:eastAsia="仿宋" w:cs="仿宋"/>
                <w:color w:val="auto"/>
                <w:sz w:val="24"/>
                <w:szCs w:val="24"/>
                <w:highlight w:val="none"/>
                <w:lang w:val="en-US" w:eastAsia="zh-CN"/>
              </w:rPr>
              <w:t>六个月</w:t>
            </w:r>
            <w:r>
              <w:rPr>
                <w:rFonts w:hint="eastAsia" w:cs="仿宋"/>
                <w:color w:val="auto"/>
                <w:sz w:val="24"/>
                <w:szCs w:val="24"/>
                <w:highlight w:val="none"/>
                <w:lang w:val="en-US" w:eastAsia="zh-CN"/>
              </w:rPr>
              <w:t>任意一个月的</w:t>
            </w:r>
            <w:r>
              <w:rPr>
                <w:rFonts w:hint="eastAsia" w:ascii="仿宋" w:hAnsi="仿宋" w:eastAsia="仿宋" w:cs="仿宋"/>
                <w:color w:val="auto"/>
                <w:sz w:val="24"/>
                <w:szCs w:val="24"/>
                <w:highlight w:val="none"/>
              </w:rPr>
              <w:t>缴纳税收和社保的相关证明材料）</w:t>
            </w:r>
            <w:r>
              <w:rPr>
                <w:rFonts w:hint="eastAsia" w:ascii="仿宋" w:hAnsi="仿宋" w:eastAsia="仿宋" w:cs="仿宋"/>
                <w:color w:val="auto"/>
                <w:spacing w:val="7"/>
                <w:sz w:val="24"/>
                <w:szCs w:val="24"/>
              </w:rPr>
              <w:t>；</w:t>
            </w:r>
          </w:p>
          <w:p w14:paraId="348A29FD">
            <w:pPr>
              <w:pStyle w:val="25"/>
              <w:spacing w:before="26" w:line="187" w:lineRule="auto"/>
              <w:ind w:left="108"/>
              <w:rPr>
                <w:rFonts w:hint="eastAsia" w:ascii="仿宋" w:hAnsi="仿宋" w:eastAsia="仿宋" w:cs="仿宋"/>
                <w:color w:val="auto"/>
                <w:sz w:val="24"/>
                <w:szCs w:val="24"/>
              </w:rPr>
            </w:pPr>
            <w:r>
              <w:rPr>
                <w:rFonts w:hint="eastAsia" w:ascii="仿宋" w:hAnsi="仿宋" w:eastAsia="仿宋" w:cs="仿宋"/>
                <w:color w:val="auto"/>
                <w:spacing w:val="8"/>
                <w:sz w:val="24"/>
                <w:szCs w:val="24"/>
                <w:lang w:val="en-US" w:eastAsia="zh-CN"/>
              </w:rPr>
              <w:t>5、</w:t>
            </w:r>
            <w:r>
              <w:rPr>
                <w:rFonts w:hint="eastAsia" w:ascii="仿宋" w:hAnsi="仿宋" w:eastAsia="仿宋" w:cs="仿宋"/>
                <w:color w:val="auto"/>
                <w:spacing w:val="8"/>
                <w:sz w:val="24"/>
                <w:szCs w:val="24"/>
              </w:rPr>
              <w:t>参加政府采购活动前三年内，在经营活动中没有重</w:t>
            </w:r>
            <w:r>
              <w:rPr>
                <w:rFonts w:hint="eastAsia" w:ascii="仿宋" w:hAnsi="仿宋" w:eastAsia="仿宋" w:cs="仿宋"/>
                <w:color w:val="auto"/>
                <w:spacing w:val="7"/>
                <w:sz w:val="24"/>
                <w:szCs w:val="24"/>
              </w:rPr>
              <w:t>大违法记录；</w:t>
            </w:r>
          </w:p>
          <w:p w14:paraId="6465212E">
            <w:pPr>
              <w:pStyle w:val="25"/>
              <w:spacing w:before="27" w:line="246" w:lineRule="auto"/>
              <w:ind w:left="119" w:right="106"/>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r>
              <w:rPr>
                <w:rFonts w:hint="default" w:ascii="仿宋" w:hAnsi="仿宋" w:eastAsia="仿宋" w:cs="仿宋"/>
                <w:color w:val="auto"/>
                <w:kern w:val="0"/>
                <w:sz w:val="24"/>
                <w:highlight w:val="none"/>
                <w:lang w:val="en-US" w:eastAsia="zh-CN"/>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w:t>
            </w:r>
            <w:r>
              <w:rPr>
                <w:rFonts w:hint="eastAsia" w:ascii="仿宋" w:hAnsi="仿宋" w:eastAsia="仿宋" w:cs="仿宋"/>
                <w:b w:val="0"/>
                <w:bCs w:val="0"/>
                <w:color w:val="auto"/>
                <w:sz w:val="24"/>
                <w:szCs w:val="24"/>
                <w:highlight w:val="none"/>
                <w:lang w:val="en-US" w:eastAsia="zh-CN"/>
              </w:rPr>
              <w:t>。</w:t>
            </w:r>
          </w:p>
          <w:p w14:paraId="477BF418">
            <w:pPr>
              <w:pStyle w:val="25"/>
              <w:spacing w:before="27" w:line="246" w:lineRule="auto"/>
              <w:ind w:left="119" w:right="106"/>
              <w:jc w:val="both"/>
              <w:rPr>
                <w:rFonts w:hint="eastAsia" w:ascii="仿宋" w:hAnsi="仿宋" w:eastAsia="仿宋" w:cs="仿宋"/>
                <w:b w:val="0"/>
                <w:bCs w:val="0"/>
                <w:color w:val="auto"/>
                <w:sz w:val="24"/>
                <w:szCs w:val="24"/>
                <w:highlight w:val="none"/>
                <w:lang w:val="en-US" w:eastAsia="zh-CN"/>
              </w:rPr>
            </w:pPr>
            <w:r>
              <w:rPr>
                <w:rFonts w:hint="eastAsia" w:hAnsi="宋体" w:cs="宋体"/>
                <w:color w:val="auto"/>
                <w:sz w:val="24"/>
                <w:szCs w:val="24"/>
              </w:rPr>
              <w:t>根据《医疗器械监督管理条例》（国务院令第650号）有关内容办理医疗器械产品注册或备案</w:t>
            </w:r>
            <w:r>
              <w:rPr>
                <w:rFonts w:hint="eastAsia" w:hAnsi="宋体" w:cs="宋体"/>
                <w:color w:val="auto"/>
                <w:sz w:val="24"/>
                <w:szCs w:val="24"/>
                <w:lang w:eastAsia="zh-CN"/>
              </w:rPr>
              <w:t>。</w:t>
            </w:r>
          </w:p>
          <w:p w14:paraId="47140377">
            <w:pPr>
              <w:pStyle w:val="25"/>
              <w:spacing w:before="26" w:line="238" w:lineRule="auto"/>
              <w:ind w:left="119" w:right="104" w:hanging="11"/>
              <w:rPr>
                <w:rFonts w:hint="eastAsia" w:ascii="仿宋" w:hAnsi="仿宋" w:eastAsia="仿宋" w:cs="仿宋"/>
                <w:color w:val="auto"/>
                <w:sz w:val="24"/>
                <w:szCs w:val="24"/>
              </w:rPr>
            </w:pPr>
            <w:r>
              <w:rPr>
                <w:rFonts w:hint="eastAsia" w:ascii="仿宋" w:hAnsi="仿宋" w:eastAsia="仿宋" w:cs="仿宋"/>
                <w:color w:val="auto"/>
                <w:spacing w:val="9"/>
                <w:sz w:val="24"/>
                <w:szCs w:val="24"/>
                <w:lang w:val="en-US" w:eastAsia="zh-CN"/>
              </w:rPr>
              <w:t>7、</w:t>
            </w:r>
            <w:r>
              <w:rPr>
                <w:rFonts w:hint="eastAsia" w:ascii="仿宋" w:hAnsi="仿宋" w:eastAsia="仿宋" w:cs="仿宋"/>
                <w:color w:val="auto"/>
                <w:sz w:val="24"/>
                <w:szCs w:val="24"/>
                <w:highlight w:val="none"/>
                <w:lang w:val="en-US" w:eastAsia="zh-CN"/>
              </w:rPr>
              <w:t>法人</w:t>
            </w:r>
            <w:r>
              <w:rPr>
                <w:rFonts w:hint="eastAsia" w:ascii="仿宋" w:hAnsi="仿宋" w:eastAsia="仿宋" w:cs="仿宋"/>
                <w:color w:val="auto"/>
                <w:sz w:val="24"/>
                <w:szCs w:val="24"/>
                <w:highlight w:val="none"/>
              </w:rPr>
              <w:t>授权委托书</w:t>
            </w:r>
            <w:r>
              <w:rPr>
                <w:rFonts w:hint="eastAsia" w:ascii="仿宋" w:hAnsi="仿宋" w:eastAsia="仿宋" w:cs="仿宋"/>
                <w:color w:val="auto"/>
                <w:sz w:val="24"/>
                <w:szCs w:val="24"/>
                <w:highlight w:val="none"/>
                <w:lang w:val="en-US" w:eastAsia="zh-CN"/>
              </w:rPr>
              <w:t>或法定代表人证明文件</w:t>
            </w:r>
            <w:r>
              <w:rPr>
                <w:rFonts w:hint="eastAsia" w:ascii="仿宋" w:hAnsi="仿宋" w:eastAsia="仿宋" w:cs="仿宋"/>
                <w:color w:val="auto"/>
                <w:spacing w:val="4"/>
                <w:sz w:val="24"/>
                <w:szCs w:val="24"/>
              </w:rPr>
              <w:t>；</w:t>
            </w:r>
          </w:p>
          <w:p w14:paraId="2DB1E8B4">
            <w:pPr>
              <w:pStyle w:val="25"/>
              <w:spacing w:before="27" w:line="244" w:lineRule="auto"/>
              <w:ind w:left="121" w:right="39" w:hanging="6"/>
              <w:rPr>
                <w:rFonts w:hint="eastAsia" w:ascii="仿宋" w:hAnsi="仿宋" w:eastAsia="仿宋" w:cs="仿宋"/>
                <w:color w:val="auto"/>
                <w:sz w:val="24"/>
                <w:szCs w:val="24"/>
              </w:rPr>
            </w:pPr>
            <w:r>
              <w:rPr>
                <w:rFonts w:hint="eastAsia" w:ascii="仿宋" w:hAnsi="仿宋" w:eastAsia="仿宋" w:cs="仿宋"/>
                <w:color w:val="auto"/>
                <w:spacing w:val="3"/>
                <w:sz w:val="24"/>
                <w:szCs w:val="24"/>
                <w:lang w:val="en-US" w:eastAsia="zh-CN"/>
              </w:rPr>
              <w:t>8、</w:t>
            </w:r>
            <w:r>
              <w:rPr>
                <w:rFonts w:hint="eastAsia" w:ascii="仿宋" w:hAnsi="仿宋" w:eastAsia="仿宋" w:cs="仿宋"/>
                <w:color w:val="auto"/>
                <w:spacing w:val="3"/>
                <w:sz w:val="24"/>
                <w:szCs w:val="24"/>
              </w:rPr>
              <w:t>未被列入“信用中国”网站中的“失信被执</w:t>
            </w:r>
            <w:r>
              <w:rPr>
                <w:rFonts w:hint="eastAsia" w:ascii="仿宋" w:hAnsi="仿宋" w:eastAsia="仿宋" w:cs="仿宋"/>
                <w:color w:val="auto"/>
                <w:spacing w:val="2"/>
                <w:sz w:val="24"/>
                <w:szCs w:val="24"/>
              </w:rPr>
              <w:t>行名单”、“重大税收违法失信主体”</w:t>
            </w:r>
            <w:r>
              <w:rPr>
                <w:rFonts w:hint="eastAsia" w:cs="仿宋"/>
                <w:color w:val="auto"/>
                <w:spacing w:val="2"/>
                <w:sz w:val="24"/>
                <w:szCs w:val="24"/>
                <w:lang w:val="en-US" w:eastAsia="zh-CN"/>
              </w:rPr>
              <w:t>及“</w:t>
            </w:r>
            <w:r>
              <w:rPr>
                <w:rFonts w:hint="eastAsia" w:ascii="仿宋" w:hAnsi="仿宋" w:eastAsia="仿宋" w:cs="仿宋"/>
                <w:color w:val="auto"/>
                <w:spacing w:val="5"/>
                <w:sz w:val="24"/>
                <w:szCs w:val="24"/>
              </w:rPr>
              <w:t>政府采购严重违法失信行为记录名单</w:t>
            </w:r>
            <w:r>
              <w:rPr>
                <w:rFonts w:hint="eastAsia" w:cs="仿宋"/>
                <w:color w:val="auto"/>
                <w:spacing w:val="2"/>
                <w:sz w:val="24"/>
                <w:szCs w:val="24"/>
                <w:lang w:val="en-US" w:eastAsia="zh-CN"/>
              </w:rPr>
              <w:t>”</w:t>
            </w:r>
            <w:r>
              <w:rPr>
                <w:rFonts w:hint="eastAsia" w:ascii="仿宋" w:hAnsi="仿宋" w:eastAsia="仿宋" w:cs="仿宋"/>
                <w:color w:val="auto"/>
                <w:spacing w:val="2"/>
                <w:sz w:val="24"/>
                <w:szCs w:val="24"/>
              </w:rPr>
              <w:t>其中之一，</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未被列入“</w:t>
            </w:r>
            <w:r>
              <w:rPr>
                <w:rFonts w:hint="eastAsia" w:ascii="仿宋" w:hAnsi="仿宋" w:eastAsia="仿宋" w:cs="仿宋"/>
                <w:color w:val="auto"/>
                <w:sz w:val="24"/>
                <w:szCs w:val="24"/>
              </w:rPr>
              <w:t xml:space="preserve"> </w:t>
            </w:r>
            <w:r>
              <w:rPr>
                <w:rFonts w:hint="eastAsia" w:ascii="仿宋" w:hAnsi="仿宋" w:eastAsia="仿宋" w:cs="仿宋"/>
                <w:color w:val="auto"/>
                <w:spacing w:val="5"/>
                <w:sz w:val="24"/>
                <w:szCs w:val="24"/>
              </w:rPr>
              <w:t>中国政府采购网”</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5"/>
                <w:sz w:val="24"/>
                <w:szCs w:val="24"/>
              </w:rPr>
              <w:t>中的“</w:t>
            </w:r>
            <w:r>
              <w:rPr>
                <w:rFonts w:hint="eastAsia" w:ascii="仿宋" w:hAnsi="仿宋" w:eastAsia="仿宋" w:cs="仿宋"/>
                <w:color w:val="auto"/>
                <w:spacing w:val="-41"/>
                <w:sz w:val="24"/>
                <w:szCs w:val="24"/>
              </w:rPr>
              <w:t xml:space="preserve"> </w:t>
            </w:r>
            <w:r>
              <w:rPr>
                <w:rFonts w:hint="eastAsia" w:ascii="仿宋" w:hAnsi="仿宋" w:eastAsia="仿宋" w:cs="仿宋"/>
                <w:color w:val="auto"/>
                <w:spacing w:val="5"/>
                <w:sz w:val="24"/>
                <w:szCs w:val="24"/>
              </w:rPr>
              <w:t>政府采购严重违法失信行为记录名单”</w:t>
            </w:r>
            <w:r>
              <w:rPr>
                <w:rFonts w:hint="eastAsia" w:ascii="仿宋" w:hAnsi="仿宋" w:eastAsia="仿宋" w:cs="仿宋"/>
                <w:color w:val="auto"/>
                <w:spacing w:val="-25"/>
                <w:sz w:val="24"/>
                <w:szCs w:val="24"/>
              </w:rPr>
              <w:t xml:space="preserve"> </w:t>
            </w:r>
            <w:r>
              <w:rPr>
                <w:rFonts w:hint="eastAsia" w:ascii="仿宋" w:hAnsi="仿宋" w:eastAsia="仿宋" w:cs="仿宋"/>
                <w:color w:val="auto"/>
                <w:spacing w:val="5"/>
                <w:sz w:val="24"/>
                <w:szCs w:val="24"/>
              </w:rPr>
              <w:t>，否则将被拒绝</w:t>
            </w:r>
            <w:r>
              <w:rPr>
                <w:rFonts w:hint="eastAsia" w:ascii="仿宋" w:hAnsi="仿宋" w:eastAsia="仿宋" w:cs="仿宋"/>
                <w:color w:val="auto"/>
                <w:spacing w:val="3"/>
                <w:sz w:val="24"/>
                <w:szCs w:val="24"/>
              </w:rPr>
              <w:t>参与本次政府采购活动；</w:t>
            </w:r>
          </w:p>
          <w:p w14:paraId="0F9D3F38">
            <w:pPr>
              <w:pStyle w:val="25"/>
              <w:spacing w:before="23"/>
              <w:ind w:left="120" w:right="106" w:hanging="6"/>
              <w:rPr>
                <w:rFonts w:hint="eastAsia" w:ascii="仿宋" w:hAnsi="仿宋" w:eastAsia="仿宋" w:cs="仿宋"/>
                <w:color w:val="auto"/>
                <w:sz w:val="24"/>
                <w:szCs w:val="24"/>
              </w:rPr>
            </w:pPr>
            <w:r>
              <w:rPr>
                <w:rFonts w:hint="eastAsia" w:ascii="仿宋" w:hAnsi="仿宋" w:eastAsia="仿宋" w:cs="仿宋"/>
                <w:color w:val="auto"/>
                <w:spacing w:val="9"/>
                <w:sz w:val="24"/>
                <w:szCs w:val="24"/>
                <w:lang w:val="en-US" w:eastAsia="zh-CN"/>
              </w:rPr>
              <w:t>9、</w:t>
            </w:r>
            <w:r>
              <w:rPr>
                <w:rFonts w:hint="eastAsia" w:ascii="仿宋" w:hAnsi="仿宋" w:eastAsia="仿宋" w:cs="仿宋"/>
                <w:color w:val="auto"/>
                <w:spacing w:val="9"/>
                <w:sz w:val="24"/>
                <w:szCs w:val="24"/>
              </w:rPr>
              <w:t>单位负责人为同一人或者存在直接控股、管理关系的不同投标人，不得参</w:t>
            </w:r>
            <w:r>
              <w:rPr>
                <w:rFonts w:hint="eastAsia" w:ascii="仿宋" w:hAnsi="仿宋" w:eastAsia="仿宋" w:cs="仿宋"/>
                <w:color w:val="auto"/>
                <w:spacing w:val="8"/>
                <w:sz w:val="24"/>
                <w:szCs w:val="24"/>
              </w:rPr>
              <w:t>加同一合同</w:t>
            </w:r>
            <w:r>
              <w:rPr>
                <w:rFonts w:hint="eastAsia" w:ascii="仿宋" w:hAnsi="仿宋" w:eastAsia="仿宋" w:cs="仿宋"/>
                <w:color w:val="auto"/>
                <w:spacing w:val="4"/>
                <w:sz w:val="24"/>
                <w:szCs w:val="24"/>
              </w:rPr>
              <w:t>项下的政府采购活动。</w:t>
            </w:r>
          </w:p>
          <w:p w14:paraId="2F732C73">
            <w:pPr>
              <w:keepNext w:val="0"/>
              <w:keepLines w:val="0"/>
              <w:pageBreakBefore w:val="0"/>
              <w:widowControl/>
              <w:shd w:val="clear" w:color="auto" w:fill="auto"/>
              <w:kinsoku/>
              <w:wordWrap/>
              <w:overflowPunct/>
              <w:topLinePunct w:val="0"/>
              <w:autoSpaceDE/>
              <w:autoSpaceDN/>
              <w:bidi w:val="0"/>
              <w:adjustRightInd/>
              <w:snapToGrid/>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lang w:val="en-US" w:eastAsia="zh-CN"/>
              </w:rPr>
              <w:t>10、</w:t>
            </w:r>
            <w:r>
              <w:rPr>
                <w:rFonts w:hint="eastAsia" w:ascii="仿宋" w:hAnsi="仿宋" w:eastAsia="仿宋" w:cs="仿宋"/>
                <w:color w:val="auto"/>
                <w:spacing w:val="6"/>
                <w:sz w:val="24"/>
                <w:szCs w:val="24"/>
              </w:rPr>
              <w:t>本项目不允许联合体投标。</w:t>
            </w:r>
          </w:p>
        </w:tc>
      </w:tr>
      <w:tr w14:paraId="304A2C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1" w:hRule="atLeast"/>
          <w:jc w:val="center"/>
        </w:trPr>
        <w:tc>
          <w:tcPr>
            <w:tcW w:w="540" w:type="dxa"/>
            <w:noWrap w:val="0"/>
            <w:vAlign w:val="center"/>
          </w:tcPr>
          <w:p w14:paraId="0F97E95A">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524" w:type="dxa"/>
            <w:noWrap w:val="0"/>
            <w:vAlign w:val="center"/>
          </w:tcPr>
          <w:p w14:paraId="7AFD3C11">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7607" w:type="dxa"/>
            <w:noWrap w:val="0"/>
            <w:vAlign w:val="center"/>
          </w:tcPr>
          <w:p w14:paraId="6BCE9B7C">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14:paraId="51A33992">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14:paraId="15C3D01B">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3、信用信息查询记录和证据留存的具体方式：由采购组织机构在规定查询时间内打印信用信息查询记录并归入项目档案。</w:t>
            </w:r>
          </w:p>
          <w:p w14:paraId="6FBEB7FE">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696838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0" w:type="dxa"/>
            <w:noWrap w:val="0"/>
            <w:vAlign w:val="center"/>
          </w:tcPr>
          <w:p w14:paraId="5B7CB068">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524" w:type="dxa"/>
            <w:noWrap w:val="0"/>
            <w:vAlign w:val="center"/>
          </w:tcPr>
          <w:p w14:paraId="60DBB3A1">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7607" w:type="dxa"/>
            <w:noWrap w:val="0"/>
            <w:vAlign w:val="center"/>
          </w:tcPr>
          <w:p w14:paraId="657286C1">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不组织,投标人自行组织踏勘现场。</w:t>
            </w:r>
          </w:p>
        </w:tc>
      </w:tr>
      <w:tr w14:paraId="2038CE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0" w:type="dxa"/>
            <w:noWrap w:val="0"/>
            <w:vAlign w:val="center"/>
          </w:tcPr>
          <w:p w14:paraId="207727B5">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524" w:type="dxa"/>
            <w:noWrap w:val="0"/>
            <w:vAlign w:val="center"/>
          </w:tcPr>
          <w:p w14:paraId="19F98DDF">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7607" w:type="dxa"/>
            <w:noWrap w:val="0"/>
            <w:vAlign w:val="center"/>
          </w:tcPr>
          <w:p w14:paraId="012553DF">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14:paraId="234C2C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40" w:type="dxa"/>
            <w:noWrap w:val="0"/>
            <w:vAlign w:val="center"/>
          </w:tcPr>
          <w:p w14:paraId="087E3D2B">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524" w:type="dxa"/>
            <w:noWrap w:val="0"/>
            <w:vAlign w:val="center"/>
          </w:tcPr>
          <w:p w14:paraId="7DA1750C">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7607" w:type="dxa"/>
            <w:noWrap w:val="0"/>
            <w:vAlign w:val="center"/>
          </w:tcPr>
          <w:p w14:paraId="29C8A7D7">
            <w:pPr>
              <w:keepNext w:val="0"/>
              <w:keepLines w:val="0"/>
              <w:pageBreakBefore w:val="0"/>
              <w:shd w:val="clear" w:color="auto" w:fill="auto"/>
              <w:kinsoku/>
              <w:wordWrap/>
              <w:overflowPunct/>
              <w:topLinePunct w:val="0"/>
              <w:autoSpaceDE/>
              <w:autoSpaceDN/>
              <w:bidi w:val="0"/>
              <w:adjustRightInd/>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不接受</w:t>
            </w:r>
          </w:p>
          <w:p w14:paraId="213E5414">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接受，联合体投标的须在投标文件中提供联合体协议书，联合体所有成员不得超过2家，联合体的任何一方均不得再与其他投标单位联合。</w:t>
            </w:r>
          </w:p>
        </w:tc>
      </w:tr>
      <w:tr w14:paraId="23B8B8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540" w:type="dxa"/>
            <w:noWrap w:val="0"/>
            <w:vAlign w:val="center"/>
          </w:tcPr>
          <w:p w14:paraId="6961CF70">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524" w:type="dxa"/>
            <w:noWrap w:val="0"/>
            <w:vAlign w:val="center"/>
          </w:tcPr>
          <w:p w14:paraId="1B709A7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7607" w:type="dxa"/>
            <w:noWrap w:val="0"/>
            <w:vAlign w:val="center"/>
          </w:tcPr>
          <w:p w14:paraId="0A2D58A6">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单位在领取本项目</w:t>
            </w:r>
            <w:r>
              <w:rPr>
                <w:rFonts w:hint="eastAsia" w:ascii="仿宋" w:hAnsi="仿宋" w:eastAsia="仿宋" w:cs="仿宋"/>
                <w:b/>
                <w:bCs/>
                <w:snapToGrid w:val="0"/>
                <w:color w:val="auto"/>
                <w:sz w:val="24"/>
                <w:szCs w:val="24"/>
                <w:highlight w:val="none"/>
                <w:lang w:val="en-US" w:eastAsia="zh-CN"/>
              </w:rPr>
              <w:t>中标</w:t>
            </w:r>
            <w:r>
              <w:rPr>
                <w:rFonts w:hint="eastAsia" w:ascii="仿宋" w:hAnsi="仿宋" w:eastAsia="仿宋" w:cs="仿宋"/>
                <w:b/>
                <w:bCs/>
                <w:snapToGrid w:val="0"/>
                <w:color w:val="auto"/>
                <w:sz w:val="24"/>
                <w:szCs w:val="24"/>
                <w:highlight w:val="none"/>
              </w:rPr>
              <w:t>通知书时，按照《国家计委关于印发招标代理服务收费管理暂行办法的通知（计价格[2002]1980号）及《招标代理服务收费有关问题》（发改办价格〔2003〕857号文）中规定由</w:t>
            </w: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单位向招标代理机构支付本项目代理费。</w:t>
            </w:r>
            <w:r>
              <w:rPr>
                <w:rFonts w:hint="eastAsia" w:ascii="仿宋" w:hAnsi="仿宋" w:eastAsia="仿宋" w:cs="仿宋"/>
                <w:b/>
                <w:bCs/>
                <w:snapToGrid w:val="0"/>
                <w:color w:val="auto"/>
                <w:sz w:val="24"/>
                <w:szCs w:val="24"/>
                <w:highlight w:val="none"/>
                <w:lang w:val="en-US" w:eastAsia="zh-CN"/>
              </w:rPr>
              <w:t>收款账户信息如下：</w:t>
            </w:r>
          </w:p>
          <w:p w14:paraId="34B68D68">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账户名：新疆浩瑞兴建设工程项目管理咨询有限公司乌鲁木齐分公司</w:t>
            </w:r>
          </w:p>
          <w:p w14:paraId="7F20C364">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乌鲁木齐银行股份有限公司东方支行</w:t>
            </w:r>
          </w:p>
          <w:p w14:paraId="7C639893">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lang w:eastAsia="zh-CN"/>
              </w:rPr>
              <w:t>0000020080110079596717</w:t>
            </w:r>
          </w:p>
          <w:p w14:paraId="309E45B1">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snapToGrid w:val="0"/>
                <w:color w:val="auto"/>
                <w:sz w:val="24"/>
                <w:szCs w:val="24"/>
                <w:highlight w:val="none"/>
                <w:lang w:val="en-US" w:eastAsia="zh-CN"/>
              </w:rPr>
            </w:pPr>
            <w:r>
              <w:rPr>
                <w:rFonts w:hint="eastAsia" w:ascii="仿宋" w:hAnsi="仿宋" w:eastAsia="仿宋" w:cs="仿宋"/>
                <w:color w:val="auto"/>
                <w:sz w:val="24"/>
                <w:szCs w:val="24"/>
                <w:highlight w:val="none"/>
              </w:rPr>
              <w:t>行  号：</w:t>
            </w:r>
            <w:r>
              <w:rPr>
                <w:rFonts w:hint="eastAsia" w:ascii="仿宋" w:hAnsi="仿宋" w:eastAsia="仿宋" w:cs="仿宋"/>
                <w:color w:val="auto"/>
                <w:sz w:val="24"/>
                <w:szCs w:val="24"/>
                <w:highlight w:val="none"/>
                <w:lang w:eastAsia="zh-CN"/>
              </w:rPr>
              <w:t>313881000512</w:t>
            </w:r>
          </w:p>
        </w:tc>
      </w:tr>
      <w:tr w14:paraId="681E8D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540" w:type="dxa"/>
            <w:noWrap w:val="0"/>
            <w:vAlign w:val="center"/>
          </w:tcPr>
          <w:p w14:paraId="56E79F2A">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524" w:type="dxa"/>
            <w:noWrap w:val="0"/>
            <w:vAlign w:val="center"/>
          </w:tcPr>
          <w:p w14:paraId="56FB406C">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采购内容</w:t>
            </w:r>
          </w:p>
        </w:tc>
        <w:tc>
          <w:tcPr>
            <w:tcW w:w="7607" w:type="dxa"/>
            <w:noWrap w:val="0"/>
            <w:vAlign w:val="center"/>
          </w:tcPr>
          <w:p w14:paraId="1D9E4A93">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详见第四章招标内容及技术要求</w:t>
            </w:r>
          </w:p>
        </w:tc>
      </w:tr>
      <w:tr w14:paraId="7D8F12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0" w:type="dxa"/>
            <w:noWrap w:val="0"/>
            <w:vAlign w:val="center"/>
          </w:tcPr>
          <w:p w14:paraId="101AE63C">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524" w:type="dxa"/>
            <w:noWrap w:val="0"/>
            <w:vAlign w:val="center"/>
          </w:tcPr>
          <w:p w14:paraId="53B9AE3B">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7607" w:type="dxa"/>
            <w:noWrap w:val="0"/>
            <w:vAlign w:val="center"/>
          </w:tcPr>
          <w:p w14:paraId="1B254D56">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全自动游离二氧化硅前处理工作站。</w:t>
            </w:r>
          </w:p>
          <w:p w14:paraId="43A9F2E0">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相同品牌产品且通过资格审查、符合性审查的不同投标人参加同一合同项下投标的，按一家投标人计算，评审后得分最高的同品牌投标人获得中标人推荐资格:评审得分相同的，由评标委员会采取随机抽取的方式确定一个投标人获得中标人推荐资格,其他同品牌投标人不作为中标候选人。</w:t>
            </w:r>
          </w:p>
        </w:tc>
      </w:tr>
      <w:tr w14:paraId="084EFC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0" w:type="dxa"/>
            <w:noWrap w:val="0"/>
            <w:vAlign w:val="center"/>
          </w:tcPr>
          <w:p w14:paraId="59BD01B9">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524" w:type="dxa"/>
            <w:noWrap w:val="0"/>
            <w:vAlign w:val="center"/>
          </w:tcPr>
          <w:p w14:paraId="3CC893D6">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7607" w:type="dxa"/>
            <w:noWrap w:val="0"/>
            <w:vAlign w:val="center"/>
          </w:tcPr>
          <w:p w14:paraId="4A7A79D0">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90 </w:t>
            </w:r>
            <w:r>
              <w:rPr>
                <w:rFonts w:hint="eastAsia" w:ascii="仿宋" w:hAnsi="仿宋" w:eastAsia="仿宋" w:cs="仿宋"/>
                <w:color w:val="auto"/>
                <w:sz w:val="24"/>
                <w:szCs w:val="24"/>
                <w:highlight w:val="none"/>
                <w:lang w:val="en-US" w:eastAsia="zh-CN"/>
              </w:rPr>
              <w:t>日历天（从投标截止之日算起）。在此期限内，凡符合本采购文件要求的投标文件均保持有效。</w:t>
            </w:r>
          </w:p>
        </w:tc>
      </w:tr>
      <w:tr w14:paraId="4D333E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6" w:hRule="atLeast"/>
          <w:jc w:val="center"/>
        </w:trPr>
        <w:tc>
          <w:tcPr>
            <w:tcW w:w="540" w:type="dxa"/>
            <w:noWrap w:val="0"/>
            <w:vAlign w:val="center"/>
          </w:tcPr>
          <w:p w14:paraId="57201584">
            <w:pPr>
              <w:pStyle w:val="8"/>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524" w:type="dxa"/>
            <w:tcBorders>
              <w:bottom w:val="single" w:color="auto" w:sz="4" w:space="0"/>
            </w:tcBorders>
            <w:noWrap w:val="0"/>
            <w:vAlign w:val="center"/>
          </w:tcPr>
          <w:p w14:paraId="6E9C70C2">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7607" w:type="dxa"/>
            <w:tcBorders>
              <w:bottom w:val="single" w:color="auto" w:sz="4" w:space="0"/>
            </w:tcBorders>
            <w:noWrap w:val="0"/>
            <w:vAlign w:val="top"/>
          </w:tcPr>
          <w:p w14:paraId="585EC4C4">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投标保证金交纳方式：投标保证金应当以支票、汇票、本票或者金融机构、担保机构出具的保函等非现金形式提交</w:t>
            </w:r>
            <w:r>
              <w:rPr>
                <w:rFonts w:hint="eastAsia" w:ascii="仿宋" w:hAnsi="仿宋" w:eastAsia="仿宋" w:cs="仿宋"/>
                <w:b/>
                <w:bCs/>
                <w:color w:val="auto"/>
                <w:sz w:val="24"/>
                <w:szCs w:val="24"/>
                <w:highlight w:val="none"/>
                <w:lang w:eastAsia="zh-CN"/>
              </w:rPr>
              <w:t>。</w:t>
            </w:r>
          </w:p>
          <w:p w14:paraId="1870317D">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default"/>
                <w:color w:val="auto"/>
                <w:lang w:val="en-US" w:eastAsia="zh-CN"/>
              </w:rPr>
            </w:pPr>
            <w:r>
              <w:rPr>
                <w:rFonts w:hint="eastAsia" w:ascii="仿宋" w:hAnsi="仿宋" w:eastAsia="仿宋" w:cs="仿宋"/>
                <w:b/>
                <w:bCs/>
                <w:color w:val="auto"/>
                <w:sz w:val="24"/>
                <w:szCs w:val="24"/>
                <w:highlight w:val="none"/>
                <w:lang w:val="en-US" w:eastAsia="zh-CN"/>
              </w:rPr>
              <w:t>投标保证金：50000.00元(大写：伍万元整）</w:t>
            </w:r>
          </w:p>
          <w:p w14:paraId="6614A83A">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注：采用保函形式递交保证金的，供应商须在投标截止时间前，将所投项目对应的保函随响应文件一起上传到政采云平台。</w:t>
            </w:r>
          </w:p>
          <w:p w14:paraId="2C643010">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采用保函形式递交保证金的： </w:t>
            </w:r>
          </w:p>
          <w:p w14:paraId="3228C6D3">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（1）根据国家现行采购政策，投标保证金可以使用金融系统电子保函。 </w:t>
            </w:r>
          </w:p>
          <w:p w14:paraId="0F81056F">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电子保函按照“一包段一保函”的原则，办理电子保函必须在投标截止时 </w:t>
            </w:r>
          </w:p>
          <w:p w14:paraId="1C4A47AD">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间（开标时间）前完成。投标人需自行评估异地、跨行、公休日等因素造 </w:t>
            </w:r>
          </w:p>
          <w:p w14:paraId="524C9700">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成的保函办理延迟风险，并承担相应责任；开标前，投保人必须下载加密 </w:t>
            </w:r>
          </w:p>
          <w:p w14:paraId="5532A7C5">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保单作为保证金缴纳凭证放入投标文件中； </w:t>
            </w:r>
          </w:p>
          <w:p w14:paraId="3D738003">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（2）电子保函操作流程：登录政采云平台→点击右上角[金融服务]进入 </w:t>
            </w:r>
          </w:p>
          <w:p w14:paraId="2657B7C6">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详情页→点击页面上方[保险/保函]，根据实际情况申请办理即可。供应 </w:t>
            </w:r>
          </w:p>
          <w:p w14:paraId="1A7F506D">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商须在投标截止时间前，将所投项目对应的保函随响应文件一起上传到政 </w:t>
            </w:r>
          </w:p>
          <w:p w14:paraId="664BE596">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采云平台。 </w:t>
            </w:r>
          </w:p>
          <w:p w14:paraId="1CD1F6C6">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友情提示：银行法定节假日不办理公对公账户电汇业务，请提前办理。投 </w:t>
            </w:r>
          </w:p>
          <w:p w14:paraId="600C6B4D">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 xml:space="preserve">标保证金是否在规定截止时间前到户的风险由投标单位承担，投标保证金 </w:t>
            </w:r>
          </w:p>
          <w:p w14:paraId="118E69C1">
            <w:pPr>
              <w:rPr>
                <w:rFonts w:hint="eastAsia" w:ascii="仿宋" w:hAnsi="仿宋" w:eastAsia="仿宋" w:cs="仿宋"/>
                <w:b/>
                <w:bCs/>
                <w:color w:val="auto"/>
                <w:sz w:val="22"/>
                <w:szCs w:val="21"/>
                <w:lang w:val="en-US" w:eastAsia="zh-CN"/>
              </w:rPr>
            </w:pPr>
            <w:r>
              <w:rPr>
                <w:rFonts w:hint="eastAsia" w:ascii="仿宋" w:hAnsi="仿宋" w:eastAsia="仿宋" w:cs="仿宋"/>
                <w:b/>
                <w:bCs/>
                <w:color w:val="auto"/>
                <w:sz w:val="22"/>
                <w:szCs w:val="21"/>
                <w:lang w:val="en-US" w:eastAsia="zh-CN"/>
              </w:rPr>
              <w:t>在银行的划转需要一定时间，望投标单位尽早缴纳！</w:t>
            </w:r>
          </w:p>
          <w:p w14:paraId="0278E867">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账户名：新疆浩瑞兴建设工程项目管理咨询有限公司乌鲁木齐分公司</w:t>
            </w:r>
          </w:p>
          <w:p w14:paraId="1DDC42E1">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lang w:eastAsia="zh-CN"/>
              </w:rPr>
              <w:t>乌鲁木齐银行股份有限公司东方支行</w:t>
            </w:r>
          </w:p>
          <w:p w14:paraId="3AF368A9">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lang w:eastAsia="zh-CN"/>
              </w:rPr>
              <w:t>0000020080110079596717</w:t>
            </w:r>
          </w:p>
          <w:p w14:paraId="52B097D2">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行  号：</w:t>
            </w:r>
            <w:r>
              <w:rPr>
                <w:rFonts w:hint="eastAsia" w:ascii="仿宋" w:hAnsi="仿宋" w:eastAsia="仿宋" w:cs="仿宋"/>
                <w:color w:val="auto"/>
                <w:sz w:val="24"/>
                <w:szCs w:val="24"/>
                <w:highlight w:val="none"/>
                <w:lang w:eastAsia="zh-CN"/>
              </w:rPr>
              <w:t>313881000512</w:t>
            </w:r>
          </w:p>
          <w:p w14:paraId="3CC6BEBC">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备注：请投标人在汇款时务必注明所投标项目的招标编号及用途，否则，因款项用途不明导致投标无效等后果由投标人自行承担。</w:t>
            </w:r>
          </w:p>
        </w:tc>
      </w:tr>
      <w:tr w14:paraId="0B4978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540" w:type="dxa"/>
            <w:noWrap w:val="0"/>
            <w:vAlign w:val="center"/>
          </w:tcPr>
          <w:p w14:paraId="463B0188">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524" w:type="dxa"/>
            <w:noWrap w:val="0"/>
            <w:vAlign w:val="center"/>
          </w:tcPr>
          <w:p w14:paraId="5E81D814">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投标文件形式</w:t>
            </w:r>
          </w:p>
        </w:tc>
        <w:tc>
          <w:tcPr>
            <w:tcW w:w="7607" w:type="dxa"/>
            <w:noWrap w:val="0"/>
            <w:vAlign w:val="center"/>
          </w:tcPr>
          <w:p w14:paraId="44FB601A">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14:paraId="33ED314C">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14:paraId="4DF2406C">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653A1D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0" w:type="dxa"/>
            <w:noWrap w:val="0"/>
            <w:vAlign w:val="center"/>
          </w:tcPr>
          <w:p w14:paraId="536F0E7F">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524" w:type="dxa"/>
            <w:noWrap w:val="0"/>
            <w:vAlign w:val="center"/>
          </w:tcPr>
          <w:p w14:paraId="5DD92A8A">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投标文件份数及要求</w:t>
            </w:r>
          </w:p>
        </w:tc>
        <w:tc>
          <w:tcPr>
            <w:tcW w:w="7607" w:type="dxa"/>
            <w:noWrap w:val="0"/>
            <w:vAlign w:val="center"/>
          </w:tcPr>
          <w:p w14:paraId="4FB24E58">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1、一份电子加密标书（“.jmbs”格式），一份备份标书文件（“.bfbs”格式）。</w:t>
            </w:r>
          </w:p>
          <w:p w14:paraId="7EF1541F">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2、每份电子投标文件应包括资格证明文件和商务及技术文件两部分。</w:t>
            </w:r>
          </w:p>
        </w:tc>
      </w:tr>
      <w:tr w14:paraId="1FC01E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jc w:val="center"/>
        </w:trPr>
        <w:tc>
          <w:tcPr>
            <w:tcW w:w="540" w:type="dxa"/>
            <w:noWrap w:val="0"/>
            <w:vAlign w:val="center"/>
          </w:tcPr>
          <w:p w14:paraId="73257F38">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524" w:type="dxa"/>
            <w:noWrap w:val="0"/>
            <w:vAlign w:val="center"/>
          </w:tcPr>
          <w:p w14:paraId="77610CCD">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bidi="zh-CN"/>
              </w:rPr>
              <w:t>投标文件的上传</w:t>
            </w:r>
          </w:p>
        </w:tc>
        <w:tc>
          <w:tcPr>
            <w:tcW w:w="7607" w:type="dxa"/>
            <w:noWrap w:val="0"/>
            <w:vAlign w:val="center"/>
          </w:tcPr>
          <w:p w14:paraId="4B0E0BE1">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lang w:val="en-US" w:eastAsia="zh-CN"/>
              </w:rPr>
              <w:t>电子加密投标文件：投标文件制作完成并生成加密标书，在投标截止时间前，供应商需将加密的投标文件上传至政采云平台，</w:t>
            </w:r>
            <w:r>
              <w:rPr>
                <w:rFonts w:hint="eastAsia" w:ascii="仿宋" w:hAnsi="仿宋" w:eastAsia="仿宋" w:cs="仿宋"/>
                <w:b/>
                <w:bCs/>
                <w:color w:val="auto"/>
                <w:sz w:val="24"/>
                <w:szCs w:val="24"/>
                <w:highlight w:val="none"/>
                <w:u w:val="single" w:color="auto"/>
                <w:lang w:val="en-US" w:eastAsia="zh-CN"/>
              </w:rPr>
              <w:t>在开标时间开始后，待采购组织机构发出解密通知后30分钟内解密投标文件。</w:t>
            </w:r>
          </w:p>
          <w:p w14:paraId="683C7311">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a.供应商未能在投标截止时间前成功上传电子加密投标文件的投标无效。</w:t>
            </w:r>
          </w:p>
          <w:p w14:paraId="3E67A29F">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b.供应商成功上传电子加密投标文件后，可自行打印投标文件接收回执。</w:t>
            </w:r>
          </w:p>
        </w:tc>
      </w:tr>
      <w:tr w14:paraId="6C0ABD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540" w:type="dxa"/>
            <w:noWrap w:val="0"/>
            <w:vAlign w:val="center"/>
          </w:tcPr>
          <w:p w14:paraId="3218829D">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524" w:type="dxa"/>
            <w:noWrap w:val="0"/>
            <w:vAlign w:val="center"/>
          </w:tcPr>
          <w:p w14:paraId="18B5DBD2">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投标截止</w:t>
            </w:r>
            <w:r>
              <w:rPr>
                <w:rFonts w:hint="eastAsia" w:ascii="仿宋" w:hAnsi="仿宋" w:eastAsia="仿宋" w:cs="仿宋"/>
                <w:color w:val="auto"/>
                <w:sz w:val="24"/>
                <w:szCs w:val="24"/>
                <w:highlight w:val="none"/>
              </w:rPr>
              <w:t>时间及地点</w:t>
            </w:r>
          </w:p>
        </w:tc>
        <w:tc>
          <w:tcPr>
            <w:tcW w:w="7607" w:type="dxa"/>
            <w:noWrap w:val="0"/>
            <w:vAlign w:val="center"/>
          </w:tcPr>
          <w:p w14:paraId="4F3C91F3">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投标截止</w:t>
            </w:r>
            <w:r>
              <w:rPr>
                <w:rFonts w:hint="eastAsia" w:ascii="仿宋" w:hAnsi="仿宋" w:eastAsia="仿宋" w:cs="仿宋"/>
                <w:b/>
                <w:bCs/>
                <w:color w:val="auto"/>
                <w:sz w:val="24"/>
                <w:szCs w:val="24"/>
                <w:highlight w:val="none"/>
              </w:rPr>
              <w:t>时间：</w:t>
            </w:r>
            <w:r>
              <w:rPr>
                <w:rFonts w:hint="eastAsia" w:ascii="仿宋" w:hAnsi="仿宋" w:eastAsia="仿宋" w:cs="仿宋"/>
                <w:color w:val="auto"/>
                <w:sz w:val="24"/>
                <w:szCs w:val="24"/>
                <w:highlight w:val="none"/>
                <w:lang w:val="en-US" w:eastAsia="zh-CN"/>
              </w:rPr>
              <w:t>2026年06月02日11:00（北京时间）</w:t>
            </w:r>
          </w:p>
          <w:p w14:paraId="058D54C9">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地点：</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w:t>
            </w:r>
          </w:p>
        </w:tc>
      </w:tr>
      <w:tr w14:paraId="5799A0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540" w:type="dxa"/>
            <w:noWrap w:val="0"/>
            <w:vAlign w:val="center"/>
          </w:tcPr>
          <w:p w14:paraId="2BF63612">
            <w:pPr>
              <w:pStyle w:val="8"/>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524" w:type="dxa"/>
            <w:noWrap w:val="0"/>
            <w:vAlign w:val="center"/>
          </w:tcPr>
          <w:p w14:paraId="653DEC59">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7607" w:type="dxa"/>
            <w:noWrap w:val="0"/>
            <w:vAlign w:val="center"/>
          </w:tcPr>
          <w:p w14:paraId="3265E606">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开标时间：同投标截止时间</w:t>
            </w:r>
          </w:p>
          <w:p w14:paraId="68586831">
            <w:pPr>
              <w:keepNext w:val="0"/>
              <w:keepLines w:val="0"/>
              <w:pageBreakBefore w:val="0"/>
              <w:shd w:val="clear" w:color="auto" w:fill="auto"/>
              <w:kinsoku/>
              <w:wordWrap/>
              <w:overflowPunct/>
              <w:topLinePunct w:val="0"/>
              <w:autoSpaceDE/>
              <w:autoSpaceDN/>
              <w:bidi w:val="0"/>
              <w:adjustRightInd/>
              <w:snapToGrid w:val="0"/>
              <w:spacing w:line="29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开标地点：在</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政府采购云平台（www.zcygov.cn）上开启投标文件</w:t>
            </w:r>
          </w:p>
        </w:tc>
      </w:tr>
      <w:tr w14:paraId="177685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540" w:type="dxa"/>
            <w:noWrap w:val="0"/>
            <w:vAlign w:val="center"/>
          </w:tcPr>
          <w:p w14:paraId="75299155">
            <w:pPr>
              <w:pStyle w:val="8"/>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524" w:type="dxa"/>
            <w:noWrap w:val="0"/>
            <w:vAlign w:val="center"/>
          </w:tcPr>
          <w:p w14:paraId="3A1BC898">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7607" w:type="dxa"/>
            <w:noWrap w:val="0"/>
            <w:vAlign w:val="center"/>
          </w:tcPr>
          <w:p w14:paraId="6AFDFC47">
            <w:pPr>
              <w:pStyle w:val="8"/>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评标专家确定方式：专家评委由招标人在开标前从政采云专家库中随机抽取。</w:t>
            </w:r>
          </w:p>
          <w:p w14:paraId="57C77F27">
            <w:pPr>
              <w:pStyle w:val="13"/>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highlight w:val="none"/>
                <w:lang w:val="en-US" w:eastAsia="zh-CN" w:bidi="ar-SA"/>
              </w:rPr>
              <w:t>评标委员会构成：5人</w:t>
            </w:r>
          </w:p>
        </w:tc>
      </w:tr>
      <w:tr w14:paraId="7BAF54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540" w:type="dxa"/>
            <w:noWrap w:val="0"/>
            <w:vAlign w:val="center"/>
          </w:tcPr>
          <w:p w14:paraId="79EFDE1A">
            <w:pPr>
              <w:pStyle w:val="8"/>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524" w:type="dxa"/>
            <w:noWrap w:val="0"/>
            <w:vAlign w:val="center"/>
          </w:tcPr>
          <w:p w14:paraId="55F37D8A">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是否授权评标委员会确定中标候选人</w:t>
            </w:r>
          </w:p>
        </w:tc>
        <w:tc>
          <w:tcPr>
            <w:tcW w:w="7607" w:type="dxa"/>
            <w:noWrap w:val="0"/>
            <w:vAlign w:val="center"/>
          </w:tcPr>
          <w:p w14:paraId="7F176873">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是，评标委员会推荐1名中标候选人。</w:t>
            </w:r>
          </w:p>
        </w:tc>
      </w:tr>
      <w:tr w14:paraId="635FB4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540" w:type="dxa"/>
            <w:noWrap w:val="0"/>
            <w:vAlign w:val="center"/>
          </w:tcPr>
          <w:p w14:paraId="1134E9C6">
            <w:pPr>
              <w:keepNext w:val="0"/>
              <w:keepLines w:val="0"/>
              <w:pageBreakBefore w:val="0"/>
              <w:shd w:val="clear" w:color="auto" w:fill="auto"/>
              <w:kinsoku/>
              <w:wordWrap/>
              <w:overflowPunct/>
              <w:topLinePunct w:val="0"/>
              <w:autoSpaceDE/>
              <w:autoSpaceDN/>
              <w:bidi w:val="0"/>
              <w:adjustRightInd/>
              <w:snapToGrid w:val="0"/>
              <w:spacing w:line="290" w:lineRule="exact"/>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524" w:type="dxa"/>
            <w:noWrap w:val="0"/>
            <w:vAlign w:val="center"/>
          </w:tcPr>
          <w:p w14:paraId="0F600C15">
            <w:pPr>
              <w:pStyle w:val="8"/>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中标人公示媒介</w:t>
            </w:r>
          </w:p>
        </w:tc>
        <w:tc>
          <w:tcPr>
            <w:tcW w:w="7607" w:type="dxa"/>
            <w:noWrap w:val="0"/>
            <w:vAlign w:val="center"/>
          </w:tcPr>
          <w:p w14:paraId="3FB35B79">
            <w:pPr>
              <w:pStyle w:val="8"/>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新疆政府采购网，公示期为一个工作日。</w:t>
            </w:r>
          </w:p>
        </w:tc>
      </w:tr>
      <w:tr w14:paraId="0E4686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0" w:type="dxa"/>
            <w:noWrap w:val="0"/>
            <w:vAlign w:val="center"/>
          </w:tcPr>
          <w:p w14:paraId="3AF73A81">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524" w:type="dxa"/>
            <w:noWrap w:val="0"/>
            <w:vAlign w:val="center"/>
          </w:tcPr>
          <w:p w14:paraId="577D1933">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领取</w:t>
            </w:r>
          </w:p>
        </w:tc>
        <w:tc>
          <w:tcPr>
            <w:tcW w:w="7607" w:type="dxa"/>
            <w:noWrap w:val="0"/>
            <w:vAlign w:val="top"/>
          </w:tcPr>
          <w:p w14:paraId="51B86289">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2026年05月09日至2026年05月15日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每天上午</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0:00至1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:00至23：59（北京时间）</w:t>
            </w:r>
          </w:p>
          <w:p w14:paraId="4996F259">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地点：供应商登陆政采云平台http://www.zcygov.cn/，在线申请获取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（登录政府采购云平台 → 项目采购 → 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→申请，审核通过后可下载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，如有操作性问题，可与政采云在线客服进行咨询，咨询电话：95763）。</w:t>
            </w:r>
          </w:p>
          <w:p w14:paraId="1636DAD2">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方式：（1）线上获取（登录政府采购云平台 → 项目采购 → 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 申请，审核通过后可下载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）。本次招标不提供纸质版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p>
          <w:p w14:paraId="33F36FCA">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（2）供应商获取</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前应注册成为政府采购云平台正式供应商。</w:t>
            </w:r>
          </w:p>
        </w:tc>
      </w:tr>
      <w:tr w14:paraId="765E4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0" w:type="dxa"/>
            <w:vMerge w:val="restart"/>
            <w:noWrap w:val="0"/>
            <w:vAlign w:val="center"/>
          </w:tcPr>
          <w:p w14:paraId="42A7354F">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524" w:type="dxa"/>
            <w:vMerge w:val="restart"/>
            <w:noWrap w:val="0"/>
            <w:vAlign w:val="center"/>
          </w:tcPr>
          <w:p w14:paraId="5E370A9C">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重要说明</w:t>
            </w:r>
          </w:p>
        </w:tc>
        <w:tc>
          <w:tcPr>
            <w:tcW w:w="7607" w:type="dxa"/>
            <w:noWrap w:val="0"/>
            <w:vAlign w:val="top"/>
          </w:tcPr>
          <w:p w14:paraId="6B328A66">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14:paraId="5DCF4E81">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2.本项目实行网上投标，采用加密电子投标文件(供应商须使用CA加密设备通过政采云电子投标客户端制作投标文件)。若供应商参与投标，自行承担投标一切费用。</w:t>
            </w:r>
          </w:p>
          <w:p w14:paraId="1FE5810E">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039B1C8C">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7F1966F4">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5.供应商在开标时须使用制作加密电子投标文件所使用的CA锁及电脑，电脑须提前配置好浏览器（建议使用谷歌浏览器），以便开标时解锁。</w:t>
            </w:r>
          </w:p>
          <w:p w14:paraId="1B5D77C5">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二十一群”群的钉钉群号：44303812（如已加入1-20群，无需重复加入，二十一个群联动直播），钉钉工具软件具有回放功能，直播培训结束后可在钉钉群中回放观看学习。</w:t>
            </w:r>
          </w:p>
          <w:p w14:paraId="22AC8AE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7.为了保证开评标顺利进行，政采云线上开标功能完全实现，供应商开标所使用的电脑设备须具有视频及语音功能。</w:t>
            </w:r>
          </w:p>
        </w:tc>
      </w:tr>
      <w:tr w14:paraId="3F81FA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40" w:type="dxa"/>
            <w:vMerge w:val="continue"/>
            <w:noWrap w:val="0"/>
            <w:vAlign w:val="center"/>
          </w:tcPr>
          <w:p w14:paraId="0B18BCB0">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color w:val="auto"/>
                <w:sz w:val="24"/>
                <w:szCs w:val="24"/>
                <w:highlight w:val="none"/>
                <w:lang w:eastAsia="zh-CN"/>
              </w:rPr>
            </w:pPr>
          </w:p>
        </w:tc>
        <w:tc>
          <w:tcPr>
            <w:tcW w:w="1524" w:type="dxa"/>
            <w:vMerge w:val="continue"/>
            <w:noWrap w:val="0"/>
            <w:vAlign w:val="center"/>
          </w:tcPr>
          <w:p w14:paraId="67ED7F07">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color w:val="auto"/>
                <w:sz w:val="24"/>
                <w:szCs w:val="24"/>
                <w:highlight w:val="none"/>
                <w:lang w:eastAsia="zh-CN"/>
              </w:rPr>
            </w:pPr>
          </w:p>
        </w:tc>
        <w:tc>
          <w:tcPr>
            <w:tcW w:w="7607" w:type="dxa"/>
            <w:noWrap w:val="0"/>
            <w:vAlign w:val="top"/>
          </w:tcPr>
          <w:p w14:paraId="7247B9C2">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1、电子招投标情况说明：</w:t>
            </w:r>
          </w:p>
          <w:p w14:paraId="6E57745A">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color w:val="auto"/>
                <w:sz w:val="24"/>
                <w:szCs w:val="24"/>
                <w:highlight w:val="none"/>
              </w:rPr>
              <w:t>电子招投标</w:t>
            </w:r>
            <w:r>
              <w:rPr>
                <w:rFonts w:hint="eastAsia" w:ascii="仿宋" w:hAnsi="仿宋" w:eastAsia="仿宋" w:cs="仿宋"/>
                <w:color w:val="auto"/>
                <w:sz w:val="24"/>
                <w:szCs w:val="24"/>
                <w:highlight w:val="none"/>
              </w:rPr>
              <w:t>：本项目以数据电文形式，依托“政府采购云平台（www.zcygov.cn）”进行招投标活动</w:t>
            </w:r>
            <w:r>
              <w:rPr>
                <w:rFonts w:hint="eastAsia" w:ascii="仿宋" w:hAnsi="仿宋" w:eastAsia="仿宋" w:cs="仿宋"/>
                <w:b/>
                <w:bCs/>
                <w:color w:val="auto"/>
                <w:sz w:val="24"/>
                <w:szCs w:val="24"/>
                <w:highlight w:val="none"/>
              </w:rPr>
              <w:t>。</w:t>
            </w:r>
          </w:p>
          <w:p w14:paraId="405698E5">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color w:val="auto"/>
                <w:sz w:val="24"/>
                <w:szCs w:val="24"/>
                <w:highlight w:val="none"/>
              </w:rPr>
              <w:t>投标准备</w:t>
            </w:r>
            <w:r>
              <w:rPr>
                <w:rFonts w:hint="eastAsia" w:ascii="仿宋" w:hAnsi="仿宋" w:eastAsia="仿宋" w:cs="仿宋"/>
                <w:color w:val="auto"/>
                <w:sz w:val="24"/>
                <w:szCs w:val="24"/>
                <w:highlight w:val="none"/>
              </w:rPr>
              <w:t>：注册账号--点击“商家入驻”，进行政府采购供应商资料填写；申领CA数字证书---申领流程详见“</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政府采购网-下载专区-电子交易客户端-CA驱动和申领流程”；安装“政采云电子交易客户端”----前往“</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政府采购网-下载专区-电子交易客户端”进行下载并安装。</w:t>
            </w:r>
          </w:p>
          <w:p w14:paraId="34AEF986">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color w:val="auto"/>
                <w:sz w:val="24"/>
                <w:szCs w:val="24"/>
                <w:highlight w:val="none"/>
              </w:rPr>
              <w:t>采购文件的获取</w:t>
            </w:r>
            <w:r>
              <w:rPr>
                <w:rFonts w:hint="eastAsia" w:ascii="仿宋" w:hAnsi="仿宋" w:eastAsia="仿宋" w:cs="仿宋"/>
                <w:color w:val="auto"/>
                <w:sz w:val="24"/>
                <w:szCs w:val="24"/>
                <w:highlight w:val="none"/>
              </w:rPr>
              <w:t>：使用账号登录或者</w:t>
            </w:r>
            <w:r>
              <w:rPr>
                <w:rFonts w:hint="eastAsia" w:ascii="仿宋" w:hAnsi="仿宋" w:eastAsia="仿宋" w:cs="仿宋"/>
                <w:color w:val="auto"/>
                <w:sz w:val="24"/>
                <w:szCs w:val="24"/>
                <w:highlight w:val="none"/>
                <w:lang w:bidi="zh-CN"/>
              </w:rPr>
              <w:t>短信验证码</w:t>
            </w:r>
            <w:r>
              <w:rPr>
                <w:rFonts w:hint="eastAsia" w:ascii="仿宋" w:hAnsi="仿宋" w:eastAsia="仿宋" w:cs="仿宋"/>
                <w:color w:val="auto"/>
                <w:sz w:val="24"/>
                <w:szCs w:val="24"/>
                <w:highlight w:val="none"/>
              </w:rPr>
              <w:t>或者使用CA登录政采云平台；进入“项目采购”应用，在获取采购文件菜单中选择项目，获取采购文件。</w:t>
            </w:r>
          </w:p>
          <w:p w14:paraId="13FED8AE">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b/>
                <w:color w:val="auto"/>
                <w:sz w:val="24"/>
                <w:szCs w:val="24"/>
                <w:highlight w:val="none"/>
              </w:rPr>
              <w:t>投标文件的制作</w:t>
            </w:r>
            <w:r>
              <w:rPr>
                <w:rFonts w:hint="eastAsia" w:ascii="仿宋" w:hAnsi="仿宋" w:eastAsia="仿宋" w:cs="仿宋"/>
                <w:color w:val="auto"/>
                <w:sz w:val="24"/>
                <w:szCs w:val="24"/>
                <w:highlight w:val="none"/>
              </w:rPr>
              <w:t>：在“政采云电子交易客户端”中完成“填写基本信息”、“导入投标文件”、“标书关联”、“标书检查”、“电子签名”、“生成电子标书”等操作。</w:t>
            </w:r>
          </w:p>
          <w:p w14:paraId="7F025766">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投标文件的传输递交</w:t>
            </w:r>
            <w:r>
              <w:rPr>
                <w:rFonts w:hint="eastAsia" w:ascii="仿宋" w:hAnsi="仿宋" w:eastAsia="仿宋" w:cs="仿宋"/>
                <w:color w:val="auto"/>
                <w:sz w:val="24"/>
                <w:szCs w:val="24"/>
                <w:highlight w:val="none"/>
              </w:rPr>
              <w:t>：供应商在投标截止时间前将加密的投标文件上传至政府采购云平台。</w:t>
            </w:r>
          </w:p>
          <w:p w14:paraId="473492CC">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6041A485">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：详见政采云平台“服务中心-帮助文档-项目采购-操作流程-电子招投标-政府采购项目电子交易管理操作指南-供应商”。</w:t>
            </w:r>
          </w:p>
          <w:p w14:paraId="0503271D">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（8）供应商在进行上述操作时，如遇技术问题可登录政采云（https://</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"http://www.zcygov.cn/" \h</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 xml:space="preserve">），点击右侧咨询小采，获取采小蜜智能服务管家帮助，或拨打政采云服务热线 </w:t>
            </w:r>
            <w:r>
              <w:rPr>
                <w:rFonts w:hint="eastAsia" w:ascii="仿宋" w:hAnsi="仿宋" w:eastAsia="仿宋" w:cs="仿宋"/>
                <w:color w:val="auto"/>
                <w:sz w:val="24"/>
                <w:szCs w:val="24"/>
                <w:highlight w:val="none"/>
                <w:lang w:eastAsia="zh-CN"/>
              </w:rPr>
              <w:t>95763</w:t>
            </w:r>
            <w:r>
              <w:rPr>
                <w:rFonts w:hint="eastAsia" w:ascii="仿宋" w:hAnsi="仿宋" w:eastAsia="仿宋" w:cs="仿宋"/>
                <w:color w:val="auto"/>
                <w:sz w:val="24"/>
                <w:szCs w:val="24"/>
                <w:highlight w:val="none"/>
              </w:rPr>
              <w:t xml:space="preserve"> 获取热线服务帮助。</w:t>
            </w:r>
          </w:p>
          <w:p w14:paraId="61E99C9C">
            <w:pPr>
              <w:pStyle w:val="5"/>
              <w:keepNext w:val="0"/>
              <w:keepLines w:val="0"/>
              <w:pageBreakBefore w:val="0"/>
              <w:widowControl w:val="0"/>
              <w:shd w:val="clear" w:color="auto" w:fill="auto"/>
              <w:kinsoku/>
              <w:wordWrap/>
              <w:overflowPunct/>
              <w:topLinePunct w:val="0"/>
              <w:autoSpaceDE/>
              <w:autoSpaceDN/>
              <w:bidi w:val="0"/>
              <w:adjustRightInd/>
              <w:snapToGrid w:val="0"/>
              <w:spacing w:line="290" w:lineRule="exact"/>
              <w:ind w:left="0" w:leftChars="0"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温馨提醒：供应商应提前上传，以便在上传时遇到技术问题，有充足的时间请教平台的技术人员。</w:t>
            </w:r>
          </w:p>
          <w:p w14:paraId="3CF21DD6">
            <w:pPr>
              <w:keepNext w:val="0"/>
              <w:keepLines w:val="0"/>
              <w:pageBreakBefore w:val="0"/>
              <w:widowControl w:val="0"/>
              <w:shd w:val="clear" w:color="auto" w:fill="auto"/>
              <w:kinsoku/>
              <w:wordWrap/>
              <w:overflowPunct/>
              <w:topLinePunct w:val="0"/>
              <w:autoSpaceDE/>
              <w:autoSpaceDN/>
              <w:bidi w:val="0"/>
              <w:adjustRightInd/>
              <w:snapToGrid w:val="0"/>
              <w:spacing w:line="29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eastAsia="zh-CN"/>
              </w:rPr>
              <w:t>中国</w:t>
            </w:r>
            <w:r>
              <w:rPr>
                <w:rFonts w:hint="eastAsia" w:ascii="仿宋" w:hAnsi="仿宋" w:eastAsia="仿宋" w:cs="仿宋"/>
                <w:color w:val="auto"/>
                <w:sz w:val="24"/>
                <w:szCs w:val="24"/>
                <w:highlight w:val="none"/>
              </w:rPr>
              <w:t>政府采购网下载专区下载。</w:t>
            </w:r>
            <w:r>
              <w:rPr>
                <w:rFonts w:hint="eastAsia" w:ascii="仿宋" w:hAnsi="仿宋" w:eastAsia="仿宋" w:cs="仿宋"/>
                <w:bCs/>
                <w:color w:val="auto"/>
                <w:sz w:val="24"/>
                <w:szCs w:val="24"/>
                <w:highlight w:val="none"/>
              </w:rPr>
              <w:t>未按规定获取采购文件或逾期提出的不予受理、答复。</w:t>
            </w:r>
          </w:p>
        </w:tc>
      </w:tr>
      <w:tr w14:paraId="1CC116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540" w:type="dxa"/>
            <w:vMerge w:val="restart"/>
            <w:noWrap w:val="0"/>
            <w:vAlign w:val="center"/>
          </w:tcPr>
          <w:p w14:paraId="762446A6">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524" w:type="dxa"/>
            <w:vMerge w:val="restart"/>
            <w:noWrap w:val="0"/>
            <w:vAlign w:val="center"/>
          </w:tcPr>
          <w:p w14:paraId="7FE14B66">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中小微企业政策文件</w:t>
            </w:r>
          </w:p>
        </w:tc>
        <w:tc>
          <w:tcPr>
            <w:tcW w:w="7607" w:type="dxa"/>
            <w:noWrap w:val="0"/>
            <w:vAlign w:val="top"/>
          </w:tcPr>
          <w:p w14:paraId="1A5015D6">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color w:val="auto"/>
                <w:sz w:val="24"/>
                <w:szCs w:val="24"/>
                <w:highlight w:val="none"/>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格式提供《中小企业声明函》。</w:t>
            </w:r>
          </w:p>
        </w:tc>
      </w:tr>
      <w:tr w14:paraId="314F15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540" w:type="dxa"/>
            <w:vMerge w:val="continue"/>
            <w:noWrap w:val="0"/>
            <w:vAlign w:val="center"/>
          </w:tcPr>
          <w:p w14:paraId="781DF56D">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p>
        </w:tc>
        <w:tc>
          <w:tcPr>
            <w:tcW w:w="1524" w:type="dxa"/>
            <w:vMerge w:val="continue"/>
            <w:noWrap w:val="0"/>
            <w:vAlign w:val="center"/>
          </w:tcPr>
          <w:p w14:paraId="3983AF08">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p>
        </w:tc>
        <w:tc>
          <w:tcPr>
            <w:tcW w:w="7607" w:type="dxa"/>
            <w:noWrap w:val="0"/>
            <w:vAlign w:val="top"/>
          </w:tcPr>
          <w:p w14:paraId="78BCF877">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339E25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jc w:val="center"/>
        </w:trPr>
        <w:tc>
          <w:tcPr>
            <w:tcW w:w="540" w:type="dxa"/>
            <w:vMerge w:val="continue"/>
            <w:noWrap w:val="0"/>
            <w:vAlign w:val="center"/>
          </w:tcPr>
          <w:p w14:paraId="269405F4">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sz w:val="24"/>
                <w:szCs w:val="24"/>
                <w:highlight w:val="none"/>
              </w:rPr>
            </w:pPr>
          </w:p>
        </w:tc>
        <w:tc>
          <w:tcPr>
            <w:tcW w:w="1524" w:type="dxa"/>
            <w:vMerge w:val="continue"/>
            <w:noWrap w:val="0"/>
            <w:vAlign w:val="center"/>
          </w:tcPr>
          <w:p w14:paraId="41198F4C">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sz w:val="24"/>
                <w:szCs w:val="24"/>
                <w:highlight w:val="none"/>
              </w:rPr>
            </w:pPr>
          </w:p>
        </w:tc>
        <w:tc>
          <w:tcPr>
            <w:tcW w:w="7607" w:type="dxa"/>
            <w:noWrap w:val="0"/>
            <w:vAlign w:val="top"/>
          </w:tcPr>
          <w:p w14:paraId="31888AF6">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格式提供残疾人福利性单位声明函。</w:t>
            </w:r>
          </w:p>
        </w:tc>
      </w:tr>
      <w:tr w14:paraId="62CB9B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540" w:type="dxa"/>
            <w:vMerge w:val="restart"/>
            <w:noWrap w:val="0"/>
            <w:vAlign w:val="center"/>
          </w:tcPr>
          <w:p w14:paraId="2138A7DC">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524" w:type="dxa"/>
            <w:vMerge w:val="restart"/>
            <w:noWrap w:val="0"/>
            <w:vAlign w:val="center"/>
          </w:tcPr>
          <w:p w14:paraId="64E74763">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中小微企业政策文件说明</w:t>
            </w:r>
          </w:p>
        </w:tc>
        <w:tc>
          <w:tcPr>
            <w:tcW w:w="7607" w:type="dxa"/>
            <w:noWrap w:val="0"/>
            <w:vAlign w:val="top"/>
          </w:tcPr>
          <w:p w14:paraId="6A1BEF1A">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1、采购限额标准以上，200万元以下的货物和服务采购项目、400万元以下的工程采购项目，适宜由中小企业提供的，采购人应当专门面向中小企业采购。</w:t>
            </w:r>
          </w:p>
          <w:p w14:paraId="40FF6148">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2、超过200万元的货物和服务采购项目、超过400万元的工程采购项目中适宜由中小企业提供的，预留该部分采购项目预算总额的</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0%以上专门面向中小企业采购，其中预留给小微企业的比例不低于60%。</w:t>
            </w:r>
          </w:p>
          <w:p w14:paraId="11CF9B81">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对于未预留份额专门面向中小企业的采购项目，以及预留份额项目中的非预留部分采购包，采购人、采购代理机构应当对符合规定的小微企业报价给予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5D749ED">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2CDF42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540" w:type="dxa"/>
            <w:vMerge w:val="continue"/>
            <w:noWrap w:val="0"/>
            <w:vAlign w:val="center"/>
          </w:tcPr>
          <w:p w14:paraId="55F02982">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tc>
        <w:tc>
          <w:tcPr>
            <w:tcW w:w="1524" w:type="dxa"/>
            <w:vMerge w:val="continue"/>
            <w:noWrap w:val="0"/>
            <w:vAlign w:val="center"/>
          </w:tcPr>
          <w:p w14:paraId="6B5B0BE0">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p>
        </w:tc>
        <w:tc>
          <w:tcPr>
            <w:tcW w:w="7607" w:type="dxa"/>
            <w:noWrap w:val="0"/>
            <w:vAlign w:val="center"/>
          </w:tcPr>
          <w:p w14:paraId="0D72E579">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本项目为不专门面向中小企业（含中型、小型、微型企业）采购项目。对符合规定的小微企业报价给予10%的扣除，用扣除后的价格参加评审。</w:t>
            </w:r>
          </w:p>
        </w:tc>
      </w:tr>
      <w:tr w14:paraId="1B370E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0" w:hRule="atLeast"/>
          <w:jc w:val="center"/>
        </w:trPr>
        <w:tc>
          <w:tcPr>
            <w:tcW w:w="540" w:type="dxa"/>
            <w:noWrap w:val="0"/>
            <w:vAlign w:val="center"/>
          </w:tcPr>
          <w:p w14:paraId="45847C8E">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524" w:type="dxa"/>
            <w:noWrap w:val="0"/>
            <w:vAlign w:val="center"/>
          </w:tcPr>
          <w:p w14:paraId="76AC015E">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项目采购标的对应的中小企业划分标准所属行业</w:t>
            </w:r>
          </w:p>
        </w:tc>
        <w:tc>
          <w:tcPr>
            <w:tcW w:w="7607" w:type="dxa"/>
            <w:noWrap w:val="0"/>
            <w:vAlign w:val="center"/>
          </w:tcPr>
          <w:p w14:paraId="3E2A636B">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工业</w:t>
            </w:r>
          </w:p>
        </w:tc>
      </w:tr>
      <w:tr w14:paraId="281BB2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540" w:type="dxa"/>
            <w:tcBorders>
              <w:right w:val="single" w:color="auto" w:sz="4" w:space="0"/>
            </w:tcBorders>
            <w:noWrap w:val="0"/>
            <w:vAlign w:val="center"/>
          </w:tcPr>
          <w:p w14:paraId="5E9D05E1">
            <w:pPr>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9131" w:type="dxa"/>
            <w:gridSpan w:val="2"/>
            <w:tcBorders>
              <w:left w:val="single" w:color="auto" w:sz="4" w:space="0"/>
            </w:tcBorders>
            <w:noWrap w:val="0"/>
            <w:vAlign w:val="center"/>
          </w:tcPr>
          <w:p w14:paraId="6CB98755">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4E31BEB7">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1、除法律、法规和规章规定外，</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中用“拒绝”、“不接受”、“无效”、“不得”等文字规定，对其中任何一条的偏离，在评审时将其视为无效文件。未用上述文字规定或符号标注的条款为非实质性要求条款(即一般条款)。</w:t>
            </w:r>
          </w:p>
          <w:p w14:paraId="6D123016">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招标投标文件</w:t>
            </w:r>
            <w:r>
              <w:rPr>
                <w:rFonts w:hint="eastAsia" w:ascii="仿宋" w:hAnsi="仿宋" w:eastAsia="仿宋" w:cs="仿宋"/>
                <w:color w:val="auto"/>
                <w:kern w:val="0"/>
                <w:sz w:val="24"/>
                <w:szCs w:val="24"/>
                <w:highlight w:val="none"/>
              </w:rPr>
              <w:t>中的报价为一次报价</w:t>
            </w:r>
            <w:r>
              <w:rPr>
                <w:rFonts w:hint="eastAsia" w:ascii="仿宋" w:hAnsi="仿宋" w:eastAsia="仿宋" w:cs="仿宋"/>
                <w:color w:val="auto"/>
                <w:kern w:val="0"/>
                <w:sz w:val="24"/>
                <w:szCs w:val="24"/>
                <w:highlight w:val="none"/>
                <w:lang w:eastAsia="zh-CN"/>
              </w:rPr>
              <w:t>。</w:t>
            </w:r>
          </w:p>
          <w:p w14:paraId="7FD50EBF">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3、本项目技术参数均为公共参数，无指向性，投标供应商认为该产品指向某一品牌、某一型号，那么该参数均为参考参数，可以根据技术要求及商务要求自行去选择产品品牌和型号。所有产品尺寸允许偏离</w:t>
            </w:r>
            <w:r>
              <w:rPr>
                <w:rFonts w:hint="eastAsia" w:ascii="微软雅黑" w:hAnsi="微软雅黑" w:eastAsia="微软雅黑" w:cs="微软雅黑"/>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5-10%。</w:t>
            </w:r>
          </w:p>
          <w:p w14:paraId="52EBC89B">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4、招标文件相关技术条款引用标准如有版本更新，以最新版本为准。</w:t>
            </w:r>
          </w:p>
        </w:tc>
      </w:tr>
      <w:tr w14:paraId="1BFF71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6" w:hRule="atLeast"/>
          <w:jc w:val="center"/>
        </w:trPr>
        <w:tc>
          <w:tcPr>
            <w:tcW w:w="9671" w:type="dxa"/>
            <w:gridSpan w:val="3"/>
            <w:noWrap w:val="0"/>
            <w:vAlign w:val="center"/>
          </w:tcPr>
          <w:p w14:paraId="6E633F6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备注</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投标人使用相同IP地址的，一经发现，</w:t>
            </w:r>
            <w:r>
              <w:rPr>
                <w:rFonts w:hint="eastAsia" w:ascii="仿宋" w:hAnsi="仿宋" w:eastAsia="仿宋" w:cs="仿宋"/>
                <w:b/>
                <w:bCs w:val="0"/>
                <w:color w:val="auto"/>
                <w:sz w:val="24"/>
                <w:szCs w:val="24"/>
                <w:highlight w:val="none"/>
                <w:lang w:eastAsia="zh-CN"/>
              </w:rPr>
              <w:t>相关</w:t>
            </w:r>
            <w:r>
              <w:rPr>
                <w:rFonts w:hint="eastAsia" w:ascii="仿宋" w:hAnsi="仿宋" w:eastAsia="仿宋" w:cs="仿宋"/>
                <w:b/>
                <w:bCs w:val="0"/>
                <w:color w:val="auto"/>
                <w:sz w:val="24"/>
                <w:szCs w:val="24"/>
                <w:highlight w:val="none"/>
              </w:rPr>
              <w:t>部门将进一步核实，查实后按串通投标处理</w:t>
            </w:r>
            <w:r>
              <w:rPr>
                <w:rFonts w:hint="eastAsia" w:ascii="仿宋" w:hAnsi="仿宋" w:eastAsia="仿宋" w:cs="仿宋"/>
                <w:b/>
                <w:bCs w:val="0"/>
                <w:color w:val="auto"/>
                <w:sz w:val="24"/>
                <w:szCs w:val="24"/>
                <w:highlight w:val="none"/>
                <w:lang w:eastAsia="zh-CN"/>
              </w:rPr>
              <w:t>。</w:t>
            </w:r>
          </w:p>
        </w:tc>
      </w:tr>
      <w:tr w14:paraId="6C03A8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9671" w:type="dxa"/>
            <w:gridSpan w:val="3"/>
            <w:noWrap w:val="0"/>
            <w:vAlign w:val="center"/>
          </w:tcPr>
          <w:p w14:paraId="0FA337A0">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领中标通知书之前，请先缴纳中标服务费</w:t>
            </w:r>
          </w:p>
          <w:p w14:paraId="0BE7548E">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缴费账户</w:t>
            </w:r>
          </w:p>
          <w:p w14:paraId="6A2A71F4">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单位名称：</w:t>
            </w:r>
            <w:r>
              <w:rPr>
                <w:rFonts w:hint="eastAsia" w:ascii="仿宋" w:hAnsi="仿宋" w:eastAsia="仿宋" w:cs="仿宋"/>
                <w:b w:val="0"/>
                <w:bCs/>
                <w:color w:val="auto"/>
                <w:sz w:val="24"/>
                <w:szCs w:val="24"/>
                <w:highlight w:val="none"/>
                <w:lang w:eastAsia="zh-CN"/>
              </w:rPr>
              <w:t>新疆浩瑞兴建设工程项目管理咨询有限公司</w:t>
            </w:r>
            <w:r>
              <w:rPr>
                <w:rFonts w:hint="eastAsia" w:ascii="仿宋" w:hAnsi="仿宋" w:eastAsia="仿宋" w:cs="仿宋"/>
                <w:b w:val="0"/>
                <w:bCs/>
                <w:color w:val="auto"/>
                <w:sz w:val="24"/>
                <w:szCs w:val="24"/>
                <w:highlight w:val="none"/>
              </w:rPr>
              <w:t>乌鲁木齐分公司</w:t>
            </w:r>
          </w:p>
          <w:p w14:paraId="68883935">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开</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户</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行</w:t>
            </w:r>
            <w:r>
              <w:rPr>
                <w:rFonts w:hint="eastAsia" w:ascii="仿宋" w:hAnsi="仿宋" w:eastAsia="仿宋" w:cs="仿宋"/>
                <w:b w:val="0"/>
                <w:bCs/>
                <w:color w:val="auto"/>
                <w:sz w:val="24"/>
                <w:szCs w:val="24"/>
                <w:highlight w:val="none"/>
                <w:lang w:eastAsia="zh-CN"/>
              </w:rPr>
              <w:t>：乌鲁木齐银行股份有限公司东方支行</w:t>
            </w:r>
          </w:p>
          <w:p w14:paraId="69FAABBA">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账</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号：</w:t>
            </w:r>
            <w:r>
              <w:rPr>
                <w:rFonts w:hint="eastAsia" w:ascii="仿宋" w:hAnsi="仿宋" w:eastAsia="仿宋" w:cs="仿宋"/>
                <w:b w:val="0"/>
                <w:bCs/>
                <w:color w:val="auto"/>
                <w:sz w:val="24"/>
                <w:szCs w:val="24"/>
                <w:highlight w:val="none"/>
                <w:lang w:eastAsia="zh-CN"/>
              </w:rPr>
              <w:t>0000020080110079596717</w:t>
            </w:r>
          </w:p>
          <w:p w14:paraId="70B7C06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行</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号：</w:t>
            </w:r>
            <w:r>
              <w:rPr>
                <w:rFonts w:hint="eastAsia" w:ascii="仿宋" w:hAnsi="仿宋" w:eastAsia="仿宋" w:cs="仿宋"/>
                <w:b w:val="0"/>
                <w:bCs/>
                <w:color w:val="auto"/>
                <w:sz w:val="24"/>
                <w:szCs w:val="24"/>
                <w:highlight w:val="none"/>
                <w:lang w:val="en-US" w:eastAsia="zh-CN"/>
              </w:rPr>
              <w:t>313881000512</w:t>
            </w:r>
          </w:p>
          <w:p w14:paraId="1742E720">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邮</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箱：3958774434@qq.com</w:t>
            </w:r>
          </w:p>
          <w:p w14:paraId="3CAE4EEB">
            <w:pPr>
              <w:keepNext w:val="0"/>
              <w:keepLines w:val="0"/>
              <w:pageBreakBefore w:val="0"/>
              <w:shd w:val="clear" w:color="auto" w:fill="auto"/>
              <w:kinsoku/>
              <w:wordWrap/>
              <w:overflowPunct/>
              <w:topLinePunct w:val="0"/>
              <w:autoSpaceDE/>
              <w:autoSpaceDN/>
              <w:bidi w:val="0"/>
              <w:adjustRightInd/>
              <w:snapToGrid w:val="0"/>
              <w:spacing w:line="290" w:lineRule="exact"/>
              <w:jc w:val="left"/>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val="0"/>
                <w:bCs/>
                <w:color w:val="auto"/>
                <w:sz w:val="24"/>
                <w:szCs w:val="24"/>
                <w:highlight w:val="none"/>
              </w:rPr>
              <w:t>联系电话：</w:t>
            </w:r>
            <w:r>
              <w:rPr>
                <w:rFonts w:hint="eastAsia" w:ascii="仿宋" w:hAnsi="仿宋" w:eastAsia="仿宋" w:cs="仿宋"/>
                <w:color w:val="auto"/>
                <w:sz w:val="24"/>
                <w:szCs w:val="24"/>
                <w:highlight w:val="none"/>
                <w:lang w:val="en-US" w:eastAsia="zh-CN"/>
              </w:rPr>
              <w:t>18016878872</w:t>
            </w:r>
          </w:p>
        </w:tc>
      </w:tr>
      <w:bookmarkEnd w:id="5"/>
    </w:tbl>
    <w:p w14:paraId="103AC013">
      <w:pPr>
        <w:pageBreakBefore/>
        <w:shd w:val="clear" w:color="auto" w:fill="auto"/>
        <w:spacing w:before="312" w:beforeLines="100" w:after="312" w:afterLines="100" w:line="440" w:lineRule="exact"/>
        <w:jc w:val="center"/>
        <w:outlineLvl w:val="9"/>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14:paraId="4A4E385D">
      <w:pPr>
        <w:shd w:val="clear" w:color="auto" w:fill="auto"/>
        <w:spacing w:line="440" w:lineRule="exact"/>
        <w:jc w:val="center"/>
        <w:outlineLvl w:val="9"/>
        <w:rPr>
          <w:rFonts w:hint="eastAsia" w:ascii="仿宋" w:hAnsi="仿宋" w:eastAsia="仿宋" w:cs="仿宋"/>
          <w:color w:val="auto"/>
          <w:sz w:val="28"/>
          <w:szCs w:val="28"/>
          <w:highlight w:val="none"/>
        </w:rPr>
      </w:pPr>
      <w:bookmarkStart w:id="31" w:name="_Toc26505"/>
      <w:bookmarkStart w:id="32"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31"/>
      <w:bookmarkEnd w:id="32"/>
    </w:p>
    <w:p w14:paraId="1E67D5B3">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1.项目概况</w:t>
      </w:r>
    </w:p>
    <w:p w14:paraId="026D04D2">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14:paraId="3532E9BA">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14:paraId="4A6BC6BC">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14:paraId="78D82129">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供货期：见投标人须知前附表。</w:t>
      </w:r>
    </w:p>
    <w:p w14:paraId="43364272">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供货地点：见投标人须知前附表。</w:t>
      </w:r>
    </w:p>
    <w:p w14:paraId="69CC1C45">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 见投标人须知前附表。</w:t>
      </w:r>
    </w:p>
    <w:p w14:paraId="4A0E3FD2">
      <w:pPr>
        <w:shd w:val="clear" w:color="auto" w:fill="auto"/>
        <w:snapToGrid w:val="0"/>
        <w:spacing w:line="440" w:lineRule="exact"/>
        <w:ind w:firstLine="600" w:firstLineChars="25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代理机构及联系人: 见投标人须知前附表。</w:t>
      </w:r>
    </w:p>
    <w:p w14:paraId="003D84DB">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14:paraId="63E03E14">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14:paraId="5A43BCC7">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14:paraId="0F605B6F">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2.招标范围：</w:t>
      </w:r>
    </w:p>
    <w:p w14:paraId="1188A3CB">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14:paraId="2DA01939">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第四章招标内容及技术要求。</w:t>
      </w:r>
    </w:p>
    <w:p w14:paraId="6B4DC80F">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3.标包划分：</w:t>
      </w:r>
    </w:p>
    <w:p w14:paraId="24E6D5C7">
      <w:pPr>
        <w:shd w:val="clear" w:color="auto" w:fill="auto"/>
        <w:snapToGrid w:val="0"/>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rPr>
        <w:t>个</w:t>
      </w:r>
      <w:r>
        <w:rPr>
          <w:rFonts w:hint="eastAsia" w:ascii="仿宋" w:hAnsi="仿宋" w:eastAsia="仿宋" w:cs="仿宋"/>
          <w:color w:val="auto"/>
          <w:sz w:val="24"/>
          <w:szCs w:val="24"/>
          <w:highlight w:val="none"/>
          <w:lang w:val="en-US" w:eastAsia="zh-CN"/>
        </w:rPr>
        <w:t>标项</w:t>
      </w:r>
      <w:r>
        <w:rPr>
          <w:rFonts w:hint="eastAsia" w:ascii="仿宋" w:hAnsi="仿宋" w:eastAsia="仿宋" w:cs="仿宋"/>
          <w:color w:val="auto"/>
          <w:kern w:val="0"/>
          <w:sz w:val="24"/>
          <w:szCs w:val="24"/>
          <w:highlight w:val="none"/>
        </w:rPr>
        <w:t>。</w:t>
      </w:r>
    </w:p>
    <w:p w14:paraId="76BFDD40">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4.招标方式：</w:t>
      </w:r>
    </w:p>
    <w:p w14:paraId="2752AFBC">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14:paraId="350591CF">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5.计价方式：</w:t>
      </w:r>
    </w:p>
    <w:p w14:paraId="3BA9359E">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固定单价 。</w:t>
      </w:r>
    </w:p>
    <w:p w14:paraId="70525407">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6.评标办法：</w:t>
      </w:r>
    </w:p>
    <w:p w14:paraId="3973ACDF">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符合</w:t>
      </w:r>
      <w:r>
        <w:rPr>
          <w:rFonts w:hint="eastAsia" w:ascii="仿宋" w:hAnsi="仿宋" w:eastAsia="仿宋" w:cs="仿宋"/>
          <w:color w:val="auto"/>
          <w:sz w:val="24"/>
          <w:szCs w:val="24"/>
          <w:highlight w:val="none"/>
          <w:u w:val="single"/>
          <w:lang w:val="en-US" w:eastAsia="zh-CN"/>
        </w:rPr>
        <w:t>招标</w:t>
      </w:r>
      <w:r>
        <w:rPr>
          <w:rFonts w:hint="eastAsia" w:ascii="仿宋" w:hAnsi="仿宋" w:eastAsia="仿宋" w:cs="仿宋"/>
          <w:color w:val="auto"/>
          <w:sz w:val="24"/>
          <w:szCs w:val="24"/>
          <w:highlight w:val="none"/>
          <w:u w:val="single"/>
          <w:lang w:eastAsia="zh-CN"/>
        </w:rPr>
        <w:t>文件</w:t>
      </w:r>
      <w:r>
        <w:rPr>
          <w:rFonts w:hint="eastAsia" w:ascii="仿宋" w:hAnsi="仿宋" w:eastAsia="仿宋" w:cs="仿宋"/>
          <w:color w:val="auto"/>
          <w:sz w:val="24"/>
          <w:szCs w:val="24"/>
          <w:highlight w:val="none"/>
          <w:u w:val="single"/>
        </w:rPr>
        <w:t xml:space="preserve">的综合评分法 </w:t>
      </w:r>
      <w:r>
        <w:rPr>
          <w:rFonts w:hint="eastAsia" w:ascii="仿宋" w:hAnsi="仿宋" w:eastAsia="仿宋" w:cs="仿宋"/>
          <w:color w:val="auto"/>
          <w:sz w:val="24"/>
          <w:szCs w:val="24"/>
          <w:highlight w:val="none"/>
        </w:rPr>
        <w:t>（详见第三章评标办法）</w:t>
      </w:r>
    </w:p>
    <w:p w14:paraId="38BED5FF">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7.投标人资格：</w:t>
      </w:r>
    </w:p>
    <w:p w14:paraId="2FE29FDC">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14:paraId="20B09779">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7.2由于政府采购项目的差异性，投标人在参与具体政府采购项目活动时，应仔细阅读该项目的资质要求,具体见投标人须知前附表。</w:t>
      </w:r>
    </w:p>
    <w:p w14:paraId="683047EB">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403CF5E2">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14:paraId="30645F5C">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投标费用</w:t>
      </w:r>
    </w:p>
    <w:p w14:paraId="3D2A1416">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14:paraId="6B51C144">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33" w:name="_Toc247513962"/>
      <w:bookmarkStart w:id="34" w:name="_Toc247527563"/>
      <w:bookmarkStart w:id="35" w:name="_Toc296602429"/>
      <w:bookmarkStart w:id="36" w:name="_Toc247592876"/>
      <w:bookmarkStart w:id="37" w:name="_Toc152042315"/>
      <w:bookmarkStart w:id="38" w:name="_Toc152045539"/>
      <w:bookmarkStart w:id="39" w:name="_Toc144974507"/>
      <w:r>
        <w:rPr>
          <w:rFonts w:hint="eastAsia" w:ascii="仿宋" w:hAnsi="仿宋" w:eastAsia="仿宋" w:cs="仿宋"/>
          <w:b/>
          <w:color w:val="auto"/>
          <w:sz w:val="24"/>
          <w:szCs w:val="24"/>
          <w:highlight w:val="none"/>
        </w:rPr>
        <w:t xml:space="preserve"> 踏勘现场</w:t>
      </w:r>
      <w:bookmarkEnd w:id="33"/>
      <w:bookmarkEnd w:id="34"/>
      <w:bookmarkEnd w:id="35"/>
      <w:bookmarkEnd w:id="36"/>
      <w:bookmarkEnd w:id="37"/>
      <w:bookmarkEnd w:id="38"/>
      <w:bookmarkEnd w:id="39"/>
    </w:p>
    <w:p w14:paraId="32F3353F">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auto"/>
          <w:sz w:val="24"/>
          <w:szCs w:val="24"/>
          <w:highlight w:val="none"/>
          <w:lang w:eastAsia="zh-CN"/>
        </w:rPr>
        <w:t>投标人自行踏勘现场的，可咨询本项目采购人或采购代理机构联系人。</w:t>
      </w:r>
      <w:r>
        <w:rPr>
          <w:rFonts w:hint="eastAsia" w:ascii="仿宋" w:hAnsi="仿宋" w:eastAsia="仿宋" w:cs="仿宋"/>
          <w:b/>
          <w:bCs/>
          <w:color w:val="auto"/>
          <w:sz w:val="24"/>
          <w:szCs w:val="24"/>
          <w:highlight w:val="none"/>
        </w:rPr>
        <w:t xml:space="preserve"> </w:t>
      </w:r>
    </w:p>
    <w:p w14:paraId="6A3667AF">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14:paraId="2953BB96">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14:paraId="4CBB9EA6">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40" w:name="_Toc144974508"/>
      <w:bookmarkStart w:id="41" w:name="_Toc152042316"/>
      <w:bookmarkStart w:id="42" w:name="_Toc296602430"/>
      <w:bookmarkStart w:id="43" w:name="_Toc247592877"/>
      <w:bookmarkStart w:id="44" w:name="_Toc247527564"/>
      <w:bookmarkStart w:id="45" w:name="_Toc152045540"/>
      <w:bookmarkStart w:id="46" w:name="_Toc247513963"/>
    </w:p>
    <w:p w14:paraId="43AD41D3">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投标预备会</w:t>
      </w:r>
      <w:bookmarkEnd w:id="40"/>
      <w:bookmarkEnd w:id="41"/>
      <w:bookmarkEnd w:id="42"/>
      <w:bookmarkEnd w:id="43"/>
      <w:bookmarkEnd w:id="44"/>
      <w:bookmarkEnd w:id="45"/>
      <w:bookmarkEnd w:id="46"/>
    </w:p>
    <w:p w14:paraId="311962D5">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14:paraId="568AC4A6">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14:paraId="1AA7931B">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w:t>
      </w:r>
    </w:p>
    <w:p w14:paraId="0F4F2365">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联合投标</w:t>
      </w:r>
    </w:p>
    <w:p w14:paraId="1D0B1D92">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7DE03947">
      <w:pPr>
        <w:shd w:val="clear" w:color="auto" w:fill="auto"/>
        <w:spacing w:line="40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34866FA4">
      <w:pPr>
        <w:shd w:val="clear" w:color="auto" w:fill="auto"/>
        <w:spacing w:line="4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14:paraId="1D597795">
      <w:pPr>
        <w:pStyle w:val="7"/>
        <w:shd w:val="clear" w:color="auto" w:fill="auto"/>
        <w:spacing w:after="0" w:line="400" w:lineRule="exact"/>
        <w:ind w:left="0" w:leftChars="0" w:firstLine="484" w:firstLineChars="2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14:paraId="1E46E8B5">
      <w:pPr>
        <w:shd w:val="clear" w:color="auto" w:fill="auto"/>
        <w:spacing w:line="440" w:lineRule="exact"/>
        <w:ind w:firstLine="470" w:firstLineChars="196"/>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12.招标代理费</w:t>
      </w:r>
    </w:p>
    <w:p w14:paraId="51A1F0D3">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14:paraId="72699A76">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招标代理服务收费标准</w:t>
      </w:r>
    </w:p>
    <w:tbl>
      <w:tblPr>
        <w:tblStyle w:val="1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14:paraId="3432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14:paraId="6B8AF3E5">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中标</w:t>
            </w:r>
            <w:r>
              <w:rPr>
                <w:rFonts w:hint="eastAsia" w:ascii="仿宋" w:hAnsi="仿宋" w:eastAsia="仿宋" w:cs="仿宋"/>
                <w:b w:val="0"/>
                <w:bCs w:val="0"/>
                <w:color w:val="auto"/>
                <w:sz w:val="24"/>
                <w:szCs w:val="24"/>
                <w:highlight w:val="none"/>
              </w:rPr>
              <w:t>金额（万元）</w:t>
            </w:r>
          </w:p>
        </w:tc>
        <w:tc>
          <w:tcPr>
            <w:tcW w:w="2146" w:type="dxa"/>
            <w:noWrap w:val="0"/>
            <w:vAlign w:val="top"/>
          </w:tcPr>
          <w:p w14:paraId="2D2900F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2146" w:type="dxa"/>
            <w:noWrap w:val="0"/>
            <w:vAlign w:val="top"/>
          </w:tcPr>
          <w:p w14:paraId="44EDC39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服务招标</w:t>
            </w:r>
          </w:p>
        </w:tc>
        <w:tc>
          <w:tcPr>
            <w:tcW w:w="1841" w:type="dxa"/>
            <w:noWrap w:val="0"/>
            <w:vAlign w:val="top"/>
          </w:tcPr>
          <w:p w14:paraId="7F23C0D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14:paraId="34D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14:paraId="54100079">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100以下</w:t>
            </w:r>
          </w:p>
        </w:tc>
        <w:tc>
          <w:tcPr>
            <w:tcW w:w="2146" w:type="dxa"/>
            <w:noWrap w:val="0"/>
            <w:vAlign w:val="center"/>
          </w:tcPr>
          <w:p w14:paraId="355A4D86">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2146" w:type="dxa"/>
            <w:noWrap w:val="0"/>
            <w:vAlign w:val="center"/>
          </w:tcPr>
          <w:p w14:paraId="12F55731">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1841" w:type="dxa"/>
            <w:noWrap w:val="0"/>
            <w:vAlign w:val="top"/>
          </w:tcPr>
          <w:p w14:paraId="54C3FB46">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14:paraId="731E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14:paraId="2B46F711">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100-500</w:t>
            </w:r>
          </w:p>
        </w:tc>
        <w:tc>
          <w:tcPr>
            <w:tcW w:w="2146" w:type="dxa"/>
            <w:noWrap w:val="0"/>
            <w:vAlign w:val="center"/>
          </w:tcPr>
          <w:p w14:paraId="4D865A4D">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w:t>
            </w:r>
          </w:p>
        </w:tc>
        <w:tc>
          <w:tcPr>
            <w:tcW w:w="2146" w:type="dxa"/>
            <w:noWrap w:val="0"/>
            <w:vAlign w:val="center"/>
          </w:tcPr>
          <w:p w14:paraId="3FDC911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0.80</w:t>
            </w:r>
            <w:r>
              <w:rPr>
                <w:rFonts w:hint="eastAsia" w:ascii="仿宋" w:hAnsi="仿宋" w:eastAsia="仿宋" w:cs="仿宋"/>
                <w:b w:val="0"/>
                <w:bCs w:val="0"/>
                <w:color w:val="auto"/>
                <w:sz w:val="24"/>
                <w:szCs w:val="24"/>
                <w:highlight w:val="none"/>
              </w:rPr>
              <w:t>%</w:t>
            </w:r>
          </w:p>
        </w:tc>
        <w:tc>
          <w:tcPr>
            <w:tcW w:w="1841" w:type="dxa"/>
            <w:noWrap w:val="0"/>
            <w:vAlign w:val="top"/>
          </w:tcPr>
          <w:p w14:paraId="2BCF2327">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14:paraId="54BE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14:paraId="5ADBC442">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500-1000</w:t>
            </w:r>
          </w:p>
        </w:tc>
        <w:tc>
          <w:tcPr>
            <w:tcW w:w="2146" w:type="dxa"/>
            <w:noWrap w:val="0"/>
            <w:vAlign w:val="center"/>
          </w:tcPr>
          <w:p w14:paraId="0E0D2224">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0.80%</w:t>
            </w:r>
          </w:p>
        </w:tc>
        <w:tc>
          <w:tcPr>
            <w:tcW w:w="2146" w:type="dxa"/>
            <w:noWrap w:val="0"/>
            <w:vAlign w:val="center"/>
          </w:tcPr>
          <w:p w14:paraId="311C5E9E">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w:t>
            </w:r>
          </w:p>
        </w:tc>
        <w:tc>
          <w:tcPr>
            <w:tcW w:w="1841" w:type="dxa"/>
            <w:noWrap w:val="0"/>
            <w:vAlign w:val="top"/>
          </w:tcPr>
          <w:p w14:paraId="1884791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14:paraId="4535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14:paraId="48818335">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1000-5000</w:t>
            </w:r>
          </w:p>
        </w:tc>
        <w:tc>
          <w:tcPr>
            <w:tcW w:w="2146" w:type="dxa"/>
            <w:noWrap w:val="0"/>
            <w:vAlign w:val="center"/>
          </w:tcPr>
          <w:p w14:paraId="13CE0B43">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2146" w:type="dxa"/>
            <w:noWrap w:val="0"/>
            <w:vAlign w:val="center"/>
          </w:tcPr>
          <w:p w14:paraId="4EE6771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w:t>
            </w:r>
          </w:p>
        </w:tc>
        <w:tc>
          <w:tcPr>
            <w:tcW w:w="1841" w:type="dxa"/>
            <w:noWrap w:val="0"/>
            <w:vAlign w:val="top"/>
          </w:tcPr>
          <w:p w14:paraId="36C066E0">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bl>
    <w:p w14:paraId="486EF07F">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招标代理服务收费按差额定率累进法计算。例如：某项目招标代理业务</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金额为2000万元，计算招标代理服务收费额如下：</w:t>
      </w:r>
    </w:p>
    <w:p w14:paraId="5B597115">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100万元×1.50%=1.5（万元）；</w:t>
      </w:r>
    </w:p>
    <w:p w14:paraId="61E87063">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（500-100）万元×1.10%=4.4（万元）</w:t>
      </w:r>
    </w:p>
    <w:p w14:paraId="4B27B4AF">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（1000-500）万元×0.80%=4.0（万元）</w:t>
      </w:r>
    </w:p>
    <w:p w14:paraId="7BA135A2">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（2000-1000）万元×0.50%=5.0（万元）</w:t>
      </w:r>
    </w:p>
    <w:p w14:paraId="736F5D77">
      <w:pPr>
        <w:shd w:val="clear" w:color="auto" w:fill="auto"/>
        <w:spacing w:line="440" w:lineRule="exact"/>
        <w:ind w:left="210" w:leftChars="100" w:firstLine="360" w:firstLineChars="15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合计收费=1.5+4.4+4.0+5.0=14.9(万元)</w:t>
      </w:r>
    </w:p>
    <w:p w14:paraId="6E7D2E41">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13.投标人应注意的事项</w:t>
      </w:r>
    </w:p>
    <w:p w14:paraId="63269947">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文件中的所有条件和规定。投标人必须严格按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14:paraId="1FF25E3C">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中的要求。</w:t>
      </w:r>
    </w:p>
    <w:p w14:paraId="6373126C">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规定的投标保证金缴纳截止日期前缴纳。</w:t>
      </w:r>
    </w:p>
    <w:p w14:paraId="48BA0744">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14:paraId="57059709">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14:paraId="463AB489">
      <w:pPr>
        <w:shd w:val="clear" w:color="auto" w:fill="auto"/>
        <w:wordWrap w:val="0"/>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14:paraId="2F432B19">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14:paraId="519263FC">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14:paraId="05E977F1">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14:paraId="79E611F7">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不再对上述情况进行描述。</w:t>
      </w:r>
    </w:p>
    <w:p w14:paraId="7B702726">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lang w:eastAsia="zh-CN"/>
        </w:rPr>
      </w:pPr>
      <w:bookmarkStart w:id="47" w:name="_Toc469495725"/>
      <w:r>
        <w:rPr>
          <w:rFonts w:hint="eastAsia" w:ascii="仿宋" w:hAnsi="仿宋" w:eastAsia="仿宋" w:cs="仿宋"/>
          <w:b/>
          <w:color w:val="auto"/>
          <w:sz w:val="28"/>
          <w:szCs w:val="28"/>
          <w:highlight w:val="none"/>
        </w:rPr>
        <w:br w:type="page"/>
      </w:r>
      <w:bookmarkStart w:id="48" w:name="_Toc12818"/>
      <w:r>
        <w:rPr>
          <w:rFonts w:hint="eastAsia" w:ascii="仿宋" w:hAnsi="仿宋" w:eastAsia="仿宋" w:cs="仿宋"/>
          <w:b/>
          <w:color w:val="auto"/>
          <w:sz w:val="28"/>
          <w:szCs w:val="28"/>
          <w:highlight w:val="none"/>
        </w:rPr>
        <w:t>（二）</w:t>
      </w:r>
      <w:bookmarkEnd w:id="47"/>
      <w:r>
        <w:rPr>
          <w:rFonts w:hint="eastAsia" w:ascii="仿宋" w:hAnsi="仿宋" w:eastAsia="仿宋" w:cs="仿宋"/>
          <w:b/>
          <w:color w:val="auto"/>
          <w:sz w:val="28"/>
          <w:szCs w:val="28"/>
          <w:highlight w:val="none"/>
          <w:lang w:val="en-US" w:eastAsia="zh-CN"/>
        </w:rPr>
        <w:t>招标</w:t>
      </w:r>
      <w:r>
        <w:rPr>
          <w:rFonts w:hint="eastAsia" w:ascii="仿宋" w:hAnsi="仿宋" w:eastAsia="仿宋" w:cs="仿宋"/>
          <w:b/>
          <w:color w:val="auto"/>
          <w:sz w:val="28"/>
          <w:szCs w:val="28"/>
          <w:highlight w:val="none"/>
          <w:lang w:eastAsia="zh-CN"/>
        </w:rPr>
        <w:t>文件</w:t>
      </w:r>
      <w:bookmarkEnd w:id="48"/>
    </w:p>
    <w:p w14:paraId="1B083AA4">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15. </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的编制依据</w:t>
      </w:r>
    </w:p>
    <w:p w14:paraId="3DDCA9DE">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根据《中华人民共和国政府采购法》、《政府采购货物和服务招标投标管理办法》和《中华人民共和国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w:t>
      </w:r>
      <w:r>
        <w:rPr>
          <w:rFonts w:hint="eastAsia" w:ascii="仿宋" w:hAnsi="仿宋" w:eastAsia="仿宋" w:cs="仿宋"/>
          <w:color w:val="auto"/>
          <w:spacing w:val="-2"/>
          <w:sz w:val="24"/>
          <w:szCs w:val="24"/>
          <w:highlight w:val="none"/>
        </w:rPr>
        <w:t>等相关法律法规和规章及部、省、市级规范性文件的规定，编制本</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w:t>
      </w:r>
    </w:p>
    <w:p w14:paraId="2716F2CE">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16. </w:t>
      </w:r>
      <w:r>
        <w:rPr>
          <w:rFonts w:hint="eastAsia" w:ascii="仿宋" w:hAnsi="仿宋" w:eastAsia="仿宋" w:cs="仿宋"/>
          <w:b/>
          <w:color w:val="auto"/>
          <w:sz w:val="24"/>
          <w:szCs w:val="24"/>
          <w:highlight w:val="none"/>
          <w:lang w:val="en-US" w:eastAsia="zh-CN"/>
        </w:rPr>
        <w:t>招标</w:t>
      </w:r>
      <w:r>
        <w:rPr>
          <w:rFonts w:hint="eastAsia" w:ascii="仿宋" w:hAnsi="仿宋" w:eastAsia="仿宋" w:cs="仿宋"/>
          <w:b/>
          <w:color w:val="auto"/>
          <w:sz w:val="24"/>
          <w:szCs w:val="24"/>
          <w:highlight w:val="none"/>
          <w:lang w:eastAsia="zh-CN"/>
        </w:rPr>
        <w:t>文件</w:t>
      </w:r>
      <w:r>
        <w:rPr>
          <w:rFonts w:hint="eastAsia" w:ascii="仿宋" w:hAnsi="仿宋" w:eastAsia="仿宋" w:cs="仿宋"/>
          <w:b/>
          <w:color w:val="auto"/>
          <w:sz w:val="24"/>
          <w:szCs w:val="24"/>
          <w:highlight w:val="none"/>
        </w:rPr>
        <w:t>的组成</w:t>
      </w:r>
    </w:p>
    <w:p w14:paraId="1C60865B">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包括内容：</w:t>
      </w:r>
    </w:p>
    <w:p w14:paraId="7CE560A8">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招标</w:t>
      </w:r>
      <w:r>
        <w:rPr>
          <w:rFonts w:hint="eastAsia" w:ascii="仿宋" w:hAnsi="仿宋" w:eastAsia="仿宋" w:cs="仿宋"/>
          <w:color w:val="auto"/>
          <w:sz w:val="24"/>
          <w:szCs w:val="24"/>
          <w:highlight w:val="none"/>
        </w:rPr>
        <w:t>公告</w:t>
      </w:r>
    </w:p>
    <w:p w14:paraId="5223FE4E">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1DBE529F">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第三章  评标办法</w:t>
      </w:r>
    </w:p>
    <w:p w14:paraId="7CC4E153">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第四章  </w:t>
      </w:r>
      <w:r>
        <w:rPr>
          <w:rFonts w:hint="eastAsia" w:ascii="仿宋" w:hAnsi="仿宋" w:eastAsia="仿宋" w:cs="仿宋"/>
          <w:color w:val="auto"/>
          <w:sz w:val="24"/>
          <w:szCs w:val="22"/>
          <w:highlight w:val="none"/>
        </w:rPr>
        <w:t>招标内容及技术要求</w:t>
      </w:r>
    </w:p>
    <w:p w14:paraId="4E565C80">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36"/>
          <w:highlight w:val="none"/>
        </w:rPr>
        <w:t>合同条款及格式</w:t>
      </w:r>
    </w:p>
    <w:p w14:paraId="5AFFAFE7">
      <w:pPr>
        <w:shd w:val="clear" w:color="auto" w:fill="auto"/>
        <w:spacing w:line="440" w:lineRule="exact"/>
        <w:ind w:firstLine="1680" w:firstLineChars="7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第六章</w:t>
      </w:r>
      <w:r>
        <w:rPr>
          <w:rFonts w:hint="eastAsia" w:ascii="仿宋" w:hAnsi="仿宋" w:eastAsia="仿宋" w:cs="仿宋"/>
          <w:color w:val="auto"/>
          <w:sz w:val="24"/>
          <w:szCs w:val="24"/>
          <w:highlight w:val="none"/>
        </w:rPr>
        <w:t>：投标书格式</w:t>
      </w:r>
    </w:p>
    <w:p w14:paraId="0DE19572">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16.2 除16.1内容外，招标答疑亦为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的组成部分，对招标人和投标人起约束作用。</w:t>
      </w:r>
    </w:p>
    <w:p w14:paraId="5FD66829">
      <w:pPr>
        <w:pStyle w:val="8"/>
        <w:shd w:val="clear" w:color="auto" w:fill="auto"/>
        <w:wordWrap w:val="0"/>
        <w:spacing w:line="400" w:lineRule="exac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15"/>
          <w:szCs w:val="24"/>
          <w:highlight w:val="none"/>
        </w:rPr>
        <w:t xml:space="preserve"> </w:t>
      </w:r>
      <w:r>
        <w:rPr>
          <w:rFonts w:hint="eastAsia" w:ascii="仿宋" w:hAnsi="仿宋" w:eastAsia="仿宋" w:cs="仿宋"/>
          <w:color w:val="auto"/>
          <w:kern w:val="2"/>
          <w:sz w:val="24"/>
          <w:szCs w:val="24"/>
          <w:highlight w:val="none"/>
          <w:lang w:val="en-US" w:eastAsia="zh-CN" w:bidi="ar-SA"/>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14:paraId="6C3E0233">
      <w:pPr>
        <w:shd w:val="clear" w:color="auto" w:fill="auto"/>
        <w:wordWrap w:val="0"/>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val="en-US" w:eastAsia="zh-CN"/>
        </w:rPr>
        <w:t>新疆</w:t>
      </w:r>
      <w:r>
        <w:rPr>
          <w:rFonts w:hint="eastAsia" w:ascii="仿宋" w:hAnsi="仿宋" w:eastAsia="仿宋" w:cs="仿宋"/>
          <w:color w:val="auto"/>
          <w:sz w:val="24"/>
          <w:szCs w:val="24"/>
          <w:highlight w:val="none"/>
        </w:rPr>
        <w:t>政府采购网下载专区下载。</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的澄清将在</w:t>
      </w:r>
      <w:r>
        <w:rPr>
          <w:rFonts w:hint="eastAsia" w:ascii="仿宋" w:hAnsi="仿宋" w:eastAsia="仿宋" w:cs="仿宋"/>
          <w:color w:val="auto"/>
          <w:sz w:val="24"/>
          <w:szCs w:val="24"/>
          <w:highlight w:val="none"/>
          <w:lang w:eastAsia="zh-CN"/>
        </w:rPr>
        <w:t>政采云平台“更正公告”栏目予以公告</w:t>
      </w:r>
      <w:r>
        <w:rPr>
          <w:rFonts w:hint="eastAsia" w:ascii="仿宋" w:hAnsi="仿宋" w:eastAsia="仿宋" w:cs="仿宋"/>
          <w:color w:val="auto"/>
          <w:sz w:val="24"/>
          <w:szCs w:val="24"/>
          <w:highlight w:val="none"/>
        </w:rPr>
        <w:t>，但不指明澄清问题的来源。如果澄清内容影响投标文件编制的，将相应延长投标截止时间。</w:t>
      </w:r>
    </w:p>
    <w:p w14:paraId="6CF6D213">
      <w:pPr>
        <w:shd w:val="clear" w:color="auto" w:fill="auto"/>
        <w:spacing w:line="44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17. </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的修改、补充、解释</w:t>
      </w:r>
    </w:p>
    <w:p w14:paraId="4CB73449">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发出后，招标人在规定的投标截止时间前可对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进行必要的修改和补充，并以</w:t>
      </w:r>
      <w:r>
        <w:rPr>
          <w:rFonts w:hint="eastAsia" w:ascii="仿宋" w:hAnsi="仿宋" w:eastAsia="仿宋" w:cs="仿宋"/>
          <w:color w:val="auto"/>
          <w:sz w:val="24"/>
          <w:szCs w:val="24"/>
          <w:highlight w:val="none"/>
          <w:lang w:eastAsia="zh-CN"/>
        </w:rPr>
        <w:t>更正</w:t>
      </w:r>
      <w:r>
        <w:rPr>
          <w:rFonts w:hint="eastAsia" w:ascii="仿宋" w:hAnsi="仿宋" w:eastAsia="仿宋" w:cs="仿宋"/>
          <w:color w:val="auto"/>
          <w:sz w:val="24"/>
          <w:szCs w:val="24"/>
          <w:highlight w:val="none"/>
        </w:rPr>
        <w:t>公告形式在</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更正公告</w:t>
      </w:r>
      <w:r>
        <w:rPr>
          <w:rFonts w:hint="eastAsia" w:ascii="仿宋" w:hAnsi="仿宋" w:eastAsia="仿宋" w:cs="仿宋"/>
          <w:color w:val="auto"/>
          <w:sz w:val="24"/>
          <w:szCs w:val="24"/>
          <w:highlight w:val="none"/>
        </w:rPr>
        <w:t>”栏目予以公告，请各位投标人注意查看有关澄清内容，如不及时查看造成后果由投标人自负。</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的修改、补充等内容作为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的组成部分，具有约束作用。</w:t>
      </w:r>
    </w:p>
    <w:p w14:paraId="1E52385F">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日前，在原公告发布媒体上发布澄清公告，澄清或者修改的内容为采购文件的组成部分；不足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日的，应当顺延提交投标文件的截止时间。</w:t>
      </w:r>
    </w:p>
    <w:p w14:paraId="761FA998">
      <w:pPr>
        <w:shd w:val="clear" w:color="auto" w:fill="auto"/>
        <w:wordWrap w:val="0"/>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供应商在规定的时间内未对采购文件提出疑问、质疑或要求澄清的，将视其为无异议。</w:t>
      </w:r>
    </w:p>
    <w:p w14:paraId="158F9A07">
      <w:pPr>
        <w:shd w:val="clear" w:color="auto" w:fill="auto"/>
        <w:spacing w:line="400" w:lineRule="exact"/>
        <w:ind w:firstLine="480" w:firstLineChars="200"/>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17.</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的解释</w:t>
      </w:r>
      <w:r>
        <w:rPr>
          <w:rFonts w:hint="eastAsia" w:ascii="仿宋" w:hAnsi="仿宋" w:eastAsia="仿宋" w:cs="仿宋"/>
          <w:bCs/>
          <w:color w:val="auto"/>
          <w:sz w:val="24"/>
          <w:szCs w:val="24"/>
          <w:highlight w:val="none"/>
          <w:lang w:val="en-US" w:eastAsia="zh-CN"/>
        </w:rPr>
        <w:t xml:space="preserve"> </w:t>
      </w:r>
    </w:p>
    <w:p w14:paraId="63888373">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由招标人（或其委托的招标代理机构）负责解释。</w:t>
      </w:r>
    </w:p>
    <w:p w14:paraId="5832E71C">
      <w:pPr>
        <w:shd w:val="clear" w:color="auto" w:fill="auto"/>
        <w:spacing w:line="40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18. </w:t>
      </w:r>
      <w:r>
        <w:rPr>
          <w:rFonts w:hint="eastAsia" w:ascii="仿宋" w:hAnsi="仿宋" w:eastAsia="仿宋" w:cs="仿宋"/>
          <w:b/>
          <w:color w:val="auto"/>
          <w:sz w:val="24"/>
          <w:szCs w:val="24"/>
          <w:highlight w:val="none"/>
          <w:lang w:eastAsia="zh-CN"/>
        </w:rPr>
        <w:t>招标文件</w:t>
      </w:r>
      <w:r>
        <w:rPr>
          <w:rFonts w:hint="eastAsia" w:ascii="仿宋" w:hAnsi="仿宋" w:eastAsia="仿宋" w:cs="仿宋"/>
          <w:b/>
          <w:color w:val="auto"/>
          <w:sz w:val="24"/>
          <w:szCs w:val="24"/>
          <w:highlight w:val="none"/>
        </w:rPr>
        <w:t>的发出</w:t>
      </w:r>
    </w:p>
    <w:p w14:paraId="0E893ABD">
      <w:pPr>
        <w:shd w:val="clear" w:color="auto" w:fill="auto"/>
        <w:spacing w:line="40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18.1  </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的澄清、修改、补充及招标答疑等均应报</w:t>
      </w:r>
      <w:r>
        <w:rPr>
          <w:rFonts w:hint="eastAsia" w:ascii="仿宋" w:hAnsi="仿宋" w:eastAsia="仿宋" w:cs="仿宋"/>
          <w:color w:val="auto"/>
          <w:sz w:val="24"/>
          <w:szCs w:val="24"/>
          <w:highlight w:val="none"/>
          <w:lang w:eastAsia="zh-CN"/>
        </w:rPr>
        <w:t>相关部门</w:t>
      </w:r>
      <w:r>
        <w:rPr>
          <w:rFonts w:hint="eastAsia" w:ascii="仿宋" w:hAnsi="仿宋" w:eastAsia="仿宋" w:cs="仿宋"/>
          <w:color w:val="auto"/>
          <w:sz w:val="24"/>
          <w:szCs w:val="24"/>
          <w:highlight w:val="none"/>
        </w:rPr>
        <w:t>备案后，方可发出。</w:t>
      </w:r>
    </w:p>
    <w:p w14:paraId="03573FAA">
      <w:pPr>
        <w:shd w:val="clear" w:color="auto" w:fill="auto"/>
        <w:spacing w:line="440" w:lineRule="exact"/>
        <w:ind w:firstLine="319" w:firstLineChars="133"/>
        <w:outlineLvl w:val="9"/>
        <w:rPr>
          <w:rFonts w:hint="eastAsia" w:ascii="仿宋" w:hAnsi="仿宋" w:eastAsia="仿宋" w:cs="仿宋"/>
          <w:color w:val="auto"/>
          <w:sz w:val="24"/>
          <w:szCs w:val="24"/>
          <w:highlight w:val="none"/>
        </w:rPr>
      </w:pPr>
      <w:bookmarkStart w:id="49" w:name="_Toc469495726"/>
      <w:r>
        <w:rPr>
          <w:rFonts w:hint="eastAsia" w:ascii="仿宋" w:hAnsi="仿宋" w:eastAsia="仿宋" w:cs="仿宋"/>
          <w:b/>
          <w:color w:val="auto"/>
          <w:sz w:val="24"/>
          <w:szCs w:val="24"/>
          <w:highlight w:val="none"/>
        </w:rPr>
        <w:t xml:space="preserve">19. </w:t>
      </w:r>
      <w:r>
        <w:rPr>
          <w:rFonts w:hint="eastAsia" w:ascii="仿宋" w:hAnsi="仿宋" w:eastAsia="仿宋" w:cs="仿宋"/>
          <w:color w:val="auto"/>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auto"/>
          <w:sz w:val="24"/>
          <w:szCs w:val="24"/>
          <w:highlight w:val="none"/>
        </w:rPr>
        <w:t>中标样品封存</w:t>
      </w:r>
      <w:r>
        <w:rPr>
          <w:rFonts w:hint="eastAsia" w:ascii="仿宋" w:hAnsi="仿宋" w:eastAsia="仿宋" w:cs="仿宋"/>
          <w:color w:val="auto"/>
          <w:sz w:val="24"/>
          <w:szCs w:val="24"/>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14:paraId="6E9D7F5E">
      <w:pPr>
        <w:shd w:val="clear" w:color="auto" w:fill="auto"/>
        <w:spacing w:line="400" w:lineRule="exact"/>
        <w:ind w:firstLine="42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根据项目需求按上述要求自行描述）</w:t>
      </w:r>
    </w:p>
    <w:p w14:paraId="3BDD1052">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rPr>
      </w:pPr>
      <w:bookmarkStart w:id="50" w:name="_Toc25047"/>
      <w:r>
        <w:rPr>
          <w:rFonts w:hint="eastAsia" w:ascii="仿宋" w:hAnsi="仿宋" w:eastAsia="仿宋" w:cs="仿宋"/>
          <w:b/>
          <w:color w:val="auto"/>
          <w:sz w:val="28"/>
          <w:szCs w:val="28"/>
          <w:highlight w:val="none"/>
        </w:rPr>
        <w:t>（三）</w:t>
      </w:r>
      <w:r>
        <w:rPr>
          <w:rFonts w:hint="eastAsia" w:ascii="仿宋" w:hAnsi="仿宋" w:eastAsia="仿宋" w:cs="仿宋"/>
          <w:b/>
          <w:color w:val="auto"/>
          <w:sz w:val="28"/>
          <w:szCs w:val="28"/>
          <w:highlight w:val="none"/>
          <w:lang w:eastAsia="zh-CN"/>
        </w:rPr>
        <w:t>投标文件</w:t>
      </w:r>
      <w:r>
        <w:rPr>
          <w:rFonts w:hint="eastAsia" w:ascii="仿宋" w:hAnsi="仿宋" w:eastAsia="仿宋" w:cs="仿宋"/>
          <w:b/>
          <w:color w:val="auto"/>
          <w:sz w:val="28"/>
          <w:szCs w:val="28"/>
          <w:highlight w:val="none"/>
        </w:rPr>
        <w:t>的编制</w:t>
      </w:r>
      <w:bookmarkEnd w:id="49"/>
      <w:bookmarkEnd w:id="50"/>
    </w:p>
    <w:p w14:paraId="28AB0D2F">
      <w:pPr>
        <w:shd w:val="clear" w:color="auto" w:fill="auto"/>
        <w:spacing w:line="440" w:lineRule="exact"/>
        <w:ind w:firstLine="348" w:firstLineChars="145"/>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 投标的语言及度量衡单位</w:t>
      </w:r>
    </w:p>
    <w:p w14:paraId="45356109">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2468C3FC">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20.2除</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中另有规定外，投标书所使用的度量衡均须采用法定计量单位。</w:t>
      </w:r>
    </w:p>
    <w:p w14:paraId="2AB03ED1">
      <w:pPr>
        <w:shd w:val="clear" w:color="auto" w:fill="auto"/>
        <w:spacing w:line="400" w:lineRule="exact"/>
        <w:ind w:firstLine="235" w:firstLineChars="98"/>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21. </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的组成</w:t>
      </w:r>
    </w:p>
    <w:p w14:paraId="616D825E">
      <w:pPr>
        <w:shd w:val="clear" w:color="auto" w:fill="auto"/>
        <w:spacing w:line="440" w:lineRule="exact"/>
        <w:ind w:firstLine="832" w:firstLineChars="347"/>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附件一、投标书</w:t>
      </w:r>
    </w:p>
    <w:p w14:paraId="1B0B1A04">
      <w:pPr>
        <w:shd w:val="clear" w:color="auto" w:fill="auto"/>
        <w:spacing w:line="440" w:lineRule="exact"/>
        <w:ind w:firstLine="832" w:firstLineChars="347"/>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附件二、法定代表人资格证明书</w:t>
      </w:r>
    </w:p>
    <w:p w14:paraId="52BC9155">
      <w:pPr>
        <w:shd w:val="clear" w:color="auto" w:fill="auto"/>
        <w:spacing w:line="440" w:lineRule="exact"/>
        <w:ind w:firstLine="832" w:firstLineChars="347"/>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附件三、法定代表人授权委托书</w:t>
      </w:r>
    </w:p>
    <w:p w14:paraId="4B565932">
      <w:pPr>
        <w:shd w:val="clear" w:color="auto" w:fill="auto"/>
        <w:spacing w:line="440" w:lineRule="exact"/>
        <w:ind w:firstLine="832" w:firstLineChars="347"/>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附件四、关于招标文件的声明函</w:t>
      </w:r>
    </w:p>
    <w:p w14:paraId="4D5B63EB">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附件五、诚信投标承诺书</w:t>
      </w:r>
    </w:p>
    <w:p w14:paraId="1F85E916">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附件六、供应商反商业贿赂承诺书</w:t>
      </w:r>
    </w:p>
    <w:p w14:paraId="3D156ED1">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附件七、中小企业声明函（货物）附件（</w:t>
      </w:r>
      <w:r>
        <w:rPr>
          <w:rFonts w:hint="eastAsia" w:ascii="仿宋" w:hAnsi="仿宋" w:eastAsia="仿宋" w:cs="仿宋"/>
          <w:color w:val="auto"/>
          <w:sz w:val="24"/>
          <w:szCs w:val="24"/>
          <w:highlight w:val="none"/>
          <w:lang w:val="en-US" w:eastAsia="zh-CN"/>
        </w:rPr>
        <w:t>如需</w:t>
      </w:r>
      <w:r>
        <w:rPr>
          <w:rFonts w:hint="eastAsia" w:ascii="仿宋" w:hAnsi="仿宋" w:eastAsia="仿宋" w:cs="仿宋"/>
          <w:color w:val="auto"/>
          <w:sz w:val="24"/>
          <w:szCs w:val="24"/>
          <w:highlight w:val="none"/>
          <w:lang w:eastAsia="zh-CN"/>
        </w:rPr>
        <w:t>）</w:t>
      </w:r>
    </w:p>
    <w:p w14:paraId="11684B01">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附件八、开标一览表附件</w:t>
      </w:r>
    </w:p>
    <w:p w14:paraId="4961398B">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、投标产品名称、数量、规格分项报价表</w:t>
      </w:r>
    </w:p>
    <w:p w14:paraId="140125E0">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附件十、技术规格偏离表</w:t>
      </w:r>
    </w:p>
    <w:p w14:paraId="0682B33B">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附件十一、商务条款偏离表</w:t>
      </w:r>
    </w:p>
    <w:p w14:paraId="2B9723FE">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附件十二、投标产品近三年（从投标截至时间往前推算）同类产品销售业绩表</w:t>
      </w:r>
    </w:p>
    <w:p w14:paraId="519825C5">
      <w:pPr>
        <w:shd w:val="clear" w:color="auto" w:fill="auto"/>
        <w:spacing w:line="440" w:lineRule="exact"/>
        <w:ind w:firstLine="832" w:firstLineChars="347"/>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附件十三、</w:t>
      </w:r>
      <w:r>
        <w:rPr>
          <w:rFonts w:hint="eastAsia" w:ascii="仿宋" w:hAnsi="仿宋" w:eastAsia="仿宋" w:cs="仿宋"/>
          <w:color w:val="auto"/>
          <w:sz w:val="24"/>
          <w:szCs w:val="24"/>
          <w:highlight w:val="none"/>
          <w:lang w:eastAsia="zh-CN"/>
        </w:rPr>
        <w:t>招标文件要求的或投标供应商认为有必要提供的其他文件</w:t>
      </w:r>
    </w:p>
    <w:p w14:paraId="15979F66">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14:paraId="2AC414BF">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文件的所有内容，按照</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文件的要求详细编制投标文件，所提交的全部资料必须真实有效，并且要保证字迹清晰易于辨认。投标文件应对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文件实质性内容作出响应，否则按无效标处理。</w:t>
      </w:r>
    </w:p>
    <w:p w14:paraId="4AB955AF">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lang w:val="en-US" w:eastAsia="zh-CN"/>
        </w:rPr>
        <w:t>附件：投标书</w:t>
      </w:r>
      <w:r>
        <w:rPr>
          <w:rFonts w:hint="eastAsia" w:ascii="仿宋" w:hAnsi="仿宋" w:eastAsia="仿宋" w:cs="仿宋"/>
          <w:color w:val="auto"/>
          <w:sz w:val="24"/>
          <w:szCs w:val="24"/>
          <w:highlight w:val="none"/>
          <w:lang w:eastAsia="zh-CN"/>
        </w:rPr>
        <w:t>格式要求编制，不得对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文件格式进行增删更改，否则按无效标处理。</w:t>
      </w:r>
    </w:p>
    <w:p w14:paraId="23D4940C">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）对</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文件格式可更改的例外情况：</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lang w:val="en-US" w:eastAsia="zh-CN"/>
        </w:rPr>
        <w:t>附件：投标书</w:t>
      </w:r>
      <w:r>
        <w:rPr>
          <w:rFonts w:hint="eastAsia" w:ascii="仿宋" w:hAnsi="仿宋" w:eastAsia="仿宋" w:cs="仿宋"/>
          <w:color w:val="auto"/>
          <w:sz w:val="24"/>
          <w:szCs w:val="24"/>
          <w:highlight w:val="none"/>
          <w:lang w:eastAsia="zh-CN"/>
        </w:rPr>
        <w:t xml:space="preserve">格式要求中明确规定表格中行数不够用时可按相同格式增加行数，其他一切内容和格式不得更改。 </w:t>
      </w:r>
    </w:p>
    <w:p w14:paraId="7B1675AC">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）投标文件为电子投标文件，电子投标文件按“政采云供应商项目采购-电子招投标操作指南”及本采购文件要求制作、加密传输。</w:t>
      </w:r>
    </w:p>
    <w:p w14:paraId="386A570F">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14:paraId="67CDFA9B">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22</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lang w:val="en-US" w:eastAsia="zh-CN"/>
        </w:rPr>
        <w:t>投标</w:t>
      </w:r>
      <w:r>
        <w:rPr>
          <w:rFonts w:hint="eastAsia" w:ascii="仿宋" w:hAnsi="仿宋" w:eastAsia="仿宋" w:cs="仿宋"/>
          <w:b/>
          <w:color w:val="auto"/>
          <w:sz w:val="24"/>
          <w:szCs w:val="24"/>
          <w:highlight w:val="none"/>
        </w:rPr>
        <w:t>报价</w:t>
      </w:r>
    </w:p>
    <w:p w14:paraId="33502258">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22.1投标报价文件中的单价和总价全部采用人民币表示。</w:t>
      </w:r>
    </w:p>
    <w:p w14:paraId="6632CE11">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22.2投标报价表上应清楚地标明投标人拟提供货物的名称、型号、生产厂家、数量、单价和总价。</w:t>
      </w:r>
    </w:p>
    <w:p w14:paraId="33FB2CA5">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报价应包括：货物及服务本身价格、保险费用、包装费、运输费用、二次搬运费、损耗、税金费用、随产品备品备件费、专用工具费、随产品资料费、安装费、调试费、自检费及验收合格前和质保期内发生的一切费用、应当提供的伴随服务/售后服务费用</w:t>
      </w:r>
      <w:r>
        <w:rPr>
          <w:rFonts w:hint="eastAsia" w:ascii="仿宋" w:hAnsi="仿宋" w:eastAsia="仿宋" w:cs="仿宋"/>
          <w:color w:val="auto"/>
          <w:sz w:val="24"/>
          <w:szCs w:val="24"/>
          <w:highlight w:val="none"/>
          <w:lang w:eastAsia="zh-CN"/>
        </w:rPr>
        <w:t>。</w:t>
      </w:r>
    </w:p>
    <w:p w14:paraId="6F40A2FA">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投标报价的价格是货物交货地验收价格，其总价即为履行合同的固定总价。</w:t>
      </w:r>
    </w:p>
    <w:p w14:paraId="1E80F384">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技术要求中规定的安装、调试和培训费用应包括在投标价格中。投标文件报价为含税价，招标人不再为此次招标支付任何费用。</w:t>
      </w:r>
    </w:p>
    <w:p w14:paraId="7A55551F">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投标报价应由法定代表人或被授权人签署。</w:t>
      </w:r>
    </w:p>
    <w:p w14:paraId="3E282EC1">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22.8</w:t>
      </w:r>
      <w:r>
        <w:rPr>
          <w:rFonts w:hint="eastAsia" w:ascii="仿宋" w:hAnsi="仿宋" w:eastAsia="仿宋" w:cs="仿宋"/>
          <w:b/>
          <w:color w:val="auto"/>
          <w:sz w:val="24"/>
          <w:szCs w:val="24"/>
          <w:highlight w:val="none"/>
        </w:rPr>
        <w:t>投标人投标总报价，</w:t>
      </w:r>
      <w:r>
        <w:rPr>
          <w:rFonts w:hint="eastAsia" w:ascii="仿宋" w:hAnsi="仿宋" w:eastAsia="仿宋" w:cs="仿宋"/>
          <w:b/>
          <w:color w:val="auto"/>
          <w:sz w:val="24"/>
          <w:szCs w:val="24"/>
          <w:highlight w:val="none"/>
          <w:lang w:val="en-US" w:eastAsia="zh-CN"/>
        </w:rPr>
        <w:t>每包</w:t>
      </w:r>
      <w:r>
        <w:rPr>
          <w:rFonts w:hint="eastAsia" w:ascii="仿宋" w:hAnsi="仿宋" w:eastAsia="仿宋" w:cs="仿宋"/>
          <w:b/>
          <w:color w:val="auto"/>
          <w:sz w:val="24"/>
          <w:szCs w:val="24"/>
          <w:highlight w:val="none"/>
        </w:rPr>
        <w:t>不得高于本次招标设置的最高限价，</w:t>
      </w:r>
      <w:r>
        <w:rPr>
          <w:rFonts w:hint="eastAsia" w:ascii="仿宋" w:hAnsi="仿宋" w:eastAsia="仿宋" w:cs="仿宋"/>
          <w:b/>
          <w:bCs/>
          <w:color w:val="auto"/>
          <w:sz w:val="24"/>
          <w:szCs w:val="24"/>
          <w:highlight w:val="none"/>
        </w:rPr>
        <w:t>否则将作为无效投标处理。</w:t>
      </w:r>
    </w:p>
    <w:p w14:paraId="3A1B68BE">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22.9如投标文件中未列明全面实现投标货物功能而必须配置的配套或辅助设施及相应技术措施的费用，这些费用将被视为已包含在总投标价中。</w:t>
      </w:r>
    </w:p>
    <w:p w14:paraId="036E467F">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22.10总投标价中不得包含</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14:paraId="1118FBEE">
      <w:pPr>
        <w:shd w:val="clear" w:color="auto" w:fill="auto"/>
        <w:spacing w:line="440" w:lineRule="exact"/>
        <w:ind w:firstLine="460" w:firstLineChars="192"/>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22.11总投标价中不得缺漏</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p>
    <w:p w14:paraId="178369F9">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22.12投标人不得对从第三方采购货物的随机备品、备件另行收费，否则在计算评标价时这部分费用将不予扣除，在授予合同时将从中标价格中扣除该部分费用。</w:t>
      </w:r>
    </w:p>
    <w:p w14:paraId="5BDC1E31">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550C1395">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投标有效期</w:t>
      </w:r>
    </w:p>
    <w:p w14:paraId="75152ECE">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除投标人须知前附表另有规定外，投标有效期为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w:t>
      </w:r>
    </w:p>
    <w:p w14:paraId="1F6CDA9F">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23.2在投标有效期内，投标人撤销或修改其投标文件的，应承担</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和法律规定的责任。</w:t>
      </w:r>
    </w:p>
    <w:p w14:paraId="26BE1CD0">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2568244">
      <w:pPr>
        <w:shd w:val="clear" w:color="auto" w:fill="auto"/>
        <w:spacing w:line="440" w:lineRule="exact"/>
        <w:ind w:firstLine="460" w:firstLineChars="192"/>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投标保证金</w:t>
      </w:r>
    </w:p>
    <w:p w14:paraId="7AD3DD91">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24.1投标人须知前附表规定递交投标保证金的，投标人在递交投标文件的同时，应按投标人须知前附表规定的金额、担保形式和</w:t>
      </w:r>
      <w:r>
        <w:rPr>
          <w:rFonts w:hint="eastAsia" w:ascii="仿宋" w:hAnsi="仿宋" w:eastAsia="仿宋" w:cs="仿宋"/>
          <w:color w:val="auto"/>
          <w:sz w:val="24"/>
          <w:szCs w:val="24"/>
          <w:highlight w:val="none"/>
          <w:lang w:val="en-US" w:eastAsia="zh-CN"/>
        </w:rPr>
        <w:t>附件：“投标书</w:t>
      </w:r>
      <w:r>
        <w:rPr>
          <w:rFonts w:hint="eastAsia" w:ascii="仿宋" w:hAnsi="仿宋" w:eastAsia="仿宋" w:cs="仿宋"/>
          <w:color w:val="auto"/>
          <w:sz w:val="24"/>
          <w:szCs w:val="24"/>
          <w:highlight w:val="none"/>
          <w:lang w:eastAsia="zh-CN"/>
        </w:rPr>
        <w:t>格式</w:t>
      </w:r>
      <w:r>
        <w:rPr>
          <w:rFonts w:hint="eastAsia" w:ascii="仿宋" w:hAnsi="仿宋" w:eastAsia="仿宋" w:cs="仿宋"/>
          <w:color w:val="auto"/>
          <w:sz w:val="24"/>
          <w:szCs w:val="24"/>
          <w:highlight w:val="none"/>
        </w:rPr>
        <w:t>”规定的投标保证金格式递交投标保证金，并作为其投标文件的组成部分。投标人不按要求提交投标保证金的，评标委员会将否决其投标。</w:t>
      </w:r>
    </w:p>
    <w:p w14:paraId="7FEF3206">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24.2自中标通知书发出之日起5个工作日内退还未中标投标人的投标保证金，自政府采购合同签订之日起5个工作日内退还中标人的投标保证金。</w:t>
      </w:r>
    </w:p>
    <w:p w14:paraId="63852B53">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24.3有下列情形之一的，投标保证金将不予退还： </w:t>
      </w:r>
    </w:p>
    <w:p w14:paraId="36F6FA1A">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14:paraId="11DBDEB0">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通知书发出后三十天内，中标人无正当理由拒签合同协议书或未按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规定提交履约担保。</w:t>
      </w:r>
    </w:p>
    <w:p w14:paraId="2B1F9750">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14:paraId="0C5E8407">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14:paraId="62773AAA">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bookmarkStart w:id="51" w:name="_Toc469495727"/>
      <w:r>
        <w:rPr>
          <w:rFonts w:hint="eastAsia" w:ascii="仿宋" w:hAnsi="仿宋" w:eastAsia="仿宋" w:cs="仿宋"/>
          <w:color w:val="auto"/>
          <w:sz w:val="24"/>
          <w:szCs w:val="24"/>
          <w:highlight w:val="none"/>
        </w:rPr>
        <w:t>24.4投标保证金按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p w14:paraId="419EAC9C">
      <w:pPr>
        <w:shd w:val="clear" w:color="auto" w:fill="auto"/>
        <w:tabs>
          <w:tab w:val="left" w:pos="1260"/>
        </w:tabs>
        <w:bidi w:val="0"/>
        <w:jc w:val="center"/>
        <w:outlineLvl w:val="9"/>
        <w:rPr>
          <w:rFonts w:hint="eastAsia" w:ascii="仿宋" w:hAnsi="仿宋" w:eastAsia="仿宋" w:cs="仿宋"/>
          <w:color w:val="auto"/>
          <w:sz w:val="28"/>
          <w:szCs w:val="28"/>
          <w:highlight w:val="none"/>
        </w:rPr>
      </w:pPr>
      <w:bookmarkStart w:id="52" w:name="_Toc603"/>
      <w:r>
        <w:rPr>
          <w:rFonts w:hint="eastAsia" w:ascii="仿宋" w:hAnsi="仿宋" w:eastAsia="仿宋" w:cs="仿宋"/>
          <w:color w:val="auto"/>
          <w:sz w:val="28"/>
          <w:szCs w:val="28"/>
          <w:highlight w:val="none"/>
        </w:rPr>
        <w:t>（四）</w:t>
      </w:r>
      <w:bookmarkEnd w:id="51"/>
      <w:r>
        <w:rPr>
          <w:rFonts w:hint="eastAsia" w:ascii="仿宋" w:hAnsi="仿宋" w:eastAsia="仿宋" w:cs="仿宋"/>
          <w:color w:val="auto"/>
          <w:sz w:val="28"/>
          <w:szCs w:val="28"/>
          <w:highlight w:val="none"/>
        </w:rPr>
        <w:t>投标文件的制作、上传及递交要求</w:t>
      </w:r>
      <w:bookmarkEnd w:id="52"/>
    </w:p>
    <w:p w14:paraId="168B5D1C">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14:paraId="4502DA79">
      <w:pPr>
        <w:pStyle w:val="5"/>
        <w:shd w:val="clear" w:color="auto" w:fill="auto"/>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14:paraId="07C509D8">
      <w:pPr>
        <w:pStyle w:val="5"/>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7804A18B">
      <w:pPr>
        <w:pStyle w:val="5"/>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14:paraId="396AD452">
      <w:pPr>
        <w:pStyle w:val="5"/>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14:paraId="17C94266">
      <w:pPr>
        <w:pStyle w:val="5"/>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14:paraId="7CDEEB13">
      <w:pPr>
        <w:pStyle w:val="5"/>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14:paraId="365F946E">
      <w:pPr>
        <w:pStyle w:val="5"/>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14:paraId="1AB767BD">
      <w:pPr>
        <w:pStyle w:val="5"/>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14:paraId="52EB45A8">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14:paraId="2F3FC23F">
      <w:pPr>
        <w:pStyle w:val="5"/>
        <w:shd w:val="clear" w:color="auto" w:fill="auto"/>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14:paraId="4E10CBCC">
      <w:pPr>
        <w:pStyle w:val="5"/>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14:paraId="0CB99145">
      <w:pPr>
        <w:pStyle w:val="5"/>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14:paraId="7142ADFA">
      <w:pPr>
        <w:pStyle w:val="5"/>
        <w:shd w:val="clear" w:color="auto" w:fill="auto"/>
        <w:snapToGrid w:val="0"/>
        <w:spacing w:line="360" w:lineRule="auto"/>
        <w:outlineLvl w:val="9"/>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14:paraId="763629E2">
      <w:pPr>
        <w:pStyle w:val="5"/>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w:t>
      </w:r>
    </w:p>
    <w:p w14:paraId="16F1A798">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14:paraId="6AFB415F">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14:paraId="26723C5B">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14:paraId="37A0D2D0">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14:paraId="37D406F0">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14:paraId="6D5FC22F">
      <w:pPr>
        <w:shd w:val="clear" w:color="auto" w:fill="auto"/>
        <w:tabs>
          <w:tab w:val="left" w:pos="960"/>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4C39D9BD">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auto"/>
          <w:sz w:val="28"/>
          <w:szCs w:val="28"/>
          <w:highlight w:val="none"/>
        </w:rPr>
      </w:pPr>
      <w:bookmarkStart w:id="53" w:name="_Toc14213"/>
      <w:bookmarkStart w:id="54" w:name="_Toc469495728"/>
      <w:r>
        <w:rPr>
          <w:rFonts w:hint="eastAsia" w:ascii="仿宋" w:hAnsi="仿宋" w:eastAsia="仿宋" w:cs="仿宋"/>
          <w:color w:val="auto"/>
          <w:sz w:val="28"/>
          <w:szCs w:val="28"/>
          <w:highlight w:val="none"/>
        </w:rPr>
        <w:t>（五）开标、评标和定标</w:t>
      </w:r>
      <w:bookmarkEnd w:id="53"/>
      <w:bookmarkEnd w:id="54"/>
    </w:p>
    <w:p w14:paraId="3316A74B">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14:paraId="44B4F2A9">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bookmarkStart w:id="55" w:name="_Toc73975822"/>
      <w:r>
        <w:rPr>
          <w:rFonts w:hint="eastAsia" w:ascii="仿宋" w:hAnsi="仿宋" w:eastAsia="仿宋" w:cs="仿宋"/>
          <w:b/>
          <w:bCs/>
          <w:color w:val="auto"/>
          <w:sz w:val="24"/>
          <w:szCs w:val="24"/>
          <w:highlight w:val="none"/>
          <w:lang w:val="en-US" w:eastAsia="zh-CN"/>
        </w:rPr>
        <w:t>29.1开标邀请</w:t>
      </w:r>
      <w:bookmarkEnd w:id="55"/>
    </w:p>
    <w:p w14:paraId="06418637">
      <w:pPr>
        <w:pStyle w:val="8"/>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14:paraId="23959B78">
      <w:pPr>
        <w:pStyle w:val="8"/>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14:paraId="0CB1B93C">
      <w:pPr>
        <w:pStyle w:val="8"/>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2"/>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w:t>
      </w:r>
      <w:r>
        <w:rPr>
          <w:rFonts w:hint="eastAsia" w:ascii="仿宋" w:hAnsi="仿宋" w:eastAsia="仿宋" w:cs="仿宋"/>
          <w:b w:val="0"/>
          <w:color w:val="auto"/>
          <w:sz w:val="24"/>
          <w:szCs w:val="24"/>
          <w:highlight w:val="none"/>
          <w:lang w:eastAsia="zh-CN"/>
        </w:rPr>
        <w:t>投标文件</w:t>
      </w:r>
      <w:r>
        <w:rPr>
          <w:rFonts w:hint="eastAsia" w:ascii="仿宋" w:hAnsi="仿宋" w:eastAsia="仿宋" w:cs="仿宋"/>
          <w:b w:val="0"/>
          <w:color w:val="auto"/>
          <w:sz w:val="24"/>
          <w:szCs w:val="24"/>
          <w:highlight w:val="none"/>
        </w:rPr>
        <w:t>，所有供应商均应当准时在线参加。</w:t>
      </w:r>
    </w:p>
    <w:p w14:paraId="3AFEFFAB">
      <w:pPr>
        <w:pStyle w:val="8"/>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506F343E">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bookmarkStart w:id="56" w:name="_Toc73975823"/>
      <w:bookmarkStart w:id="57" w:name="_Toc8537"/>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w:t>
      </w:r>
      <w:bookmarkEnd w:id="56"/>
      <w:bookmarkEnd w:id="57"/>
    </w:p>
    <w:p w14:paraId="0CEC2C09">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bookmarkStart w:id="58" w:name="_Toc8086"/>
      <w:bookmarkStart w:id="59" w:name="_Toc469495729"/>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14:paraId="6A6F8232">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w:t>
      </w:r>
      <w:r>
        <w:rPr>
          <w:rFonts w:hint="eastAsia" w:ascii="仿宋" w:hAnsi="仿宋" w:eastAsia="仿宋" w:cs="仿宋"/>
          <w:b/>
          <w:color w:val="auto"/>
          <w:kern w:val="0"/>
          <w:sz w:val="24"/>
          <w:szCs w:val="24"/>
          <w:highlight w:val="none"/>
          <w:lang w:val="en-US" w:eastAsia="zh-CN"/>
        </w:rPr>
        <w:t>投标人</w:t>
      </w:r>
      <w:r>
        <w:rPr>
          <w:rFonts w:hint="eastAsia" w:ascii="仿宋" w:hAnsi="仿宋" w:eastAsia="仿宋" w:cs="仿宋"/>
          <w:b/>
          <w:color w:val="auto"/>
          <w:kern w:val="0"/>
          <w:sz w:val="24"/>
          <w:szCs w:val="24"/>
          <w:highlight w:val="none"/>
        </w:rPr>
        <w:t>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14:paraId="788D5672">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w:t>
      </w:r>
      <w:r>
        <w:rPr>
          <w:rFonts w:hint="eastAsia" w:ascii="仿宋" w:hAnsi="仿宋" w:eastAsia="仿宋" w:cs="仿宋"/>
          <w:b/>
          <w:color w:val="auto"/>
          <w:kern w:val="0"/>
          <w:sz w:val="24"/>
          <w:szCs w:val="24"/>
          <w:highlight w:val="none"/>
          <w:lang w:val="en-US" w:eastAsia="zh-CN"/>
        </w:rPr>
        <w:t>投标人</w:t>
      </w:r>
      <w:r>
        <w:rPr>
          <w:rFonts w:hint="eastAsia" w:ascii="仿宋" w:hAnsi="仿宋" w:eastAsia="仿宋" w:cs="仿宋"/>
          <w:b/>
          <w:color w:val="auto"/>
          <w:kern w:val="0"/>
          <w:sz w:val="24"/>
          <w:szCs w:val="24"/>
          <w:highlight w:val="none"/>
        </w:rPr>
        <w:t>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14:paraId="23016D43">
      <w:pPr>
        <w:shd w:val="clear" w:color="auto" w:fill="auto"/>
        <w:snapToGrid w:val="0"/>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14:paraId="5AB628E7">
      <w:pPr>
        <w:shd w:val="clear" w:color="auto" w:fill="auto"/>
        <w:snapToGrid w:val="0"/>
        <w:spacing w:line="360" w:lineRule="auto"/>
        <w:ind w:firstLine="480" w:firstLineChars="200"/>
        <w:jc w:val="left"/>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rPr>
        <w:t>招标人或代理机构对投标人进行资格查验；合格投标人不足3家的，不得评标</w:t>
      </w:r>
      <w:r>
        <w:rPr>
          <w:rFonts w:hint="eastAsia" w:ascii="仿宋" w:hAnsi="仿宋" w:eastAsia="仿宋" w:cs="仿宋"/>
          <w:color w:val="auto"/>
          <w:kern w:val="0"/>
          <w:sz w:val="24"/>
          <w:lang w:eastAsia="zh-CN"/>
        </w:rPr>
        <w:t>。</w:t>
      </w:r>
    </w:p>
    <w:p w14:paraId="1607BC36">
      <w:pPr>
        <w:shd w:val="clear" w:color="auto" w:fill="auto"/>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14:paraId="68DAA8AB">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投标供应商资格审查”），审查结束公布投标供应商的资格符合情况。资格审查未获通过的供应商，其商务技术文件及报价文件不再进入评审。</w:t>
      </w:r>
    </w:p>
    <w:p w14:paraId="01EF8565">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14:paraId="76699F76">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14:paraId="1722B01D">
      <w:pPr>
        <w:shd w:val="clear" w:color="auto" w:fill="auto"/>
        <w:snapToGrid w:val="0"/>
        <w:spacing w:line="360" w:lineRule="auto"/>
        <w:ind w:left="48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14:paraId="67701B61">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14:paraId="6A5663F2">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w:t>
      </w:r>
      <w:r>
        <w:rPr>
          <w:rFonts w:hint="eastAsia" w:ascii="仿宋" w:hAnsi="仿宋" w:eastAsia="仿宋" w:cs="仿宋"/>
          <w:b/>
          <w:color w:val="auto"/>
          <w:kern w:val="0"/>
          <w:sz w:val="24"/>
          <w:szCs w:val="24"/>
          <w:highlight w:val="none"/>
          <w:u w:val="single"/>
          <w:lang w:val="en-US" w:eastAsia="zh-CN"/>
        </w:rPr>
        <w:t>3</w:t>
      </w:r>
      <w:r>
        <w:rPr>
          <w:rFonts w:hint="eastAsia" w:ascii="仿宋" w:hAnsi="仿宋" w:eastAsia="仿宋" w:cs="仿宋"/>
          <w:b/>
          <w:color w:val="auto"/>
          <w:kern w:val="0"/>
          <w:sz w:val="24"/>
          <w:szCs w:val="24"/>
          <w:highlight w:val="none"/>
          <w:u w:val="single"/>
        </w:rPr>
        <w:t>0分钟。如未及时签字或盖章确认的，视为无异议</w:t>
      </w:r>
      <w:r>
        <w:rPr>
          <w:rFonts w:hint="eastAsia" w:ascii="仿宋" w:hAnsi="仿宋" w:eastAsia="仿宋" w:cs="仿宋"/>
          <w:b/>
          <w:color w:val="auto"/>
          <w:kern w:val="0"/>
          <w:sz w:val="24"/>
          <w:szCs w:val="24"/>
          <w:highlight w:val="none"/>
        </w:rPr>
        <w:t>。</w:t>
      </w:r>
    </w:p>
    <w:p w14:paraId="719153EB">
      <w:pPr>
        <w:shd w:val="clear" w:color="auto" w:fill="auto"/>
        <w:snapToGrid w:val="0"/>
        <w:spacing w:line="360" w:lineRule="auto"/>
        <w:ind w:firstLine="48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14:paraId="61676454">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14:paraId="1683157C">
      <w:pPr>
        <w:pStyle w:val="5"/>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4FEDC2AF">
      <w:pPr>
        <w:pStyle w:val="5"/>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w:t>
      </w:r>
      <w:r>
        <w:rPr>
          <w:rFonts w:hint="eastAsia" w:ascii="仿宋" w:hAnsi="仿宋" w:eastAsia="仿宋" w:cs="仿宋"/>
          <w:b w:val="0"/>
          <w:bCs/>
          <w:color w:val="auto"/>
          <w:kern w:val="0"/>
          <w:sz w:val="24"/>
          <w:szCs w:val="24"/>
          <w:highlight w:val="none"/>
          <w:lang w:val="en-US" w:eastAsia="zh-CN"/>
        </w:rPr>
        <w:t>投标人</w:t>
      </w:r>
      <w:r>
        <w:rPr>
          <w:rFonts w:hint="eastAsia" w:ascii="仿宋" w:hAnsi="仿宋" w:eastAsia="仿宋" w:cs="仿宋"/>
          <w:b w:val="0"/>
          <w:bCs/>
          <w:color w:val="auto"/>
          <w:kern w:val="0"/>
          <w:sz w:val="24"/>
          <w:szCs w:val="24"/>
          <w:highlight w:val="none"/>
        </w:rPr>
        <w:t>须知前附表》。</w:t>
      </w:r>
    </w:p>
    <w:p w14:paraId="0805BD8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评审工作的组织</w:t>
      </w:r>
    </w:p>
    <w:p w14:paraId="627DED3B">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14:paraId="3850CA1B">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 评标委员会的组建</w:t>
      </w:r>
    </w:p>
    <w:p w14:paraId="0AFB663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.1评标委员会由采购人或采购代理机构依法组建，成员由采购人代表和评审专家组成，成员人数为</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人或以上单数，其中评审专家不少于成员总数的三分之二。</w:t>
      </w:r>
    </w:p>
    <w:p w14:paraId="3915DCD8">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政府采购云平台专家库中通过随机方式抽取产生。评标委员会成员名单在采购结果公告前保密。</w:t>
      </w:r>
    </w:p>
    <w:p w14:paraId="452B8164">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.评标委员会的职责</w:t>
      </w:r>
    </w:p>
    <w:p w14:paraId="434ADF3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.1审查、评价投标文件是否符合采购文件的商务、技术等实质性要求。</w:t>
      </w:r>
    </w:p>
    <w:p w14:paraId="7B6C4903">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.2要求供应商对投标文件有关事项作出澄清或者说明。</w:t>
      </w:r>
    </w:p>
    <w:p w14:paraId="58A73D7B">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.3对投标文件进行比较和评价。</w:t>
      </w:r>
    </w:p>
    <w:p w14:paraId="7037BC99">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.4确定中标候选人名单，以及根据采购人委托直接确定中标人。</w:t>
      </w:r>
    </w:p>
    <w:p w14:paraId="16589044">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.5向采购人、采购代理机构或者有关部门报告评审中发现的违法行为。</w:t>
      </w:r>
    </w:p>
    <w:p w14:paraId="584AA2B9">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 评标原则</w:t>
      </w:r>
    </w:p>
    <w:p w14:paraId="21B05E0E">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.1评标委员会将遵循公平、公正、科学的原则，对供应商提交的投标文件进行综合评审，评标委员会按照采购文件规定的评标细则进行评分。</w:t>
      </w:r>
    </w:p>
    <w:p w14:paraId="536223AB">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.2客观公正对待所有供应商，对所有投标评价均采用相同的程序和标准。</w:t>
      </w:r>
    </w:p>
    <w:p w14:paraId="30227495">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13690FC1">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692E6E1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非单一产品采购项目，采购人应当根据采购项目技术构成、产品价格比重等合理确定核心产品，并在采购文件中载明。多家供应商提供的核心产品品牌相同的，按前款规定处理。</w:t>
      </w:r>
    </w:p>
    <w:p w14:paraId="1552DF6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评委纪律</w:t>
      </w:r>
    </w:p>
    <w:p w14:paraId="4CF6EA6D">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w:t>
      </w:r>
      <w:r>
        <w:rPr>
          <w:rFonts w:hint="eastAsia" w:ascii="仿宋" w:hAnsi="仿宋" w:eastAsia="仿宋" w:cs="仿宋"/>
          <w:color w:val="auto"/>
          <w:sz w:val="24"/>
          <w:szCs w:val="24"/>
          <w:highlight w:val="none"/>
          <w:lang w:eastAsia="zh-CN"/>
        </w:rPr>
        <w:t>。</w:t>
      </w:r>
    </w:p>
    <w:p w14:paraId="52FA3668">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评标程序</w:t>
      </w:r>
    </w:p>
    <w:p w14:paraId="6B2ECA6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 在评审专家中推选评标委员会组长，采购人代表不得担任评标委员会组长。</w:t>
      </w:r>
    </w:p>
    <w:p w14:paraId="488215CC">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1B2261D0">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评审人员对符合资格的供应商的投标文件的有效性、符合性、完整性和响应程度进行审查，确定是否对采购文件作出实质性响应。</w:t>
      </w:r>
    </w:p>
    <w:p w14:paraId="48E02877">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4 评审人员按采购文件规定的评审方法和评审标准，依法独立对供应商投标文件进行评估、比较，并给予评价或打分，不受任何单位和个人的干预。</w:t>
      </w:r>
    </w:p>
    <w:p w14:paraId="57D74097">
      <w:pPr>
        <w:widowControl/>
        <w:shd w:val="clear" w:color="auto" w:fill="auto"/>
        <w:spacing w:line="4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综合评分法货物项目的价格分值占总分值的比重(即权值)为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14:paraId="738BB9C2">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14:paraId="1B6B7278">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报价）×价格权值×100</w:t>
      </w:r>
    </w:p>
    <w:p w14:paraId="4972FE80">
      <w:pPr>
        <w:widowControl/>
        <w:shd w:val="clear" w:color="auto" w:fill="auto"/>
        <w:spacing w:line="440" w:lineRule="exact"/>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14:paraId="4EED8687">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34C86461">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30%以上的）情形的，应由相关人员当场改正或作出书面说明；拒不改正又不作书面说明的，由现场监督员如实记载后存入项目档案资料。</w:t>
      </w:r>
    </w:p>
    <w:p w14:paraId="5F249289">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7 评标委员会根据评审汇总情况和采购文件规定确定中标候选供应商排序名单。</w:t>
      </w:r>
    </w:p>
    <w:p w14:paraId="3E18E159">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14:paraId="278CDDAC">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9 采购组织机构对评标委员会评审专家进行评价。</w:t>
      </w:r>
    </w:p>
    <w:p w14:paraId="6C03BF27">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10 修改评审结果</w:t>
      </w:r>
    </w:p>
    <w:p w14:paraId="1B77B50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14:paraId="2E5CE25F">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14:paraId="10BD5E62">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14:paraId="12B0ED7E">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14:paraId="4C6F3CB8">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14:paraId="1354D01F">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C2BA4C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36．澄清、说明或补正的形式</w:t>
      </w:r>
    </w:p>
    <w:p w14:paraId="39C3907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14:paraId="0E65B26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27553D2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4823570F">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37．错误修正的原则</w:t>
      </w:r>
    </w:p>
    <w:p w14:paraId="070118E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695193B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14:paraId="3D3321D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投标函中表述的内容与报价表中不一致的，以报价表为准；报价表中的内容与报价明细表不一致的，以报价表为准；</w:t>
      </w:r>
    </w:p>
    <w:p w14:paraId="43E53F6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 投标文件中的大写金额和小写金额不一致的，以大写金额为准；</w:t>
      </w:r>
    </w:p>
    <w:p w14:paraId="3079060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单价金额小数点或者百分比有明显错位的，以开标一览表的总价为准，并修改单价；</w:t>
      </w:r>
    </w:p>
    <w:p w14:paraId="2AAC2ED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总价金额与按单价汇总金额不一致的，以单价金额计算结果为准；</w:t>
      </w:r>
    </w:p>
    <w:p w14:paraId="5C58FBE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若用文字表示的数值与用数字表示的数值不一致，以文字表示的数值为准；</w:t>
      </w:r>
    </w:p>
    <w:p w14:paraId="79634F1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如有多报（指数量超出采购文件需求）、重报（指同一货物重复报价），其投标总价在评标过程中不予调整，如其中标，其合同价按其投标单价予以调整；</w:t>
      </w:r>
    </w:p>
    <w:p w14:paraId="03F6099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对不同文字文本投标文件的解释发生异议的，以中文文本为准；</w:t>
      </w:r>
    </w:p>
    <w:p w14:paraId="2035AFEC">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14:paraId="7A5AB9F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38．无效投标文件</w:t>
      </w:r>
    </w:p>
    <w:p w14:paraId="7B31BBB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14:paraId="162BCF8F">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报名的投标人与参加投标的投标人发生实质性变更的且未提供有效证明的；</w:t>
      </w:r>
    </w:p>
    <w:p w14:paraId="3F751E2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38.2投标人提交两份或两份以上内容不同的投标文件，未声明哪一份有效的；</w:t>
      </w:r>
    </w:p>
    <w:p w14:paraId="015FFDCF">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投标文件非投标人法定代表人签署的，未提供或提供无效的法定代表人授权书；</w:t>
      </w:r>
    </w:p>
    <w:p w14:paraId="48EA626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未按招标文件规定装订；</w:t>
      </w:r>
    </w:p>
    <w:p w14:paraId="75A03C2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38.5 投标文件内容未按招标文件规定签字、盖章的；</w:t>
      </w:r>
    </w:p>
    <w:p w14:paraId="1440CD7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14:paraId="2395CE3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38.7 投标人未按招标文件变更通知更改投标文件的；</w:t>
      </w:r>
    </w:p>
    <w:p w14:paraId="7F0D777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38.8 《开标一览表》和《投标分项报价表》内容不完整且不接受修正意见或字迹不能辨认的或未提供；</w:t>
      </w:r>
    </w:p>
    <w:p w14:paraId="56532BDF">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38.9 标项投标报价超过招标文件规定的预算金额或最高限价</w:t>
      </w:r>
    </w:p>
    <w:p w14:paraId="5A61D54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38.10 因投标人原因编制错误造成经评标委员会修正后的报价达到或超过投标报价的0.5%；</w:t>
      </w:r>
    </w:p>
    <w:p w14:paraId="0FE35D5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14:paraId="589510A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38.12 未实质性响应招标文件中条款要求的投标文件；</w:t>
      </w:r>
    </w:p>
    <w:p w14:paraId="5A20842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38.13 不符合招标范围、技术规格、技术标准的要求无法满足采购人使用要求；</w:t>
      </w:r>
    </w:p>
    <w:p w14:paraId="21B559A4">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38.14 投标文件附有采购人不能接受的条款；</w:t>
      </w:r>
    </w:p>
    <w:p w14:paraId="3F575E3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38.15 投标文件中提供了赠品或者与本项目采购无关的其他商品、服务；</w:t>
      </w:r>
    </w:p>
    <w:p w14:paraId="01F2876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38.16 投标文件中承诺的投标有效期少于招标文件中载明的投标有效期；</w:t>
      </w:r>
    </w:p>
    <w:p w14:paraId="29A21BB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38.17投标人串通投标，妨碍其他投标人的竞争行为，损害采购人或者其他投标人的合法权益；</w:t>
      </w:r>
    </w:p>
    <w:p w14:paraId="1725FAAF">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38.18违反国家及政府部门相关法律、法规、文件规定或经评标委员会认定的其他属于重大偏离；</w:t>
      </w:r>
    </w:p>
    <w:p w14:paraId="43A7A3A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39．废标</w:t>
      </w:r>
    </w:p>
    <w:p w14:paraId="2A3BDD6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符合招标文件规定废标情形的；</w:t>
      </w:r>
    </w:p>
    <w:p w14:paraId="5EDE444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出现影响采购公正的违法、违规行为的；</w:t>
      </w:r>
    </w:p>
    <w:p w14:paraId="5E8ECDF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39.3 供应商的报价均超过了采购预算（或最高限价），采购人不能支付的;</w:t>
      </w:r>
    </w:p>
    <w:p w14:paraId="5830393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39.4 因重大变故，采购任务取消的。</w:t>
      </w:r>
    </w:p>
    <w:p w14:paraId="43961F4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40．突发情况处理</w:t>
      </w:r>
    </w:p>
    <w:p w14:paraId="12287D1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40.1 采购过程中出现以下情形，导致电子交易平台无法正常运行，或者无法保证电子交易的公平、公正和安全时，采购组织机构可中止电子交易活动：</w:t>
      </w:r>
    </w:p>
    <w:p w14:paraId="15D2F30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14:paraId="39EF840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14:paraId="6AA0095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14:paraId="1B9AA98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14:paraId="29E92ED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14:paraId="2DE44114">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83DBEA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 采购代理机构或评审小组因不可抗力（不可抗力包括但不限于自然灾害、断电、传播疫病等）原因造成电子交易活动无法正常运行的，将采取以下措施：</w:t>
      </w:r>
    </w:p>
    <w:p w14:paraId="5FCD446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2070A1E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22BAA4F2">
      <w:pPr>
        <w:shd w:val="clear" w:color="auto" w:fill="auto"/>
        <w:snapToGrid w:val="0"/>
        <w:spacing w:line="360" w:lineRule="exact"/>
        <w:ind w:firstLine="42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41</w:t>
      </w:r>
      <w:r>
        <w:rPr>
          <w:rFonts w:hint="eastAsia" w:ascii="仿宋" w:hAnsi="仿宋" w:eastAsia="仿宋" w:cs="仿宋"/>
          <w:b/>
          <w:color w:val="auto"/>
          <w:sz w:val="24"/>
          <w:szCs w:val="24"/>
          <w:highlight w:val="none"/>
        </w:rPr>
        <w:t>. 定标</w:t>
      </w:r>
    </w:p>
    <w:p w14:paraId="448A1BD7">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41.1采购结果确认（确定中标供应商）</w:t>
      </w:r>
    </w:p>
    <w:p w14:paraId="1F5C561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14:paraId="0F38249F">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14:paraId="04C951E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2F51B77C">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41.2采购结果经采购人确认后2个工作日内，采购代理机构将在</w:t>
      </w:r>
      <w:r>
        <w:rPr>
          <w:rFonts w:hint="eastAsia" w:ascii="仿宋" w:hAnsi="仿宋" w:eastAsia="仿宋" w:cs="仿宋"/>
          <w:b/>
          <w:bCs/>
          <w:color w:val="auto"/>
          <w:sz w:val="24"/>
          <w:szCs w:val="24"/>
          <w:highlight w:val="none"/>
          <w:lang w:val="en-US" w:eastAsia="zh-CN"/>
        </w:rPr>
        <w:t>新疆政府采购网（www.zjzfcg.gov.cn）上公告采购结果，中标公告期限为1个工作日。</w:t>
      </w:r>
    </w:p>
    <w:p w14:paraId="5967664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 中标通知书</w:t>
      </w:r>
    </w:p>
    <w:p w14:paraId="23E16BA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采购组织机构向中标人发出中标通知书。</w:t>
      </w:r>
    </w:p>
    <w:p w14:paraId="0746B633">
      <w:pPr>
        <w:shd w:val="clear" w:color="auto" w:fill="auto"/>
        <w:spacing w:before="156" w:beforeLines="50" w:line="440" w:lineRule="exact"/>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42.2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26844F1B">
      <w:pPr>
        <w:shd w:val="clear" w:color="auto" w:fill="auto"/>
        <w:spacing w:before="156" w:beforeLines="50" w:line="440" w:lineRule="exact"/>
        <w:jc w:val="center"/>
        <w:outlineLvl w:val="9"/>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rPr>
        <w:t>（六）合同的授予</w:t>
      </w:r>
      <w:bookmarkEnd w:id="58"/>
      <w:bookmarkEnd w:id="59"/>
    </w:p>
    <w:p w14:paraId="4385920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bookmarkStart w:id="60" w:name="_Toc73975842"/>
      <w:bookmarkStart w:id="61" w:name="_Toc469495730"/>
      <w:r>
        <w:rPr>
          <w:rFonts w:hint="eastAsia" w:ascii="仿宋" w:hAnsi="仿宋" w:eastAsia="仿宋" w:cs="仿宋"/>
          <w:b w:val="0"/>
          <w:bCs w:val="0"/>
          <w:color w:val="auto"/>
          <w:sz w:val="24"/>
          <w:szCs w:val="24"/>
          <w:highlight w:val="none"/>
          <w:lang w:val="en-US" w:eastAsia="zh-CN"/>
        </w:rPr>
        <w:t>43．履约保证金</w:t>
      </w:r>
      <w:bookmarkEnd w:id="60"/>
    </w:p>
    <w:p w14:paraId="32C6E7A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bookmarkStart w:id="62" w:name="_Toc73975843"/>
      <w:r>
        <w:rPr>
          <w:rFonts w:hint="eastAsia" w:ascii="仿宋" w:hAnsi="仿宋" w:eastAsia="仿宋" w:cs="仿宋"/>
          <w:b w:val="0"/>
          <w:bCs w:val="0"/>
          <w:color w:val="auto"/>
          <w:sz w:val="24"/>
          <w:szCs w:val="24"/>
          <w:highlight w:val="none"/>
          <w:lang w:val="en-US" w:eastAsia="zh-CN"/>
        </w:rPr>
        <w:t>无</w:t>
      </w:r>
    </w:p>
    <w:p w14:paraId="7DDD1A6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44．签订合同及公告</w:t>
      </w:r>
      <w:bookmarkEnd w:id="62"/>
    </w:p>
    <w:p w14:paraId="6CA6482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44.1采购人在中标通知书发出之日起30日内与中标供应商签订合同。</w:t>
      </w:r>
    </w:p>
    <w:p w14:paraId="6855C10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44.2中标供应商拖延、拒签合同的,取消中标资格。</w:t>
      </w:r>
    </w:p>
    <w:p w14:paraId="0A071D81">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14:paraId="1FAF9FB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44.4采购人应当自政府采购合同签订之日起2个工作日内，在省级以上财政部门指定的政府采购信息发布媒体及相关网站上公告。</w:t>
      </w:r>
    </w:p>
    <w:p w14:paraId="07626B6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44.5采购人应当自政府采购合同签订之日起7个工作日内，将政府采购合同副本报同级人民政府财政部门备案以及采购代理机构存档。</w:t>
      </w:r>
    </w:p>
    <w:p w14:paraId="381D7C2E">
      <w:pPr>
        <w:shd w:val="clear" w:color="auto" w:fill="auto"/>
        <w:adjustRightInd w:val="0"/>
        <w:snapToGrid w:val="0"/>
        <w:spacing w:line="440" w:lineRule="exact"/>
        <w:jc w:val="center"/>
        <w:outlineLvl w:val="9"/>
        <w:rPr>
          <w:rFonts w:hint="eastAsia" w:ascii="仿宋" w:hAnsi="仿宋" w:eastAsia="仿宋" w:cs="仿宋"/>
          <w:color w:val="auto"/>
          <w:sz w:val="28"/>
          <w:szCs w:val="28"/>
          <w:highlight w:val="none"/>
        </w:rPr>
      </w:pPr>
      <w:bookmarkStart w:id="63" w:name="_Toc10915"/>
      <w:r>
        <w:rPr>
          <w:rFonts w:hint="eastAsia" w:ascii="仿宋" w:hAnsi="仿宋" w:eastAsia="仿宋" w:cs="仿宋"/>
          <w:color w:val="auto"/>
          <w:sz w:val="28"/>
          <w:szCs w:val="28"/>
          <w:highlight w:val="none"/>
        </w:rPr>
        <w:t>（七）纪律和监督</w:t>
      </w:r>
      <w:bookmarkEnd w:id="61"/>
      <w:bookmarkEnd w:id="63"/>
    </w:p>
    <w:p w14:paraId="637E9194">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对招标人的纪律要求 </w:t>
      </w:r>
    </w:p>
    <w:p w14:paraId="0CD61C4B">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14:paraId="65135AD1">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rPr>
        <w:t xml:space="preserve">. 对投标人的纪律要求 </w:t>
      </w:r>
    </w:p>
    <w:p w14:paraId="356F35D9">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4A61688D">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对评标委员会成员的纪律要求</w:t>
      </w:r>
    </w:p>
    <w:p w14:paraId="087428CD">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.1评标委员会成员不得收受他人的财物或者其他好处，不得向他人透漏对投标文件的评审和比较、中标候选人的推荐情况以及评标有关的其他情况。</w:t>
      </w:r>
    </w:p>
    <w:p w14:paraId="6CD1E4BA">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47</w:t>
      </w:r>
      <w:r>
        <w:rPr>
          <w:rFonts w:hint="eastAsia" w:ascii="仿宋" w:hAnsi="仿宋" w:eastAsia="仿宋" w:cs="仿宋"/>
          <w:color w:val="auto"/>
          <w:kern w:val="10"/>
          <w:sz w:val="24"/>
          <w:szCs w:val="24"/>
          <w:highlight w:val="none"/>
        </w:rPr>
        <w:t>.2在评标活动中，评标委员会成员不得擅离职守，影响评标程序正常进行，不得使用第三章“评标办法”没有规定的评审因素和标准进行评标。</w:t>
      </w:r>
    </w:p>
    <w:p w14:paraId="11B149F5">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48</w:t>
      </w:r>
      <w:r>
        <w:rPr>
          <w:rFonts w:hint="eastAsia" w:ascii="仿宋" w:hAnsi="仿宋" w:eastAsia="仿宋" w:cs="仿宋"/>
          <w:b/>
          <w:color w:val="auto"/>
          <w:sz w:val="24"/>
          <w:szCs w:val="24"/>
          <w:highlight w:val="none"/>
        </w:rPr>
        <w:t>. 对与评标活动有关的工作人员的纪律要求</w:t>
      </w:r>
    </w:p>
    <w:p w14:paraId="323DAD97">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8</w:t>
      </w:r>
      <w:r>
        <w:rPr>
          <w:rFonts w:hint="eastAsia" w:ascii="仿宋" w:hAnsi="仿宋" w:eastAsia="仿宋" w:cs="仿宋"/>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E6B7C1F">
      <w:pPr>
        <w:shd w:val="clear" w:color="auto" w:fill="auto"/>
        <w:spacing w:before="156" w:beforeLines="50" w:after="156" w:afterLines="50" w:line="500" w:lineRule="exact"/>
        <w:jc w:val="center"/>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（八）质疑与投诉</w:t>
      </w:r>
    </w:p>
    <w:p w14:paraId="01555B8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49．质疑和投诉</w:t>
      </w:r>
    </w:p>
    <w:p w14:paraId="6676719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758B0DD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（一）对可以质疑的采购文件提出质疑的，为收到采购文件之日或者采购文件公告期限届满之日；</w:t>
      </w:r>
    </w:p>
    <w:p w14:paraId="65FA163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14:paraId="4599433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14:paraId="4E73ADCF">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D3D09F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14:paraId="7EA7A7C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14:paraId="4B585E12">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14:paraId="4E378B33">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49.5供应商有下列情形之一的，将其列入不良行为记录名单：</w:t>
      </w:r>
    </w:p>
    <w:p w14:paraId="4728CD9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14:paraId="3446D07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14:paraId="640B8DA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14:paraId="1B86A431">
      <w:pPr>
        <w:shd w:val="clear" w:color="auto" w:fill="auto"/>
        <w:jc w:val="left"/>
        <w:outlineLvl w:val="9"/>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br w:type="page"/>
      </w:r>
      <w:r>
        <w:rPr>
          <w:rFonts w:hint="eastAsia" w:ascii="仿宋" w:hAnsi="仿宋" w:eastAsia="仿宋" w:cs="仿宋"/>
          <w:b/>
          <w:bCs/>
          <w:color w:val="auto"/>
          <w:sz w:val="21"/>
          <w:szCs w:val="21"/>
          <w:highlight w:val="none"/>
          <w:lang w:eastAsia="zh-CN"/>
        </w:rPr>
        <w:t>附件：</w:t>
      </w:r>
    </w:p>
    <w:p w14:paraId="562E6F9B">
      <w:pPr>
        <w:shd w:val="clear" w:color="auto" w:fill="auto"/>
        <w:jc w:val="center"/>
        <w:outlineLvl w:val="9"/>
        <w:rPr>
          <w:rFonts w:hint="eastAsia" w:ascii="仿宋" w:hAnsi="仿宋" w:eastAsia="仿宋" w:cs="仿宋"/>
          <w:b/>
          <w:bCs/>
          <w:color w:val="auto"/>
          <w:sz w:val="32"/>
          <w:szCs w:val="32"/>
          <w:highlight w:val="none"/>
          <w:lang w:eastAsia="zh-CN"/>
        </w:rPr>
      </w:pPr>
    </w:p>
    <w:p w14:paraId="1E852D90">
      <w:pPr>
        <w:shd w:val="clear" w:color="auto" w:fill="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14:paraId="3095A398">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b/>
          <w:bCs/>
          <w:color w:val="auto"/>
          <w:sz w:val="28"/>
          <w:szCs w:val="28"/>
          <w:highlight w:val="none"/>
        </w:rPr>
        <w:t>政府采购投诉书（范本）</w:t>
      </w:r>
    </w:p>
    <w:p w14:paraId="103F8E2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14:paraId="4F9D8BE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B00DAB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14:paraId="07CA7E1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2C2A67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14:paraId="17C0059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14:paraId="17D6AAEB">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p>
    <w:p w14:paraId="6DA3B50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14:paraId="786B968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14:paraId="4D6136E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14:paraId="215EBE24">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14:paraId="78FEE61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14:paraId="3743819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14:paraId="352B2D3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14:paraId="118A2D8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14:paraId="1D5018A8">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14:paraId="66D6D38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14:paraId="6363512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6.政府采购监管部门认为应当提供的其它材料。</w:t>
      </w:r>
    </w:p>
    <w:p w14:paraId="1892A2A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14:paraId="1AF098E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600" w:firstLineChars="15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法定代表人（或主要负责人）：（签字）</w:t>
      </w:r>
    </w:p>
    <w:p w14:paraId="7B65DE3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18FA4D6">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本投诉书正本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份并附电子文档。</w:t>
      </w:r>
    </w:p>
    <w:p w14:paraId="74F30F42">
      <w:pPr>
        <w:shd w:val="clear" w:color="auto" w:fill="auto"/>
        <w:ind w:left="7951" w:hanging="5760" w:hangingChars="1800"/>
        <w:jc w:val="center"/>
        <w:outlineLvl w:val="9"/>
        <w:rPr>
          <w:rFonts w:hint="eastAsia" w:ascii="仿宋" w:hAnsi="仿宋" w:eastAsia="仿宋" w:cs="仿宋"/>
          <w:color w:val="auto"/>
          <w:sz w:val="32"/>
          <w:szCs w:val="32"/>
          <w:highlight w:val="none"/>
        </w:rPr>
      </w:pPr>
      <w:bookmarkStart w:id="64" w:name="_Toc17515"/>
      <w:r>
        <w:rPr>
          <w:rFonts w:hint="eastAsia" w:ascii="仿宋" w:hAnsi="仿宋" w:eastAsia="仿宋" w:cs="仿宋"/>
          <w:b/>
          <w:bCs/>
          <w:color w:val="auto"/>
          <w:sz w:val="32"/>
          <w:szCs w:val="32"/>
          <w:highlight w:val="none"/>
        </w:rPr>
        <w:br w:type="page"/>
      </w:r>
      <w:bookmarkStart w:id="65" w:name="_Toc3424"/>
      <w:r>
        <w:rPr>
          <w:rFonts w:hint="eastAsia" w:ascii="仿宋" w:hAnsi="仿宋" w:eastAsia="仿宋" w:cs="仿宋"/>
          <w:b/>
          <w:bCs/>
          <w:color w:val="auto"/>
          <w:sz w:val="32"/>
          <w:szCs w:val="32"/>
          <w:highlight w:val="none"/>
        </w:rPr>
        <w:t>投诉相关说明</w:t>
      </w:r>
      <w:bookmarkEnd w:id="64"/>
      <w:bookmarkEnd w:id="65"/>
    </w:p>
    <w:p w14:paraId="5D0334F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14:paraId="555C5997">
      <w:pPr>
        <w:keepNext w:val="0"/>
        <w:keepLines w:val="0"/>
        <w:pageBreakBefore w:val="0"/>
        <w:numPr>
          <w:ilvl w:val="0"/>
          <w:numId w:val="0"/>
        </w:numPr>
        <w:shd w:val="clear" w:color="auto" w:fill="auto"/>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仿宋" w:hAnsi="仿宋" w:eastAsia="仿宋" w:cs="仿宋"/>
          <w:b/>
          <w:bCs/>
          <w:color w:val="auto"/>
          <w:sz w:val="24"/>
          <w:szCs w:val="24"/>
          <w:highlight w:val="none"/>
        </w:rPr>
      </w:pPr>
      <w:bookmarkStart w:id="66" w:name="_Toc23018"/>
      <w:bookmarkStart w:id="67" w:name="_Toc11499"/>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质疑前置及时间要求</w:t>
      </w:r>
      <w:bookmarkEnd w:id="66"/>
      <w:bookmarkEnd w:id="67"/>
    </w:p>
    <w:p w14:paraId="2BCE382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14:paraId="26F8C68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14:paraId="08088D51">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4B7247D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5FC9594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《政府采购实施条例》第五十五条：供应商质疑、投诉应当有明确的请求和必要的证明材料。供应商投诉的事项不得超出质疑事项的范围。</w:t>
      </w:r>
    </w:p>
    <w:p w14:paraId="042C75E4">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bookmarkStart w:id="68" w:name="_Toc21691"/>
      <w:bookmarkStart w:id="69" w:name="_Toc13508"/>
      <w:r>
        <w:rPr>
          <w:rFonts w:hint="eastAsia" w:ascii="仿宋" w:hAnsi="仿宋" w:eastAsia="仿宋" w:cs="仿宋"/>
          <w:b/>
          <w:bCs/>
          <w:color w:val="auto"/>
          <w:sz w:val="24"/>
          <w:szCs w:val="24"/>
          <w:highlight w:val="none"/>
        </w:rPr>
        <w:t>二、书面方式</w:t>
      </w:r>
      <w:bookmarkEnd w:id="68"/>
      <w:bookmarkEnd w:id="69"/>
    </w:p>
    <w:p w14:paraId="51B3EE1A">
      <w:pPr>
        <w:keepNext w:val="0"/>
        <w:keepLines w:val="0"/>
        <w:pageBreakBefore w:val="0"/>
        <w:shd w:val="clear" w:color="auto" w:fill="auto"/>
        <w:kinsoku/>
        <w:wordWrap/>
        <w:overflowPunct/>
        <w:topLinePunct w:val="0"/>
        <w:autoSpaceDE/>
        <w:autoSpaceDN/>
        <w:bidi w:val="0"/>
        <w:adjustRightInd/>
        <w:snapToGrid/>
        <w:spacing w:line="400" w:lineRule="exact"/>
        <w:ind w:left="0" w:leftChars="0" w:firstLine="0" w:firstLine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《政府采购供应商投诉处理办法》第八条：投诉人投诉时，应当提交投诉书，并按照被投诉人以及与投诉事项有关的供应商数量提供投诉书的副本。</w:t>
      </w:r>
    </w:p>
    <w:p w14:paraId="498B12AC">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投诉书应当包括下列主要内容：</w:t>
      </w:r>
    </w:p>
    <w:p w14:paraId="6FA12A83">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14:paraId="072BBD03">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14:paraId="2F01C8B5">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14:paraId="742C5DF7">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14:paraId="7C48BD35">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投诉书应当署名。投诉人为自然人，应当由本人签字；投诉人为法人或者其他组织的，应当由法定代表人或者主要负责人签字并加盖公章。</w:t>
      </w:r>
    </w:p>
    <w:p w14:paraId="310F2242">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055053B8">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14:paraId="4A3FFBFF">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14:paraId="59A109CE">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14:paraId="0F9B5FE5">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14:paraId="5DB637EB">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14:paraId="7ED4176A">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14:paraId="3A3731DA">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14:paraId="15524D80">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14:paraId="7A340634">
      <w:pPr>
        <w:shd w:val="clear" w:color="auto" w:fill="auto"/>
        <w:outlineLvl w:val="9"/>
        <w:rPr>
          <w:rFonts w:hint="eastAsia" w:ascii="仿宋" w:hAnsi="仿宋" w:eastAsia="仿宋" w:cs="仿宋"/>
          <w:color w:val="auto"/>
          <w:sz w:val="24"/>
          <w:szCs w:val="24"/>
          <w:highlight w:val="none"/>
        </w:rPr>
      </w:pPr>
      <w:bookmarkStart w:id="70" w:name="_Toc18152"/>
      <w:bookmarkStart w:id="71" w:name="_Toc5978"/>
      <w:r>
        <w:rPr>
          <w:rFonts w:hint="eastAsia" w:ascii="仿宋" w:hAnsi="仿宋" w:eastAsia="仿宋" w:cs="仿宋"/>
          <w:b/>
          <w:bCs/>
          <w:color w:val="auto"/>
          <w:sz w:val="24"/>
          <w:szCs w:val="24"/>
          <w:highlight w:val="none"/>
        </w:rPr>
        <w:t>三、虚假、恶意投诉法律责任</w:t>
      </w:r>
      <w:bookmarkEnd w:id="70"/>
      <w:bookmarkEnd w:id="71"/>
    </w:p>
    <w:p w14:paraId="11A2317C">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14:paraId="6CB2738A">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14:paraId="099168A1">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14:paraId="361E77D3">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14:paraId="3BE4B88B">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1"/>
          <w:szCs w:val="21"/>
          <w:highlight w:val="none"/>
        </w:rPr>
      </w:pPr>
    </w:p>
    <w:p w14:paraId="0B579AFF">
      <w:pPr>
        <w:shd w:val="clear" w:color="auto" w:fill="auto"/>
        <w:jc w:val="right"/>
        <w:outlineLvl w:val="9"/>
        <w:rPr>
          <w:rFonts w:hint="eastAsia" w:ascii="仿宋" w:hAnsi="仿宋" w:eastAsia="仿宋" w:cs="仿宋"/>
          <w:color w:val="auto"/>
          <w:sz w:val="32"/>
          <w:szCs w:val="32"/>
          <w:highlight w:val="none"/>
        </w:rPr>
      </w:pPr>
    </w:p>
    <w:p w14:paraId="39BBEDE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32"/>
          <w:szCs w:val="32"/>
          <w:highlight w:val="none"/>
        </w:rPr>
      </w:pPr>
      <w:bookmarkStart w:id="72" w:name="_Toc1697"/>
      <w:r>
        <w:rPr>
          <w:rFonts w:hint="eastAsia" w:ascii="仿宋" w:hAnsi="仿宋" w:eastAsia="仿宋" w:cs="仿宋"/>
          <w:b/>
          <w:bCs/>
          <w:color w:val="auto"/>
          <w:sz w:val="32"/>
          <w:szCs w:val="32"/>
          <w:highlight w:val="none"/>
        </w:rPr>
        <w:br w:type="page"/>
      </w:r>
      <w:bookmarkStart w:id="73" w:name="_Toc31922"/>
      <w:r>
        <w:rPr>
          <w:rFonts w:hint="eastAsia" w:ascii="仿宋" w:hAnsi="仿宋" w:eastAsia="仿宋" w:cs="仿宋"/>
          <w:b/>
          <w:bCs/>
          <w:color w:val="auto"/>
          <w:sz w:val="32"/>
          <w:szCs w:val="32"/>
          <w:highlight w:val="none"/>
        </w:rPr>
        <w:t>质疑函范本</w:t>
      </w:r>
      <w:bookmarkEnd w:id="72"/>
      <w:bookmarkEnd w:id="73"/>
    </w:p>
    <w:p w14:paraId="115BD134">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auto"/>
          <w:sz w:val="24"/>
          <w:szCs w:val="24"/>
          <w:highlight w:val="none"/>
        </w:rPr>
      </w:pPr>
      <w:bookmarkStart w:id="74" w:name="_Toc22990"/>
      <w:bookmarkStart w:id="75" w:name="_Toc9061"/>
      <w:r>
        <w:rPr>
          <w:rFonts w:hint="eastAsia" w:ascii="仿宋" w:hAnsi="仿宋" w:eastAsia="仿宋" w:cs="仿宋"/>
          <w:bCs/>
          <w:color w:val="auto"/>
          <w:sz w:val="24"/>
          <w:szCs w:val="24"/>
          <w:highlight w:val="none"/>
        </w:rPr>
        <w:t>一、质疑供应商基本信息</w:t>
      </w:r>
      <w:bookmarkEnd w:id="74"/>
      <w:bookmarkEnd w:id="75"/>
    </w:p>
    <w:p w14:paraId="3DE9284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1442104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BDFD37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7BD6F6D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32C87B2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A62B0A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1196D3E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6" w:name="_Toc15938"/>
      <w:bookmarkStart w:id="77" w:name="_Toc7359"/>
      <w:r>
        <w:rPr>
          <w:rFonts w:hint="eastAsia" w:ascii="仿宋" w:hAnsi="仿宋" w:eastAsia="仿宋" w:cs="仿宋"/>
          <w:bCs/>
          <w:color w:val="auto"/>
          <w:sz w:val="24"/>
          <w:szCs w:val="24"/>
          <w:highlight w:val="none"/>
        </w:rPr>
        <w:t>二、质疑项目基本情况</w:t>
      </w:r>
      <w:bookmarkEnd w:id="76"/>
      <w:bookmarkEnd w:id="77"/>
    </w:p>
    <w:p w14:paraId="2F52A3D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252E7A4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7EE207D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7B5E9AC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4A79FAF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8" w:name="_Toc1043"/>
      <w:bookmarkStart w:id="79" w:name="_Toc18271"/>
      <w:r>
        <w:rPr>
          <w:rFonts w:hint="eastAsia" w:ascii="仿宋" w:hAnsi="仿宋" w:eastAsia="仿宋" w:cs="仿宋"/>
          <w:bCs/>
          <w:color w:val="auto"/>
          <w:sz w:val="24"/>
          <w:szCs w:val="24"/>
          <w:highlight w:val="none"/>
        </w:rPr>
        <w:t>三、质疑事项具体内容</w:t>
      </w:r>
      <w:bookmarkEnd w:id="78"/>
      <w:bookmarkEnd w:id="79"/>
    </w:p>
    <w:p w14:paraId="16F07A7B">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2C014EB9">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6274F4A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5D9BE3A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2ACA5EE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6FCABB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80" w:name="_Toc22365"/>
      <w:bookmarkStart w:id="81" w:name="_Toc16593"/>
      <w:r>
        <w:rPr>
          <w:rFonts w:hint="eastAsia" w:ascii="仿宋" w:hAnsi="仿宋" w:eastAsia="仿宋" w:cs="仿宋"/>
          <w:bCs/>
          <w:color w:val="auto"/>
          <w:sz w:val="24"/>
          <w:szCs w:val="24"/>
          <w:highlight w:val="none"/>
        </w:rPr>
        <w:t>四、与质疑事项相关的质疑请求</w:t>
      </w:r>
      <w:bookmarkEnd w:id="80"/>
      <w:bookmarkEnd w:id="81"/>
    </w:p>
    <w:p w14:paraId="5E0B06E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652CAFED">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6B7BF16A">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5F4C9AD7">
      <w:pPr>
        <w:pStyle w:val="12"/>
        <w:rPr>
          <w:rFonts w:hint="eastAsia" w:ascii="仿宋" w:hAnsi="仿宋" w:eastAsia="仿宋" w:cs="仿宋"/>
          <w:color w:val="auto"/>
          <w:sz w:val="24"/>
          <w:szCs w:val="24"/>
          <w:highlight w:val="none"/>
        </w:rPr>
      </w:pPr>
    </w:p>
    <w:p w14:paraId="5ED6EC2C">
      <w:pPr>
        <w:pStyle w:val="12"/>
        <w:rPr>
          <w:rFonts w:hint="eastAsia" w:ascii="仿宋" w:hAnsi="仿宋" w:eastAsia="仿宋" w:cs="仿宋"/>
          <w:color w:val="auto"/>
          <w:sz w:val="24"/>
          <w:szCs w:val="24"/>
          <w:highlight w:val="none"/>
        </w:rPr>
      </w:pPr>
    </w:p>
    <w:p w14:paraId="5C616536">
      <w:pPr>
        <w:pStyle w:val="12"/>
        <w:rPr>
          <w:rFonts w:hint="eastAsia" w:ascii="仿宋" w:hAnsi="仿宋" w:eastAsia="仿宋" w:cs="仿宋"/>
          <w:color w:val="auto"/>
          <w:sz w:val="24"/>
          <w:szCs w:val="24"/>
          <w:highlight w:val="none"/>
        </w:rPr>
      </w:pPr>
    </w:p>
    <w:p w14:paraId="0653C2D8">
      <w:pPr>
        <w:pStyle w:val="12"/>
        <w:rPr>
          <w:rFonts w:hint="eastAsia" w:ascii="仿宋" w:hAnsi="仿宋" w:eastAsia="仿宋" w:cs="仿宋"/>
          <w:color w:val="auto"/>
          <w:sz w:val="21"/>
          <w:szCs w:val="21"/>
          <w:highlight w:val="none"/>
        </w:rPr>
      </w:pPr>
    </w:p>
    <w:p w14:paraId="2830ADF8">
      <w:pPr>
        <w:pStyle w:val="16"/>
        <w:outlineLvl w:val="0"/>
        <w:rPr>
          <w:rFonts w:hint="eastAsia" w:ascii="仿宋" w:hAnsi="仿宋" w:eastAsia="仿宋" w:cs="仿宋"/>
          <w:b/>
          <w:bCs/>
          <w:color w:val="auto"/>
          <w:sz w:val="36"/>
          <w:szCs w:val="20"/>
          <w:highlight w:val="none"/>
        </w:rPr>
      </w:pPr>
      <w:bookmarkStart w:id="82" w:name="_Toc26839"/>
      <w:bookmarkStart w:id="83" w:name="_Toc30189"/>
      <w:bookmarkStart w:id="84" w:name="_Toc17416"/>
      <w:r>
        <w:rPr>
          <w:rFonts w:hint="eastAsia" w:ascii="仿宋" w:hAnsi="仿宋" w:eastAsia="仿宋" w:cs="仿宋"/>
          <w:b/>
          <w:bCs/>
          <w:color w:val="auto"/>
          <w:sz w:val="36"/>
          <w:szCs w:val="20"/>
          <w:highlight w:val="none"/>
        </w:rPr>
        <w:t>第三章 评标办法</w:t>
      </w:r>
      <w:bookmarkEnd w:id="82"/>
      <w:bookmarkEnd w:id="83"/>
      <w:bookmarkEnd w:id="84"/>
    </w:p>
    <w:p w14:paraId="4C1E38F9">
      <w:pPr>
        <w:shd w:val="clear" w:color="auto" w:fill="auto"/>
        <w:jc w:val="center"/>
        <w:outlineLvl w:val="9"/>
        <w:rPr>
          <w:rFonts w:hint="eastAsia" w:ascii="仿宋" w:hAnsi="仿宋" w:eastAsia="仿宋" w:cs="仿宋"/>
          <w:b/>
          <w:color w:val="auto"/>
          <w:sz w:val="32"/>
          <w:szCs w:val="32"/>
          <w:highlight w:val="none"/>
        </w:rPr>
      </w:pPr>
      <w:bookmarkStart w:id="85" w:name="_Toc29367"/>
      <w:bookmarkStart w:id="86" w:name="_Toc5254"/>
      <w:bookmarkStart w:id="87" w:name="_Toc362983802"/>
      <w:bookmarkStart w:id="88" w:name="_Toc469495733"/>
      <w:bookmarkStart w:id="89" w:name="_Toc267320058"/>
      <w:bookmarkStart w:id="90" w:name="_Toc363135205"/>
      <w:r>
        <w:rPr>
          <w:rFonts w:hint="eastAsia" w:ascii="仿宋" w:hAnsi="仿宋" w:eastAsia="仿宋" w:cs="仿宋"/>
          <w:b/>
          <w:color w:val="auto"/>
          <w:sz w:val="32"/>
          <w:szCs w:val="32"/>
          <w:highlight w:val="none"/>
        </w:rPr>
        <w:t>一</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总  则</w:t>
      </w:r>
      <w:bookmarkEnd w:id="85"/>
      <w:bookmarkEnd w:id="86"/>
    </w:p>
    <w:p w14:paraId="2C4CA597">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14:paraId="4810C315">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w:t>
      </w:r>
      <w:r>
        <w:rPr>
          <w:rFonts w:hint="eastAsia" w:ascii="仿宋" w:hAnsi="仿宋" w:eastAsia="仿宋" w:cs="仿宋"/>
          <w:color w:val="auto"/>
          <w:sz w:val="24"/>
          <w:szCs w:val="24"/>
          <w:highlight w:val="none"/>
          <w:lang w:eastAsia="zh-CN"/>
        </w:rPr>
        <w:t>政府采购货物和服务招标投标管理办法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政府采购的有关规定进行。</w:t>
      </w:r>
    </w:p>
    <w:p w14:paraId="469DA68C">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1.2评标必须遵循公开、公平、公正、诚实信用的原则。</w:t>
      </w:r>
    </w:p>
    <w:p w14:paraId="419AD787">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14:paraId="353A8721">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规定的内容进行，采取综合比较和分项打分相结合的评标方法（综合评分法），避免纯技术或纯经济的倾向。</w:t>
      </w:r>
    </w:p>
    <w:p w14:paraId="4F295306">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1.5本办法的评标对象是指供应商按照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要求提供的有效</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，包括供应商应</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小组要求对原</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作出的正式书面澄清文件。</w:t>
      </w:r>
    </w:p>
    <w:p w14:paraId="41C5B05C">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组织机构的组成</w:t>
      </w:r>
    </w:p>
    <w:p w14:paraId="40C68E54">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小组成员由招标人的代表和随机抽取的有关方面的</w:t>
      </w:r>
      <w:r>
        <w:rPr>
          <w:rFonts w:hint="eastAsia" w:ascii="仿宋" w:hAnsi="仿宋" w:eastAsia="仿宋" w:cs="仿宋"/>
          <w:b w:val="0"/>
          <w:bCs w:val="0"/>
          <w:color w:val="auto"/>
          <w:sz w:val="24"/>
          <w:szCs w:val="24"/>
          <w:highlight w:val="none"/>
          <w:u w:val="none"/>
        </w:rPr>
        <w:t>专家组成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小组的成员在评标过程中</w:t>
      </w:r>
      <w:r>
        <w:rPr>
          <w:rFonts w:hint="eastAsia" w:ascii="仿宋" w:hAnsi="仿宋" w:eastAsia="仿宋" w:cs="仿宋"/>
          <w:color w:val="auto"/>
          <w:sz w:val="24"/>
          <w:szCs w:val="24"/>
          <w:highlight w:val="none"/>
          <w:lang w:val="zh-CN"/>
        </w:rPr>
        <w:t>必须严格遵守政府采购的有关规定</w:t>
      </w:r>
      <w:r>
        <w:rPr>
          <w:rFonts w:hint="eastAsia" w:ascii="仿宋" w:hAnsi="仿宋" w:eastAsia="仿宋" w:cs="仿宋"/>
          <w:color w:val="auto"/>
          <w:sz w:val="24"/>
          <w:szCs w:val="24"/>
          <w:highlight w:val="none"/>
        </w:rPr>
        <w:t>。专家从当地专家库中随机抽取产生。</w:t>
      </w:r>
    </w:p>
    <w:p w14:paraId="25E4737B">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小组确认，并接受其领导。</w:t>
      </w:r>
    </w:p>
    <w:p w14:paraId="5436AD09">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小组应相对独立工作，负责评标、撰写技术、商务评标报告。采购代理机构负责评标过程中资料的保管、发放、回收，整理、汇总评标资料。</w:t>
      </w:r>
    </w:p>
    <w:p w14:paraId="1CA81F18">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小组职责</w:t>
      </w:r>
    </w:p>
    <w:p w14:paraId="0A9DDC4F">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是否符合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要求，并作出评价；</w:t>
      </w:r>
    </w:p>
    <w:p w14:paraId="5C875A11">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3.2要求供应商对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有关事项作出解释或者澄清；</w:t>
      </w:r>
    </w:p>
    <w:p w14:paraId="043F1B95">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3.3推荐成交候选人名单；</w:t>
      </w:r>
    </w:p>
    <w:p w14:paraId="45CCD92C">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14:paraId="1709861E">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小组义务</w:t>
      </w:r>
    </w:p>
    <w:p w14:paraId="34D3963A">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14:paraId="531DB099">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规定的评标方法和评标标准进行评标，对评审意见承担个人责任；</w:t>
      </w:r>
    </w:p>
    <w:p w14:paraId="173DD894">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4.3对评标过程和结果，以及供应商的商业秘密保密；</w:t>
      </w:r>
    </w:p>
    <w:p w14:paraId="2AE90F14">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14:paraId="225417C8">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14:paraId="02730F77">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供应商提出的质疑。</w:t>
      </w:r>
    </w:p>
    <w:p w14:paraId="63FDC202">
      <w:pPr>
        <w:tabs>
          <w:tab w:val="left" w:pos="1547"/>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评标程序</w:t>
      </w:r>
    </w:p>
    <w:p w14:paraId="78303E00">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5.1本次评标首先由招标小组对供应商的投标文件进行初审，对未能通过初审的投标文件作废标处理；</w:t>
      </w:r>
    </w:p>
    <w:p w14:paraId="0450AA36">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5.2对通过初审的供应商的投标文件进行详细的比较和评价。如需要，进行必要的澄清工作；</w:t>
      </w:r>
    </w:p>
    <w:p w14:paraId="45B6CF62">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5.3评标报告与推荐成交候选人</w:t>
      </w:r>
    </w:p>
    <w:p w14:paraId="58321AB7">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招标小组各成员应当独立对每个有效响应的文件进行评价、打分，然后汇总每个供应商每项评分因素的得分。</w:t>
      </w:r>
    </w:p>
    <w:p w14:paraId="120DD232">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综合评分法</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项目的价格分值占总分值的比重(即权值)为</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％，采购项目中含不同采购对象的，以占项目资金比例最高的采购对象确定其项目属性。其价格不列为评分因素，有特殊情况需要在上述规定范围外设定价格分权重的。</w:t>
      </w:r>
    </w:p>
    <w:p w14:paraId="04F10FF4">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727CDCDD">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投标报价得分=(评标基准价／投标报价)×30%×100，项目评审过程中，不得去掉最后报价中的最高报价和最低报价。</w:t>
      </w:r>
    </w:p>
    <w:p w14:paraId="14F1C955">
      <w:pPr>
        <w:pStyle w:val="26"/>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评标委员会按照招标文件的评标办法负责向采购人推荐一家或一至三家供应商为中标候选人。</w:t>
      </w:r>
    </w:p>
    <w:p w14:paraId="0134ED4F">
      <w:pPr>
        <w:shd w:val="clear" w:color="auto" w:fill="auto"/>
        <w:jc w:val="center"/>
        <w:outlineLvl w:val="9"/>
        <w:rPr>
          <w:rFonts w:hint="eastAsia" w:ascii="仿宋" w:hAnsi="仿宋" w:eastAsia="仿宋" w:cs="仿宋"/>
          <w:b/>
          <w:color w:val="auto"/>
          <w:sz w:val="32"/>
          <w:szCs w:val="32"/>
          <w:highlight w:val="none"/>
        </w:rPr>
      </w:pPr>
      <w:bookmarkStart w:id="91" w:name="_Toc18154"/>
      <w:bookmarkStart w:id="92" w:name="_Toc14642"/>
      <w:r>
        <w:rPr>
          <w:rFonts w:hint="eastAsia" w:ascii="仿宋" w:hAnsi="仿宋" w:eastAsia="仿宋" w:cs="仿宋"/>
          <w:b/>
          <w:color w:val="auto"/>
          <w:sz w:val="32"/>
          <w:szCs w:val="32"/>
          <w:highlight w:val="none"/>
        </w:rPr>
        <w:t>二  投标文件初审</w:t>
      </w:r>
      <w:bookmarkEnd w:id="87"/>
      <w:bookmarkEnd w:id="88"/>
      <w:bookmarkEnd w:id="91"/>
      <w:bookmarkEnd w:id="92"/>
    </w:p>
    <w:p w14:paraId="3CC0FE70">
      <w:pPr>
        <w:shd w:val="clear" w:color="auto" w:fill="auto"/>
        <w:spacing w:line="400" w:lineRule="exact"/>
        <w:ind w:firstLine="352" w:firstLineChars="147"/>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14:paraId="2CC894BC">
      <w:pPr>
        <w:shd w:val="clear" w:color="auto" w:fill="auto"/>
        <w:spacing w:line="40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25"/>
        <w:gridCol w:w="8296"/>
      </w:tblGrid>
      <w:tr w14:paraId="5759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4" w:type="dxa"/>
            <w:vMerge w:val="restart"/>
            <w:noWrap w:val="0"/>
            <w:vAlign w:val="center"/>
          </w:tcPr>
          <w:p w14:paraId="0F5D3540">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8821" w:type="dxa"/>
            <w:gridSpan w:val="2"/>
            <w:vMerge w:val="restart"/>
            <w:noWrap w:val="0"/>
            <w:vAlign w:val="center"/>
          </w:tcPr>
          <w:p w14:paraId="778E541C">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r>
      <w:tr w14:paraId="24E4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4" w:type="dxa"/>
            <w:vMerge w:val="continue"/>
            <w:noWrap w:val="0"/>
            <w:vAlign w:val="center"/>
          </w:tcPr>
          <w:p w14:paraId="04030ACE">
            <w:pPr>
              <w:shd w:val="clear" w:color="auto" w:fill="auto"/>
              <w:outlineLvl w:val="9"/>
              <w:rPr>
                <w:rFonts w:hint="eastAsia" w:ascii="仿宋" w:hAnsi="仿宋" w:eastAsia="仿宋" w:cs="仿宋"/>
                <w:color w:val="auto"/>
                <w:sz w:val="24"/>
                <w:szCs w:val="24"/>
                <w:highlight w:val="none"/>
              </w:rPr>
            </w:pPr>
          </w:p>
        </w:tc>
        <w:tc>
          <w:tcPr>
            <w:tcW w:w="8821" w:type="dxa"/>
            <w:gridSpan w:val="2"/>
            <w:vMerge w:val="continue"/>
            <w:noWrap w:val="0"/>
            <w:vAlign w:val="top"/>
          </w:tcPr>
          <w:p w14:paraId="677499EE">
            <w:pPr>
              <w:shd w:val="clear" w:color="auto" w:fill="auto"/>
              <w:outlineLvl w:val="9"/>
              <w:rPr>
                <w:rFonts w:hint="eastAsia" w:ascii="仿宋" w:hAnsi="仿宋" w:eastAsia="仿宋" w:cs="仿宋"/>
                <w:color w:val="auto"/>
                <w:sz w:val="24"/>
                <w:szCs w:val="24"/>
                <w:highlight w:val="none"/>
              </w:rPr>
            </w:pPr>
          </w:p>
        </w:tc>
      </w:tr>
      <w:tr w14:paraId="15F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4" w:type="dxa"/>
            <w:vMerge w:val="restart"/>
            <w:noWrap w:val="0"/>
            <w:vAlign w:val="center"/>
          </w:tcPr>
          <w:p w14:paraId="6DB74C93">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14:paraId="4D8AF30A">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14:paraId="02F1B036">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14:paraId="417CC358">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14:paraId="020BF899">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14:paraId="67207855">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14:paraId="1F8C1251">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14:paraId="32BBB5EF">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14:paraId="67405175">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14:paraId="6242D65E">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14:paraId="11F0ADC0">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25" w:type="dxa"/>
            <w:noWrap w:val="0"/>
            <w:vAlign w:val="center"/>
          </w:tcPr>
          <w:p w14:paraId="5A8CB066">
            <w:pPr>
              <w:autoSpaceDN w:val="0"/>
              <w:jc w:val="center"/>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296" w:type="dxa"/>
            <w:noWrap w:val="0"/>
            <w:vAlign w:val="center"/>
          </w:tcPr>
          <w:p w14:paraId="7045C4DF">
            <w:pPr>
              <w:autoSpaceDN w:val="0"/>
              <w:jc w:val="left"/>
              <w:textAlignment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合格有效的</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eastAsia="zh-CN"/>
              </w:rPr>
              <w:t>；</w:t>
            </w:r>
          </w:p>
        </w:tc>
      </w:tr>
      <w:tr w14:paraId="5A01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924" w:type="dxa"/>
            <w:vMerge w:val="continue"/>
            <w:noWrap w:val="0"/>
            <w:vAlign w:val="center"/>
          </w:tcPr>
          <w:p w14:paraId="7F2FD6F3">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481CB8D2">
            <w:pPr>
              <w:autoSpaceDN w:val="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8296" w:type="dxa"/>
            <w:noWrap w:val="0"/>
            <w:vAlign w:val="center"/>
          </w:tcPr>
          <w:p w14:paraId="40062AD9">
            <w:pPr>
              <w:autoSpaceDN w:val="0"/>
              <w:jc w:val="left"/>
              <w:textAlignment w:val="center"/>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健全的财务会计制度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由具备资质的中介机构出具的</w:t>
            </w:r>
            <w:r>
              <w:rPr>
                <w:rFonts w:hint="eastAsia" w:ascii="仿宋" w:hAnsi="仿宋" w:eastAsia="仿宋" w:cs="仿宋"/>
                <w:color w:val="auto"/>
                <w:sz w:val="24"/>
                <w:szCs w:val="24"/>
                <w:highlight w:val="none"/>
                <w:lang w:val="en-US" w:eastAsia="zh-CN"/>
              </w:rPr>
              <w:t>2024或2025年度</w:t>
            </w:r>
            <w:r>
              <w:rPr>
                <w:rFonts w:hint="eastAsia" w:ascii="仿宋" w:hAnsi="仿宋" w:eastAsia="仿宋" w:cs="仿宋"/>
                <w:color w:val="auto"/>
                <w:sz w:val="24"/>
                <w:szCs w:val="24"/>
                <w:highlight w:val="none"/>
              </w:rPr>
              <w:t>财务审计报告</w:t>
            </w:r>
            <w:r>
              <w:rPr>
                <w:rFonts w:hint="eastAsia" w:ascii="仿宋" w:hAnsi="仿宋" w:eastAsia="仿宋" w:cs="仿宋"/>
                <w:color w:val="auto"/>
                <w:sz w:val="24"/>
                <w:szCs w:val="24"/>
                <w:highlight w:val="none"/>
                <w:lang w:val="en-US" w:eastAsia="zh-CN"/>
              </w:rPr>
              <w:t>或由基本户开户行出具的银行资信证明，</w:t>
            </w:r>
            <w:r>
              <w:rPr>
                <w:rFonts w:hint="eastAsia" w:ascii="仿宋" w:hAnsi="仿宋" w:eastAsia="仿宋" w:cs="仿宋"/>
                <w:color w:val="auto"/>
                <w:sz w:val="24"/>
                <w:szCs w:val="24"/>
                <w:highlight w:val="none"/>
              </w:rPr>
              <w:t>成立不满一年企业提供</w:t>
            </w:r>
            <w:r>
              <w:rPr>
                <w:rFonts w:hint="eastAsia" w:ascii="仿宋" w:hAnsi="仿宋" w:eastAsia="仿宋" w:cs="仿宋"/>
                <w:color w:val="auto"/>
                <w:sz w:val="24"/>
                <w:szCs w:val="24"/>
                <w:highlight w:val="none"/>
                <w:lang w:val="en-US" w:eastAsia="zh-CN"/>
              </w:rPr>
              <w:t>完整的</w:t>
            </w:r>
            <w:r>
              <w:rPr>
                <w:rFonts w:hint="eastAsia" w:ascii="仿宋" w:hAnsi="仿宋" w:eastAsia="仿宋" w:cs="仿宋"/>
                <w:color w:val="auto"/>
                <w:sz w:val="24"/>
                <w:szCs w:val="24"/>
                <w:highlight w:val="none"/>
              </w:rPr>
              <w:t>财务报表</w:t>
            </w:r>
            <w:r>
              <w:rPr>
                <w:rFonts w:hint="eastAsia" w:ascii="仿宋" w:hAnsi="仿宋" w:eastAsia="仿宋" w:cs="仿宋"/>
                <w:color w:val="auto"/>
                <w:sz w:val="24"/>
                <w:szCs w:val="24"/>
                <w:highlight w:val="none"/>
                <w:lang w:val="en-US" w:eastAsia="zh-CN"/>
              </w:rPr>
              <w:t>或由基本户开户行出具的银行资信证明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0F85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4" w:type="dxa"/>
            <w:vMerge w:val="continue"/>
            <w:noWrap w:val="0"/>
            <w:vAlign w:val="center"/>
          </w:tcPr>
          <w:p w14:paraId="6D4769E5">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4DBD3A12">
            <w:pPr>
              <w:autoSpaceDN w:val="0"/>
              <w:jc w:val="center"/>
              <w:textAlignment w:val="center"/>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8296" w:type="dxa"/>
            <w:noWrap w:val="0"/>
            <w:vAlign w:val="center"/>
          </w:tcPr>
          <w:p w14:paraId="24285D07">
            <w:pPr>
              <w:autoSpaceDN w:val="0"/>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rPr>
              <w:t>具有履行合同所必需的设备和专业技术能力（提供承诺函）；</w:t>
            </w:r>
          </w:p>
        </w:tc>
      </w:tr>
      <w:tr w14:paraId="1BC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4" w:type="dxa"/>
            <w:vMerge w:val="continue"/>
            <w:noWrap w:val="0"/>
            <w:vAlign w:val="center"/>
          </w:tcPr>
          <w:p w14:paraId="666152E0">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3F978938">
            <w:pPr>
              <w:autoSpaceDN w:val="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8296" w:type="dxa"/>
            <w:noWrap w:val="0"/>
            <w:vAlign w:val="center"/>
          </w:tcPr>
          <w:p w14:paraId="370260B5">
            <w:pPr>
              <w:autoSpaceDN w:val="0"/>
              <w:jc w:val="left"/>
              <w:textAlignment w:val="center"/>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rPr>
              <w:t>有依法缴纳税收和社会保障资金的良好记录（近</w:t>
            </w:r>
            <w:r>
              <w:rPr>
                <w:rFonts w:hint="eastAsia" w:ascii="仿宋" w:hAnsi="仿宋" w:eastAsia="仿宋" w:cs="仿宋"/>
                <w:color w:val="auto"/>
                <w:sz w:val="24"/>
                <w:szCs w:val="24"/>
                <w:highlight w:val="none"/>
                <w:lang w:val="en-US" w:eastAsia="zh-CN"/>
              </w:rPr>
              <w:t>六个月任意一个月</w:t>
            </w:r>
            <w:r>
              <w:rPr>
                <w:rFonts w:hint="eastAsia" w:ascii="仿宋" w:hAnsi="仿宋" w:eastAsia="仿宋" w:cs="仿宋"/>
                <w:color w:val="auto"/>
                <w:sz w:val="24"/>
                <w:szCs w:val="24"/>
                <w:highlight w:val="none"/>
              </w:rPr>
              <w:t>缴纳税收和社保的相关证明材料）</w:t>
            </w:r>
            <w:r>
              <w:rPr>
                <w:rFonts w:hint="eastAsia" w:ascii="仿宋" w:hAnsi="仿宋" w:eastAsia="仿宋" w:cs="仿宋"/>
                <w:color w:val="auto"/>
                <w:sz w:val="24"/>
                <w:szCs w:val="24"/>
                <w:highlight w:val="none"/>
                <w:lang w:eastAsia="zh-CN"/>
              </w:rPr>
              <w:t>；</w:t>
            </w:r>
          </w:p>
        </w:tc>
      </w:tr>
      <w:tr w14:paraId="3CDC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4" w:type="dxa"/>
            <w:vMerge w:val="continue"/>
            <w:noWrap w:val="0"/>
            <w:vAlign w:val="center"/>
          </w:tcPr>
          <w:p w14:paraId="6079A36C">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5E260609">
            <w:pPr>
              <w:shd w:val="clear" w:color="auto" w:fill="auto"/>
              <w:autoSpaceDN w:val="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8296" w:type="dxa"/>
            <w:noWrap w:val="0"/>
            <w:vAlign w:val="center"/>
          </w:tcPr>
          <w:p w14:paraId="072B0B50">
            <w:pPr>
              <w:autoSpaceDN w:val="0"/>
              <w:jc w:val="left"/>
              <w:textAlignment w:val="center"/>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rPr>
              <w:t>参加政府采购活动前三年内，在经营活动中没有重大违法记录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提供承诺函</w:t>
            </w:r>
            <w:r>
              <w:rPr>
                <w:rFonts w:hint="eastAsia" w:ascii="仿宋" w:hAnsi="仿宋" w:eastAsia="仿宋" w:cs="仿宋"/>
                <w:color w:val="auto"/>
                <w:sz w:val="24"/>
                <w:szCs w:val="24"/>
                <w:highlight w:val="none"/>
                <w:lang w:eastAsia="zh-CN"/>
              </w:rPr>
              <w:t>）；</w:t>
            </w:r>
          </w:p>
        </w:tc>
      </w:tr>
      <w:tr w14:paraId="7A36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4" w:type="dxa"/>
            <w:vMerge w:val="continue"/>
            <w:noWrap w:val="0"/>
            <w:vAlign w:val="center"/>
          </w:tcPr>
          <w:p w14:paraId="52C0D35D">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18A97281">
            <w:pPr>
              <w:autoSpaceDN w:val="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8296" w:type="dxa"/>
            <w:noWrap w:val="0"/>
            <w:vAlign w:val="center"/>
          </w:tcPr>
          <w:p w14:paraId="127A586C">
            <w:pPr>
              <w:autoSpaceDN w:val="0"/>
              <w:jc w:val="left"/>
              <w:textAlignment w:val="center"/>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法人</w:t>
            </w:r>
            <w:r>
              <w:rPr>
                <w:rFonts w:hint="eastAsia" w:ascii="仿宋" w:hAnsi="仿宋" w:eastAsia="仿宋" w:cs="仿宋"/>
                <w:color w:val="auto"/>
                <w:sz w:val="24"/>
                <w:szCs w:val="24"/>
                <w:highlight w:val="none"/>
              </w:rPr>
              <w:t>授权委托书</w:t>
            </w:r>
            <w:r>
              <w:rPr>
                <w:rFonts w:hint="eastAsia" w:ascii="仿宋" w:hAnsi="仿宋" w:eastAsia="仿宋" w:cs="仿宋"/>
                <w:color w:val="auto"/>
                <w:sz w:val="24"/>
                <w:szCs w:val="24"/>
                <w:highlight w:val="none"/>
                <w:lang w:val="en-US" w:eastAsia="zh-CN"/>
              </w:rPr>
              <w:t>或法定代表人证明文件；</w:t>
            </w:r>
          </w:p>
        </w:tc>
      </w:tr>
      <w:tr w14:paraId="688C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4" w:type="dxa"/>
            <w:vMerge w:val="continue"/>
            <w:noWrap w:val="0"/>
            <w:vAlign w:val="center"/>
          </w:tcPr>
          <w:p w14:paraId="1FB38242">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5C010B2A">
            <w:pPr>
              <w:autoSpaceDN w:val="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8296" w:type="dxa"/>
            <w:noWrap w:val="0"/>
            <w:vAlign w:val="center"/>
          </w:tcPr>
          <w:p w14:paraId="65798399">
            <w:pPr>
              <w:autoSpaceDN w:val="0"/>
              <w:jc w:val="left"/>
              <w:textAlignment w:val="center"/>
              <w:outlineLvl w:val="9"/>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val="en-US" w:eastAsia="zh-CN"/>
              </w:rPr>
              <w:t>交纳凭证</w:t>
            </w:r>
            <w:r>
              <w:rPr>
                <w:rFonts w:hint="eastAsia" w:ascii="仿宋" w:hAnsi="仿宋" w:eastAsia="仿宋" w:cs="仿宋"/>
                <w:color w:val="auto"/>
                <w:sz w:val="24"/>
                <w:szCs w:val="24"/>
                <w:highlight w:val="none"/>
                <w:lang w:eastAsia="zh-CN"/>
              </w:rPr>
              <w:t>；</w:t>
            </w:r>
          </w:p>
        </w:tc>
      </w:tr>
      <w:tr w14:paraId="2F2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4" w:type="dxa"/>
            <w:vMerge w:val="continue"/>
            <w:noWrap w:val="0"/>
            <w:vAlign w:val="center"/>
          </w:tcPr>
          <w:p w14:paraId="4A79CC6D">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44C1BC9A">
            <w:pPr>
              <w:autoSpaceDN w:val="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8296" w:type="dxa"/>
            <w:noWrap w:val="0"/>
            <w:vAlign w:val="center"/>
          </w:tcPr>
          <w:p w14:paraId="102D31DE">
            <w:pPr>
              <w:pStyle w:val="24"/>
              <w:numPr>
                <w:ilvl w:val="0"/>
                <w:numId w:val="0"/>
              </w:numPr>
              <w:snapToGrid w:val="0"/>
              <w:spacing w:line="360" w:lineRule="auto"/>
              <w:jc w:val="both"/>
              <w:outlineLvl w:val="9"/>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color w:val="auto"/>
                <w:kern w:val="0"/>
                <w:sz w:val="24"/>
                <w:highlight w:val="none"/>
                <w:lang w:val="en-US" w:eastAsia="zh-CN"/>
              </w:rPr>
              <w:t>根据《医疗器械监督管理条例》，投标人应满足以下条件：投标人为制造商的，投标货物若属于第一类医疗器械产品，须提供第一类医疗器械生产备案证明；投标货物若属于第二类、三类医疗器械产品，须提供医疗器械生产许可证；投标人为经销商的，投标货物若属于第一类医疗器械产品，本项无需提供；投标货物若属于第二类医疗器械产品，须提供医疗器械经营备案证明；投标货物若属于第三类医疗器械产品，须提供医疗器械经营许可证</w:t>
            </w:r>
            <w:r>
              <w:rPr>
                <w:rFonts w:hint="eastAsia" w:ascii="仿宋" w:hAnsi="仿宋" w:eastAsia="仿宋" w:cs="仿宋"/>
                <w:b w:val="0"/>
                <w:bCs w:val="0"/>
                <w:color w:val="auto"/>
                <w:sz w:val="24"/>
                <w:szCs w:val="24"/>
                <w:highlight w:val="none"/>
                <w:lang w:val="en-US" w:eastAsia="zh-CN"/>
              </w:rPr>
              <w:t>。</w:t>
            </w:r>
          </w:p>
          <w:p w14:paraId="63C114AA">
            <w:pPr>
              <w:pStyle w:val="25"/>
              <w:spacing w:before="27" w:line="246" w:lineRule="auto"/>
              <w:ind w:left="119" w:right="106"/>
              <w:jc w:val="both"/>
              <w:rPr>
                <w:rFonts w:hint="eastAsia" w:ascii="仿宋" w:hAnsi="仿宋" w:eastAsia="仿宋" w:cs="仿宋"/>
                <w:b w:val="0"/>
                <w:bCs w:val="0"/>
                <w:color w:val="auto"/>
                <w:sz w:val="24"/>
                <w:szCs w:val="24"/>
                <w:highlight w:val="none"/>
                <w:lang w:val="en-US" w:eastAsia="zh-CN"/>
              </w:rPr>
            </w:pPr>
            <w:r>
              <w:rPr>
                <w:rFonts w:hint="eastAsia" w:hAnsi="宋体" w:cs="宋体"/>
                <w:color w:val="auto"/>
                <w:sz w:val="24"/>
                <w:szCs w:val="24"/>
              </w:rPr>
              <w:t>根据《医疗器械监督管理条例》（国务院令第650号）有关内容办理医疗器械产品注册或备案</w:t>
            </w:r>
            <w:r>
              <w:rPr>
                <w:rFonts w:hint="eastAsia" w:hAnsi="宋体" w:cs="宋体"/>
                <w:color w:val="auto"/>
                <w:sz w:val="24"/>
                <w:szCs w:val="24"/>
                <w:lang w:eastAsia="zh-CN"/>
              </w:rPr>
              <w:t>。</w:t>
            </w:r>
          </w:p>
        </w:tc>
      </w:tr>
      <w:tr w14:paraId="6679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924" w:type="dxa"/>
            <w:vMerge w:val="continue"/>
            <w:noWrap w:val="0"/>
            <w:vAlign w:val="center"/>
          </w:tcPr>
          <w:p w14:paraId="11F23673">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551CAFE0">
            <w:pPr>
              <w:autoSpaceDN w:val="0"/>
              <w:jc w:val="center"/>
              <w:textAlignment w:val="center"/>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c>
          <w:tcPr>
            <w:tcW w:w="8296" w:type="dxa"/>
            <w:noWrap w:val="0"/>
            <w:vAlign w:val="center"/>
          </w:tcPr>
          <w:p w14:paraId="6E83E75A">
            <w:pPr>
              <w:pStyle w:val="25"/>
              <w:spacing w:before="23"/>
              <w:ind w:right="106"/>
              <w:rPr>
                <w:rFonts w:hint="eastAsia" w:ascii="仿宋" w:hAnsi="仿宋" w:eastAsia="仿宋" w:cs="仿宋"/>
                <w:color w:val="auto"/>
                <w:sz w:val="24"/>
                <w:szCs w:val="24"/>
              </w:rPr>
            </w:pPr>
            <w:r>
              <w:rPr>
                <w:rFonts w:hint="eastAsia" w:ascii="仿宋" w:hAnsi="仿宋" w:eastAsia="仿宋" w:cs="仿宋"/>
                <w:color w:val="auto"/>
                <w:spacing w:val="9"/>
                <w:sz w:val="24"/>
                <w:szCs w:val="24"/>
              </w:rPr>
              <w:t>单位负责人为同一人或者存在直接控股、管理关系的不同投标人，不得参</w:t>
            </w:r>
            <w:r>
              <w:rPr>
                <w:rFonts w:hint="eastAsia" w:ascii="仿宋" w:hAnsi="仿宋" w:eastAsia="仿宋" w:cs="仿宋"/>
                <w:color w:val="auto"/>
                <w:spacing w:val="8"/>
                <w:sz w:val="24"/>
                <w:szCs w:val="24"/>
              </w:rPr>
              <w:t>加同一合同</w:t>
            </w:r>
            <w:r>
              <w:rPr>
                <w:rFonts w:hint="eastAsia" w:ascii="仿宋" w:hAnsi="仿宋" w:eastAsia="仿宋" w:cs="仿宋"/>
                <w:color w:val="auto"/>
                <w:spacing w:val="4"/>
                <w:sz w:val="24"/>
                <w:szCs w:val="24"/>
              </w:rPr>
              <w:t>项下的政府采购活动。</w:t>
            </w:r>
          </w:p>
          <w:p w14:paraId="11B643BC">
            <w:pPr>
              <w:autoSpaceDN w:val="0"/>
              <w:jc w:val="left"/>
              <w:textAlignment w:val="center"/>
              <w:outlineLvl w:val="9"/>
              <w:rPr>
                <w:rFonts w:hint="eastAsia" w:ascii="仿宋" w:hAnsi="仿宋" w:eastAsia="仿宋" w:cs="仿宋"/>
                <w:color w:val="auto"/>
                <w:sz w:val="24"/>
                <w:szCs w:val="24"/>
                <w:highlight w:val="none"/>
              </w:rPr>
            </w:pPr>
          </w:p>
        </w:tc>
      </w:tr>
      <w:tr w14:paraId="3710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924" w:type="dxa"/>
            <w:vMerge w:val="continue"/>
            <w:noWrap w:val="0"/>
            <w:vAlign w:val="center"/>
          </w:tcPr>
          <w:p w14:paraId="6944223C">
            <w:pPr>
              <w:shd w:val="clear" w:color="auto" w:fill="auto"/>
              <w:outlineLvl w:val="9"/>
              <w:rPr>
                <w:rFonts w:hint="eastAsia" w:ascii="仿宋" w:hAnsi="仿宋" w:eastAsia="仿宋" w:cs="仿宋"/>
                <w:color w:val="auto"/>
                <w:sz w:val="24"/>
                <w:szCs w:val="24"/>
                <w:highlight w:val="none"/>
              </w:rPr>
            </w:pPr>
          </w:p>
        </w:tc>
        <w:tc>
          <w:tcPr>
            <w:tcW w:w="525" w:type="dxa"/>
            <w:noWrap w:val="0"/>
            <w:vAlign w:val="center"/>
          </w:tcPr>
          <w:p w14:paraId="08BED3A8">
            <w:pPr>
              <w:autoSpaceDN w:val="0"/>
              <w:jc w:val="center"/>
              <w:textAlignment w:val="center"/>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8296" w:type="dxa"/>
            <w:noWrap w:val="0"/>
            <w:vAlign w:val="center"/>
          </w:tcPr>
          <w:p w14:paraId="670A4019">
            <w:pPr>
              <w:autoSpaceDN w:val="0"/>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rPr>
              <w:t>本项目不允许联合体投标。</w:t>
            </w:r>
          </w:p>
        </w:tc>
      </w:tr>
      <w:tr w14:paraId="7008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24" w:type="dxa"/>
            <w:vMerge w:val="continue"/>
            <w:noWrap w:val="0"/>
            <w:vAlign w:val="center"/>
          </w:tcPr>
          <w:p w14:paraId="163831B7">
            <w:pPr>
              <w:shd w:val="clear" w:color="auto" w:fill="auto"/>
              <w:outlineLvl w:val="9"/>
              <w:rPr>
                <w:rFonts w:hint="eastAsia" w:ascii="仿宋" w:hAnsi="仿宋" w:eastAsia="仿宋" w:cs="仿宋"/>
                <w:color w:val="auto"/>
                <w:sz w:val="24"/>
                <w:szCs w:val="24"/>
                <w:highlight w:val="none"/>
              </w:rPr>
            </w:pPr>
          </w:p>
        </w:tc>
        <w:tc>
          <w:tcPr>
            <w:tcW w:w="8821" w:type="dxa"/>
            <w:gridSpan w:val="2"/>
            <w:vMerge w:val="restart"/>
            <w:noWrap w:val="0"/>
            <w:vAlign w:val="center"/>
          </w:tcPr>
          <w:p w14:paraId="0A8F2700">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14:paraId="38D8C253">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r>
      <w:tr w14:paraId="1770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24" w:type="dxa"/>
            <w:vMerge w:val="continue"/>
            <w:noWrap w:val="0"/>
            <w:vAlign w:val="center"/>
          </w:tcPr>
          <w:p w14:paraId="34B73D9A">
            <w:pPr>
              <w:shd w:val="clear" w:color="auto" w:fill="auto"/>
              <w:jc w:val="center"/>
              <w:outlineLvl w:val="9"/>
              <w:rPr>
                <w:rFonts w:hint="eastAsia" w:ascii="仿宋" w:hAnsi="仿宋" w:eastAsia="仿宋" w:cs="仿宋"/>
                <w:color w:val="auto"/>
                <w:sz w:val="24"/>
                <w:szCs w:val="24"/>
                <w:highlight w:val="none"/>
              </w:rPr>
            </w:pPr>
          </w:p>
        </w:tc>
        <w:tc>
          <w:tcPr>
            <w:tcW w:w="8821" w:type="dxa"/>
            <w:gridSpan w:val="2"/>
            <w:vMerge w:val="continue"/>
            <w:noWrap w:val="0"/>
            <w:vAlign w:val="top"/>
          </w:tcPr>
          <w:p w14:paraId="7C16FEF1">
            <w:pPr>
              <w:shd w:val="clear" w:color="auto" w:fill="auto"/>
              <w:outlineLvl w:val="9"/>
              <w:rPr>
                <w:rFonts w:hint="eastAsia" w:ascii="仿宋" w:hAnsi="仿宋" w:eastAsia="仿宋" w:cs="仿宋"/>
                <w:color w:val="auto"/>
                <w:sz w:val="24"/>
                <w:szCs w:val="24"/>
                <w:highlight w:val="none"/>
              </w:rPr>
            </w:pPr>
          </w:p>
        </w:tc>
      </w:tr>
    </w:tbl>
    <w:p w14:paraId="456C4C89">
      <w:pPr>
        <w:shd w:val="clear" w:color="auto" w:fill="auto"/>
        <w:spacing w:line="400" w:lineRule="exact"/>
        <w:ind w:firstLine="578" w:firstLineChars="24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67F36DEB">
      <w:pPr>
        <w:shd w:val="clear" w:color="auto" w:fill="auto"/>
        <w:spacing w:before="156" w:beforeLines="50" w:line="440" w:lineRule="exact"/>
        <w:ind w:firstLine="352" w:firstLineChars="147"/>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14:paraId="0445A3ED">
      <w:pPr>
        <w:shd w:val="clear" w:color="auto" w:fill="auto"/>
        <w:spacing w:line="4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18"/>
        <w:tblW w:w="97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3"/>
        <w:gridCol w:w="648"/>
        <w:gridCol w:w="8528"/>
      </w:tblGrid>
      <w:tr w14:paraId="0E149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37682BDF">
            <w:pPr>
              <w:shd w:val="clear" w:color="auto" w:fill="auto"/>
              <w:spacing w:line="440" w:lineRule="exact"/>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val="0"/>
                <w:bCs/>
                <w:color w:val="auto"/>
                <w:sz w:val="24"/>
                <w:szCs w:val="24"/>
                <w:highlight w:val="none"/>
              </w:rPr>
              <w:t>项目</w:t>
            </w:r>
          </w:p>
        </w:tc>
        <w:tc>
          <w:tcPr>
            <w:tcW w:w="9176" w:type="dxa"/>
            <w:gridSpan w:val="2"/>
            <w:tcBorders>
              <w:top w:val="single" w:color="auto" w:sz="4" w:space="0"/>
              <w:left w:val="single" w:color="auto" w:sz="4" w:space="0"/>
              <w:bottom w:val="single" w:color="auto" w:sz="4" w:space="0"/>
              <w:right w:val="single" w:color="auto" w:sz="4" w:space="0"/>
            </w:tcBorders>
            <w:noWrap w:val="0"/>
            <w:vAlign w:val="center"/>
          </w:tcPr>
          <w:p w14:paraId="3B303BAE">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评审内容</w:t>
            </w:r>
          </w:p>
        </w:tc>
      </w:tr>
      <w:tr w14:paraId="1B0EE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jc w:val="center"/>
        </w:trPr>
        <w:tc>
          <w:tcPr>
            <w:tcW w:w="573" w:type="dxa"/>
            <w:vMerge w:val="restart"/>
            <w:tcBorders>
              <w:top w:val="single" w:color="auto" w:sz="4" w:space="0"/>
              <w:left w:val="single" w:color="auto" w:sz="4" w:space="0"/>
              <w:bottom w:val="single" w:color="auto" w:sz="4" w:space="0"/>
              <w:right w:val="single" w:color="auto" w:sz="4" w:space="0"/>
            </w:tcBorders>
            <w:noWrap w:val="0"/>
            <w:vAlign w:val="center"/>
          </w:tcPr>
          <w:p w14:paraId="00A0EE14">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审</w:t>
            </w:r>
          </w:p>
          <w:p w14:paraId="78E06674">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查</w:t>
            </w:r>
          </w:p>
          <w:p w14:paraId="3099AA3A">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标</w:t>
            </w:r>
          </w:p>
          <w:p w14:paraId="155E4D48">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准</w:t>
            </w:r>
          </w:p>
        </w:tc>
        <w:tc>
          <w:tcPr>
            <w:tcW w:w="648" w:type="dxa"/>
            <w:tcBorders>
              <w:top w:val="single" w:color="auto" w:sz="4" w:space="0"/>
              <w:left w:val="single" w:color="auto" w:sz="4" w:space="0"/>
              <w:bottom w:val="single" w:color="auto" w:sz="4" w:space="0"/>
              <w:right w:val="single" w:color="auto" w:sz="4" w:space="0"/>
            </w:tcBorders>
            <w:noWrap w:val="0"/>
            <w:vAlign w:val="center"/>
          </w:tcPr>
          <w:p w14:paraId="5EE5C0C0">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2FCE8A99">
            <w:pPr>
              <w:widowControl/>
              <w:shd w:val="clear" w:color="auto" w:fill="auto"/>
              <w:jc w:val="left"/>
              <w:textAlignment w:val="center"/>
              <w:outlineLvl w:val="9"/>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投标文件组成完整，主要内容按招标文件规定的内容、格式填写</w:t>
            </w:r>
            <w:r>
              <w:rPr>
                <w:rFonts w:hint="eastAsia" w:ascii="仿宋" w:hAnsi="仿宋" w:eastAsia="仿宋" w:cs="仿宋"/>
                <w:b w:val="0"/>
                <w:bCs/>
                <w:color w:val="auto"/>
                <w:sz w:val="24"/>
                <w:szCs w:val="24"/>
                <w:highlight w:val="none"/>
                <w:lang w:val="en-US" w:eastAsia="zh-CN"/>
              </w:rPr>
              <w:t>,</w:t>
            </w:r>
            <w:r>
              <w:rPr>
                <w:rFonts w:ascii="仿宋" w:hAnsi="仿宋" w:eastAsia="仿宋" w:cs="仿宋"/>
                <w:color w:val="auto"/>
                <w:spacing w:val="16"/>
                <w:sz w:val="23"/>
                <w:szCs w:val="23"/>
              </w:rPr>
              <w:t>投</w:t>
            </w:r>
            <w:r>
              <w:rPr>
                <w:rFonts w:ascii="仿宋" w:hAnsi="仿宋" w:eastAsia="仿宋" w:cs="仿宋"/>
                <w:color w:val="auto"/>
                <w:spacing w:val="14"/>
                <w:sz w:val="23"/>
                <w:szCs w:val="23"/>
              </w:rPr>
              <w:t>标</w:t>
            </w:r>
            <w:r>
              <w:rPr>
                <w:rFonts w:ascii="仿宋" w:hAnsi="仿宋" w:eastAsia="仿宋" w:cs="仿宋"/>
                <w:color w:val="auto"/>
                <w:spacing w:val="8"/>
                <w:sz w:val="23"/>
                <w:szCs w:val="23"/>
              </w:rPr>
              <w:t>文件内容齐全、字迹清晰可辨、无遗漏</w:t>
            </w:r>
            <w:r>
              <w:rPr>
                <w:rFonts w:hint="eastAsia" w:ascii="仿宋" w:hAnsi="仿宋" w:eastAsia="仿宋" w:cs="仿宋"/>
                <w:color w:val="auto"/>
                <w:spacing w:val="8"/>
                <w:sz w:val="23"/>
                <w:szCs w:val="23"/>
                <w:lang w:eastAsia="zh-CN"/>
              </w:rPr>
              <w:t>，</w:t>
            </w:r>
            <w:r>
              <w:rPr>
                <w:rFonts w:hint="eastAsia" w:ascii="仿宋" w:hAnsi="仿宋" w:eastAsia="仿宋" w:cs="仿宋"/>
                <w:b w:val="0"/>
                <w:bCs/>
                <w:color w:val="auto"/>
                <w:sz w:val="24"/>
                <w:szCs w:val="24"/>
                <w:highlight w:val="none"/>
                <w:lang w:val="en-US" w:eastAsia="zh-CN"/>
              </w:rPr>
              <w:t>封皮是否标有“正本”字样，封皮中是否加盖公章、法人签章及被授权委托人签字；</w:t>
            </w:r>
          </w:p>
        </w:tc>
      </w:tr>
      <w:tr w14:paraId="157FA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17BB5D49">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04C2EA27">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4D311B3">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投标文件的有效期满足招标文件的规定</w:t>
            </w:r>
            <w:r>
              <w:rPr>
                <w:rFonts w:hint="eastAsia" w:ascii="仿宋" w:hAnsi="仿宋" w:eastAsia="仿宋" w:cs="仿宋"/>
                <w:b w:val="0"/>
                <w:bCs/>
                <w:color w:val="auto"/>
                <w:sz w:val="24"/>
                <w:szCs w:val="24"/>
                <w:highlight w:val="none"/>
              </w:rPr>
              <w:t>；</w:t>
            </w:r>
          </w:p>
        </w:tc>
      </w:tr>
      <w:tr w14:paraId="7AF4B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7329F7A9">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6B49B33C">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0674D15F">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投标代表授权书由法定代表人签署并加盖公章</w:t>
            </w:r>
            <w:r>
              <w:rPr>
                <w:rFonts w:hint="eastAsia" w:ascii="仿宋" w:hAnsi="仿宋" w:eastAsia="仿宋" w:cs="仿宋"/>
                <w:b w:val="0"/>
                <w:bCs/>
                <w:color w:val="auto"/>
                <w:sz w:val="24"/>
                <w:szCs w:val="24"/>
                <w:highlight w:val="none"/>
              </w:rPr>
              <w:t>；</w:t>
            </w:r>
          </w:p>
        </w:tc>
      </w:tr>
      <w:tr w14:paraId="65FDC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3345D08A">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1478680C">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7F2BDD58">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投标文件按照规定在应由企业法人</w:t>
            </w:r>
            <w:r>
              <w:rPr>
                <w:rFonts w:hint="eastAsia" w:ascii="仿宋" w:hAnsi="仿宋" w:eastAsia="仿宋" w:cs="仿宋"/>
                <w:b w:val="0"/>
                <w:bCs/>
                <w:color w:val="auto"/>
                <w:sz w:val="24"/>
                <w:szCs w:val="24"/>
                <w:highlight w:val="none"/>
                <w:lang w:val="en-US" w:eastAsia="zh-CN"/>
              </w:rPr>
              <w:t>及</w:t>
            </w:r>
            <w:r>
              <w:rPr>
                <w:rFonts w:hint="eastAsia" w:ascii="仿宋" w:hAnsi="仿宋" w:eastAsia="仿宋" w:cs="仿宋"/>
                <w:b w:val="0"/>
                <w:bCs/>
                <w:color w:val="auto"/>
                <w:sz w:val="24"/>
                <w:szCs w:val="24"/>
                <w:highlight w:val="none"/>
                <w:lang w:eastAsia="zh-CN"/>
              </w:rPr>
              <w:t>法人授权代表在所有规定签章处逐一签署及加盖单位公章</w:t>
            </w:r>
            <w:r>
              <w:rPr>
                <w:rFonts w:hint="eastAsia" w:ascii="仿宋" w:hAnsi="仿宋" w:eastAsia="仿宋" w:cs="仿宋"/>
                <w:b w:val="0"/>
                <w:bCs/>
                <w:color w:val="auto"/>
                <w:sz w:val="24"/>
                <w:szCs w:val="24"/>
                <w:highlight w:val="none"/>
              </w:rPr>
              <w:t>；</w:t>
            </w:r>
          </w:p>
        </w:tc>
      </w:tr>
      <w:tr w14:paraId="3BBAB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6867E9E8">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08A7BBD4">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CE1EDFD">
            <w:pPr>
              <w:widowControl/>
              <w:shd w:val="clear" w:color="auto" w:fill="auto"/>
              <w:jc w:val="left"/>
              <w:textAlignment w:val="center"/>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投标文件针对同一种货物未出现了两个或两个以上的报价</w:t>
            </w:r>
            <w:r>
              <w:rPr>
                <w:rFonts w:hint="eastAsia" w:ascii="仿宋" w:hAnsi="仿宋" w:eastAsia="仿宋" w:cs="仿宋"/>
                <w:b w:val="0"/>
                <w:bCs/>
                <w:color w:val="auto"/>
                <w:sz w:val="24"/>
                <w:szCs w:val="24"/>
                <w:highlight w:val="none"/>
                <w:lang w:eastAsia="zh-CN"/>
              </w:rPr>
              <w:t>；</w:t>
            </w:r>
          </w:p>
        </w:tc>
      </w:tr>
      <w:tr w14:paraId="3792B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199E3D49">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6E83C3CA">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4B09D524">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投标文件载明的招标项目交货期限未超过招标文件规定的期限；</w:t>
            </w:r>
          </w:p>
        </w:tc>
      </w:tr>
      <w:tr w14:paraId="0E1E5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7EE7F8E4">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545A357C">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7F568D10">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投标文件载明的功能需求、验收标准和方法等符合招标文件的要求；</w:t>
            </w:r>
          </w:p>
        </w:tc>
      </w:tr>
      <w:tr w14:paraId="60B56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3098D184">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3EA279D3">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8</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367393BE">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投标人</w:t>
            </w:r>
            <w:r>
              <w:rPr>
                <w:rFonts w:hint="eastAsia" w:ascii="仿宋" w:hAnsi="仿宋" w:eastAsia="仿宋" w:cs="仿宋"/>
                <w:b w:val="0"/>
                <w:bCs/>
                <w:color w:val="auto"/>
                <w:sz w:val="24"/>
                <w:szCs w:val="24"/>
                <w:highlight w:val="none"/>
              </w:rPr>
              <w:t>的报价未超过预算价或最高限价；</w:t>
            </w:r>
          </w:p>
        </w:tc>
      </w:tr>
      <w:tr w14:paraId="24F32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1EBF5483">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4E99BC95">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9</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16015EE7">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投标文件未含有采购人不能接受的附加条件；</w:t>
            </w:r>
          </w:p>
        </w:tc>
      </w:tr>
      <w:tr w14:paraId="04009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73" w:type="dxa"/>
            <w:vMerge w:val="continue"/>
            <w:tcBorders>
              <w:top w:val="single" w:color="auto" w:sz="4" w:space="0"/>
              <w:left w:val="single" w:color="auto" w:sz="4" w:space="0"/>
              <w:bottom w:val="single" w:color="auto" w:sz="4" w:space="0"/>
              <w:right w:val="single" w:color="auto" w:sz="4" w:space="0"/>
            </w:tcBorders>
            <w:noWrap w:val="0"/>
            <w:vAlign w:val="center"/>
          </w:tcPr>
          <w:p w14:paraId="4037CA16">
            <w:pPr>
              <w:shd w:val="clear" w:color="auto" w:fill="auto"/>
              <w:outlineLvl w:val="9"/>
              <w:rPr>
                <w:rFonts w:hint="eastAsia" w:ascii="仿宋" w:hAnsi="仿宋" w:eastAsia="仿宋" w:cs="仿宋"/>
                <w:b w:val="0"/>
                <w:bCs/>
                <w:color w:val="auto"/>
                <w:sz w:val="24"/>
                <w:szCs w:val="24"/>
                <w:highlight w:val="none"/>
              </w:rPr>
            </w:pPr>
          </w:p>
        </w:tc>
        <w:tc>
          <w:tcPr>
            <w:tcW w:w="648" w:type="dxa"/>
            <w:tcBorders>
              <w:top w:val="single" w:color="auto" w:sz="4" w:space="0"/>
              <w:left w:val="single" w:color="auto" w:sz="4" w:space="0"/>
              <w:bottom w:val="single" w:color="auto" w:sz="4" w:space="0"/>
              <w:right w:val="single" w:color="auto" w:sz="4" w:space="0"/>
            </w:tcBorders>
            <w:noWrap w:val="0"/>
            <w:vAlign w:val="center"/>
          </w:tcPr>
          <w:p w14:paraId="1AD80B09">
            <w:pPr>
              <w:shd w:val="clear" w:color="auto" w:fill="auto"/>
              <w:jc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10</w:t>
            </w:r>
          </w:p>
        </w:tc>
        <w:tc>
          <w:tcPr>
            <w:tcW w:w="8528" w:type="dxa"/>
            <w:tcBorders>
              <w:top w:val="single" w:color="auto" w:sz="4" w:space="0"/>
              <w:left w:val="single" w:color="auto" w:sz="4" w:space="0"/>
              <w:bottom w:val="single" w:color="auto" w:sz="4" w:space="0"/>
              <w:right w:val="single" w:color="auto" w:sz="4" w:space="0"/>
            </w:tcBorders>
            <w:noWrap w:val="0"/>
            <w:vAlign w:val="center"/>
          </w:tcPr>
          <w:p w14:paraId="147543B2">
            <w:pPr>
              <w:widowControl/>
              <w:shd w:val="clear" w:color="auto" w:fill="auto"/>
              <w:jc w:val="left"/>
              <w:textAlignment w:val="center"/>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无不</w:t>
            </w:r>
            <w:r>
              <w:rPr>
                <w:rFonts w:hint="eastAsia" w:ascii="仿宋" w:hAnsi="仿宋" w:eastAsia="仿宋" w:cs="仿宋"/>
                <w:b w:val="0"/>
                <w:bCs/>
                <w:color w:val="auto"/>
                <w:sz w:val="24"/>
                <w:szCs w:val="24"/>
                <w:highlight w:val="none"/>
              </w:rPr>
              <w:t>符合法律、法规和招标文件中规定的其他实质性要求。</w:t>
            </w:r>
          </w:p>
        </w:tc>
      </w:tr>
      <w:tr w14:paraId="2F684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305041F6">
            <w:pPr>
              <w:shd w:val="clear" w:color="auto" w:fill="auto"/>
              <w:jc w:val="center"/>
              <w:outlineLvl w:val="9"/>
              <w:rPr>
                <w:rFonts w:hint="eastAsia" w:ascii="仿宋" w:hAnsi="仿宋" w:eastAsia="仿宋" w:cs="仿宋"/>
                <w:b w:val="0"/>
                <w:bCs/>
                <w:color w:val="auto"/>
                <w:sz w:val="24"/>
                <w:szCs w:val="24"/>
                <w:highlight w:val="none"/>
              </w:rPr>
            </w:pPr>
          </w:p>
        </w:tc>
        <w:tc>
          <w:tcPr>
            <w:tcW w:w="9176" w:type="dxa"/>
            <w:gridSpan w:val="2"/>
            <w:tcBorders>
              <w:top w:val="single" w:color="auto" w:sz="4" w:space="0"/>
              <w:left w:val="single" w:color="auto" w:sz="4" w:space="0"/>
              <w:bottom w:val="single" w:color="auto" w:sz="4" w:space="0"/>
              <w:right w:val="single" w:color="auto" w:sz="4" w:space="0"/>
            </w:tcBorders>
            <w:noWrap w:val="0"/>
            <w:vAlign w:val="top"/>
          </w:tcPr>
          <w:p w14:paraId="1120DF55">
            <w:pPr>
              <w:shd w:val="clear" w:color="auto" w:fil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结论：是否通过评审（须填写通过或不通过）</w:t>
            </w:r>
          </w:p>
          <w:p w14:paraId="6B03FACE">
            <w:pPr>
              <w:shd w:val="clear" w:color="auto" w:fil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注：如有一项不合格，作废标处理。</w:t>
            </w:r>
          </w:p>
        </w:tc>
      </w:tr>
    </w:tbl>
    <w:p w14:paraId="3A666C70">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14:paraId="51A4CAC1">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14:paraId="791625B4">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.4投标人可在现场20分钟内对评标委员会的评审结论提出异议，评标委员会根据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及有关规定对投标人的异议进行复议</w:t>
      </w:r>
    </w:p>
    <w:p w14:paraId="41042EDD">
      <w:pPr>
        <w:shd w:val="clear" w:color="auto" w:fill="auto"/>
        <w:spacing w:line="40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.5只有通过初审的投标人才能进入下一步评标程序。</w:t>
      </w:r>
    </w:p>
    <w:p w14:paraId="221D1599">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3B5D56D6">
      <w:pPr>
        <w:shd w:val="clear" w:color="auto" w:fill="auto"/>
        <w:spacing w:before="156" w:beforeLines="50" w:line="400" w:lineRule="exact"/>
        <w:jc w:val="center"/>
        <w:outlineLvl w:val="9"/>
        <w:rPr>
          <w:rFonts w:hint="eastAsia" w:ascii="仿宋" w:hAnsi="仿宋" w:eastAsia="仿宋" w:cs="仿宋"/>
          <w:b/>
          <w:color w:val="auto"/>
          <w:sz w:val="32"/>
          <w:szCs w:val="32"/>
          <w:highlight w:val="none"/>
        </w:rPr>
      </w:pPr>
      <w:bookmarkStart w:id="93" w:name="_Toc15264"/>
      <w:bookmarkStart w:id="94" w:name="_Toc362983803"/>
      <w:bookmarkStart w:id="95" w:name="_Toc469495734"/>
      <w:bookmarkStart w:id="96" w:name="_Toc20754"/>
      <w:r>
        <w:rPr>
          <w:rFonts w:hint="eastAsia" w:ascii="仿宋" w:hAnsi="仿宋" w:eastAsia="仿宋" w:cs="仿宋"/>
          <w:b/>
          <w:color w:val="auto"/>
          <w:sz w:val="32"/>
          <w:szCs w:val="32"/>
          <w:highlight w:val="none"/>
        </w:rPr>
        <w:t>三  投标文件的澄清和补正</w:t>
      </w:r>
      <w:bookmarkEnd w:id="93"/>
      <w:bookmarkEnd w:id="94"/>
      <w:bookmarkEnd w:id="95"/>
      <w:bookmarkEnd w:id="96"/>
    </w:p>
    <w:p w14:paraId="07E2695B">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8．澄清、说明或补正的形式</w:t>
      </w:r>
    </w:p>
    <w:p w14:paraId="5BD537D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549CCC4">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6B9152E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CBDF84C">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9．错误修正的原则</w:t>
      </w:r>
    </w:p>
    <w:p w14:paraId="695247F8">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0F0BD37E">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14:paraId="31530FCA">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投标函中表述的内容与报价表中不一致的，以报价表为准；报价表中的内容与报价明细表不一致的，以报价表为准；</w:t>
      </w:r>
    </w:p>
    <w:p w14:paraId="04A7BC60">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 投标文件中的大写金额和小写金额不一致的，以大写金额为准；</w:t>
      </w:r>
    </w:p>
    <w:p w14:paraId="0AE0E99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单价金额小数点或者百分比有明显错位的，以开标一览表的总价为准，并修改单价；</w:t>
      </w:r>
    </w:p>
    <w:p w14:paraId="7B81C867">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总价金额与按单价汇总金额不一致的，以单价金额计算结果为准；</w:t>
      </w:r>
    </w:p>
    <w:p w14:paraId="6A66FD4D">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若用文字表示的数值与用数字表示的数值不一致，以文字表示的数值为准；</w:t>
      </w:r>
    </w:p>
    <w:p w14:paraId="68B1AFE6">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如有多报（指数量超出采购文件需求）、重报（指同一货物重复报价），其投标总价在评标过程中不予调整，如其中标，其合同价按其投标单价予以调整；</w:t>
      </w:r>
    </w:p>
    <w:p w14:paraId="1B742A49">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对不同文字文本投标文件的解释发生异议的，以中文文本为准；</w:t>
      </w:r>
    </w:p>
    <w:p w14:paraId="4B5C1D15">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351FBE9D">
      <w:pPr>
        <w:shd w:val="clear" w:color="auto" w:fill="auto"/>
        <w:spacing w:line="400" w:lineRule="exact"/>
        <w:ind w:firstLine="403" w:firstLineChars="192"/>
        <w:outlineLvl w:val="9"/>
        <w:rPr>
          <w:rFonts w:hint="eastAsia" w:ascii="仿宋" w:hAnsi="仿宋" w:eastAsia="仿宋" w:cs="仿宋"/>
          <w:color w:val="auto"/>
          <w:szCs w:val="21"/>
          <w:highlight w:val="none"/>
        </w:rPr>
      </w:pPr>
    </w:p>
    <w:p w14:paraId="38BC5436">
      <w:pPr>
        <w:shd w:val="clear" w:color="auto" w:fill="auto"/>
        <w:spacing w:line="400" w:lineRule="exact"/>
        <w:jc w:val="center"/>
        <w:outlineLvl w:val="9"/>
        <w:rPr>
          <w:rFonts w:hint="eastAsia" w:ascii="仿宋" w:hAnsi="仿宋" w:eastAsia="仿宋" w:cs="仿宋"/>
          <w:b/>
          <w:color w:val="auto"/>
          <w:sz w:val="24"/>
          <w:highlight w:val="none"/>
        </w:rPr>
      </w:pPr>
      <w:bookmarkStart w:id="97" w:name="_Toc26574"/>
      <w:bookmarkStart w:id="98" w:name="_Toc469495735"/>
      <w:bookmarkStart w:id="99" w:name="_Toc27688"/>
      <w:r>
        <w:rPr>
          <w:rFonts w:hint="eastAsia" w:ascii="仿宋" w:hAnsi="仿宋" w:eastAsia="仿宋" w:cs="仿宋"/>
          <w:b/>
          <w:color w:val="auto"/>
          <w:sz w:val="32"/>
          <w:szCs w:val="22"/>
          <w:highlight w:val="none"/>
        </w:rPr>
        <w:t>四 比较与评价</w:t>
      </w:r>
      <w:bookmarkEnd w:id="97"/>
      <w:bookmarkEnd w:id="98"/>
      <w:bookmarkEnd w:id="99"/>
    </w:p>
    <w:p w14:paraId="55598EB9">
      <w:pPr>
        <w:shd w:val="clear" w:color="auto" w:fill="auto"/>
        <w:tabs>
          <w:tab w:val="left" w:pos="720"/>
        </w:tabs>
        <w:spacing w:line="440" w:lineRule="exact"/>
        <w:ind w:firstLine="612" w:firstLineChars="255"/>
        <w:outlineLvl w:val="9"/>
        <w:rPr>
          <w:rFonts w:hint="eastAsia" w:ascii="仿宋" w:hAnsi="仿宋" w:eastAsia="仿宋" w:cs="仿宋"/>
          <w:color w:val="auto"/>
          <w:sz w:val="24"/>
          <w:szCs w:val="24"/>
          <w:highlight w:val="none"/>
          <w:lang w:bidi="ar-SA"/>
        </w:rPr>
      </w:pPr>
      <w:bookmarkStart w:id="100" w:name="_Toc362983805"/>
      <w:bookmarkStart w:id="101" w:name="_Toc469495736"/>
      <w:r>
        <w:rPr>
          <w:rFonts w:hint="eastAsia" w:ascii="仿宋" w:hAnsi="仿宋" w:eastAsia="仿宋" w:cs="仿宋"/>
          <w:color w:val="auto"/>
          <w:sz w:val="24"/>
          <w:szCs w:val="24"/>
          <w:highlight w:val="none"/>
          <w:lang w:val="en-US" w:eastAsia="zh-CN" w:bidi="ar-SA"/>
        </w:rPr>
        <w:t>10.1</w:t>
      </w:r>
      <w:r>
        <w:rPr>
          <w:rFonts w:hint="eastAsia" w:ascii="仿宋" w:hAnsi="仿宋" w:eastAsia="仿宋" w:cs="仿宋"/>
          <w:color w:val="auto"/>
          <w:sz w:val="24"/>
          <w:szCs w:val="24"/>
          <w:highlight w:val="none"/>
          <w:lang w:bidi="ar-SA"/>
        </w:rPr>
        <w:t>评标委员会按</w:t>
      </w:r>
      <w:r>
        <w:rPr>
          <w:rFonts w:hint="eastAsia" w:ascii="仿宋" w:hAnsi="仿宋" w:eastAsia="仿宋" w:cs="仿宋"/>
          <w:color w:val="auto"/>
          <w:sz w:val="24"/>
          <w:szCs w:val="24"/>
          <w:highlight w:val="none"/>
          <w:lang w:eastAsia="zh-CN" w:bidi="ar-SA"/>
        </w:rPr>
        <w:t>招标文件</w:t>
      </w:r>
      <w:r>
        <w:rPr>
          <w:rFonts w:hint="eastAsia" w:ascii="仿宋" w:hAnsi="仿宋" w:eastAsia="仿宋" w:cs="仿宋"/>
          <w:color w:val="auto"/>
          <w:sz w:val="24"/>
          <w:szCs w:val="24"/>
          <w:highlight w:val="none"/>
          <w:lang w:bidi="ar-SA"/>
        </w:rPr>
        <w:t>中规定的评标方法和标准，对资格性检查和符合性检查合格的投标文件进行商务和技术评估、综合比较与评价。</w:t>
      </w:r>
    </w:p>
    <w:p w14:paraId="195B95FC">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14:paraId="63D6C768">
      <w:pPr>
        <w:shd w:val="clear" w:color="auto" w:fill="auto"/>
        <w:spacing w:line="440" w:lineRule="exact"/>
        <w:ind w:firstLine="616" w:firstLineChars="257"/>
        <w:outlineLvl w:val="9"/>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14:paraId="235B71FB">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14:paraId="612F5096">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w:t>
      </w:r>
      <w:r>
        <w:rPr>
          <w:rFonts w:hint="eastAsia" w:ascii="仿宋" w:hAnsi="仿宋" w:eastAsia="仿宋" w:cs="仿宋"/>
          <w:color w:val="auto"/>
          <w:sz w:val="24"/>
          <w:szCs w:val="24"/>
          <w:highlight w:val="none"/>
          <w:lang w:eastAsia="zh-CN" w:bidi="ar-SA"/>
        </w:rPr>
        <w:t>招标文件</w:t>
      </w:r>
      <w:r>
        <w:rPr>
          <w:rFonts w:hint="eastAsia" w:ascii="仿宋" w:hAnsi="仿宋" w:eastAsia="仿宋" w:cs="仿宋"/>
          <w:color w:val="auto"/>
          <w:sz w:val="24"/>
          <w:szCs w:val="24"/>
          <w:highlight w:val="none"/>
          <w:lang w:bidi="ar-SA"/>
        </w:rPr>
        <w:t>、投标文件、提供的正式试验数据、质询澄清中的文字为准，口头回答和收集的资料只作为参考。</w:t>
      </w:r>
    </w:p>
    <w:p w14:paraId="66358D01">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14:paraId="3C44F10C">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14:paraId="3F49F5F4">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14:paraId="776BB276">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w:t>
      </w:r>
      <w:r>
        <w:rPr>
          <w:rFonts w:hint="eastAsia" w:ascii="仿宋" w:hAnsi="仿宋" w:eastAsia="仿宋" w:cs="仿宋"/>
          <w:color w:val="auto"/>
          <w:sz w:val="24"/>
          <w:szCs w:val="24"/>
          <w:highlight w:val="none"/>
          <w:lang w:eastAsia="zh-CN" w:bidi="ar-SA"/>
        </w:rPr>
        <w:t>招标文件</w:t>
      </w:r>
      <w:r>
        <w:rPr>
          <w:rFonts w:hint="eastAsia" w:ascii="仿宋" w:hAnsi="仿宋" w:eastAsia="仿宋" w:cs="仿宋"/>
          <w:color w:val="auto"/>
          <w:sz w:val="24"/>
          <w:szCs w:val="24"/>
          <w:highlight w:val="none"/>
          <w:lang w:bidi="ar-SA"/>
        </w:rPr>
        <w:t>要求，按满足的程度给投标人打分。</w:t>
      </w:r>
    </w:p>
    <w:p w14:paraId="3D171147">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14:paraId="2C32FF94">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1)就投标人的投标文件对照整理出商务、技术评标因素对比表、偏差表，并在经过校核的基础上逐项打分。</w:t>
      </w:r>
    </w:p>
    <w:p w14:paraId="05D8EA05">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2)各评委独立完成打分后，将评分表交给代理机构，由代理机构组织进行分数统计。</w:t>
      </w:r>
    </w:p>
    <w:p w14:paraId="0AAC3254">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3)最终汇总表中各投标人得分应为评委打分的算术平均值。</w:t>
      </w:r>
    </w:p>
    <w:p w14:paraId="7F6DBEC4">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（8）评分标准和细则（综合评分法评分标准）</w:t>
      </w:r>
    </w:p>
    <w:p w14:paraId="78E8AB4D">
      <w:pPr>
        <w:shd w:val="clear" w:color="auto" w:fill="auto"/>
        <w:spacing w:line="400" w:lineRule="exact"/>
        <w:jc w:val="center"/>
        <w:outlineLvl w:val="9"/>
        <w:rPr>
          <w:rFonts w:hint="eastAsia" w:ascii="仿宋" w:hAnsi="仿宋" w:eastAsia="仿宋" w:cs="仿宋"/>
          <w:b/>
          <w:color w:val="auto"/>
          <w:sz w:val="32"/>
          <w:szCs w:val="22"/>
          <w:highlight w:val="none"/>
          <w:lang w:val="en-US" w:eastAsia="zh-CN"/>
        </w:rPr>
      </w:pPr>
      <w:bookmarkStart w:id="102" w:name="_Toc30836"/>
    </w:p>
    <w:p w14:paraId="55D7E189">
      <w:pPr>
        <w:shd w:val="clear" w:color="auto" w:fill="auto"/>
        <w:spacing w:line="400" w:lineRule="exact"/>
        <w:jc w:val="center"/>
        <w:outlineLvl w:val="9"/>
        <w:rPr>
          <w:rFonts w:hint="eastAsia" w:ascii="仿宋" w:hAnsi="仿宋" w:eastAsia="仿宋" w:cs="仿宋"/>
          <w:b/>
          <w:color w:val="auto"/>
          <w:sz w:val="32"/>
          <w:szCs w:val="22"/>
          <w:highlight w:val="none"/>
          <w:lang w:val="en-US" w:eastAsia="zh-CN"/>
        </w:rPr>
      </w:pPr>
      <w:r>
        <w:rPr>
          <w:rFonts w:hint="eastAsia" w:ascii="仿宋" w:hAnsi="仿宋" w:eastAsia="仿宋" w:cs="仿宋"/>
          <w:b/>
          <w:color w:val="auto"/>
          <w:sz w:val="32"/>
          <w:szCs w:val="22"/>
          <w:highlight w:val="none"/>
          <w:lang w:val="en-US" w:eastAsia="zh-CN"/>
        </w:rPr>
        <w:t>五 评分标准</w:t>
      </w:r>
      <w:bookmarkEnd w:id="102"/>
    </w:p>
    <w:p w14:paraId="53C22E6E">
      <w:pPr>
        <w:shd w:val="clear" w:color="auto" w:fill="auto"/>
        <w:spacing w:line="400" w:lineRule="exact"/>
        <w:jc w:val="center"/>
        <w:outlineLvl w:val="9"/>
        <w:rPr>
          <w:rFonts w:hint="eastAsia" w:ascii="仿宋" w:hAnsi="仿宋" w:eastAsia="仿宋" w:cs="仿宋"/>
          <w:b/>
          <w:color w:val="auto"/>
          <w:sz w:val="28"/>
          <w:szCs w:val="21"/>
          <w:highlight w:val="none"/>
          <w:lang w:val="en-US" w:eastAsia="zh-CN"/>
        </w:rPr>
      </w:pPr>
    </w:p>
    <w:p w14:paraId="1524A6EC">
      <w:pPr>
        <w:pStyle w:val="17"/>
        <w:keepNext w:val="0"/>
        <w:keepLines w:val="0"/>
        <w:pageBreakBefore w:val="0"/>
        <w:widowControl w:val="0"/>
        <w:tabs>
          <w:tab w:val="left" w:pos="567"/>
        </w:tabs>
        <w:kinsoku/>
        <w:wordWrap/>
        <w:overflowPunct/>
        <w:topLinePunct w:val="0"/>
        <w:autoSpaceDE/>
        <w:autoSpaceDN/>
        <w:bidi w:val="0"/>
        <w:adjustRightInd/>
        <w:snapToGrid/>
        <w:spacing w:line="240" w:lineRule="auto"/>
        <w:textAlignment w:val="auto"/>
        <w:rPr>
          <w:rFonts w:hint="default" w:ascii="仿宋" w:hAnsi="仿宋" w:eastAsia="仿宋" w:cs="仿宋"/>
          <w:b/>
          <w:color w:val="auto"/>
          <w:sz w:val="24"/>
          <w:highlight w:val="none"/>
          <w:lang w:val="en-US" w:eastAsia="zh-CN"/>
        </w:rPr>
      </w:pPr>
      <w:r>
        <w:rPr>
          <w:rFonts w:hint="eastAsia" w:ascii="仿宋" w:hAnsi="仿宋" w:eastAsia="仿宋" w:cs="仿宋"/>
          <w:color w:val="auto"/>
          <w:kern w:val="0"/>
          <w:sz w:val="28"/>
          <w:szCs w:val="28"/>
          <w:u w:val="none"/>
          <w:lang w:val="en-US" w:eastAsia="zh-CN" w:bidi="ar"/>
        </w:rPr>
        <w:t>评分标准:</w:t>
      </w:r>
    </w:p>
    <w:tbl>
      <w:tblPr>
        <w:tblStyle w:val="19"/>
        <w:tblpPr w:leftFromText="180" w:rightFromText="180" w:vertAnchor="text" w:horzAnchor="page" w:tblpX="1429" w:tblpY="644"/>
        <w:tblOverlap w:val="never"/>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188"/>
        <w:gridCol w:w="6209"/>
      </w:tblGrid>
      <w:tr w14:paraId="067C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03" w:type="dxa"/>
            <w:gridSpan w:val="3"/>
            <w:vAlign w:val="center"/>
          </w:tcPr>
          <w:p w14:paraId="21942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lang w:val="en-US" w:eastAsia="zh-CN"/>
              </w:rPr>
            </w:pPr>
            <w:r>
              <w:rPr>
                <w:rFonts w:hint="eastAsia" w:ascii="仿宋" w:hAnsi="仿宋" w:eastAsia="仿宋" w:cs="仿宋"/>
                <w:color w:val="auto"/>
                <w:sz w:val="24"/>
                <w:szCs w:val="24"/>
                <w:highlight w:val="none"/>
                <w:lang w:val="en-US" w:eastAsia="zh-CN"/>
              </w:rPr>
              <w:t>商务和技术部分（70分）</w:t>
            </w:r>
            <w:r>
              <w:rPr>
                <w:rFonts w:hint="eastAsia" w:ascii="仿宋" w:hAnsi="仿宋" w:eastAsia="仿宋" w:cs="仿宋"/>
                <w:b/>
                <w:bCs/>
                <w:color w:val="auto"/>
                <w:sz w:val="24"/>
                <w:szCs w:val="24"/>
                <w:highlight w:val="none"/>
                <w:lang w:val="en-US" w:eastAsia="zh-CN"/>
              </w:rPr>
              <w:t>（以下得分保留小数点后2位）</w:t>
            </w:r>
          </w:p>
        </w:tc>
      </w:tr>
      <w:tr w14:paraId="0FFC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6" w:type="dxa"/>
            <w:vAlign w:val="center"/>
          </w:tcPr>
          <w:p w14:paraId="77F0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color w:val="auto"/>
                <w:sz w:val="24"/>
                <w:szCs w:val="24"/>
              </w:rPr>
              <w:t>序号</w:t>
            </w:r>
          </w:p>
        </w:tc>
        <w:tc>
          <w:tcPr>
            <w:tcW w:w="2188" w:type="dxa"/>
            <w:vAlign w:val="center"/>
          </w:tcPr>
          <w:p w14:paraId="32FEB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color w:val="auto"/>
                <w:sz w:val="24"/>
                <w:szCs w:val="24"/>
              </w:rPr>
              <w:t>评审项目</w:t>
            </w:r>
          </w:p>
        </w:tc>
        <w:tc>
          <w:tcPr>
            <w:tcW w:w="6209" w:type="dxa"/>
            <w:vAlign w:val="center"/>
          </w:tcPr>
          <w:p w14:paraId="45520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color w:val="auto"/>
                <w:sz w:val="24"/>
                <w:szCs w:val="24"/>
                <w:lang w:val="en-US" w:eastAsia="zh-CN"/>
              </w:rPr>
              <w:t>评审细则</w:t>
            </w:r>
          </w:p>
        </w:tc>
      </w:tr>
      <w:tr w14:paraId="7C34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14:paraId="6039DAA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2188" w:type="dxa"/>
            <w:vAlign w:val="center"/>
          </w:tcPr>
          <w:p w14:paraId="533F732F">
            <w:pPr>
              <w:pStyle w:val="16"/>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color w:val="auto"/>
                <w:kern w:val="2"/>
                <w:sz w:val="24"/>
                <w:szCs w:val="24"/>
                <w:vertAlign w:val="baseline"/>
                <w:lang w:val="en-US" w:eastAsia="zh-CN" w:bidi="ar-SA"/>
              </w:rPr>
            </w:pPr>
            <w:bookmarkStart w:id="103" w:name="_Toc5935"/>
            <w:r>
              <w:rPr>
                <w:rFonts w:hint="eastAsia" w:ascii="仿宋" w:hAnsi="仿宋" w:eastAsia="仿宋" w:cs="仿宋"/>
                <w:b w:val="0"/>
                <w:bCs w:val="0"/>
                <w:color w:val="auto"/>
                <w:sz w:val="24"/>
                <w:szCs w:val="24"/>
              </w:rPr>
              <w:t>技术标响应情况（技术指标、参数）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44分</w:t>
            </w:r>
            <w:r>
              <w:rPr>
                <w:rFonts w:hint="eastAsia" w:ascii="仿宋" w:hAnsi="仿宋" w:eastAsia="仿宋" w:cs="仿宋"/>
                <w:b w:val="0"/>
                <w:bCs w:val="0"/>
                <w:color w:val="auto"/>
                <w:sz w:val="24"/>
                <w:szCs w:val="24"/>
                <w:lang w:eastAsia="zh-CN"/>
              </w:rPr>
              <w:t>）</w:t>
            </w:r>
            <w:bookmarkEnd w:id="103"/>
          </w:p>
        </w:tc>
        <w:tc>
          <w:tcPr>
            <w:tcW w:w="6209" w:type="dxa"/>
            <w:vAlign w:val="top"/>
          </w:tcPr>
          <w:p w14:paraId="51180D85">
            <w:pPr>
              <w:spacing w:line="360" w:lineRule="exact"/>
              <w:rPr>
                <w:rFonts w:hint="default" w:ascii="仿宋" w:hAnsi="仿宋" w:eastAsia="宋体"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满足招标文件技术指标、参数要求的得44分，以此为基础，</w:t>
            </w:r>
            <w:r>
              <w:rPr>
                <w:rFonts w:hint="eastAsia" w:asciiTheme="minorEastAsia" w:hAnsiTheme="minorEastAsia"/>
                <w:color w:val="auto"/>
                <w:lang w:val="en-US" w:eastAsia="zh-CN"/>
              </w:rPr>
              <w:t>标</w:t>
            </w:r>
            <w:r>
              <w:rPr>
                <w:rFonts w:hint="eastAsia" w:ascii="宋体" w:hAnsi="宋体" w:eastAsia="宋体" w:cs="宋体"/>
                <w:color w:val="auto"/>
                <w:sz w:val="24"/>
                <w:szCs w:val="24"/>
              </w:rPr>
              <w:t>▲</w:t>
            </w:r>
            <w:r>
              <w:rPr>
                <w:rFonts w:hint="eastAsia" w:asciiTheme="minorEastAsia" w:hAnsiTheme="minorEastAsia"/>
                <w:color w:val="auto"/>
                <w:lang w:val="en-US" w:eastAsia="zh-CN"/>
              </w:rPr>
              <w:t>项为本项目重要参数，</w:t>
            </w:r>
            <w:r>
              <w:rPr>
                <w:rFonts w:hint="eastAsia" w:ascii="仿宋" w:hAnsi="仿宋" w:eastAsia="仿宋" w:cs="仿宋"/>
                <w:b w:val="0"/>
                <w:bCs w:val="0"/>
                <w:color w:val="auto"/>
                <w:kern w:val="2"/>
                <w:sz w:val="24"/>
                <w:szCs w:val="24"/>
                <w:lang w:val="en-US" w:eastAsia="zh-CN" w:bidi="ar-SA"/>
              </w:rPr>
              <w:t>投标人技术参数有一项负偏离减2分，减完为止；未标注</w:t>
            </w:r>
            <w:r>
              <w:rPr>
                <w:rFonts w:hint="eastAsia" w:ascii="宋体" w:hAnsi="宋体" w:eastAsia="宋体" w:cs="宋体"/>
                <w:color w:val="auto"/>
                <w:sz w:val="24"/>
                <w:szCs w:val="24"/>
              </w:rPr>
              <w:t>▲</w:t>
            </w:r>
            <w:r>
              <w:rPr>
                <w:rFonts w:hint="eastAsia" w:asciiTheme="minorEastAsia" w:hAnsiTheme="minorEastAsia"/>
                <w:color w:val="auto"/>
                <w:lang w:val="en-US" w:eastAsia="zh-CN"/>
              </w:rPr>
              <w:t>的为一般参数，</w:t>
            </w:r>
            <w:r>
              <w:rPr>
                <w:rFonts w:hint="eastAsia" w:ascii="仿宋" w:hAnsi="仿宋" w:eastAsia="仿宋" w:cs="仿宋"/>
                <w:b w:val="0"/>
                <w:bCs w:val="0"/>
                <w:color w:val="auto"/>
                <w:kern w:val="2"/>
                <w:sz w:val="24"/>
                <w:szCs w:val="24"/>
                <w:lang w:val="en-US" w:eastAsia="zh-CN" w:bidi="ar-SA"/>
              </w:rPr>
              <w:t>投标人技术参数有一项负偏离减0.5分，减完为止。</w:t>
            </w:r>
          </w:p>
          <w:p w14:paraId="390C17E7">
            <w:pPr>
              <w:spacing w:line="360" w:lineRule="exact"/>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bCs/>
                <w:color w:val="auto"/>
                <w:kern w:val="2"/>
                <w:sz w:val="24"/>
                <w:szCs w:val="24"/>
                <w:lang w:val="en-US" w:eastAsia="zh-CN" w:bidi="ar-SA"/>
              </w:rPr>
              <w:t>注：应提供由第三方出具的检测报告（检测报告或与技术文件一致的彩页证明）等支持文件以证明是否满足技术要求，未提供证明材料的，视为不满足相应要求。</w:t>
            </w:r>
          </w:p>
        </w:tc>
      </w:tr>
      <w:tr w14:paraId="51FB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14:paraId="1BC4920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lang w:val="en-US" w:eastAsia="zh-CN" w:bidi="ar-SA"/>
              </w:rPr>
              <w:t>2</w:t>
            </w:r>
          </w:p>
        </w:tc>
        <w:tc>
          <w:tcPr>
            <w:tcW w:w="2188" w:type="dxa"/>
            <w:vAlign w:val="center"/>
          </w:tcPr>
          <w:p w14:paraId="790BC8AD">
            <w:pPr>
              <w:pStyle w:val="16"/>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color w:val="auto"/>
                <w:kern w:val="2"/>
                <w:sz w:val="24"/>
                <w:szCs w:val="24"/>
                <w:vertAlign w:val="baseline"/>
                <w:lang w:val="en-US" w:eastAsia="zh-CN" w:bidi="ar-SA"/>
              </w:rPr>
            </w:pPr>
            <w:bookmarkStart w:id="104" w:name="_Toc22649"/>
            <w:r>
              <w:rPr>
                <w:rFonts w:hint="eastAsia" w:ascii="仿宋" w:hAnsi="仿宋" w:eastAsia="仿宋" w:cs="仿宋"/>
                <w:b w:val="0"/>
                <w:bCs w:val="0"/>
                <w:color w:val="auto"/>
                <w:sz w:val="24"/>
                <w:szCs w:val="24"/>
                <w:highlight w:val="none"/>
              </w:rPr>
              <w:t>运输、配送方案</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6分</w:t>
            </w:r>
            <w:r>
              <w:rPr>
                <w:rFonts w:hint="eastAsia" w:ascii="仿宋" w:hAnsi="仿宋" w:eastAsia="仿宋" w:cs="仿宋"/>
                <w:b w:val="0"/>
                <w:bCs w:val="0"/>
                <w:color w:val="auto"/>
                <w:sz w:val="24"/>
                <w:szCs w:val="24"/>
                <w:highlight w:val="none"/>
                <w:lang w:eastAsia="zh-CN"/>
              </w:rPr>
              <w:t>）</w:t>
            </w:r>
            <w:bookmarkEnd w:id="104"/>
          </w:p>
        </w:tc>
        <w:tc>
          <w:tcPr>
            <w:tcW w:w="6209" w:type="dxa"/>
            <w:vAlign w:val="center"/>
          </w:tcPr>
          <w:p w14:paraId="3AAA6294">
            <w:pPr>
              <w:widowControl/>
              <w:jc w:val="left"/>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方案设计合理、人员配备及安排、进度计划及保证措施合理、安装调试程序、措施得当，培训方案到位的</w:t>
            </w:r>
            <w:r>
              <w:rPr>
                <w:rFonts w:hint="eastAsia" w:ascii="仿宋" w:hAnsi="仿宋" w:eastAsia="仿宋" w:cs="仿宋"/>
                <w:color w:val="auto"/>
                <w:sz w:val="24"/>
                <w:szCs w:val="24"/>
                <w:lang w:val="en-US" w:eastAsia="zh-CN"/>
              </w:rPr>
              <w:t>得6</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有缺漏项，欠合理的，每处扣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分，扣完为止。</w:t>
            </w:r>
          </w:p>
          <w:p w14:paraId="46DCBB09">
            <w:pPr>
              <w:widowControl/>
              <w:jc w:val="left"/>
              <w:textAlignment w:val="center"/>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kern w:val="0"/>
                <w:sz w:val="24"/>
                <w:szCs w:val="24"/>
                <w:lang w:bidi="ar"/>
              </w:rPr>
              <w:t>供应商提供针对本项目的配送方案包括：安全管理制度</w:t>
            </w:r>
            <w:r>
              <w:rPr>
                <w:rFonts w:hint="eastAsia" w:ascii="仿宋" w:hAnsi="仿宋" w:eastAsia="仿宋" w:cs="仿宋"/>
                <w:b/>
                <w:bCs/>
                <w:color w:val="auto"/>
                <w:kern w:val="0"/>
                <w:sz w:val="24"/>
                <w:szCs w:val="24"/>
                <w:lang w:eastAsia="zh-CN" w:bidi="ar"/>
              </w:rPr>
              <w:t>、</w:t>
            </w:r>
            <w:r>
              <w:rPr>
                <w:rFonts w:hint="eastAsia" w:ascii="仿宋" w:hAnsi="仿宋" w:eastAsia="仿宋" w:cs="仿宋"/>
                <w:b/>
                <w:bCs/>
                <w:color w:val="auto"/>
                <w:kern w:val="0"/>
                <w:sz w:val="24"/>
                <w:szCs w:val="24"/>
                <w:lang w:bidi="ar"/>
              </w:rPr>
              <w:t>配送服务计划和措施</w:t>
            </w:r>
            <w:r>
              <w:rPr>
                <w:rFonts w:hint="eastAsia" w:ascii="仿宋" w:hAnsi="仿宋" w:eastAsia="仿宋" w:cs="仿宋"/>
                <w:b/>
                <w:bCs/>
                <w:color w:val="auto"/>
                <w:kern w:val="0"/>
                <w:sz w:val="24"/>
                <w:szCs w:val="24"/>
                <w:lang w:eastAsia="zh-CN" w:bidi="ar"/>
              </w:rPr>
              <w:t>；</w:t>
            </w:r>
            <w:r>
              <w:rPr>
                <w:rFonts w:hint="eastAsia" w:ascii="仿宋" w:hAnsi="仿宋" w:eastAsia="仿宋" w:cs="仿宋"/>
                <w:b/>
                <w:bCs/>
                <w:color w:val="auto"/>
                <w:kern w:val="0"/>
                <w:sz w:val="24"/>
                <w:szCs w:val="24"/>
                <w:lang w:bidi="ar"/>
              </w:rPr>
              <w:t>自然灾害、交通意外等情况下的应急预案；确保产品</w:t>
            </w:r>
            <w:r>
              <w:rPr>
                <w:rFonts w:hint="eastAsia" w:ascii="仿宋" w:hAnsi="仿宋" w:eastAsia="仿宋" w:cs="仿宋"/>
                <w:b/>
                <w:bCs/>
                <w:color w:val="auto"/>
                <w:kern w:val="0"/>
                <w:sz w:val="24"/>
                <w:szCs w:val="24"/>
                <w:lang w:val="en-US" w:eastAsia="zh-CN" w:bidi="ar"/>
              </w:rPr>
              <w:t>在供货周期内</w:t>
            </w:r>
            <w:r>
              <w:rPr>
                <w:rFonts w:hint="eastAsia" w:ascii="仿宋" w:hAnsi="仿宋" w:eastAsia="仿宋" w:cs="仿宋"/>
                <w:b/>
                <w:bCs/>
                <w:color w:val="auto"/>
                <w:kern w:val="0"/>
                <w:sz w:val="24"/>
                <w:szCs w:val="24"/>
                <w:lang w:bidi="ar"/>
              </w:rPr>
              <w:t>及时送达采购方</w:t>
            </w:r>
            <w:r>
              <w:rPr>
                <w:rFonts w:hint="eastAsia" w:ascii="仿宋" w:hAnsi="仿宋" w:eastAsia="仿宋" w:cs="仿宋"/>
                <w:b/>
                <w:bCs/>
                <w:color w:val="auto"/>
                <w:kern w:val="0"/>
                <w:sz w:val="24"/>
                <w:szCs w:val="24"/>
                <w:lang w:eastAsia="zh-CN" w:bidi="ar"/>
              </w:rPr>
              <w:t>，</w:t>
            </w:r>
            <w:r>
              <w:rPr>
                <w:rFonts w:hint="eastAsia" w:ascii="仿宋" w:hAnsi="仿宋" w:eastAsia="仿宋" w:cs="仿宋"/>
                <w:b/>
                <w:bCs/>
                <w:color w:val="auto"/>
                <w:kern w:val="0"/>
                <w:sz w:val="24"/>
                <w:szCs w:val="24"/>
                <w:lang w:bidi="ar"/>
              </w:rPr>
              <w:t>验收使用时间等内容承诺函</w:t>
            </w:r>
            <w:r>
              <w:rPr>
                <w:rFonts w:hint="eastAsia" w:ascii="仿宋" w:hAnsi="仿宋" w:eastAsia="仿宋" w:cs="仿宋"/>
                <w:b/>
                <w:bCs/>
                <w:color w:val="auto"/>
                <w:kern w:val="0"/>
                <w:sz w:val="24"/>
                <w:szCs w:val="24"/>
                <w:lang w:eastAsia="zh-CN" w:bidi="ar"/>
              </w:rPr>
              <w:t>。</w:t>
            </w:r>
          </w:p>
        </w:tc>
      </w:tr>
      <w:tr w14:paraId="6EB4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14:paraId="5757485E">
            <w:pPr>
              <w:keepNext w:val="0"/>
              <w:keepLines w:val="0"/>
              <w:pageBreakBefore w:val="0"/>
              <w:kinsoku/>
              <w:wordWrap/>
              <w:overflowPunct/>
              <w:topLinePunct w:val="0"/>
              <w:autoSpaceDE/>
              <w:autoSpaceDN/>
              <w:bidi w:val="0"/>
              <w:snapToGrid w:val="0"/>
              <w:spacing w:line="48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lang w:val="en-US" w:eastAsia="zh-CN" w:bidi="ar-SA"/>
              </w:rPr>
              <w:t>3</w:t>
            </w:r>
          </w:p>
        </w:tc>
        <w:tc>
          <w:tcPr>
            <w:tcW w:w="2188" w:type="dxa"/>
            <w:vAlign w:val="center"/>
          </w:tcPr>
          <w:p w14:paraId="1322C603">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4"/>
                <w:szCs w:val="24"/>
                <w:vertAlign w:val="baseline"/>
                <w:lang w:val="en-US" w:eastAsia="zh-CN" w:bidi="ar-SA"/>
              </w:rPr>
            </w:pPr>
            <w:bookmarkStart w:id="105" w:name="_Toc26649"/>
            <w:r>
              <w:rPr>
                <w:rFonts w:hint="eastAsia" w:ascii="仿宋" w:hAnsi="仿宋" w:eastAsia="仿宋" w:cs="仿宋"/>
                <w:b w:val="0"/>
                <w:bCs w:val="0"/>
                <w:color w:val="auto"/>
                <w:kern w:val="2"/>
                <w:sz w:val="24"/>
                <w:szCs w:val="24"/>
                <w:lang w:val="en-US" w:eastAsia="zh-CN" w:bidi="ar-SA"/>
              </w:rPr>
              <w:t>售后服务（8分）</w:t>
            </w:r>
            <w:bookmarkEnd w:id="105"/>
          </w:p>
        </w:tc>
        <w:tc>
          <w:tcPr>
            <w:tcW w:w="6209" w:type="dxa"/>
            <w:vAlign w:val="center"/>
          </w:tcPr>
          <w:p w14:paraId="42207A3B">
            <w:pPr>
              <w:pStyle w:val="10"/>
              <w:keepNext w:val="0"/>
              <w:keepLines w:val="0"/>
              <w:pageBreakBefore w:val="0"/>
              <w:widowControl w:val="0"/>
              <w:kinsoku/>
              <w:wordWrap/>
              <w:overflowPunct/>
              <w:topLinePunct w:val="0"/>
              <w:autoSpaceDE/>
              <w:autoSpaceDN/>
              <w:bidi w:val="0"/>
              <w:spacing w:line="240" w:lineRule="auto"/>
              <w:ind w:right="-31" w:rightChars="-15"/>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提供服务方案内容包含：①售后服务方案；②遇到问题迅速响应及解决方案；③人员售后服务保障；④应急措施。</w:t>
            </w:r>
          </w:p>
          <w:p w14:paraId="2CEC484B">
            <w:pPr>
              <w:pStyle w:val="3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）方案包含上述</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lang w:eastAsia="zh-CN"/>
                <w14:textFill>
                  <w14:solidFill>
                    <w14:schemeClr w14:val="tx1"/>
                  </w14:solidFill>
                </w14:textFill>
              </w:rPr>
              <w:t>项内容，且内容阐述完整详实，</w:t>
            </w:r>
            <w:r>
              <w:rPr>
                <w:rFonts w:hint="eastAsia" w:ascii="仿宋" w:hAnsi="仿宋" w:eastAsia="仿宋" w:cs="仿宋"/>
                <w:color w:val="000000" w:themeColor="text1"/>
                <w:sz w:val="24"/>
                <w:szCs w:val="24"/>
                <w:highlight w:val="none"/>
                <w:lang w:val="en-US" w:eastAsia="zh-CN"/>
                <w14:textFill>
                  <w14:solidFill>
                    <w14:schemeClr w14:val="tx1"/>
                  </w14:solidFill>
                </w14:textFill>
              </w:rPr>
              <w:t>方案有</w:t>
            </w:r>
            <w:r>
              <w:rPr>
                <w:rFonts w:hint="eastAsia" w:ascii="仿宋" w:hAnsi="仿宋" w:eastAsia="仿宋" w:cs="仿宋"/>
                <w:color w:val="000000" w:themeColor="text1"/>
                <w:sz w:val="24"/>
                <w:szCs w:val="24"/>
                <w:highlight w:val="none"/>
                <w:lang w:eastAsia="zh-CN"/>
                <w14:textFill>
                  <w14:solidFill>
                    <w14:schemeClr w14:val="tx1"/>
                  </w14:solidFill>
                </w14:textFill>
              </w:rPr>
              <w:t>针对</w:t>
            </w:r>
            <w:r>
              <w:rPr>
                <w:rFonts w:hint="eastAsia" w:ascii="仿宋" w:hAnsi="仿宋" w:eastAsia="仿宋" w:cs="仿宋"/>
                <w:color w:val="000000" w:themeColor="text1"/>
                <w:sz w:val="24"/>
                <w:szCs w:val="24"/>
                <w:highlight w:val="none"/>
                <w:lang w:val="en-US" w:eastAsia="zh-CN"/>
                <w14:textFill>
                  <w14:solidFill>
                    <w14:schemeClr w14:val="tx1"/>
                  </w14:solidFill>
                </w14:textFill>
              </w:rPr>
              <w:t>性，各项方案分析全面准确</w:t>
            </w:r>
            <w:r>
              <w:rPr>
                <w:rFonts w:hint="eastAsia" w:ascii="仿宋" w:hAnsi="仿宋" w:eastAsia="仿宋" w:cs="仿宋"/>
                <w:color w:val="000000" w:themeColor="text1"/>
                <w:sz w:val="24"/>
                <w:szCs w:val="24"/>
                <w:highlight w:val="none"/>
                <w:lang w:eastAsia="zh-CN"/>
                <w14:textFill>
                  <w14:solidFill>
                    <w14:schemeClr w14:val="tx1"/>
                  </w14:solidFill>
                </w14:textFill>
              </w:rPr>
              <w:t>，符合项目实际，</w:t>
            </w:r>
            <w:r>
              <w:rPr>
                <w:rFonts w:hint="eastAsia" w:ascii="仿宋" w:hAnsi="仿宋" w:eastAsia="仿宋" w:cs="仿宋"/>
                <w:color w:val="000000" w:themeColor="text1"/>
                <w:sz w:val="24"/>
                <w:szCs w:val="24"/>
                <w:highlight w:val="none"/>
                <w:lang w:val="en-US" w:eastAsia="zh-CN"/>
                <w14:textFill>
                  <w14:solidFill>
                    <w14:schemeClr w14:val="tx1"/>
                  </w14:solidFill>
                </w14:textFill>
              </w:rPr>
              <w:t>符合本招标文件第五章中</w:t>
            </w:r>
            <w:bookmarkStart w:id="180" w:name="_GoBack"/>
            <w:bookmarkEnd w:id="180"/>
            <w:r>
              <w:rPr>
                <w:rFonts w:hint="eastAsia" w:ascii="仿宋" w:hAnsi="仿宋" w:eastAsia="仿宋" w:cs="仿宋"/>
                <w:b w:val="0"/>
                <w:bCs/>
                <w:color w:val="auto"/>
                <w:sz w:val="24"/>
                <w:szCs w:val="15"/>
                <w:highlight w:val="none"/>
                <w:lang w:val="en-US" w:eastAsia="zh-CN"/>
              </w:rPr>
              <w:t>保修与售后服务</w:t>
            </w:r>
            <w:r>
              <w:rPr>
                <w:rFonts w:hint="eastAsia" w:ascii="仿宋" w:hAnsi="仿宋" w:eastAsia="仿宋" w:cs="仿宋"/>
                <w:color w:val="000000" w:themeColor="text1"/>
                <w:sz w:val="24"/>
                <w:szCs w:val="24"/>
                <w:highlight w:val="none"/>
                <w:lang w:val="en-US" w:eastAsia="zh-CN"/>
                <w14:textFill>
                  <w14:solidFill>
                    <w14:schemeClr w14:val="tx1"/>
                  </w14:solidFill>
                </w14:textFill>
              </w:rPr>
              <w:t>规定内容，计划制定科学合理，</w:t>
            </w:r>
            <w:r>
              <w:rPr>
                <w:rFonts w:hint="eastAsia" w:ascii="仿宋" w:hAnsi="仿宋" w:eastAsia="仿宋" w:cs="仿宋"/>
                <w:color w:val="000000" w:themeColor="text1"/>
                <w:sz w:val="24"/>
                <w:szCs w:val="24"/>
                <w:highlight w:val="none"/>
                <w:lang w:eastAsia="zh-CN"/>
                <w14:textFill>
                  <w14:solidFill>
                    <w14:schemeClr w14:val="tx1"/>
                  </w14:solidFill>
                </w14:textFill>
              </w:rPr>
              <w:t>条理逻辑清晰，可</w:t>
            </w:r>
            <w:r>
              <w:rPr>
                <w:rFonts w:hint="eastAsia" w:ascii="仿宋" w:hAnsi="仿宋" w:eastAsia="仿宋" w:cs="仿宋"/>
                <w:color w:val="000000" w:themeColor="text1"/>
                <w:sz w:val="24"/>
                <w:szCs w:val="24"/>
                <w:highlight w:val="none"/>
                <w:lang w:val="en-US" w:eastAsia="zh-CN"/>
                <w14:textFill>
                  <w14:solidFill>
                    <w14:schemeClr w14:val="tx1"/>
                  </w14:solidFill>
                </w14:textFill>
              </w:rPr>
              <w:t>执行</w:t>
            </w:r>
            <w:r>
              <w:rPr>
                <w:rFonts w:hint="eastAsia" w:ascii="仿宋" w:hAnsi="仿宋" w:eastAsia="仿宋" w:cs="仿宋"/>
                <w:color w:val="000000" w:themeColor="text1"/>
                <w:sz w:val="24"/>
                <w:szCs w:val="24"/>
                <w:highlight w:val="none"/>
                <w:lang w:eastAsia="zh-CN"/>
                <w14:textFill>
                  <w14:solidFill>
                    <w14:schemeClr w14:val="tx1"/>
                  </w14:solidFill>
                </w14:textFill>
              </w:rPr>
              <w:t>性强，得</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分。</w:t>
            </w:r>
          </w:p>
          <w:p w14:paraId="100B7A2B">
            <w:pPr>
              <w:pStyle w:val="3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方案中每缺少上述一项内容扣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分，最多扣</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分；</w:t>
            </w:r>
          </w:p>
          <w:p w14:paraId="3C6E5F36">
            <w:pPr>
              <w:pStyle w:val="37"/>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针对上述任一项内容，供应商每出现一处缺陷或瑕疵的，扣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扣完为止；（注：本项评审所称“缺陷或瑕疵”指内容不完整或缺少关键点，非专门针对本项目，不适用本项目特性、套用其他项目内容、不符合采购需求，对同一问题前后表述矛盾，存在逻辑漏洞、科学原理或常识错误，不利于本项目目标的实现，现有</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条件下不可能实现的技术等上述任意一种情形）</w:t>
            </w:r>
          </w:p>
          <w:p w14:paraId="3DC95239">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未提供方案的，得0分。</w:t>
            </w:r>
          </w:p>
        </w:tc>
      </w:tr>
      <w:tr w14:paraId="6CA4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06" w:type="dxa"/>
            <w:vAlign w:val="center"/>
          </w:tcPr>
          <w:p w14:paraId="6909AC8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188" w:type="dxa"/>
            <w:vAlign w:val="center"/>
          </w:tcPr>
          <w:p w14:paraId="1C18F00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质量保证措施（4 分）</w:t>
            </w:r>
          </w:p>
        </w:tc>
        <w:tc>
          <w:tcPr>
            <w:tcW w:w="6209" w:type="dxa"/>
            <w:vAlign w:val="center"/>
          </w:tcPr>
          <w:p w14:paraId="0B9250D3">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质量保障措施包括：①货物质量保证措施；②检验、试验质量保障措施；③包装、运输质量保障措施；④交货质量保障措施。 以上方案每项得 1 分，缺项不得分。每有一处存在缺陷扣 0.5 分（缺陷是指：存在不适用项目实际情况的情形、凭空编造、 内容前后不一致、前后逻辑错误、涉及的规范及标准错误、地 点区域错误、内容缺失、不符合采购需求等）（满分 4 分）</w:t>
            </w:r>
          </w:p>
        </w:tc>
      </w:tr>
      <w:tr w14:paraId="406B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06" w:type="dxa"/>
            <w:vAlign w:val="center"/>
          </w:tcPr>
          <w:p w14:paraId="005F4A7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188" w:type="dxa"/>
            <w:vAlign w:val="center"/>
          </w:tcPr>
          <w:p w14:paraId="2E6025F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零配件保障（4分）</w:t>
            </w:r>
          </w:p>
        </w:tc>
        <w:tc>
          <w:tcPr>
            <w:tcW w:w="6209" w:type="dxa"/>
            <w:vAlign w:val="center"/>
          </w:tcPr>
          <w:p w14:paraId="04718842">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零配件保障包括：①需要更换设备的零配件情况；②备件情况； ③生产年限（如提供的备品备件生产时间早于设备生产时间， 视为无效零配件）； ④零配件质量承诺。 以上方案每项得 1 分，缺项不得分。每有一处存在缺陷扣 0.5 分（缺陷是指：存在不适用项目实际情况的情形、凭空编造、内容前后不一致、 前后逻辑错误、涉及的规范及标准错误、地点区域错误、内容 缺失、不符合采购需求等）（满分 4 分）</w:t>
            </w:r>
          </w:p>
        </w:tc>
      </w:tr>
      <w:tr w14:paraId="707D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06" w:type="dxa"/>
            <w:vAlign w:val="center"/>
          </w:tcPr>
          <w:p w14:paraId="3427B0D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188" w:type="dxa"/>
            <w:vAlign w:val="center"/>
          </w:tcPr>
          <w:p w14:paraId="166AC29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业绩（4分）</w:t>
            </w:r>
          </w:p>
        </w:tc>
        <w:tc>
          <w:tcPr>
            <w:tcW w:w="6209" w:type="dxa"/>
            <w:vAlign w:val="center"/>
          </w:tcPr>
          <w:p w14:paraId="72BA68E9">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近三年内（2023年5月至投标截止日，业绩时间以合同签订日期中标通知书发出日期为准）每有一项同类业绩的得1分，最多得4分(须提供合同、中标通知书，否则不得分）。</w:t>
            </w:r>
          </w:p>
        </w:tc>
      </w:tr>
      <w:tr w14:paraId="0F25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103" w:type="dxa"/>
            <w:gridSpan w:val="3"/>
            <w:vAlign w:val="center"/>
          </w:tcPr>
          <w:p w14:paraId="44F9AEE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投标报价（30分）</w:t>
            </w:r>
          </w:p>
        </w:tc>
      </w:tr>
      <w:tr w14:paraId="626C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6" w:type="dxa"/>
            <w:vAlign w:val="center"/>
          </w:tcPr>
          <w:p w14:paraId="3CBDD883">
            <w:pPr>
              <w:keepNext w:val="0"/>
              <w:keepLines w:val="0"/>
              <w:pageBreakBefore w:val="0"/>
              <w:kinsoku/>
              <w:wordWrap/>
              <w:overflowPunct/>
              <w:topLinePunct w:val="0"/>
              <w:autoSpaceDE/>
              <w:autoSpaceDN/>
              <w:bidi w:val="0"/>
              <w:snapToGrid w:val="0"/>
              <w:spacing w:line="480" w:lineRule="exact"/>
              <w:jc w:val="center"/>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2188" w:type="dxa"/>
            <w:vAlign w:val="center"/>
          </w:tcPr>
          <w:p w14:paraId="44C0EBE7">
            <w:pPr>
              <w:pStyle w:val="16"/>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sz w:val="24"/>
                <w:szCs w:val="24"/>
                <w:vertAlign w:val="baseline"/>
                <w:lang w:val="en-US" w:eastAsia="zh-CN"/>
              </w:rPr>
            </w:pPr>
            <w:bookmarkStart w:id="106" w:name="_Toc14002"/>
            <w:r>
              <w:rPr>
                <w:rFonts w:hint="eastAsia" w:ascii="仿宋" w:hAnsi="仿宋" w:eastAsia="仿宋" w:cs="仿宋"/>
                <w:b w:val="0"/>
                <w:bCs w:val="0"/>
                <w:color w:val="auto"/>
                <w:sz w:val="24"/>
                <w:szCs w:val="24"/>
                <w:highlight w:val="none"/>
                <w:lang w:val="en-US" w:eastAsia="zh-CN"/>
              </w:rPr>
              <w:t>投标报价(30分)</w:t>
            </w:r>
            <w:bookmarkEnd w:id="106"/>
          </w:p>
        </w:tc>
        <w:tc>
          <w:tcPr>
            <w:tcW w:w="6209" w:type="dxa"/>
            <w:vAlign w:val="center"/>
          </w:tcPr>
          <w:p w14:paraId="13200FDA">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highlight w:val="none"/>
                <w:lang w:val="en-US" w:eastAsia="zh-CN"/>
              </w:rPr>
              <w:t>满足招标文件要求且评标价格最低的报价为评标基准价,满分为30分；价格分的计算投标报价得分=(评标基准价／投标报价)×30。（计算分值时，百分比按四舍五入原则，保留小数点后二位数）</w:t>
            </w:r>
          </w:p>
        </w:tc>
      </w:tr>
    </w:tbl>
    <w:p w14:paraId="07898273">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p>
    <w:p w14:paraId="4813D9E0">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p>
    <w:p w14:paraId="79464E0F">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C307852">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2、供应商在评标过程中，所进行的力图影响评标结果的不符合招标规则的活动，可能导致其被取消中标资格。</w:t>
      </w:r>
    </w:p>
    <w:p w14:paraId="7ECD67CA">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3、与招标文件有重大偏离的投标文件将被拒绝。</w:t>
      </w:r>
    </w:p>
    <w:p w14:paraId="3D1490DD">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30%×100。</w:t>
      </w:r>
    </w:p>
    <w:bookmarkEnd w:id="100"/>
    <w:bookmarkEnd w:id="101"/>
    <w:p w14:paraId="264F936E">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14:paraId="667BBD99">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5、最低报价不作为评标的唯一依据。采购人不承诺将合同授予报价最低的投标人。</w:t>
      </w:r>
    </w:p>
    <w:p w14:paraId="21F21F09">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6、经评标委员会评议，认为投标报价过高、超出采购人预算的项目，可以不确立中标人，做为废标处理。</w:t>
      </w:r>
    </w:p>
    <w:bookmarkEnd w:id="89"/>
    <w:p w14:paraId="39E8967C">
      <w:pPr>
        <w:shd w:val="clear" w:color="auto" w:fill="auto"/>
        <w:snapToGrid w:val="0"/>
        <w:spacing w:line="40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无效投标条款</w:t>
      </w:r>
    </w:p>
    <w:p w14:paraId="6BA02190">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.1投标文件有下列情形之一的,其投标文件拒收:</w:t>
      </w:r>
    </w:p>
    <w:p w14:paraId="3839D588">
      <w:pPr>
        <w:shd w:val="clear" w:color="auto" w:fill="auto"/>
        <w:snapToGrid w:val="0"/>
        <w:spacing w:line="400" w:lineRule="exact"/>
        <w:ind w:firstLine="480" w:firstLineChars="20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未在开标截止时间前通过网上招标投标系统递交有效电子投标文件的，开标系统不予接收。</w:t>
      </w:r>
    </w:p>
    <w:p w14:paraId="3CC1A9CF">
      <w:pPr>
        <w:shd w:val="clear" w:color="auto" w:fill="auto"/>
        <w:snapToGrid w:val="0"/>
        <w:spacing w:line="400" w:lineRule="exact"/>
        <w:ind w:firstLine="480" w:firstLineChars="20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14:paraId="249B1819">
      <w:pPr>
        <w:shd w:val="clear" w:color="auto" w:fill="auto"/>
        <w:snapToGrid w:val="0"/>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.2投标人有下列情形之一的,资格审查后其投标作无效投标处理：</w:t>
      </w:r>
    </w:p>
    <w:p w14:paraId="6185391F">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14:paraId="54E2D0A8">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14:paraId="7AAA7FC7">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14:paraId="6E893AA5">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14:paraId="45D0769A">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val="0"/>
          <w:bCs w:val="0"/>
          <w:color w:val="auto"/>
          <w:sz w:val="24"/>
          <w:szCs w:val="24"/>
          <w:highlight w:val="none"/>
        </w:rPr>
        <w:t>评标专家无法查看并检验电子标书中相关资料的；</w:t>
      </w:r>
    </w:p>
    <w:p w14:paraId="365BCAF1">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)联合体投标未提交联合体协议的；</w:t>
      </w:r>
    </w:p>
    <w:p w14:paraId="66506AE5">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)被暂停营业的；</w:t>
      </w:r>
    </w:p>
    <w:p w14:paraId="3ED026CB">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)被暂停或取消投标资格的；</w:t>
      </w:r>
    </w:p>
    <w:p w14:paraId="2943C113">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)财产被接管或冻结的；</w:t>
      </w:r>
    </w:p>
    <w:p w14:paraId="2C55F8FC">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)投标人单位负责人为同一人或者存在</w:t>
      </w:r>
      <w:r>
        <w:rPr>
          <w:rFonts w:hint="eastAsia" w:ascii="仿宋" w:hAnsi="仿宋" w:eastAsia="仿宋" w:cs="仿宋"/>
          <w:color w:val="auto"/>
          <w:sz w:val="24"/>
          <w:szCs w:val="24"/>
          <w:highlight w:val="none"/>
          <w:lang w:val="en-US" w:eastAsia="zh-CN"/>
        </w:rPr>
        <w:t>直接</w:t>
      </w:r>
      <w:r>
        <w:rPr>
          <w:rFonts w:hint="eastAsia" w:ascii="仿宋" w:hAnsi="仿宋" w:eastAsia="仿宋" w:cs="仿宋"/>
          <w:color w:val="auto"/>
          <w:sz w:val="24"/>
          <w:szCs w:val="24"/>
          <w:highlight w:val="none"/>
        </w:rPr>
        <w:t>控股、管理关系的不同单位的；</w:t>
      </w:r>
    </w:p>
    <w:p w14:paraId="2747D5E0">
      <w:pPr>
        <w:shd w:val="clear" w:color="auto" w:fill="auto"/>
        <w:snapToGrid w:val="0"/>
        <w:spacing w:line="400" w:lineRule="exact"/>
        <w:ind w:firstLine="360" w:firstLineChars="15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投标人基本资格条件和特定资格条件中有一项及以上不符合要求的；</w:t>
      </w:r>
    </w:p>
    <w:p w14:paraId="47C533D4">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）投标人使用相同的MAC地址进行报名的；</w:t>
      </w:r>
    </w:p>
    <w:p w14:paraId="5F1EA75B">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）其它情形，经评标委员会委提出按无效投标处理，并经公共资源交易监督部门核准的；</w:t>
      </w:r>
    </w:p>
    <w:p w14:paraId="59ED028B">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）投标人使用相同IP地址报名的，一经发现，监管部门将进一步核实，查实后按串通投标处理；</w:t>
      </w:r>
    </w:p>
    <w:p w14:paraId="2B0561BF">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规定的其它无效投标情形。</w:t>
      </w:r>
    </w:p>
    <w:p w14:paraId="31D808E6">
      <w:pPr>
        <w:shd w:val="clear" w:color="auto" w:fill="auto"/>
        <w:snapToGrid w:val="0"/>
        <w:spacing w:line="400" w:lineRule="exact"/>
        <w:ind w:firstLine="480" w:firstLineChars="20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.3 投标人有下列情形之一的,符合性审查后其投标按无效投标处理：</w:t>
      </w:r>
    </w:p>
    <w:p w14:paraId="512A370C">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(1)投标文件签字、盖章不全，经评标委员会一致认定对开评标内容有实质性影响并经监督部门核准的；</w:t>
      </w:r>
    </w:p>
    <w:p w14:paraId="13B549E0">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)未按规定的格式填写，实质性内容不全或关键字迹模糊、无法辨认; 经监督部门核准的；</w:t>
      </w:r>
    </w:p>
    <w:p w14:paraId="6300C012">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)同一投标人提交两个以上不同的投标文件或者投标报价，但</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规定提交备选方案的除外；</w:t>
      </w:r>
    </w:p>
    <w:p w14:paraId="1356830A">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)投标文件没有对</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的实质性要求和条件作出响应;</w:t>
      </w:r>
    </w:p>
    <w:p w14:paraId="12C364B2">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)投标报价超出规定的投标限价或公布的采购预算的；注：投标人的投标报价各项单价均不得高于</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给定的单价最高限价，否则，其投标文件将按无效投标处理。</w:t>
      </w:r>
    </w:p>
    <w:p w14:paraId="646F6FDB">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)不按评标委员会要求澄清、说明或补正的，或者评标委员会根据</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的规定对</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的计算错误进行修正后，投标人不接受修正的投标报价的。</w:t>
      </w:r>
    </w:p>
    <w:p w14:paraId="5336B7B4">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）其它情形，经评标委员会委提出按无效投标处理，并经公共资源交易监督部门核准的；</w:t>
      </w:r>
    </w:p>
    <w:p w14:paraId="50EE3760">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）未按照</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的规定提交投标保证金的；</w:t>
      </w:r>
    </w:p>
    <w:p w14:paraId="34288F4F">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）投标文件含有采购人不能接受的附加条件的;</w:t>
      </w:r>
    </w:p>
    <w:p w14:paraId="6106FCD7">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规定的其它无效投标情形。</w:t>
      </w:r>
    </w:p>
    <w:p w14:paraId="16777B84">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投标人有下列情形之一的, 详细评审后其投标按无效投标处理：</w:t>
      </w:r>
    </w:p>
    <w:p w14:paraId="740BA53F">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投标产品不符合必须强制执行的国家标准的；</w:t>
      </w:r>
    </w:p>
    <w:p w14:paraId="13E15236">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投标人有串通投标、弄虚作假、行贿等违法行为；</w:t>
      </w:r>
    </w:p>
    <w:p w14:paraId="60741178">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投标文件含有违反国家法律、法规的内容，或附有招标人不能接受的条件的；</w:t>
      </w:r>
    </w:p>
    <w:p w14:paraId="60EA2196">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）报价明显低于其他投标人，且不能证明报价合理性的投标无效；</w:t>
      </w:r>
    </w:p>
    <w:p w14:paraId="3540088C">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）拒不确认评标委员会评审修正的投标无效；</w:t>
      </w:r>
    </w:p>
    <w:p w14:paraId="439FFF00">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）其它情形，经评标委员会委提出按无效投标处理；</w:t>
      </w:r>
    </w:p>
    <w:p w14:paraId="4B435863">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规定的其它无效投标情形。</w:t>
      </w:r>
    </w:p>
    <w:bookmarkEnd w:id="90"/>
    <w:p w14:paraId="6E405837">
      <w:pPr>
        <w:pStyle w:val="17"/>
        <w:ind w:left="0" w:leftChars="0" w:firstLine="0" w:firstLineChars="0"/>
        <w:rPr>
          <w:rFonts w:hint="eastAsia"/>
          <w:color w:val="auto"/>
          <w:highlight w:val="none"/>
        </w:rPr>
        <w:sectPr>
          <w:footerReference r:id="rId7" w:type="first"/>
          <w:footerReference r:id="rId6" w:type="default"/>
          <w:pgSz w:w="11906" w:h="16838"/>
          <w:pgMar w:top="1440" w:right="1080" w:bottom="1440" w:left="1080" w:header="851" w:footer="851" w:gutter="0"/>
          <w:pgNumType w:fmt="numberInDash" w:start="1"/>
          <w:cols w:space="720" w:num="1"/>
          <w:titlePg/>
          <w:docGrid w:type="linesAndChars" w:linePitch="312" w:charSpace="0"/>
        </w:sectPr>
      </w:pPr>
    </w:p>
    <w:p w14:paraId="2F7F48C4">
      <w:pPr>
        <w:pStyle w:val="16"/>
        <w:numPr>
          <w:ilvl w:val="0"/>
          <w:numId w:val="5"/>
        </w:numPr>
        <w:ind w:left="0" w:leftChars="0" w:firstLine="0" w:firstLineChars="0"/>
        <w:jc w:val="center"/>
        <w:outlineLvl w:val="0"/>
        <w:rPr>
          <w:rFonts w:hint="eastAsia" w:ascii="仿宋" w:hAnsi="仿宋" w:eastAsia="仿宋" w:cs="仿宋"/>
          <w:color w:val="auto"/>
          <w:sz w:val="36"/>
          <w:highlight w:val="none"/>
        </w:rPr>
      </w:pPr>
      <w:bookmarkStart w:id="107" w:name="_Toc10919"/>
      <w:bookmarkStart w:id="108" w:name="_Toc10924"/>
      <w:r>
        <w:rPr>
          <w:rFonts w:hint="eastAsia" w:ascii="仿宋" w:hAnsi="仿宋" w:eastAsia="仿宋" w:cs="仿宋"/>
          <w:color w:val="auto"/>
          <w:sz w:val="36"/>
          <w:highlight w:val="none"/>
        </w:rPr>
        <w:t>招标内容</w:t>
      </w:r>
      <w:bookmarkEnd w:id="107"/>
      <w:r>
        <w:rPr>
          <w:rFonts w:hint="eastAsia" w:ascii="仿宋" w:hAnsi="仿宋" w:eastAsia="仿宋" w:cs="仿宋"/>
          <w:color w:val="auto"/>
          <w:sz w:val="36"/>
          <w:highlight w:val="none"/>
          <w:lang w:val="en-US" w:eastAsia="zh-CN"/>
        </w:rPr>
        <w:t>及技术要求</w:t>
      </w:r>
      <w:bookmarkEnd w:id="108"/>
    </w:p>
    <w:p w14:paraId="0AE51B3C">
      <w:pPr>
        <w:rPr>
          <w:rFonts w:hint="eastAsia"/>
          <w:color w:val="auto"/>
        </w:rPr>
      </w:pPr>
    </w:p>
    <w:p w14:paraId="6E10B330">
      <w:pPr>
        <w:ind w:firstLine="0" w:firstLineChars="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采购需求</w:t>
      </w:r>
    </w:p>
    <w:tbl>
      <w:tblPr>
        <w:tblStyle w:val="18"/>
        <w:tblpPr w:leftFromText="180" w:rightFromText="180" w:vertAnchor="text" w:horzAnchor="page" w:tblpX="1272" w:tblpY="418"/>
        <w:tblOverlap w:val="never"/>
        <w:tblW w:w="9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84"/>
        <w:gridCol w:w="741"/>
        <w:gridCol w:w="162"/>
        <w:gridCol w:w="486"/>
        <w:gridCol w:w="6950"/>
      </w:tblGrid>
      <w:tr w14:paraId="660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80" w:type="dxa"/>
            <w:vAlign w:val="center"/>
          </w:tcPr>
          <w:p w14:paraId="4E822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lang w:val="en-US" w:eastAsia="zh-CN"/>
              </w:rPr>
            </w:pPr>
            <w:bookmarkStart w:id="109" w:name="_Toc2026"/>
            <w:r>
              <w:rPr>
                <w:rFonts w:hint="eastAsia" w:ascii="仿宋" w:hAnsi="仿宋" w:eastAsia="仿宋" w:cs="仿宋"/>
                <w:b/>
                <w:bCs/>
                <w:color w:val="auto"/>
                <w:sz w:val="24"/>
                <w:szCs w:val="24"/>
                <w:highlight w:val="none"/>
                <w:lang w:val="en-US" w:eastAsia="zh-CN"/>
              </w:rPr>
              <w:t>序号</w:t>
            </w:r>
          </w:p>
        </w:tc>
        <w:tc>
          <w:tcPr>
            <w:tcW w:w="884" w:type="dxa"/>
            <w:vAlign w:val="center"/>
          </w:tcPr>
          <w:p w14:paraId="6CD6F5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采购物品名称</w:t>
            </w:r>
          </w:p>
        </w:tc>
        <w:tc>
          <w:tcPr>
            <w:tcW w:w="741" w:type="dxa"/>
            <w:vAlign w:val="center"/>
          </w:tcPr>
          <w:p w14:paraId="69707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数量</w:t>
            </w:r>
          </w:p>
        </w:tc>
        <w:tc>
          <w:tcPr>
            <w:tcW w:w="648" w:type="dxa"/>
            <w:gridSpan w:val="2"/>
            <w:vAlign w:val="center"/>
          </w:tcPr>
          <w:p w14:paraId="39042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单位</w:t>
            </w:r>
          </w:p>
        </w:tc>
        <w:tc>
          <w:tcPr>
            <w:tcW w:w="6950" w:type="dxa"/>
            <w:shd w:val="clear" w:color="auto" w:fill="auto"/>
            <w:vAlign w:val="center"/>
          </w:tcPr>
          <w:p w14:paraId="7BF88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技术参数</w:t>
            </w:r>
          </w:p>
        </w:tc>
      </w:tr>
      <w:tr w14:paraId="70F7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5" w:hRule="atLeast"/>
        </w:trPr>
        <w:tc>
          <w:tcPr>
            <w:tcW w:w="580" w:type="dxa"/>
            <w:vAlign w:val="center"/>
          </w:tcPr>
          <w:p w14:paraId="0967BC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p>
        </w:tc>
        <w:tc>
          <w:tcPr>
            <w:tcW w:w="884" w:type="dxa"/>
            <w:shd w:val="clear" w:color="auto" w:fill="auto"/>
            <w:vAlign w:val="center"/>
          </w:tcPr>
          <w:p w14:paraId="18930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正置显微镜</w:t>
            </w:r>
          </w:p>
        </w:tc>
        <w:tc>
          <w:tcPr>
            <w:tcW w:w="741" w:type="dxa"/>
            <w:vAlign w:val="center"/>
          </w:tcPr>
          <w:p w14:paraId="47037A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48" w:type="dxa"/>
            <w:gridSpan w:val="2"/>
            <w:vAlign w:val="center"/>
          </w:tcPr>
          <w:p w14:paraId="23818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7EB892A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1、放大倍数：40×-1000×。</w:t>
            </w:r>
          </w:p>
          <w:p w14:paraId="2E0F265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2、光学系统：无限远色差校正光学系统。</w:t>
            </w:r>
          </w:p>
          <w:p w14:paraId="2C7FED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3、目镜：高眼点平场目镜PL10X/22mm，带视度调节。</w:t>
            </w:r>
          </w:p>
          <w:p w14:paraId="39F3D69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4、观察筒：铰链式双目观察筒，30°倾斜；瞳距调节范围47-78mm。具有铰链组360°旋转功能，眼点高度调节范围375-428mm。</w:t>
            </w:r>
          </w:p>
          <w:p w14:paraId="23F2B5A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5、物镜转换器：内倾式5孔物镜编码转换照明亮度自动调整自动切换。</w:t>
            </w:r>
          </w:p>
          <w:p w14:paraId="282AF14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6、聚光镜：阿贝式聚光镜，数值孔径N.A.1.25，齿轮齿条垂直升降，带可变孔径光栏，带暗场、相差附件插口。</w:t>
            </w:r>
          </w:p>
          <w:p w14:paraId="620B5D5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7、载物台：双层机械移动平台。载物台面积≥230mm×150mm，片夹可同时夹持两块切片。平台行程≥78mm×54mm，精度0.1mm。</w:t>
            </w:r>
          </w:p>
          <w:p w14:paraId="723ACFE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8、调焦机构：粗微调同轴，粗调行程≥30mm，微调精度2um，全金属齿轮齿条调焦机构，带可调式平台上限位装置。</w:t>
            </w:r>
          </w:p>
          <w:p w14:paraId="7718B08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9、物镜： 无限远平场消色差物镜:4×/NA≥0.1/WD≥30mm， 10×/NA≥0.25/WD≥10.2mm，40×/NA≥0.65/WD≥1.5mm，100×/NA≥1.25/WD≥0.2mm。</w:t>
            </w:r>
          </w:p>
          <w:p w14:paraId="3512AC3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10、照明系统：宽电压输入； LED，带液晶显示窗口、色温可调，色温可调节范围3000K-7000K；带亮度记忆功能；带节能模式。</w:t>
            </w:r>
          </w:p>
          <w:p w14:paraId="5A2B7B7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11、机身自带充电接口。机身自带标准USB接口。</w:t>
            </w:r>
          </w:p>
          <w:p w14:paraId="34D317E7">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12、机身带搬运装置，带收纳装置，电源线、充电装置、工具、镜油等物品。</w:t>
            </w:r>
          </w:p>
        </w:tc>
      </w:tr>
      <w:tr w14:paraId="4B8F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80" w:type="dxa"/>
            <w:vAlign w:val="center"/>
          </w:tcPr>
          <w:p w14:paraId="496A2E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p>
        </w:tc>
        <w:tc>
          <w:tcPr>
            <w:tcW w:w="884" w:type="dxa"/>
            <w:shd w:val="clear" w:color="auto" w:fill="auto"/>
            <w:vAlign w:val="center"/>
          </w:tcPr>
          <w:p w14:paraId="6A18C7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微波消解仪</w:t>
            </w:r>
          </w:p>
        </w:tc>
        <w:tc>
          <w:tcPr>
            <w:tcW w:w="741" w:type="dxa"/>
            <w:vAlign w:val="center"/>
          </w:tcPr>
          <w:p w14:paraId="46797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69558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20C5257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1、适用范围</w:t>
            </w:r>
          </w:p>
          <w:p w14:paraId="7C38598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用于UV-Vis、AAS、AFS、ICP、ICP-MS等仪器的快速样品消解处理，广泛应用于食品、药品、环境、化工、农产品、化妆品等样品的分析检测。</w:t>
            </w:r>
          </w:p>
          <w:p w14:paraId="5EA978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2、技术指标</w:t>
            </w:r>
          </w:p>
          <w:p w14:paraId="3648F20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 主机</w:t>
            </w:r>
          </w:p>
          <w:p w14:paraId="0C32FBD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2.1.1 双磁控管非脉冲变频控制系统双向二维排布，微波输出功率≥2000W。</w:t>
            </w:r>
          </w:p>
          <w:p w14:paraId="7317EFB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2.1.2 炉腔为316材质不锈钢谐振腔，体积≥60L，喷涂多层特氟龙涂层，耐各种酸碱溶剂腐蚀及高温。</w:t>
            </w:r>
          </w:p>
          <w:p w14:paraId="31D34AD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2.1.3 安全门三维定向防爆机制设计，配备防爆可视窗，具有一体化抗流槽结构。</w:t>
            </w:r>
          </w:p>
          <w:p w14:paraId="7CAE822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2.1.4 具备机械和电子双重门锁，安全温度可设置。具备感应自动开门功能。</w:t>
            </w:r>
          </w:p>
          <w:p w14:paraId="21B5B4C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2.1.5 具有视频影像监控系统，主机配备彩色触摸屏及彩色视频监控屏，可实时显示实验参数及温压变化曲线。</w:t>
            </w:r>
          </w:p>
          <w:p w14:paraId="02FF76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2.1.6 灯光识别系统：具有≥4种颜色变化功能。</w:t>
            </w:r>
          </w:p>
          <w:p w14:paraId="39A86C2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2.1.7 炉腔配备大功率排风系统，风量可根据实验进程自动调整，采用腔内强制风冷/腔外自然风冷等冷却方式。</w:t>
            </w:r>
          </w:p>
          <w:p w14:paraId="3DE0994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 温度、压力控制系统</w:t>
            </w:r>
          </w:p>
          <w:p w14:paraId="29A7905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2.2.1 全罐测温：采用非接触式中红外全罐测温技术，可对全部消解罐底部进行温度扫描，测温范围60-400℃，检测精度±0.1℃。</w:t>
            </w:r>
          </w:p>
          <w:p w14:paraId="0D4FE92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2.2.2 全罐控压：实时监控每个消解罐内压力变化，具备弹性泄压自密封技术。</w:t>
            </w:r>
          </w:p>
          <w:p w14:paraId="0F01016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2.2.3具备非接触式实时异常监控系统。</w:t>
            </w:r>
          </w:p>
          <w:p w14:paraId="3ACBF19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 消解转子系统</w:t>
            </w:r>
          </w:p>
          <w:p w14:paraId="67B0A1D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 xml:space="preserve">2.3.1外罐：采用宇航级复合纤维材料或者PEEK材料防爆外罐整体喷涂特氟龙涂层，耐腐蚀、支持水洗 </w:t>
            </w:r>
          </w:p>
          <w:p w14:paraId="4A709A2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2.3.2 内罐：容积≥65mL，内罐、内塞、盖子等应采用TFM或PFA材质，可泡酸清洗。</w:t>
            </w:r>
          </w:p>
          <w:p w14:paraId="5554DC9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2.3.3 批次处理量≥40位。</w:t>
            </w:r>
          </w:p>
          <w:p w14:paraId="31E1E6F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 软件系统</w:t>
            </w:r>
          </w:p>
          <w:p w14:paraId="0B54A2C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2.4.1 内置专业应用方法库和视频培训教程，可自动识别转子类型，自动判断消解罐位置并计数消解罐数量。</w:t>
            </w:r>
          </w:p>
          <w:p w14:paraId="344379B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2.4.2 配备≥7寸彩色触摸屏，可实时显示温度、步骤、时间、功率等实验状态，可显示全罐温度柱状图，并查看任意消解罐升温曲线。</w:t>
            </w:r>
          </w:p>
          <w:p w14:paraId="456A857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2.4.3 ≥5个可置顶的实验方法，可选择标准控制、功率控制、爬坡控制等不同升温模式，仪器内置温度、压力及微波功率校准程序，用户可自行对仪器做定期维护校准。</w:t>
            </w:r>
          </w:p>
          <w:p w14:paraId="3FB93CC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2.4.4 操作系统可实现用户权限分级管理、密码登录、日志追溯等功能。</w:t>
            </w:r>
          </w:p>
          <w:p w14:paraId="75440DE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2.4.5 可通过电脑工作站控制，实时查看实验运行情况。可配置物联网功能模块，通过小程序控制实时状态，远程下载消解方法，可将数据同步至云端</w:t>
            </w:r>
          </w:p>
          <w:p w14:paraId="266CE203">
            <w:pPr>
              <w:keepNext w:val="0"/>
              <w:keepLines w:val="0"/>
              <w:widowControl/>
              <w:suppressLineNumbers w:val="0"/>
              <w:spacing w:line="240" w:lineRule="auto"/>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2.4.6 软件终生免费升级</w:t>
            </w:r>
          </w:p>
          <w:p w14:paraId="66E99C2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3、配置要求</w:t>
            </w:r>
          </w:p>
          <w:p w14:paraId="3A63D21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 微波消解仪主机（含软件操作系统和排风系统）1台。</w:t>
            </w:r>
          </w:p>
          <w:p w14:paraId="74BC4FD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3.2 非接触式中红外温度传感器2套。</w:t>
            </w:r>
          </w:p>
          <w:p w14:paraId="352162A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 实时异常监控系统1套。</w:t>
            </w:r>
          </w:p>
          <w:p w14:paraId="7A241D0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3.4 全罐压力监控系统1套。</w:t>
            </w:r>
          </w:p>
          <w:p w14:paraId="4C2B4A0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 视频影像监控系统1套。</w:t>
            </w:r>
          </w:p>
          <w:p w14:paraId="6E1A943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3.6 物联网软件及加密狗1套。</w:t>
            </w:r>
          </w:p>
          <w:p w14:paraId="0B17CD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3.7 42位消解转子系统1套：包含PEEK材质外罐、TMF材质内罐、罐盖各40位。</w:t>
            </w:r>
          </w:p>
          <w:p w14:paraId="44D89EEE">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3.8 辅助工具：专用工具包1套，内罐杯架2套。</w:t>
            </w:r>
          </w:p>
        </w:tc>
      </w:tr>
      <w:tr w14:paraId="1BDA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0" w:type="dxa"/>
            <w:vAlign w:val="center"/>
          </w:tcPr>
          <w:p w14:paraId="45EDCE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p>
        </w:tc>
        <w:tc>
          <w:tcPr>
            <w:tcW w:w="884" w:type="dxa"/>
            <w:shd w:val="clear" w:color="auto" w:fill="auto"/>
            <w:vAlign w:val="center"/>
          </w:tcPr>
          <w:p w14:paraId="236A6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全自动尿碘检测装置</w:t>
            </w:r>
          </w:p>
        </w:tc>
        <w:tc>
          <w:tcPr>
            <w:tcW w:w="741" w:type="dxa"/>
            <w:vAlign w:val="center"/>
          </w:tcPr>
          <w:p w14:paraId="60F24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27AA4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5A8688F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一、技术参数：</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1、性能要求：</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1.1可自动检测尿碘、水碘，也可以扩增盐碘检测。</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1.2利用碘催化砷铈氧化还原反应，适用于碘实验室的碘含量分析，尿碘采用《砷铈催化分光光度法》符合（WS/T107.1-2016）。水碘检测采用《硫酸铈催化分光光度法》符合（GB/T 5750.5-2023 生活饮用水标准检验方法 第5部分：无机非金属指标  13碘化物）。</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1.3试剂开放，可提供原厂试剂或使用第三方碘检测试剂，用户也可自行配备。</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2、仪器性能参数</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2.1全自动碘元素分析仪部分</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2.1.1、检测项目范围广，除检测尿、水中的碘元素含量外，也可以可以扩增其他检测项目</w:t>
            </w:r>
          </w:p>
          <w:p w14:paraId="5EE847F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2.1.2、检测范围：尿碘：0-1200μg/L；水碘：0-200μg/L；</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2.1.3、线性：满足相关系数（r）≥0.9996；</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2.1.4、灵敏度：最小响应值应≤1μg/L 的碘含量；</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2.1.5、重复性：重复测量结果变异系数（CV）≤3%；</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2.1.6、准确度：测定国家碘标准物质，测定值需在其允许范围内；</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2.1.7、分析方法：终点法、速率法、两点法等；</w:t>
            </w:r>
          </w:p>
          <w:p w14:paraId="52B7FC0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2.1.8、采用一体式箱式设计，整个检测过程自动完成。</w:t>
            </w:r>
          </w:p>
          <w:p w14:paraId="7D13A8C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2.1.9、样本位：≥100个样本位；</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2.1.10、进样方式：采用自动转盘式旋转臂进样</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2.1.11、样本针：具有感应液面、跟踪样品量、防撞保护及自动清洗等功能，能实时反馈试剂余量；</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2.1.12、检测速度：样本消解后检测速度≥100个/小时；</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2.1.13、试剂盘：≥30个试剂位，具有冷藏功能；</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2.1.14、试剂量：2-300微升；</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2.1.15、试剂针：具有感应液面、跟踪试剂量、防撞保护、自动清洗等功能，能实时反馈试剂余量；</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2.1.16、反应盘温度室温~50℃±0.1℃；</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2.1.17、反应盘：≥120个比色杯；</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2.1.18、反应液体积：150微升-400微升</w:t>
            </w:r>
          </w:p>
          <w:p w14:paraId="08871BB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2.1.19、检测波长：380~800nm，可根据用户需求添加不同波长的光源；</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2.1.20、吸光度范围：0-5.0000A；</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2.1.21、吸光度分辨率：0.0001A；</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2.1.22、自动清洗站：采用六针八步清洗法；</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2.1.23、分析软件：中文操作界面，软件自动控制仪器；内置调试软件，能自动校准加样针、试剂针位置；</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2.1.24、数据处理：吸光度值和浓度（质量）可以取对数值，查看实时反应曲线，方法重复性计算，质量控制，同时内置数理统计功能；</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2.1.25、样本稀释：对浓度超过线性范围的样本可选定相应的稀释倍数，重新测定；</w:t>
            </w:r>
            <w:r>
              <w:rPr>
                <w:rFonts w:hint="eastAsia" w:ascii="仿宋" w:hAnsi="仿宋" w:eastAsia="仿宋" w:cs="仿宋"/>
                <w:i w:val="0"/>
                <w:iCs w:val="0"/>
                <w:color w:val="auto"/>
                <w:kern w:val="0"/>
                <w:sz w:val="24"/>
                <w:szCs w:val="24"/>
                <w:highlight w:val="none"/>
                <w:u w:val="none"/>
                <w:lang w:val="en-US" w:eastAsia="zh-CN" w:bidi="ar"/>
              </w:rPr>
              <w:cr/>
            </w:r>
            <w:r>
              <w:rPr>
                <w:rFonts w:hint="eastAsia" w:ascii="仿宋" w:hAnsi="仿宋" w:eastAsia="仿宋" w:cs="仿宋"/>
                <w:i w:val="0"/>
                <w:iCs w:val="0"/>
                <w:color w:val="auto"/>
                <w:kern w:val="0"/>
                <w:sz w:val="24"/>
                <w:szCs w:val="24"/>
                <w:highlight w:val="none"/>
                <w:u w:val="none"/>
                <w:lang w:val="en-US" w:eastAsia="zh-CN" w:bidi="ar"/>
              </w:rPr>
              <w:t>2.1.26、运行平台：主流Windows系统，软件为原装全中文版；</w:t>
            </w:r>
          </w:p>
          <w:p w14:paraId="7F7DAC8A">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2.1.27、配套尿碘试剂盒50人份，玻璃消解管100支。</w:t>
            </w:r>
          </w:p>
        </w:tc>
      </w:tr>
      <w:tr w14:paraId="42FA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80" w:type="dxa"/>
            <w:vAlign w:val="center"/>
          </w:tcPr>
          <w:p w14:paraId="669EFD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4</w:t>
            </w:r>
          </w:p>
        </w:tc>
        <w:tc>
          <w:tcPr>
            <w:tcW w:w="884" w:type="dxa"/>
            <w:shd w:val="clear" w:color="auto" w:fill="auto"/>
            <w:vAlign w:val="center"/>
          </w:tcPr>
          <w:p w14:paraId="2BFA5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溶解性总固体TDS）测定仪</w:t>
            </w:r>
          </w:p>
        </w:tc>
        <w:tc>
          <w:tcPr>
            <w:tcW w:w="741" w:type="dxa"/>
            <w:vAlign w:val="center"/>
          </w:tcPr>
          <w:p w14:paraId="0CB8DC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57466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2FEACC0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（一）符合国家标准</w:t>
            </w:r>
          </w:p>
          <w:p w14:paraId="4882910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1.1《生活饮用水标准检验方法 第4部分：感官性状和物理指标（溶解性总固体重量法）》（GB/T 5750.4-2023）</w:t>
            </w:r>
          </w:p>
          <w:p w14:paraId="5FE9111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（二）技术要求</w:t>
            </w:r>
          </w:p>
          <w:p w14:paraId="3475387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2.1称量环境要求</w:t>
            </w:r>
          </w:p>
          <w:p w14:paraId="6FAF96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2.1.1温度控制范围：15℃-30℃。温度控制精度：≤±0.2℃，分辨率：0.1℃，波动&lt;0.2℃。</w:t>
            </w:r>
          </w:p>
          <w:p w14:paraId="0FC36BA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2.1.2相对湿度控制范围：35%RH-60%RH。相对湿度控制精度：≤±2%RH，分辨率0.1%RH，波动＜1.0%RH。</w:t>
            </w:r>
          </w:p>
          <w:p w14:paraId="274B119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2.2天平称量要求</w:t>
            </w:r>
          </w:p>
          <w:p w14:paraId="01421E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2.2.1量程：220g。分辨率：0.1mg。重复性：0.07mg。线性：0.2mg。</w:t>
            </w:r>
          </w:p>
          <w:p w14:paraId="2E7B737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2.2.2具备天平防风罩，称样机构采用铝合金和高硼硅玻璃材料制成，防止静电。</w:t>
            </w:r>
          </w:p>
          <w:p w14:paraId="3C0775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2.3升降温环境要求</w:t>
            </w:r>
          </w:p>
          <w:p w14:paraId="3CC55C6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2.3.1加热器：不锈钢加热管。</w:t>
            </w:r>
          </w:p>
          <w:p w14:paraId="0E9BA4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2.3.2加热温度范围：RT-200℃。温度分辨率：0.1℃。温度波动：±1℃。</w:t>
            </w:r>
          </w:p>
          <w:p w14:paraId="1109ED1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2.3.3降温系统：循环冷却水降温。</w:t>
            </w:r>
          </w:p>
          <w:p w14:paraId="266050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2.3.4降温温度范围：10-50℃，可调至指定温度。降温速度：≤30min。</w:t>
            </w:r>
          </w:p>
          <w:p w14:paraId="594673E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2.4样品处理要求</w:t>
            </w:r>
          </w:p>
          <w:p w14:paraId="6215BAC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2.4.1可同时恒重≥10个150ml蒸发皿及样品。</w:t>
            </w:r>
          </w:p>
          <w:p w14:paraId="2DC8A7A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2.4.2每个样品转运及称量时间≤20s。</w:t>
            </w:r>
          </w:p>
          <w:p w14:paraId="075BB11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2.4.3烘干、水浴一体化设计。水浴部分可自动升温至设定温度，可自动加水及排水。</w:t>
            </w:r>
          </w:p>
          <w:p w14:paraId="5C393E2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2.5软件功能</w:t>
            </w:r>
          </w:p>
          <w:p w14:paraId="17DEEBD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2.5.1系统具有温度、湿度称量环境的实时监控功能。</w:t>
            </w:r>
          </w:p>
          <w:p w14:paraId="3440440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2.5.2系统软件能自动记录称重开始时间、称重结束时间、环境参数、异常存储和报警信息等。</w:t>
            </w:r>
          </w:p>
          <w:p w14:paraId="30507FE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2.5.3系统软件界面能显示包括：检测、数据、设置，恒温恒湿单元，鼓风干燥单元，水浴单元，降温干燥单元的数据信息及报警信息等。</w:t>
            </w:r>
          </w:p>
          <w:p w14:paraId="19656E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2.5.4系统软件数据表可导出。</w:t>
            </w:r>
          </w:p>
          <w:p w14:paraId="481BFC4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（三）仪器配置清单</w:t>
            </w:r>
          </w:p>
          <w:p w14:paraId="174DCB3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3.1恒温恒湿、鼓风干燥、水浴一体式箱体 1套</w:t>
            </w:r>
          </w:p>
          <w:p w14:paraId="05CF7AA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3.2机械输送装置 1套</w:t>
            </w:r>
          </w:p>
          <w:p w14:paraId="54BC3F9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3.3万分之一天平 1 套</w:t>
            </w:r>
          </w:p>
          <w:p w14:paraId="1F94BE2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3.4 10工位样品盘 1套</w:t>
            </w:r>
          </w:p>
          <w:p w14:paraId="416DA62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3.5温、湿度传感器 1套</w:t>
            </w:r>
          </w:p>
          <w:p w14:paraId="36C489D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3.6循环冷水机组 1套</w:t>
            </w:r>
          </w:p>
          <w:p w14:paraId="6314158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3.7独立的PC 1套</w:t>
            </w:r>
          </w:p>
          <w:p w14:paraId="44E084A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3.8数据处理软件 1套</w:t>
            </w:r>
          </w:p>
        </w:tc>
      </w:tr>
      <w:tr w14:paraId="580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45022B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w:t>
            </w:r>
          </w:p>
        </w:tc>
        <w:tc>
          <w:tcPr>
            <w:tcW w:w="884" w:type="dxa"/>
            <w:shd w:val="clear" w:color="auto" w:fill="auto"/>
            <w:vAlign w:val="center"/>
          </w:tcPr>
          <w:p w14:paraId="3F0C7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bookmarkStart w:id="110" w:name="OLE_LINK1"/>
            <w:r>
              <w:rPr>
                <w:rFonts w:hint="eastAsia" w:ascii="仿宋" w:hAnsi="仿宋" w:eastAsia="仿宋" w:cs="仿宋"/>
                <w:color w:val="auto"/>
                <w:sz w:val="24"/>
                <w:szCs w:val="24"/>
                <w:highlight w:val="none"/>
                <w:lang w:val="en-US" w:eastAsia="zh-CN"/>
              </w:rPr>
              <w:t>全自动玻璃器皿清洗机</w:t>
            </w:r>
            <w:bookmarkEnd w:id="110"/>
          </w:p>
        </w:tc>
        <w:tc>
          <w:tcPr>
            <w:tcW w:w="741" w:type="dxa"/>
            <w:vAlign w:val="center"/>
          </w:tcPr>
          <w:p w14:paraId="35799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66036F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26504EC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1、洗瓶机</w:t>
            </w:r>
          </w:p>
          <w:p w14:paraId="39EB288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1.1、技术参数要求</w:t>
            </w:r>
          </w:p>
          <w:p w14:paraId="635D9F5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1.1.1.  仪器结构</w:t>
            </w:r>
          </w:p>
          <w:p w14:paraId="3F60D71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1.1.1.1 外壳材质，304不锈钢，内腔材质，316不锈钢，配置双层钢化玻璃可视窗；</w:t>
            </w:r>
          </w:p>
          <w:p w14:paraId="65E439D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1.1.1.2有效清洗容积≥220L，可放置双层篮架，可一次性清洗≥800个进样小瓶。可放置单层注射式试管清洗篮架，可一次性清洗≥180个15～100ml的试管、容量瓶；</w:t>
            </w:r>
          </w:p>
          <w:p w14:paraId="6BD9467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1.1.2. 控制系统</w:t>
            </w:r>
          </w:p>
          <w:p w14:paraId="46FCFE5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1.1.2.1采用微电脑芯片控制技术，可升级控制程式。≥8寸触摸屏，内置多种清洗程序，包括快速、标准等≥30个标准程序及≥100个用户自定义程序，有独立的温度监测系统，清洗温度最高为93℃,烘干气体控制温度≤120℃；</w:t>
            </w:r>
          </w:p>
          <w:p w14:paraId="74AA58B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1.1.2.2具备双清洗剂分配泵， 内置≥2个蠕动泵，；内置纯水增压泵，单次耗水量≤13L/次；</w:t>
            </w:r>
          </w:p>
          <w:p w14:paraId="0DD6246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1.1.2.3 电源220V，50hz，总功率≤9KW，加热功率≤4KW，烘干功率≤2.5KW。</w:t>
            </w:r>
          </w:p>
          <w:p w14:paraId="4DBF98D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1.1.3. 循环系统</w:t>
            </w:r>
          </w:p>
          <w:p w14:paraId="2C1741C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1.1.3.1具备水循环量冲刷功能，每分钟≥500升，双循环泵功率≥2000W，采用喷淋球设计；</w:t>
            </w:r>
          </w:p>
          <w:p w14:paraId="4B98138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1.1.3.2具备溢水保护功能；</w:t>
            </w:r>
          </w:p>
          <w:p w14:paraId="4DC2063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1.1.4.安全保护系统</w:t>
            </w:r>
          </w:p>
          <w:p w14:paraId="7983805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1.1.4.1具备自吸合式电子安全门锁装置；</w:t>
            </w:r>
          </w:p>
          <w:p w14:paraId="02EEC54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1.1.4.2具备水加热、水泵工作等过温保护功能；</w:t>
            </w:r>
          </w:p>
          <w:p w14:paraId="580F674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1.1.4.3具备清洗剂缺液提醒功能；</w:t>
            </w:r>
          </w:p>
          <w:p w14:paraId="0110495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1.1.4.4具备水过滤系统。</w:t>
            </w:r>
          </w:p>
          <w:p w14:paraId="786FF0B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1.1.5.操控系统：</w:t>
            </w:r>
          </w:p>
          <w:p w14:paraId="1FE2EB0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1.1.5.1.清洗主机与电脑、手机、平板无线连接，可通过APP软件，实现洗瓶机局域网内的远程监控检测操作功能； </w:t>
            </w:r>
          </w:p>
          <w:p w14:paraId="15ECA52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1.1.5.2.具备冲洗流量变频控制功能。</w:t>
            </w:r>
          </w:p>
          <w:p w14:paraId="35476A9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1.1.6.干燥系统</w:t>
            </w:r>
          </w:p>
          <w:p w14:paraId="5944683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1.1.6.1具备智能烘干调节系统。</w:t>
            </w:r>
          </w:p>
          <w:p w14:paraId="1773A5A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1.1.6.2烘干系统由空气加热器、大容积冷凝器、HEPA过滤器和风机组成。</w:t>
            </w:r>
          </w:p>
          <w:p w14:paraId="32F1212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1.1.7.清洗篮架</w:t>
            </w:r>
          </w:p>
          <w:p w14:paraId="0AEC95BB">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清洗篮架：采用注射式喷淋系统，喷针数量≥60。</w:t>
            </w:r>
          </w:p>
        </w:tc>
      </w:tr>
      <w:tr w14:paraId="7658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80" w:type="dxa"/>
            <w:vAlign w:val="center"/>
          </w:tcPr>
          <w:p w14:paraId="1A71F1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6</w:t>
            </w:r>
          </w:p>
        </w:tc>
        <w:tc>
          <w:tcPr>
            <w:tcW w:w="884" w:type="dxa"/>
            <w:shd w:val="clear" w:color="auto" w:fill="auto"/>
            <w:vAlign w:val="center"/>
          </w:tcPr>
          <w:p w14:paraId="0987F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医用推车</w:t>
            </w:r>
          </w:p>
        </w:tc>
        <w:tc>
          <w:tcPr>
            <w:tcW w:w="741" w:type="dxa"/>
            <w:vAlign w:val="center"/>
          </w:tcPr>
          <w:p w14:paraId="327F3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8" w:type="dxa"/>
            <w:gridSpan w:val="2"/>
            <w:vAlign w:val="center"/>
          </w:tcPr>
          <w:p w14:paraId="7C806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34CA824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不锈钢器械台</w:t>
            </w:r>
          </w:p>
          <w:p w14:paraId="6A0DC2C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规格：590×425×850mm，不锈钢材质，板材厚度≥0.6mm。双层，带全不锈钢围栏，配静音脚轮，带刹车。</w:t>
            </w:r>
          </w:p>
        </w:tc>
      </w:tr>
      <w:tr w14:paraId="776D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80" w:type="dxa"/>
            <w:vAlign w:val="center"/>
          </w:tcPr>
          <w:p w14:paraId="167992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7</w:t>
            </w:r>
          </w:p>
        </w:tc>
        <w:tc>
          <w:tcPr>
            <w:tcW w:w="884" w:type="dxa"/>
            <w:shd w:val="clear" w:color="auto" w:fill="auto"/>
            <w:vAlign w:val="center"/>
          </w:tcPr>
          <w:p w14:paraId="24F512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电热恒温水浴锅</w:t>
            </w:r>
          </w:p>
        </w:tc>
        <w:tc>
          <w:tcPr>
            <w:tcW w:w="903" w:type="dxa"/>
            <w:gridSpan w:val="2"/>
            <w:vAlign w:val="center"/>
          </w:tcPr>
          <w:p w14:paraId="1A3AA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486" w:type="dxa"/>
            <w:vAlign w:val="center"/>
          </w:tcPr>
          <w:p w14:paraId="795F54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070515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 液晶显示屏</w:t>
            </w:r>
          </w:p>
          <w:p w14:paraId="080C925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2、容积（L） ≥30 </w:t>
            </w:r>
          </w:p>
          <w:p w14:paraId="74D27C0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3、额定功率（W） ≥1500</w:t>
            </w:r>
          </w:p>
          <w:p w14:paraId="131B58B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4、温度控制范围 室温-100（℃）</w:t>
            </w:r>
          </w:p>
          <w:p w14:paraId="2CF1A13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5、温度显示分辨力 0.1（℃）</w:t>
            </w:r>
          </w:p>
          <w:p w14:paraId="3D1540B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6、温度波动 ±0.5℃ （℃）</w:t>
            </w:r>
          </w:p>
          <w:p w14:paraId="197EC2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7、温度均匀性 ±0.5℃</w:t>
            </w:r>
          </w:p>
          <w:p w14:paraId="6EAA670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8、加热方式 不锈钢管式加热</w:t>
            </w:r>
          </w:p>
          <w:p w14:paraId="090AFA7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9、内胆尺寸约（mm）</w:t>
            </w:r>
          </w:p>
          <w:p w14:paraId="19A9C83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长宽高 500*300*200</w:t>
            </w:r>
          </w:p>
          <w:p w14:paraId="6D52E2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长宽高 665*365*280 </w:t>
            </w:r>
          </w:p>
          <w:p w14:paraId="4CE2C9C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10、定时范围（min/h） 1～9999或连续运行</w:t>
            </w:r>
          </w:p>
          <w:p w14:paraId="3772FFBE">
            <w:pPr>
              <w:keepNext w:val="0"/>
              <w:keepLines w:val="0"/>
              <w:widowControl/>
              <w:suppressLineNumbers w:val="0"/>
              <w:spacing w:line="240" w:lineRule="auto"/>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11、双列六孔结构</w:t>
            </w:r>
          </w:p>
        </w:tc>
      </w:tr>
      <w:tr w14:paraId="56E3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580" w:type="dxa"/>
            <w:vAlign w:val="center"/>
          </w:tcPr>
          <w:p w14:paraId="7642B6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8</w:t>
            </w:r>
          </w:p>
        </w:tc>
        <w:tc>
          <w:tcPr>
            <w:tcW w:w="884" w:type="dxa"/>
            <w:shd w:val="clear" w:color="auto" w:fill="auto"/>
            <w:vAlign w:val="center"/>
          </w:tcPr>
          <w:p w14:paraId="5D782C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全自动游离二氧化硅前处理工作站</w:t>
            </w:r>
          </w:p>
        </w:tc>
        <w:tc>
          <w:tcPr>
            <w:tcW w:w="741" w:type="dxa"/>
            <w:vAlign w:val="center"/>
          </w:tcPr>
          <w:p w14:paraId="59B16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51248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58060EC">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一、用途：</w:t>
            </w:r>
          </w:p>
          <w:p w14:paraId="1D28DAF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全自动游离二氧化硅前处理工作站</w:t>
            </w:r>
            <w:r>
              <w:rPr>
                <w:rFonts w:hint="eastAsia" w:ascii="仿宋" w:hAnsi="仿宋" w:eastAsia="仿宋" w:cs="仿宋"/>
                <w:i w:val="0"/>
                <w:iCs w:val="0"/>
                <w:color w:val="auto"/>
                <w:kern w:val="0"/>
                <w:sz w:val="24"/>
                <w:szCs w:val="24"/>
                <w:highlight w:val="none"/>
                <w:u w:val="none"/>
                <w:lang w:val="en-US" w:eastAsia="en-US" w:bidi="ar"/>
              </w:rPr>
              <w:t>用于</w:t>
            </w:r>
            <w:r>
              <w:rPr>
                <w:rFonts w:hint="eastAsia" w:ascii="仿宋" w:hAnsi="仿宋" w:eastAsia="仿宋" w:cs="仿宋"/>
                <w:i w:val="0"/>
                <w:iCs w:val="0"/>
                <w:color w:val="auto"/>
                <w:kern w:val="0"/>
                <w:sz w:val="24"/>
                <w:szCs w:val="24"/>
                <w:highlight w:val="none"/>
                <w:u w:val="none"/>
                <w:lang w:val="en-US" w:eastAsia="zh-CN" w:bidi="ar"/>
              </w:rPr>
              <w:t>测定工作场所粉尘中游离二氧化硅的含量。</w:t>
            </w:r>
          </w:p>
          <w:p w14:paraId="231E9C07">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二、技术参数：</w:t>
            </w:r>
          </w:p>
          <w:p w14:paraId="767C24F6">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2.1全自动一体机，自动完成加焦磷酸，自动完成消解、降温、过滤、清洗等实验步骤，满足国标要求。</w:t>
            </w:r>
          </w:p>
          <w:p w14:paraId="0992523B">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2.2具有加水后复温功能。</w:t>
            </w:r>
          </w:p>
          <w:p w14:paraId="778D660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2.3具有全流程液体实时混匀功能，混匀速度可调。</w:t>
            </w:r>
          </w:p>
          <w:p w14:paraId="37541BA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2.4配备≥12个样本位，配备一体化圆盘式单层样品盘。</w:t>
            </w:r>
          </w:p>
          <w:p w14:paraId="4D5D0EA9">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2.5配备≥12个过滤位。</w:t>
            </w:r>
          </w:p>
          <w:p w14:paraId="378324C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2.6采用半球形试管式样品杯。</w:t>
            </w:r>
          </w:p>
          <w:p w14:paraId="12BFD2DC">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2.7采用双层腔式过滤漏斗，耐酸碱耐高温；漏斗处设有防溢装置</w:t>
            </w:r>
          </w:p>
          <w:p w14:paraId="67FEFCE0">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2.8采用真空管路抽取方式进行液体转移。</w:t>
            </w:r>
          </w:p>
          <w:p w14:paraId="04C197A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2.9可以自动添加焦磷酸至样品中。</w:t>
            </w:r>
          </w:p>
          <w:p w14:paraId="40F24C57">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2.10具有自动降温功能。</w:t>
            </w:r>
          </w:p>
          <w:p w14:paraId="48F5A181">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2.11自动控温加热，液体升温至245℃≤10min,保持在245℃-250℃≤15分钟。</w:t>
            </w:r>
          </w:p>
          <w:p w14:paraId="64CFF83C">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2.12采用双感温控探头，直接插入消解液体中，实时监控液体温度，控温精度±0.1℃。</w:t>
            </w:r>
          </w:p>
          <w:p w14:paraId="2590CCB1">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2.13采用沉孔式一体恒温加热模组，双通道消解同时进行。</w:t>
            </w:r>
          </w:p>
          <w:p w14:paraId="1CDA15C7">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2.14采用耐酸碱计量泵，加液精度&lt;1%。 </w:t>
            </w:r>
          </w:p>
          <w:p w14:paraId="6257AF8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2.15采用快速双过滤系统，两个样品可同时负压过滤。滴液速度和负压大小两个均可调节。</w:t>
            </w:r>
          </w:p>
          <w:p w14:paraId="23AD3D84">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2.16内置调试软件，自动校准加液精度。</w:t>
            </w:r>
          </w:p>
          <w:p w14:paraId="779F0A5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2.17仪器自动使用0.1mol/L盐酸和高温纯化水冲洗样品杯和残渣，可根据需要选择清洗次数和清洗量。</w:t>
            </w:r>
          </w:p>
          <w:p w14:paraId="088909BE">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2.18采用喷头喷淋清洗样品杯。</w:t>
            </w:r>
          </w:p>
          <w:p w14:paraId="09183C8E">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2.19具有排风装置，可自动对接排风管道，也可置于通风橱内使用。</w:t>
            </w:r>
          </w:p>
          <w:p w14:paraId="139473F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2.20具有试剂液量消耗监控。</w:t>
            </w:r>
          </w:p>
          <w:p w14:paraId="51002C40">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2.21内置触摸屏电脑，软件自动控制，直接编辑输入信息，无需人工干预。</w:t>
            </w:r>
          </w:p>
          <w:p w14:paraId="11BC5E26">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2.22实验过程全流程可视，软件可直观显示当前实验状态和进度。</w:t>
            </w:r>
          </w:p>
          <w:p w14:paraId="7CCC58CC">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2.23安全性保护：仪器具有消解加热过温保护和漏电过流保护等。</w:t>
            </w:r>
          </w:p>
          <w:p w14:paraId="12B6947E">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2.24自动记录实验各环节过程参数，形成实验过程记录，并可支持数据打印、导出，数据储存量≥10000组。</w:t>
            </w:r>
          </w:p>
          <w:p w14:paraId="1F20437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2.25支持U盘升级，可远程升级。</w:t>
            </w:r>
          </w:p>
          <w:p w14:paraId="6D35D1D2">
            <w:pPr>
              <w:keepNext w:val="0"/>
              <w:keepLines w:val="0"/>
              <w:widowControl/>
              <w:numPr>
                <w:ilvl w:val="0"/>
                <w:numId w:val="0"/>
              </w:numPr>
              <w:suppressLineNumbers w:val="0"/>
              <w:spacing w:line="240" w:lineRule="auto"/>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三、配置要求</w:t>
            </w:r>
          </w:p>
          <w:p w14:paraId="1BB6343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3.1全自动游离二氧化硅前处理工作站主机           1台</w:t>
            </w:r>
          </w:p>
          <w:p w14:paraId="326EA283">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3.2 特制半球形试管式样品杯                     16个 </w:t>
            </w:r>
          </w:p>
          <w:p w14:paraId="7FCB43A4">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 特制双层腔式过滤漏斗                       16个</w:t>
            </w:r>
          </w:p>
          <w:p w14:paraId="354D095F">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3.4 硅胶管                                      1套</w:t>
            </w:r>
          </w:p>
          <w:p w14:paraId="2177DA3C">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 废液桶                                      1个</w:t>
            </w:r>
          </w:p>
          <w:p w14:paraId="7FC869D9">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3.6 试剂桶                                      1个</w:t>
            </w:r>
          </w:p>
          <w:p w14:paraId="17829CD3">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3.7 实验用水自动加热恒温装置                    1套</w:t>
            </w:r>
          </w:p>
          <w:p w14:paraId="4C53A315">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3.8 系统控制软件                                1套</w:t>
            </w:r>
          </w:p>
          <w:p w14:paraId="64B26A47">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3.9 慢性定量滤纸                                1盒</w:t>
            </w:r>
          </w:p>
        </w:tc>
      </w:tr>
      <w:tr w14:paraId="482B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80" w:type="dxa"/>
            <w:vAlign w:val="center"/>
          </w:tcPr>
          <w:p w14:paraId="6FE8D5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9</w:t>
            </w:r>
          </w:p>
        </w:tc>
        <w:tc>
          <w:tcPr>
            <w:tcW w:w="884" w:type="dxa"/>
            <w:shd w:val="clear" w:color="auto" w:fill="auto"/>
            <w:vAlign w:val="center"/>
          </w:tcPr>
          <w:p w14:paraId="6C484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负压脱气装置</w:t>
            </w:r>
          </w:p>
        </w:tc>
        <w:tc>
          <w:tcPr>
            <w:tcW w:w="741" w:type="dxa"/>
            <w:vAlign w:val="center"/>
          </w:tcPr>
          <w:p w14:paraId="0D6B5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2EDAC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20A66C75">
            <w:pPr>
              <w:keepNext w:val="0"/>
              <w:keepLines w:val="0"/>
              <w:widowControl/>
              <w:numPr>
                <w:ilvl w:val="0"/>
                <w:numId w:val="6"/>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脱气装置</w:t>
            </w:r>
          </w:p>
          <w:p w14:paraId="22822049">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1.1.能与实验室现有流动注射分析仪iFIA7连接。</w:t>
            </w:r>
          </w:p>
          <w:p w14:paraId="64EC314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1.2支持≥6通道同时脱气。</w:t>
            </w:r>
          </w:p>
          <w:p w14:paraId="5CD7869B">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1.3脱气泵与通道为一体设计。</w:t>
            </w:r>
          </w:p>
          <w:p w14:paraId="50AAD14F">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1.4.采用纳米级透气管路。</w:t>
            </w:r>
          </w:p>
          <w:p w14:paraId="4A00348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1.5具备地址编码器、RS485、RS232等多种设置及接口。</w:t>
            </w:r>
          </w:p>
          <w:p w14:paraId="6F4913AF">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1.6配备标准线性电源，含独立开关。</w:t>
            </w:r>
          </w:p>
          <w:p w14:paraId="7B6CD3E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1.7有上下双防腐功能的咬合装置</w:t>
            </w:r>
          </w:p>
          <w:p w14:paraId="1EC99550">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1.8配置超密耐腐蚀导流板两个。</w:t>
            </w:r>
          </w:p>
          <w:p w14:paraId="05E0071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1.9采用纳米级透气膜，透气面积比≥99.9%。</w:t>
            </w:r>
          </w:p>
          <w:p w14:paraId="11A3F406">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1.10采用无翻边管路接口，连接FEP管路。</w:t>
            </w:r>
          </w:p>
          <w:p w14:paraId="0ED372E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1.11配有专用金属支架。</w:t>
            </w:r>
          </w:p>
        </w:tc>
      </w:tr>
      <w:tr w14:paraId="7F8A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80" w:type="dxa"/>
            <w:vAlign w:val="center"/>
          </w:tcPr>
          <w:p w14:paraId="543D12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10</w:t>
            </w:r>
          </w:p>
        </w:tc>
        <w:tc>
          <w:tcPr>
            <w:tcW w:w="884" w:type="dxa"/>
            <w:shd w:val="clear" w:color="auto" w:fill="auto"/>
            <w:vAlign w:val="center"/>
          </w:tcPr>
          <w:p w14:paraId="2F80E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电位滴定仪</w:t>
            </w:r>
          </w:p>
        </w:tc>
        <w:tc>
          <w:tcPr>
            <w:tcW w:w="741" w:type="dxa"/>
            <w:vAlign w:val="center"/>
          </w:tcPr>
          <w:p w14:paraId="13F11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5527E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0E8F91F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1、设备用途：</w:t>
            </w:r>
          </w:p>
          <w:p w14:paraId="4B4CBBC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用于检测食品、粮油、药品、谷物、农业、水产品、乳制品、化工、土壤、水质、植物、肥料、动物饲料、烟草、环境监测等样品中酸价、过氧化值、脂肪酸、氯离子、COD、酸度等指标。</w:t>
            </w:r>
          </w:p>
          <w:p w14:paraId="7512F2D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2、工作条件：</w:t>
            </w:r>
          </w:p>
          <w:p w14:paraId="007B5FB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 电源：220 VAC ±10%  50Hz。</w:t>
            </w:r>
          </w:p>
          <w:p w14:paraId="7F19C7C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 温度：操作环境10-35℃，标准温度为20℃±5℃。</w:t>
            </w:r>
          </w:p>
          <w:p w14:paraId="0256443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3、功能参数：</w:t>
            </w:r>
          </w:p>
          <w:p w14:paraId="66A6649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 一体化结构，整机防泼溅水，滴定平台具备液体引流设计。</w:t>
            </w:r>
          </w:p>
          <w:p w14:paraId="36E8BA5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3.2配备彩色触摸屏，安卓操作系统，模块化操作界面，多状态指示灯。</w:t>
            </w:r>
          </w:p>
          <w:p w14:paraId="4767FE0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 支持等量滴定、动态滴定、终点滴定等滴定模式，可进行酸碱滴定、沉淀滴定、非水滴定、氧化还原滴定、络合滴定等滴定类型。</w:t>
            </w:r>
          </w:p>
          <w:p w14:paraId="1763A65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3.4 mV测量范围：-2000.0mV～+2000.0mV，分辨率0.1mV，精度0.1mV±0.03%</w:t>
            </w:r>
          </w:p>
          <w:p w14:paraId="6BA2C58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3.5 pH测量范围：-20.000pH～+20.000pH，分辨率0.001pH ，精度0.003pH</w:t>
            </w:r>
          </w:p>
          <w:p w14:paraId="4CD8690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3.6 温度测温范围：-5～120℃，测量精度：±0.1℃</w:t>
            </w:r>
          </w:p>
          <w:p w14:paraId="681CB5A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3.7 滴定管规格：10mL ，可选配5mL,25mL，滴定管的分辨率≤1/36000，滴定管补液时间≤20秒（100％充液速度），可允许最小添加体积设置：0.001mL，滴定管避光保护罩。</w:t>
            </w:r>
          </w:p>
          <w:p w14:paraId="36517BF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3.8 具备滴定试剂瓶密封盖。</w:t>
            </w:r>
          </w:p>
          <w:p w14:paraId="3395096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3.9 无死体积旋转阀，耐腐PTFE管路。 </w:t>
            </w:r>
          </w:p>
          <w:p w14:paraId="369DD03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3.10 具备自动配液功能，可设置加液体积、加液间隔、加液次数，进行液体配制。</w:t>
            </w:r>
          </w:p>
          <w:p w14:paraId="13B9A5C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3.11 可导出PDF和Excel等格式的详细和列表结果，支持无线A4打印和有线串口针式打印。</w:t>
            </w:r>
          </w:p>
          <w:p w14:paraId="5017EFD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3.12 可进行多重自检功能，具备pH电极校准功能, 滴定管校准功能。</w:t>
            </w:r>
          </w:p>
          <w:p w14:paraId="18BBAB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3.13 储存空间：≥4G，具备多级检索功能。</w:t>
            </w:r>
          </w:p>
          <w:p w14:paraId="5D73249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3.14接口类型：mv/pH测量电极接口、参比电极接口、PT1000温度电极接口、2个USB、RS232、电源接口等。</w:t>
            </w:r>
          </w:p>
          <w:p w14:paraId="68CAF0C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4、配置要求：</w:t>
            </w:r>
          </w:p>
          <w:p w14:paraId="45FC88B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自动电位滴定仪主机  1台</w:t>
            </w:r>
          </w:p>
          <w:p w14:paraId="463E53A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滴定瓶固定架  1套</w:t>
            </w:r>
          </w:p>
          <w:p w14:paraId="0FC2459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电极  2支</w:t>
            </w:r>
          </w:p>
        </w:tc>
      </w:tr>
      <w:tr w14:paraId="3EE6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 w:type="dxa"/>
            <w:vAlign w:val="center"/>
          </w:tcPr>
          <w:p w14:paraId="1935F3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11</w:t>
            </w:r>
          </w:p>
        </w:tc>
        <w:tc>
          <w:tcPr>
            <w:tcW w:w="884" w:type="dxa"/>
            <w:shd w:val="clear" w:color="auto" w:fill="auto"/>
            <w:vAlign w:val="center"/>
          </w:tcPr>
          <w:p w14:paraId="08D3F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酶底物法微生物自动计数仪</w:t>
            </w:r>
          </w:p>
        </w:tc>
        <w:tc>
          <w:tcPr>
            <w:tcW w:w="741" w:type="dxa"/>
            <w:vAlign w:val="center"/>
          </w:tcPr>
          <w:p w14:paraId="75FE8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382A2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7F14194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1、用于对培养后具备检测条件的51孔、84孔、97孔定量盘阳性孔的快速识别计数并生成对应孔数的MPN值，设备自带白光和6瓦特366nm波长紫外光源，配套酶底物法大肠菌群和菌落总数检测试剂用于检测水样。</w:t>
            </w:r>
          </w:p>
          <w:p w14:paraId="1406312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2、检测速度：单光源检测时长≤4秒，双光源检测时长≤8秒。</w:t>
            </w:r>
          </w:p>
          <w:p w14:paraId="420CD8F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3、可自动生成检测报告，报告含菌种的MPN值及对应检测光源下的图片。</w:t>
            </w:r>
          </w:p>
          <w:p w14:paraId="0E7678C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4、定量盘在检测托架内的摆放方向不限制。 </w:t>
            </w:r>
          </w:p>
          <w:p w14:paraId="1A3BED2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5、无需更换摆放托架，可兼容51孔、84孔、97孔定量盘。</w:t>
            </w:r>
          </w:p>
          <w:p w14:paraId="170EDBF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6、可备注水样信息并自动生成于检测报告中。</w:t>
            </w:r>
          </w:p>
          <w:p w14:paraId="72FA4CC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7、可出具文字、表格、PDF软件等格式的检测报告。</w:t>
            </w:r>
          </w:p>
          <w:p w14:paraId="40AC413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8、可查询检测记录并批量导出。</w:t>
            </w:r>
          </w:p>
          <w:p w14:paraId="143812D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9、可自定义报告模板。</w:t>
            </w:r>
          </w:p>
          <w:p w14:paraId="416D16E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10、具备紫外消毒模式。</w:t>
            </w:r>
          </w:p>
          <w:p w14:paraId="2D2C320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11、具备识别结果校准模式。</w:t>
            </w:r>
          </w:p>
          <w:p w14:paraId="3B2E744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12、准确性高：识别率≥99%。</w:t>
            </w:r>
          </w:p>
          <w:p w14:paraId="79E4978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13、具备接水盘。</w:t>
            </w:r>
          </w:p>
          <w:p w14:paraId="4B960D2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14、具备稀释模式，可自动计算稀释前后的MPN值</w:t>
            </w:r>
          </w:p>
        </w:tc>
      </w:tr>
      <w:tr w14:paraId="08D9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33E80B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12</w:t>
            </w:r>
          </w:p>
        </w:tc>
        <w:tc>
          <w:tcPr>
            <w:tcW w:w="884" w:type="dxa"/>
            <w:shd w:val="clear" w:color="auto" w:fill="auto"/>
            <w:vAlign w:val="center"/>
          </w:tcPr>
          <w:p w14:paraId="1ABCC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全自动氟分析仪</w:t>
            </w:r>
          </w:p>
        </w:tc>
        <w:tc>
          <w:tcPr>
            <w:tcW w:w="741" w:type="dxa"/>
            <w:vAlign w:val="center"/>
          </w:tcPr>
          <w:p w14:paraId="648569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200C1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2A5AAC3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一、全自动氟分析仪采用离子选择电极技术。自动添加试剂，自动检测，结果自动存储、打印或导出。。</w:t>
            </w:r>
          </w:p>
          <w:p w14:paraId="07D63A3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二、测试方法依据</w:t>
            </w:r>
          </w:p>
          <w:p w14:paraId="44F871C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《WS/T 89-2015尿中氟化物测定 离子选择电极法》</w:t>
            </w:r>
          </w:p>
          <w:p w14:paraId="72E0F3D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《GB/T 5750.5-2023生活饮用水标准检验方法第5部分:无机非金属指标 6氟化物》</w:t>
            </w:r>
          </w:p>
          <w:p w14:paraId="61E65AC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《GB/T 21728-2008砖茶含氟量的检测方法》</w:t>
            </w:r>
          </w:p>
          <w:p w14:paraId="06A3CFA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三、仪器用途</w:t>
            </w:r>
          </w:p>
          <w:p w14:paraId="1ED6EB0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用于尿、水、砖茶中氟化物的全自动测定分析。</w:t>
            </w:r>
          </w:p>
          <w:p w14:paraId="21F6391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四、仪器性能指标</w:t>
            </w:r>
          </w:p>
          <w:p w14:paraId="0866E7F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1.样品盘：一体化36孔位圆盘式独立样品盘。</w:t>
            </w:r>
          </w:p>
          <w:p w14:paraId="53B3576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2.进样方式：采用圆盘式进样方式。</w:t>
            </w:r>
          </w:p>
          <w:p w14:paraId="0B6A484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3.试剂通道：≥3个独立的试剂通道，定量柱塞泵添加试剂。</w:t>
            </w:r>
          </w:p>
          <w:p w14:paraId="5D09790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4.磁力转子搅拌。 </w:t>
            </w:r>
          </w:p>
          <w:p w14:paraId="4B7DEE6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5.自动7点定标，配套定标液，无需手工绘制曲线，测量自动进行，全程自动化。</w:t>
            </w:r>
          </w:p>
          <w:p w14:paraId="1416DC1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 仪器用途:可以检测尿氟，水氟和茶氟。</w:t>
            </w:r>
          </w:p>
          <w:p w14:paraId="5514E6C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 准确度：测量标准物质，测量值在靶值允许范围内。</w:t>
            </w:r>
          </w:p>
          <w:p w14:paraId="54F2D40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8.操作软件：实时监控测量进程，有故障自动提示，紧急停止功能。</w:t>
            </w:r>
          </w:p>
          <w:p w14:paraId="51DB7E5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9.具有自动清洗功能。</w:t>
            </w:r>
          </w:p>
          <w:p w14:paraId="0B250B3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10.通讯方式：USB、RS485等。</w:t>
            </w:r>
          </w:p>
          <w:p w14:paraId="6A0C4D6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11.具有断电保护功能。</w:t>
            </w:r>
          </w:p>
          <w:p w14:paraId="2D941CD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12.分辨率：0.001 mg/L。</w:t>
            </w:r>
          </w:p>
          <w:p w14:paraId="1AC3DFB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13.配套茶氟试剂盒，尿氟试剂盒，水氟试剂盒；</w:t>
            </w:r>
          </w:p>
          <w:p w14:paraId="5F507FB2">
            <w:pPr>
              <w:keepNext w:val="0"/>
              <w:keepLines w:val="0"/>
              <w:widowControl/>
              <w:suppressLineNumbers w:val="0"/>
              <w:spacing w:line="240" w:lineRule="auto"/>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五、配置要求</w:t>
            </w:r>
          </w:p>
          <w:p w14:paraId="58954D2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1.全自动氟分析仪：1台。</w:t>
            </w:r>
          </w:p>
          <w:p w14:paraId="0805BD7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2.工作站软件： 1套。</w:t>
            </w:r>
          </w:p>
          <w:p w14:paraId="63367DA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3.泵管：       1套。</w:t>
            </w:r>
          </w:p>
          <w:p w14:paraId="5223F33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4.磁力转子：    36个</w:t>
            </w:r>
          </w:p>
          <w:p w14:paraId="55C2047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5.数据处理系统：1套</w:t>
            </w:r>
          </w:p>
          <w:p w14:paraId="577FECDB">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6.制冷设备 ：   1套</w:t>
            </w:r>
          </w:p>
        </w:tc>
      </w:tr>
      <w:tr w14:paraId="746C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80" w:type="dxa"/>
            <w:vAlign w:val="center"/>
          </w:tcPr>
          <w:p w14:paraId="522E97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13</w:t>
            </w:r>
          </w:p>
        </w:tc>
        <w:tc>
          <w:tcPr>
            <w:tcW w:w="884" w:type="dxa"/>
            <w:shd w:val="clear" w:color="auto" w:fill="auto"/>
            <w:vAlign w:val="center"/>
          </w:tcPr>
          <w:p w14:paraId="0FF42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乙炔防爆柜</w:t>
            </w:r>
          </w:p>
        </w:tc>
        <w:tc>
          <w:tcPr>
            <w:tcW w:w="741" w:type="dxa"/>
            <w:vAlign w:val="center"/>
          </w:tcPr>
          <w:p w14:paraId="3E5D0F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4E89D9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646EC90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1.规格W900*D450*H1900mm（双瓶）</w:t>
            </w:r>
          </w:p>
          <w:p w14:paraId="3B98FEA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2.柜体材质：柜身使用单层 1.2mm鞍钢优质标准冷钢平板，底座使用双层2.0mm鞍钢优质标准冷钢平板。表面磷酸纯化耐腐蚀处理，静电无铅喷塑。</w:t>
            </w:r>
          </w:p>
          <w:p w14:paraId="421552A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3.标配耐腐蚀镀锌花纹板，厚度2mm，宽度30cm以上。</w:t>
            </w:r>
          </w:p>
          <w:p w14:paraId="7F0DAFB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4.双半圆形气瓶支架，表面磷酸纯化耐腐处理，静电无铅喷塑，整体厚度40mm，并可随着气瓶高度上下调整高度。</w:t>
            </w:r>
          </w:p>
          <w:p w14:paraId="1AEC888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5.标配柜体除静电装置。</w:t>
            </w:r>
          </w:p>
          <w:p w14:paraId="7E620B5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6.标配柜体泄爆阀：气瓶安全柜左右两侧均具有泄爆阀口，可作为气体管路导孔，接口为3/4’’(6分)也可链接气路管道,也可链接防爆绕性管，同时也可用于排气散热。</w:t>
            </w:r>
          </w:p>
          <w:p w14:paraId="02133B1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7.柜体标配可视窗。柜体装配上下联动锁具。柜门贴有警示标签，提示人员注意安全，远离火源，保障人员、环境安全。</w:t>
            </w:r>
          </w:p>
          <w:p w14:paraId="66E2FA4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8.柜体两侧的泄爆阀口可用于通气散热。</w:t>
            </w:r>
          </w:p>
          <w:p w14:paraId="422FDFE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9.气瓶柜采用不锈钢铰链。</w:t>
            </w:r>
          </w:p>
          <w:p w14:paraId="492F462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10.具备探测报警联动系统，设置报警参数后，在报警发生时，同时联动报警和排风，提醒人员紧急处理，排风同时打开将危险气体及时排出柜内。</w:t>
            </w:r>
          </w:p>
          <w:p w14:paraId="33C4B419">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11.风机反应时间≤1秒。</w:t>
            </w:r>
          </w:p>
        </w:tc>
      </w:tr>
      <w:tr w14:paraId="3B21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580" w:type="dxa"/>
            <w:vAlign w:val="center"/>
          </w:tcPr>
          <w:p w14:paraId="66B69B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14</w:t>
            </w:r>
          </w:p>
        </w:tc>
        <w:tc>
          <w:tcPr>
            <w:tcW w:w="884" w:type="dxa"/>
            <w:shd w:val="clear" w:color="auto" w:fill="auto"/>
            <w:vAlign w:val="center"/>
          </w:tcPr>
          <w:p w14:paraId="4E6C8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超声波清洗器</w:t>
            </w:r>
          </w:p>
        </w:tc>
        <w:tc>
          <w:tcPr>
            <w:tcW w:w="741" w:type="dxa"/>
            <w:vAlign w:val="center"/>
          </w:tcPr>
          <w:p w14:paraId="66B40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48" w:type="dxa"/>
            <w:gridSpan w:val="2"/>
            <w:vAlign w:val="center"/>
          </w:tcPr>
          <w:p w14:paraId="3AE90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FD25B9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 技术要求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 清洗舱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1.1.1 容积 ≥10L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1.1.2 材质 304不锈钢材质，拉伸模具成型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1.2 外罩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1.2.1 手动开关门，门板可挂于外置之上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1.2.2 ABS模具注塑成型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1.3 管路系统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1.3.1 前置排水阀，手动排水</w:t>
            </w:r>
          </w:p>
          <w:p w14:paraId="25670CC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1.4 超声系统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▲1.4.1 变频电源 40/80/100KHZ，变频功能，功率可调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1.5 控制系统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1.5.1 多程序选择，设备设有就绪、单频、双频、多频清洗等多个程序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1.5.2 工业级单片机芯片。触摸按键操作，一键启动。具有故障自动检测功能。独立的电源控制模块。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1.5.3 数字式温度控制方式。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1.5.4具有超时保护功能：加热片干烧保护。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1.6 整体参数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1.6.1 运行时间0-60min可调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1.6.2 框尺寸 ≥280*200*130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1.6.3 外形尺寸 ≥420*400*330（宽深高）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1.6.4 舱体尺寸 ≥300*250*150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1.6.5 清洗温度30℃～80℃可调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1.6.6 加热方式： 电加热功率     ≥0.4kw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1.6.7 超声频率三频：40/80/100KHZ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1.6.8 超声功率 240W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1.6.9 耗水量 ≤10L</w:t>
            </w:r>
          </w:p>
        </w:tc>
      </w:tr>
      <w:tr w14:paraId="66CC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03A369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15</w:t>
            </w:r>
          </w:p>
        </w:tc>
        <w:tc>
          <w:tcPr>
            <w:tcW w:w="884" w:type="dxa"/>
            <w:shd w:val="clear" w:color="auto" w:fill="auto"/>
            <w:vAlign w:val="center"/>
          </w:tcPr>
          <w:p w14:paraId="46CC0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易制毒/易制爆柜子</w:t>
            </w:r>
          </w:p>
        </w:tc>
        <w:tc>
          <w:tcPr>
            <w:tcW w:w="741" w:type="dxa"/>
            <w:vAlign w:val="center"/>
          </w:tcPr>
          <w:p w14:paraId="42720D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48" w:type="dxa"/>
            <w:gridSpan w:val="2"/>
            <w:vAlign w:val="center"/>
          </w:tcPr>
          <w:p w14:paraId="699F0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F11D6A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一、产品认证和资质：</w:t>
            </w:r>
          </w:p>
          <w:p w14:paraId="4BB5FF8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1、产品符合《GB 24820-2024 实验室家具通用技术条件》标准要求并通过第三方机构检测，检测报告盖CMA章；</w:t>
            </w:r>
          </w:p>
          <w:p w14:paraId="6CE8B87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2、符合《危险化学品安全管理条例》等规范要求；</w:t>
            </w:r>
          </w:p>
          <w:p w14:paraId="3FD93C6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二、产品外观及结构：</w:t>
            </w:r>
          </w:p>
          <w:p w14:paraId="1FE0B73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 柜体表面涂层：环氧树脂粉末静电喷涂处理；</w:t>
            </w:r>
          </w:p>
          <w:p w14:paraId="57F3160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 按照《GB/T 10125-2021 人造气氛腐蚀试验盐雾试验》要求，进行48h乙酸盐雾试验，按照GB/T 6461-2002 进行保护评级和外观评级，保护评级Rp≥10级，外观等级RA≥10级，性能评级Rp/RA≥10级；</w:t>
            </w:r>
          </w:p>
          <w:p w14:paraId="1C51654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 按照《GB/T 9286-2021 色漆和清漆 划格试验》要求，进行涂层附着力划格测试，测试结果达到0级的要求；</w:t>
            </w:r>
          </w:p>
          <w:p w14:paraId="4E9D7D7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 按照《GB/T 1732-2020 漆膜耐冲击测定法》，进行涂层耐冲击试验，在冲击能量3.92J下涂层无剥落、裂纹、皱纹等缺陷；</w:t>
            </w:r>
          </w:p>
          <w:p w14:paraId="59F2051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整柜专业防火结构：金属柜体和门板均由双层≥1.2mm厚镀锌钢板通过折边焊接构造整体成型，柜体表面无焊缝，两层钢板之间相隔净尺寸约38mm，形成良好的防火绝缘层；钢板经过拉伸强度测试，抗拉强度370MPa，屈服强度310MPa；</w:t>
            </w:r>
          </w:p>
          <w:p w14:paraId="28EB2E4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 PP内胆：内胆采用8mm象牙白 PP 板焊接而成，每个柜子配置一定数量层板，层板高度60mm,，层板承重≥30KG。使用PP材质需满足以下要求：</w:t>
            </w:r>
          </w:p>
          <w:p w14:paraId="3B01B17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3.1负荷变形温度≥115℃，维卡软化温度≥90℃，拉伸强度≥27MPa,；</w:t>
            </w:r>
          </w:p>
          <w:p w14:paraId="407973A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3.2 PP板需经过75%硫酸、氢氧化纳溶液、40%氢氟酸等酸碱容易的酸碱腐蚀测试；</w:t>
            </w:r>
          </w:p>
          <w:p w14:paraId="2F82062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3.3 PP板需按照GB/T 24282-2021《塑料聚丙烯中二甲苯可溶物含量的测定》进行二甲苯含量检测，检测结果为未检出；</w:t>
            </w:r>
          </w:p>
          <w:p w14:paraId="1F3FCAE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 金属柜体左右两侧设置通风孔，特制火焰阻隔器，经过第三方权威机构测试，外部火焰无法进入，可外接通风系统降低挥发性物质浓度；通风孔在未接通风系统时有封堵盖，保证柜子可独立使用，化学品异味不逸散，高密度挥发物接下方通风，低密度挥发物外接上方通风；</w:t>
            </w:r>
          </w:p>
          <w:p w14:paraId="4EAA2A3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 连续的琴式铰链使得柜门刚性、强度等性能绝佳，保证柜门平稳闭合开启180度，采用手动单开门设计；</w:t>
            </w:r>
          </w:p>
          <w:p w14:paraId="648722A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 柜体采用符合 GA/T 73-2015 机械防盗锁标准锁具，双人双锁管控设计，符合易制爆危化品安全管理要求；</w:t>
            </w:r>
          </w:p>
          <w:p w14:paraId="22E3107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 柜身设有静电接地传导端口，压铆螺母连接，接地电阻≤1欧姆，符合OSHA和FM规范；</w:t>
            </w:r>
          </w:p>
          <w:p w14:paraId="122A8CB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 柜门适当位置张贴带反光性能贴纸，提高安全柜在弱视环境下的警示性，警示标识符合ISO 7010规定样式。印刷采用进口油墨，防紫外线。标签采用3M背胶；</w:t>
            </w:r>
          </w:p>
          <w:p w14:paraId="3DD409A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9、柜体侧面标配SDS存放盒，规范存放柜内危化品说明书；</w:t>
            </w:r>
          </w:p>
          <w:p w14:paraId="652DB93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 服务联系方式张贴在明显位置；</w:t>
            </w:r>
          </w:p>
          <w:p w14:paraId="0141340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 加厚型包装，边角全防护。</w:t>
            </w:r>
          </w:p>
        </w:tc>
      </w:tr>
      <w:tr w14:paraId="33CE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580" w:type="dxa"/>
            <w:vAlign w:val="center"/>
          </w:tcPr>
          <w:p w14:paraId="764B0E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16</w:t>
            </w:r>
          </w:p>
        </w:tc>
        <w:tc>
          <w:tcPr>
            <w:tcW w:w="884" w:type="dxa"/>
            <w:shd w:val="clear" w:color="auto" w:fill="auto"/>
            <w:vAlign w:val="center"/>
          </w:tcPr>
          <w:p w14:paraId="5E0AE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移液器</w:t>
            </w:r>
          </w:p>
        </w:tc>
        <w:tc>
          <w:tcPr>
            <w:tcW w:w="741" w:type="dxa"/>
            <w:vAlign w:val="center"/>
          </w:tcPr>
          <w:p w14:paraId="343062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8" w:type="dxa"/>
            <w:gridSpan w:val="2"/>
            <w:vAlign w:val="center"/>
          </w:tcPr>
          <w:p w14:paraId="51347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支</w:t>
            </w:r>
          </w:p>
        </w:tc>
        <w:tc>
          <w:tcPr>
            <w:tcW w:w="6950" w:type="dxa"/>
            <w:shd w:val="clear" w:color="auto" w:fill="auto"/>
            <w:vAlign w:val="center"/>
          </w:tcPr>
          <w:p w14:paraId="63AD84A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1、数字视窗</w:t>
            </w:r>
          </w:p>
          <w:p w14:paraId="0B18D79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2、量程范围 0.1μL-10mL。</w:t>
            </w:r>
          </w:p>
          <w:p w14:paraId="4336120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3、移液器可整支高温高压灭菌，具有抗紫外性。</w:t>
            </w:r>
          </w:p>
          <w:p w14:paraId="4C6CAE4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4、内含滤芯。</w:t>
            </w:r>
          </w:p>
        </w:tc>
      </w:tr>
      <w:tr w14:paraId="4061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80" w:type="dxa"/>
            <w:vAlign w:val="center"/>
          </w:tcPr>
          <w:p w14:paraId="2AFAC86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w:t>
            </w:r>
          </w:p>
        </w:tc>
        <w:tc>
          <w:tcPr>
            <w:tcW w:w="884" w:type="dxa"/>
            <w:shd w:val="clear" w:color="auto" w:fill="auto"/>
            <w:vAlign w:val="center"/>
          </w:tcPr>
          <w:p w14:paraId="3E75828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铂金钳锅</w:t>
            </w:r>
          </w:p>
        </w:tc>
        <w:tc>
          <w:tcPr>
            <w:tcW w:w="741" w:type="dxa"/>
            <w:vAlign w:val="center"/>
          </w:tcPr>
          <w:p w14:paraId="5A1E384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48" w:type="dxa"/>
            <w:gridSpan w:val="2"/>
            <w:vAlign w:val="center"/>
          </w:tcPr>
          <w:p w14:paraId="6364467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c>
          <w:tcPr>
            <w:tcW w:w="6950" w:type="dxa"/>
            <w:shd w:val="clear" w:color="auto" w:fill="auto"/>
            <w:vAlign w:val="center"/>
          </w:tcPr>
          <w:p w14:paraId="4998A2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1、容量≥30ml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2、元素原子量：195.1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3、熔点：1772℃，沸点:3827℃</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4、密度：21.46 克/立方厘米。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5、理化特性：（1）银白色金属，质柔软，有延展性。晶体结构为面心立方体。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（2）不与一般强酸、碱和其他试剂作用。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（3）化合价为+2、+4 和+6 价。</w:t>
            </w:r>
          </w:p>
        </w:tc>
      </w:tr>
      <w:tr w14:paraId="31D3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0B99D8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18</w:t>
            </w:r>
          </w:p>
        </w:tc>
        <w:tc>
          <w:tcPr>
            <w:tcW w:w="884" w:type="dxa"/>
            <w:shd w:val="clear" w:color="auto" w:fill="auto"/>
            <w:vAlign w:val="center"/>
          </w:tcPr>
          <w:p w14:paraId="5C72E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一氧化碳红外测定仪</w:t>
            </w:r>
          </w:p>
        </w:tc>
        <w:tc>
          <w:tcPr>
            <w:tcW w:w="741" w:type="dxa"/>
            <w:vAlign w:val="center"/>
          </w:tcPr>
          <w:p w14:paraId="16B86C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2B5B72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6F9AF3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一、性能特点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1、红外传感器，检测空气中的低浓度CO组分。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2、采用进口隔膜泵。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3、采用彩色触摸屏。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4、仪器显示有ppm、μmol/mol和mg/m3 等多种显示模式，可以自动转换。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5、具备自动零点校正技术。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6、具有瞬时值和均值两种数值显示。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7、标配RS232接口。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8、标配USB接口。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9、标配蓝牙打印机。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10、具备大容量催化室。</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11、内置大容量锂电池，可交直流两用。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12、伸缩式采样管设计。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13、具有电子流量计。</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14、可测温湿度，软件内置温湿度补偿算法。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二、技术参数</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1、测量原理 ：不分光红外线气体分析法/非分散红外法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2、检测类型； 环境空气中的CO、温度、湿度。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3、采样方式： 内置泵吸式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4、测量范围 ：CO：0-50ppm、 0-200ppm量程可选其一</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5、分辨率： CO：0.01ppm</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6、准确度 ：优于±2%FS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7、数据储存 ：≥10000组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8、内置锂电容量 ：21V 2.6Ah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9、预热时间： ≤20min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10、响应时间： ≤50s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11、整机功耗 ：≤30W</w:t>
            </w:r>
          </w:p>
        </w:tc>
      </w:tr>
      <w:tr w14:paraId="3A0A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80" w:type="dxa"/>
            <w:vAlign w:val="center"/>
          </w:tcPr>
          <w:p w14:paraId="2D6A77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19</w:t>
            </w:r>
          </w:p>
        </w:tc>
        <w:tc>
          <w:tcPr>
            <w:tcW w:w="884" w:type="dxa"/>
            <w:shd w:val="clear" w:color="auto" w:fill="auto"/>
            <w:vAlign w:val="center"/>
          </w:tcPr>
          <w:p w14:paraId="373BB2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甲醛测定仪</w:t>
            </w:r>
          </w:p>
        </w:tc>
        <w:tc>
          <w:tcPr>
            <w:tcW w:w="741" w:type="dxa"/>
            <w:vAlign w:val="center"/>
          </w:tcPr>
          <w:p w14:paraId="0A9D7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72A996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04D31C99">
            <w:pPr>
              <w:keepNext w:val="0"/>
              <w:keepLines w:val="0"/>
              <w:widowControl/>
              <w:numPr>
                <w:ilvl w:val="0"/>
                <w:numId w:val="7"/>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应用于消防、应急救援、受限空间、石油、化工、冶金、炼化、燃气、仓储、医药、环保、空气治理等场合。</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2、检测气体：甲醛CH</w:t>
            </w:r>
            <w:r>
              <w:rPr>
                <w:rFonts w:hint="eastAsia" w:ascii="仿宋" w:hAnsi="仿宋" w:eastAsia="仿宋" w:cs="仿宋"/>
                <w:i w:val="0"/>
                <w:iCs w:val="0"/>
                <w:color w:val="auto"/>
                <w:kern w:val="0"/>
                <w:sz w:val="24"/>
                <w:szCs w:val="24"/>
                <w:highlight w:val="none"/>
                <w:u w:val="none"/>
                <w:vertAlign w:val="subscript"/>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O，可选配同时检测≥4种气体和温湿度、气压、海拔、风速，包括有毒气体、可燃气体、氧气、二氧化碳、VOC等，根据现场环境需求而定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3、检测范围：0-10、20、50、100、200ppm可选，分 辨 率0.01ppm，0.1ppm可选，其它量程可定制，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4、检测原理：电化学、催化燃烧、红外、热导、半导体、PID光离子等,根据量程、现场环境需求而定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5、传感器寿命：电化学≥2年，催化燃烧≥2年，红外≥5年，热导≥2年，PID ≥2年</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6、检测方式：泵吸+扩散两种检测方式，泵吸采样流量≥0.5升/分钟，流量≥10级可调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7、显示方式：高清彩屏显示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8、显示内容：实时浓度、单位、气体名称、报警状态、时间、存储状态、通讯状态、电量、充电状态等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9、锂电池续航时间≥20小时（泵吸式）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10、通讯接口配备Type-C快充接口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11、报警音量：多种报警音可选，报警音可分别独立设置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12、报警：包含声光报警、震动报警、语音报警、泵堵塞报警、跌倒报警、SOS报警（运动报警）等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13、界面语言：中文、英文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14、外壳材质：PC+TPU，高强度耐腐蚀防火聚碳酸酯与一体式TPE保护套，防摔耐磨防静电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15、使用环境：温度：-20℃~+55℃，可定制-40℃~+70℃。相对湿度：10-95%RH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16、标配LED照明功能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17、防护等级：IP68及以上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18、标配SOS一键呼救</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19、采用数字传感器，每个传感器可插拔，免标定，可插在任意传感器插槽位置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20、可通过仪表设置打开或关闭任意一个传感器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21、传感器缺失报警，传感器寿命到期预警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22、支持远程维护及远程升级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23、内置气体库（可燃、VOC、有毒气体）。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24、单位切换，单位可选：μmol/mol、ppm、pphm、ppb、mg/m3、μg/m3、%Vol、%LEL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25、按键操作，快捷一键校准功能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26、数据存储，存储容量≥100万条</w:t>
            </w:r>
          </w:p>
          <w:p w14:paraId="2A66AFB4">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27、通讯接口：TYPE-C快充与通讯</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28、具有数据恢复功能29、可显示最大值、最小值、加权平均值，实时曲线、条形图、列表显示等。</w:t>
            </w:r>
          </w:p>
        </w:tc>
      </w:tr>
      <w:tr w14:paraId="26AE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580" w:type="dxa"/>
            <w:vAlign w:val="center"/>
          </w:tcPr>
          <w:p w14:paraId="7F8FAE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20</w:t>
            </w:r>
          </w:p>
        </w:tc>
        <w:tc>
          <w:tcPr>
            <w:tcW w:w="884" w:type="dxa"/>
            <w:shd w:val="clear" w:color="auto" w:fill="auto"/>
            <w:vAlign w:val="center"/>
          </w:tcPr>
          <w:p w14:paraId="6C412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空气采样装置</w:t>
            </w:r>
          </w:p>
        </w:tc>
        <w:tc>
          <w:tcPr>
            <w:tcW w:w="741" w:type="dxa"/>
            <w:vAlign w:val="center"/>
          </w:tcPr>
          <w:p w14:paraId="10581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48A2C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4FEF320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1.A/B采样流量  (0.1~2)L/mi  </w:t>
            </w:r>
          </w:p>
          <w:p w14:paraId="4296ED5D">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2.C/D采样流量 (10-300)mL/min   </w:t>
            </w:r>
          </w:p>
          <w:p w14:paraId="2FD442C1">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3.TSP采样流量(10-100)L/min   </w:t>
            </w:r>
          </w:p>
          <w:p w14:paraId="76CA1E4F">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4.工作环境：大气压  (30~110)kPa ，环境温度 (-30-50)℃，相对湿度  (0-100)%RH  </w:t>
            </w:r>
          </w:p>
          <w:p w14:paraId="60818F21">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5.采用彩色液晶触摸屏    </w:t>
            </w:r>
          </w:p>
          <w:p w14:paraId="30E3AA4A">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6.数据接口：支持U盘数据导出和热敏蓝牙打印机打印</w:t>
            </w:r>
          </w:p>
          <w:p w14:paraId="064E2A19">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7.具备故障报警功能     </w:t>
            </w:r>
          </w:p>
          <w:p w14:paraId="6A8F18BC">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8.主机功耗  ≤120W     </w:t>
            </w:r>
          </w:p>
          <w:p w14:paraId="1B176747">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9.内置锂电池</w:t>
            </w:r>
          </w:p>
        </w:tc>
      </w:tr>
      <w:tr w14:paraId="7970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580" w:type="dxa"/>
            <w:vAlign w:val="center"/>
          </w:tcPr>
          <w:p w14:paraId="578188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21</w:t>
            </w:r>
          </w:p>
        </w:tc>
        <w:tc>
          <w:tcPr>
            <w:tcW w:w="884" w:type="dxa"/>
            <w:shd w:val="clear" w:color="auto" w:fill="auto"/>
            <w:vAlign w:val="center"/>
          </w:tcPr>
          <w:p w14:paraId="48B27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风速计</w:t>
            </w:r>
          </w:p>
        </w:tc>
        <w:tc>
          <w:tcPr>
            <w:tcW w:w="741" w:type="dxa"/>
            <w:vAlign w:val="center"/>
          </w:tcPr>
          <w:p w14:paraId="7AD83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48" w:type="dxa"/>
            <w:gridSpan w:val="2"/>
            <w:vAlign w:val="center"/>
          </w:tcPr>
          <w:p w14:paraId="141DF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25DB644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1、工作原理</w:t>
            </w:r>
          </w:p>
          <w:p w14:paraId="41A2901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 1.1风向部分：由风向标、风向度盘(磁罗盘)等组成,风向示值由风向指针在风向度盘上的位置来确定.</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风速部分：采用三环旋转架结构，仪器内的单片机对风速传感器的输出频率进行采样、计算，最后仪器输出瞬时风速、一分钟平均风速、瞬时风级、一分钟平均风级、平均风速及对应的浪高。测得的参数在液晶显示器上用数字直接显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2、风速技术指标 测量范围 0～30m/s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2.1起动风速 ≤0.8m/s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2.2测量精度 ±（0.3+0.03v）m/s（v指示风速）</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2.3风速参数：瞬时风速、平均风速、瞬时风级、平均风级、及其对应浪高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2.4显示分辨率 0.1m/s（风速）1级（风级）0.1m（浪高）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3、风向技术指标 测量范围 0～360度，16个方位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3.1起动风速 1.0m/s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 3.2测量精度 ±1/2方位 3.3风向定北 自动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4、工作环境 </w:t>
            </w:r>
          </w:p>
          <w:p w14:paraId="7849ACF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4.1温度 -20～60°C</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4.2湿度 ≦100%RH（无凝结）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5、供电电源 3V（3.4～2.68V）5号电池2节</w:t>
            </w:r>
          </w:p>
        </w:tc>
      </w:tr>
      <w:tr w14:paraId="61BF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580" w:type="dxa"/>
            <w:vAlign w:val="center"/>
          </w:tcPr>
          <w:p w14:paraId="0C5B04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22</w:t>
            </w:r>
          </w:p>
        </w:tc>
        <w:tc>
          <w:tcPr>
            <w:tcW w:w="884" w:type="dxa"/>
            <w:shd w:val="clear" w:color="auto" w:fill="auto"/>
            <w:vAlign w:val="center"/>
          </w:tcPr>
          <w:p w14:paraId="5B1E8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手持式采样定位记录器</w:t>
            </w:r>
          </w:p>
        </w:tc>
        <w:tc>
          <w:tcPr>
            <w:tcW w:w="741" w:type="dxa"/>
            <w:vAlign w:val="center"/>
          </w:tcPr>
          <w:p w14:paraId="7024C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7B0B4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5843D58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1、定位类型：支持BDS、GPS、GLONASS、Galileo、SBAS卫星星座，支持使用单BDS定位。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2、定位精度: 单点2-5米，SBAS1-3米。更新频率1Hz。</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3、屏幕：≥3英寸高亮屏幕，支持手套和湿手操作，支持触屏及按键两种操作模式。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4、天线类型：四螺旋天线。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5、处理器：高通4核处理器及以上。</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6、电源：≥4000mAh锂电池，电池可拆缷，支持充电宝供电，工作时间≥16小时。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7、防护等级IP68及以上，抗1.8米跌落至硬质地面。</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8、数据通讯：Wi-Fi、蓝牙。</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9、数据存储：RAM ≥1G，ROM ≥8G，支持内存卡扩展。</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10、摄像头像素≥800万，双闪光灯，自动对焦。内置高精度电子罗盘、支持气压测高。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11、接口：采用USB Type-C接口设计，支持NMEA数据输出。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12、传感器：支持电子罗盘、气压计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13、软件: 内置三种属性库，点采集器, 线采集器, 面采集器,可与电脑互传调查表格，调查数据格式与电脑对接，可对属性进行编辑和修改。支持采集对象关联多张拍照图片，支持在照片上以像素直接标注坐标，特征名称，采集时间。支持坐标系统的转换，并可以输入7参数等转换参数,软件直接支持SHP矢量数据导出,支持 GNSS 定位、手绘、和坐标输入等多种坐标采集模式，支持线放样功能。支持航迹存储。支持百度在线、离线地图加载。能够在设备上将GIS数据导出为shp、KML等数据格式,与GIS软件对接。</w:t>
            </w:r>
          </w:p>
        </w:tc>
      </w:tr>
      <w:tr w14:paraId="6000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80" w:type="dxa"/>
            <w:vAlign w:val="center"/>
          </w:tcPr>
          <w:p w14:paraId="4F06A2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23</w:t>
            </w:r>
          </w:p>
        </w:tc>
        <w:tc>
          <w:tcPr>
            <w:tcW w:w="884" w:type="dxa"/>
            <w:shd w:val="clear" w:color="auto" w:fill="auto"/>
            <w:vAlign w:val="center"/>
          </w:tcPr>
          <w:p w14:paraId="3430B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湿球黑球温度指数仪</w:t>
            </w:r>
          </w:p>
        </w:tc>
        <w:tc>
          <w:tcPr>
            <w:tcW w:w="741" w:type="dxa"/>
            <w:vAlign w:val="center"/>
          </w:tcPr>
          <w:p w14:paraId="1A279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41C78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2FAFEC7B">
            <w:pPr>
              <w:keepNext w:val="0"/>
              <w:keepLines w:val="0"/>
              <w:widowControl/>
              <w:numPr>
                <w:ilvl w:val="0"/>
                <w:numId w:val="8"/>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可同时测试空气温度 、湿球温度、黑球温度（辐射温度）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2、可测量环境空气中相对湿度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3、常规测量、标准测量、梯度测量三种测量模式自由选择</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4、测量显示Ta、Tnw、Tg、RH%、WBGTin、WBGTout数据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5、测试时间设置分三个时间段，满足标准要求测试三个时段的值</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6、数据处理软件：内置四种评价标准（ISO7243、ACGIH、Navy、EPRI）选择计算</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7、软件：可生成测量报告，绘制任意测量参数的曲线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8、内置GBZ/T 189.10-2007标准的劳动强度等级与劳动时限指示，可评价当前的工作条件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9、≥3.0寸彩色显示屏，图形化菜单，可显示 WBGT 测量曲线图</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10、数据存储：≥5000组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11、内置蓝牙模块，配蓝牙打印机打印数据，支持USB导出测试数据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12、存储间隔：1~99分钟可调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13、黑球直径（mm）：50mm或150mm可选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14、传感器扩展（梯度）：可扩展三梯度测量（三组WBGT传感器组连）</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15、存储周期 1～99分钟任意设置</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16、黑球 直径50mm</w:t>
            </w:r>
          </w:p>
          <w:p w14:paraId="30907F40">
            <w:pPr>
              <w:keepNext w:val="0"/>
              <w:keepLines w:val="0"/>
              <w:widowControl/>
              <w:numPr>
                <w:ilvl w:val="-1"/>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17、采用电池供电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18、采集通道 ≥3通道</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19、数据输出 USB通信</w:t>
            </w:r>
          </w:p>
        </w:tc>
      </w:tr>
      <w:tr w14:paraId="4DB1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7" w:hRule="atLeast"/>
        </w:trPr>
        <w:tc>
          <w:tcPr>
            <w:tcW w:w="580" w:type="dxa"/>
            <w:vAlign w:val="center"/>
          </w:tcPr>
          <w:p w14:paraId="3E5A16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24</w:t>
            </w:r>
          </w:p>
        </w:tc>
        <w:tc>
          <w:tcPr>
            <w:tcW w:w="884" w:type="dxa"/>
            <w:shd w:val="clear" w:color="auto" w:fill="auto"/>
            <w:vAlign w:val="center"/>
          </w:tcPr>
          <w:p w14:paraId="7823B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中流量校准器</w:t>
            </w:r>
          </w:p>
        </w:tc>
        <w:tc>
          <w:tcPr>
            <w:tcW w:w="741" w:type="dxa"/>
            <w:vAlign w:val="center"/>
          </w:tcPr>
          <w:p w14:paraId="79942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2B9E0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16A47A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1、全自动智能化测量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2、彩色触摸屏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3、自动换算标况流量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4、自动测量环境温度/大气压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5、日志记录/查询/导出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6、测量模式：单次/多次/平均模式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7、一键启动/测量模式快速切换/测量单位cc/min、mL/min、L/min切换等功能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8、主要技术指标：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9、测量范围：（50-5000）mL/min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10、测量方式：干式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11、准确度：±1%（一级）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12、分辨率：0.01mL、0.1mL、1.0mL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13、使用环境：-10～50℃。0～95%RH（无结露）</w:t>
            </w:r>
          </w:p>
        </w:tc>
      </w:tr>
      <w:tr w14:paraId="5A08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580" w:type="dxa"/>
            <w:vAlign w:val="center"/>
          </w:tcPr>
          <w:p w14:paraId="51199B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25</w:t>
            </w:r>
          </w:p>
        </w:tc>
        <w:tc>
          <w:tcPr>
            <w:tcW w:w="884" w:type="dxa"/>
            <w:shd w:val="clear" w:color="auto" w:fill="auto"/>
            <w:vAlign w:val="center"/>
          </w:tcPr>
          <w:p w14:paraId="79062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高流量校准器</w:t>
            </w:r>
          </w:p>
        </w:tc>
        <w:tc>
          <w:tcPr>
            <w:tcW w:w="741" w:type="dxa"/>
            <w:vAlign w:val="center"/>
          </w:tcPr>
          <w:p w14:paraId="6D41B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48260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2A07F2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1、彩色触摸屏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2、自动换算标况流量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3、自动测量环境温度/大气压</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4、日志记录/查询/导出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5、测量模式：单次/多次/平均模式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6、一键启动/测量模式快速切换/测量单位cc/min、mL/min、L/min切换等功能</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7、主要技术指标：</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8、测量范围：（50-5000）mL/min</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9、测量方式：干式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10、准确度：±1%（一级）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11、分辨率：0.01mL、0.1mL、1.0mL</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12、使用环境：-10～50℃。0～95%RH（无结露）</w:t>
            </w:r>
          </w:p>
        </w:tc>
      </w:tr>
      <w:tr w14:paraId="7A12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580" w:type="dxa"/>
            <w:vAlign w:val="center"/>
          </w:tcPr>
          <w:p w14:paraId="2DC838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26</w:t>
            </w:r>
          </w:p>
        </w:tc>
        <w:tc>
          <w:tcPr>
            <w:tcW w:w="884" w:type="dxa"/>
            <w:shd w:val="clear" w:color="auto" w:fill="auto"/>
            <w:vAlign w:val="center"/>
          </w:tcPr>
          <w:p w14:paraId="27C836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噪声振动测量仪</w:t>
            </w:r>
          </w:p>
        </w:tc>
        <w:tc>
          <w:tcPr>
            <w:tcW w:w="741" w:type="dxa"/>
            <w:vAlign w:val="center"/>
          </w:tcPr>
          <w:p w14:paraId="70082C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384CA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7B80F0CA">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 同时测量a、v、s三种振动量的有效值、峰值、峰峰值。积分测量，显示等效值</w:t>
            </w:r>
          </w:p>
          <w:p w14:paraId="1B78BE1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2、手传振动测量</w:t>
            </w:r>
          </w:p>
          <w:p w14:paraId="7D0C0B6C">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3、传感器</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加速度传感器，灵敏度：1 pC/m·s-2 </w:t>
            </w:r>
          </w:p>
          <w:p w14:paraId="70294D1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4、测量范围</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 xml:space="preserve">：Wh计权加速度：0.03 m/s2 ~ 1000 m/s2。 </w:t>
            </w:r>
          </w:p>
          <w:p w14:paraId="615FDCE1">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5、频率范围：5 Hz～1600 Hz。90~180dB</w:t>
            </w:r>
          </w:p>
          <w:p w14:paraId="5DE60389">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6、频率计权和滤波：Wh计权，数字滤波实现</w:t>
            </w:r>
          </w:p>
          <w:p w14:paraId="5273CB0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7、检波器特性：并行有效值、峰值、峰峰值</w:t>
            </w:r>
          </w:p>
          <w:p w14:paraId="17D055B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8、时间平均方式</w:t>
            </w:r>
            <w:r>
              <w:rPr>
                <w:rFonts w:hint="eastAsia" w:ascii="仿宋" w:hAnsi="仿宋" w:eastAsia="仿宋" w:cs="仿宋"/>
                <w:i w:val="0"/>
                <w:iCs w:val="0"/>
                <w:color w:val="auto"/>
                <w:kern w:val="0"/>
                <w:sz w:val="24"/>
                <w:szCs w:val="24"/>
                <w:highlight w:val="none"/>
                <w:u w:val="none"/>
                <w:lang w:val="en-US" w:eastAsia="zh-CN" w:bidi="ar"/>
              </w:rPr>
              <w:tab/>
            </w:r>
            <w:r>
              <w:rPr>
                <w:rFonts w:hint="eastAsia" w:ascii="仿宋" w:hAnsi="仿宋" w:eastAsia="仿宋" w:cs="仿宋"/>
                <w:i w:val="0"/>
                <w:iCs w:val="0"/>
                <w:color w:val="auto"/>
                <w:kern w:val="0"/>
                <w:sz w:val="24"/>
                <w:szCs w:val="24"/>
                <w:highlight w:val="none"/>
                <w:u w:val="none"/>
                <w:lang w:val="en-US" w:eastAsia="zh-CN" w:bidi="ar"/>
              </w:rPr>
              <w:t>并行（同时）时间常数1 s和时间常数8 s及积分平均</w:t>
            </w:r>
          </w:p>
          <w:p w14:paraId="4F4472D3">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9、主要测量指标：1s时间计权瞬时值、8s时间计权瞬时值、加速度、速度、位移的有效值、峰值、峰峰值。1秒等效值、等效连续值。</w:t>
            </w:r>
          </w:p>
          <w:p w14:paraId="5C366367">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10、加速度、速度、位移的有效值、峰值、峰峰值。测量经历时间(Tm)。以及Wh计权加速度的有效值、峰值、峰峰值。A(8)或A（4）。</w:t>
            </w:r>
          </w:p>
          <w:p w14:paraId="1B4B4175">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11、积分测量时间：1秒到24小时可分档设定或任意设定</w:t>
            </w:r>
          </w:p>
          <w:p w14:paraId="446AE59F">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12、Ａ/Ｄ位数：24位</w:t>
            </w:r>
          </w:p>
          <w:p w14:paraId="7162079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13、线性范围：≥80 dB</w:t>
            </w:r>
          </w:p>
          <w:p w14:paraId="060D77C9">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14、采样频率：≥48 kHz</w:t>
            </w:r>
          </w:p>
          <w:p w14:paraId="2F9948B4">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15、基本测量误差：≤5 %（15.92 Hz为参考频率）</w:t>
            </w:r>
          </w:p>
          <w:p w14:paraId="44ECA92E">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16、显示器：≥128×128点阵液晶显示，对比度≥15级可调17、数据存贮：≥128组等效连续值及1 s等效值</w:t>
            </w:r>
          </w:p>
          <w:p w14:paraId="47F107B5">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18、输出：AC（交流）、DC（直流），USB接口</w:t>
            </w:r>
          </w:p>
        </w:tc>
      </w:tr>
      <w:tr w14:paraId="1AAD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580" w:type="dxa"/>
            <w:vAlign w:val="center"/>
          </w:tcPr>
          <w:p w14:paraId="0A64F7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27</w:t>
            </w:r>
          </w:p>
        </w:tc>
        <w:tc>
          <w:tcPr>
            <w:tcW w:w="884" w:type="dxa"/>
            <w:shd w:val="clear" w:color="auto" w:fill="auto"/>
            <w:vAlign w:val="center"/>
          </w:tcPr>
          <w:p w14:paraId="14DF1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微电脑数字压力机</w:t>
            </w:r>
          </w:p>
        </w:tc>
        <w:tc>
          <w:tcPr>
            <w:tcW w:w="741" w:type="dxa"/>
            <w:vAlign w:val="center"/>
          </w:tcPr>
          <w:p w14:paraId="54BC6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766D8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3A27A78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1、大气压测量范围：600～1060hPa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2、大气压精度：0.5%FS</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3、显示分辨率：0.1hpa / 0.1℃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4、测量介质：大气</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5、温度测量范围：-20～60℃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6、温度测量精度：0.5℃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7、使用环境：温度-10～50℃。湿度0～85RH%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8、电源：AAA碱性五号电池4节(6V)</w:t>
            </w:r>
          </w:p>
        </w:tc>
      </w:tr>
      <w:tr w14:paraId="64A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80" w:type="dxa"/>
            <w:vAlign w:val="center"/>
          </w:tcPr>
          <w:p w14:paraId="6CF42A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28</w:t>
            </w:r>
          </w:p>
        </w:tc>
        <w:tc>
          <w:tcPr>
            <w:tcW w:w="884" w:type="dxa"/>
            <w:shd w:val="clear" w:color="auto" w:fill="auto"/>
            <w:vAlign w:val="center"/>
          </w:tcPr>
          <w:p w14:paraId="529EF6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紫外辐射照度计</w:t>
            </w:r>
          </w:p>
        </w:tc>
        <w:tc>
          <w:tcPr>
            <w:tcW w:w="741" w:type="dxa"/>
            <w:vAlign w:val="center"/>
          </w:tcPr>
          <w:p w14:paraId="4B548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73139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4542EAA">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w:t>
            </w:r>
            <w:r>
              <w:rPr>
                <w:rFonts w:hint="eastAsia" w:ascii="仿宋" w:hAnsi="仿宋" w:eastAsia="仿宋" w:cs="仿宋"/>
                <w:i w:val="0"/>
                <w:iCs w:val="0"/>
                <w:color w:val="auto"/>
                <w:kern w:val="0"/>
                <w:sz w:val="24"/>
                <w:szCs w:val="24"/>
                <w:highlight w:val="none"/>
                <w:u w:val="none"/>
                <w:lang w:val="en-US" w:eastAsia="zh-CN" w:bidi="ar"/>
              </w:rPr>
              <w:t>仪器功能 功率实时值、最大值、最小值、平均值、能量值、测量时长</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2、探头连接方式 推拉自锁（卡扣式）航空接口,一台主机可根据需求选配UVA/UVB/UVC/蓝光波段的12种探头</w:t>
            </w:r>
          </w:p>
          <w:p w14:paraId="70340906">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3、液晶屏显示分辨率≥240X320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4、主机显示功率 0.1uW/cm² -200000mW/cm²。根据探头量程定义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5、功率分辨率 0.1uw/cm²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6、能量范围 0-9999999UJ/cm²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7、功率单位 uW/cm²、mW/cm²、W/cm²、W/㎡</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8、能量单位 uJ/cm²、 mJ/cm²、J/cm²、J/㎡</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9、测量精度 ± 10%  重复性5%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10、温度范围 0-100°C，允许较短时间的更高外部温度</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11、取样速度≥   2000次/秒</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12、锂电池≥   3000mAh</w:t>
            </w:r>
          </w:p>
          <w:p w14:paraId="4A568AD3">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13、记录时间：0-9999s</w:t>
            </w:r>
          </w:p>
        </w:tc>
      </w:tr>
      <w:tr w14:paraId="32ED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580" w:type="dxa"/>
            <w:vAlign w:val="center"/>
          </w:tcPr>
          <w:p w14:paraId="4F2933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29</w:t>
            </w:r>
          </w:p>
        </w:tc>
        <w:tc>
          <w:tcPr>
            <w:tcW w:w="884" w:type="dxa"/>
            <w:shd w:val="clear" w:color="auto" w:fill="auto"/>
            <w:vAlign w:val="center"/>
          </w:tcPr>
          <w:p w14:paraId="01EAF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便携式恒流粉尘采样器</w:t>
            </w:r>
          </w:p>
        </w:tc>
        <w:tc>
          <w:tcPr>
            <w:tcW w:w="741" w:type="dxa"/>
            <w:vAlign w:val="center"/>
          </w:tcPr>
          <w:p w14:paraId="21159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48" w:type="dxa"/>
            <w:gridSpan w:val="2"/>
            <w:vAlign w:val="center"/>
          </w:tcPr>
          <w:p w14:paraId="0966E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40BEA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1、流量范围：(1～10)L/min、(3～30)L/min（可选，28.3L 流量可以单独设定）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2、恒流方式：恒流恒压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3、流量校准：开放性后台校准系统，用户可对仪器进行自校准。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4、体积计算：工况体积标况体积自动计算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5、数据存储：可存储≥ 50 万组采样数据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6、流量误差：≤±5%FS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7、液晶  显示屏：可显示实时流量、运行时间、标况体积、电 池电量、等各种信息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8、流量稳定性：≤3%FS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9、流量重复性：≤2%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10、计时误差：≤±0.1%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11、定时范围：1min～99h59min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12、续航时间：≥8 小时 @5L/min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13、负载能力：≥2500pa @30L/min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14、定时模式：定时采样、定容采样、循环采样、手动采样 </w:t>
            </w:r>
          </w:p>
        </w:tc>
      </w:tr>
      <w:tr w14:paraId="3497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580" w:type="dxa"/>
            <w:vAlign w:val="center"/>
          </w:tcPr>
          <w:p w14:paraId="01C321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30</w:t>
            </w:r>
          </w:p>
        </w:tc>
        <w:tc>
          <w:tcPr>
            <w:tcW w:w="884" w:type="dxa"/>
            <w:shd w:val="clear" w:color="auto" w:fill="auto"/>
            <w:vAlign w:val="center"/>
          </w:tcPr>
          <w:p w14:paraId="1856AA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恒流空气采样器</w:t>
            </w:r>
          </w:p>
        </w:tc>
        <w:tc>
          <w:tcPr>
            <w:tcW w:w="741" w:type="dxa"/>
            <w:vAlign w:val="center"/>
          </w:tcPr>
          <w:p w14:paraId="72379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8" w:type="dxa"/>
            <w:gridSpan w:val="2"/>
            <w:vAlign w:val="center"/>
          </w:tcPr>
          <w:p w14:paraId="60141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4369B8A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1、采样流量 0.010～0.500L/min，分辨率 0.001L/min， 准确度≤±2.5%</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2、负载能力：流量0.1L/min时克服-20kpa以上阻力</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3、大气压50～100kpa 分辨率0.01kpa 准确度≤±500pa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4、环境温度 -50～+100℃ 分辨率0.1℃ 准确度优于±2℃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 xml:space="preserve">5、最大采样体积 9999.999L 分辨率0.001L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6、采样时间 1min～99h59min可调</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7、数据储存 ≥1000组</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8、电池容量 7.4V，2.9Ah</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9、工作时间≥   12小时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10、工作温度-20～+50℃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11、噪声 ≤55db（A）</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12、功耗 ≤8W</w:t>
            </w:r>
          </w:p>
        </w:tc>
      </w:tr>
      <w:tr w14:paraId="64CC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580" w:type="dxa"/>
            <w:vAlign w:val="center"/>
          </w:tcPr>
          <w:p w14:paraId="5D0611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31</w:t>
            </w:r>
          </w:p>
        </w:tc>
        <w:tc>
          <w:tcPr>
            <w:tcW w:w="884" w:type="dxa"/>
            <w:shd w:val="clear" w:color="auto" w:fill="auto"/>
            <w:vAlign w:val="center"/>
          </w:tcPr>
          <w:p w14:paraId="7E705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实验室相关设备备用电源</w:t>
            </w:r>
          </w:p>
        </w:tc>
        <w:tc>
          <w:tcPr>
            <w:tcW w:w="741" w:type="dxa"/>
            <w:vAlign w:val="center"/>
          </w:tcPr>
          <w:p w14:paraId="3C802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48" w:type="dxa"/>
            <w:gridSpan w:val="2"/>
            <w:vAlign w:val="center"/>
          </w:tcPr>
          <w:p w14:paraId="45A54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组</w:t>
            </w:r>
          </w:p>
        </w:tc>
        <w:tc>
          <w:tcPr>
            <w:tcW w:w="6950" w:type="dxa"/>
            <w:shd w:val="clear" w:color="auto" w:fill="auto"/>
            <w:vAlign w:val="center"/>
          </w:tcPr>
          <w:p w14:paraId="1BB74C0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1、10KVA长效机</w:t>
            </w:r>
          </w:p>
          <w:p w14:paraId="234C497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2、相位：单相接地</w:t>
            </w:r>
          </w:p>
          <w:p w14:paraId="0B40606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3、容量：10000VA/8000W</w:t>
            </w:r>
          </w:p>
          <w:p w14:paraId="14DA4BB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4、输入电压范围：110-300VAC于50%负载/176-300VAC于100%负载</w:t>
            </w:r>
          </w:p>
          <w:p w14:paraId="3C3FCC9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5、输入频率范围：46Hz~54Hz或56Hz~64Hz</w:t>
            </w:r>
          </w:p>
          <w:p w14:paraId="327D412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6、输入功率因数：0.99</w:t>
            </w:r>
          </w:p>
          <w:p w14:paraId="58F3F77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7、输出输出电压：208/220/230/240VAC</w:t>
            </w:r>
          </w:p>
          <w:p w14:paraId="6C4181F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8、输出电压范围(电池模式)：±1%</w:t>
            </w:r>
          </w:p>
          <w:p w14:paraId="32EFFDB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9、输出频率范围：46Hz~54Hz或56Hz~64Hz</w:t>
            </w:r>
          </w:p>
          <w:p w14:paraId="7718373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10、输出频率范围(电池模式)：50Hz±0.1Hz或60Hz±0.1Hz</w:t>
            </w:r>
          </w:p>
          <w:p w14:paraId="2B29A8FE">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11、输出浪涌比率：3:1</w:t>
            </w:r>
          </w:p>
          <w:p w14:paraId="6143CB7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12、输出谐波失真：3%THD(线性负载)，5%THD(非线性负载）</w:t>
            </w:r>
          </w:p>
          <w:p w14:paraId="36E946E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13、市电模式效率：93%</w:t>
            </w:r>
          </w:p>
          <w:p w14:paraId="6308EB4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14、电池模式效率：91%</w:t>
            </w:r>
          </w:p>
          <w:p w14:paraId="38B4CE3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15、电池节数：16-20节、12V蓄电池、可调</w:t>
            </w:r>
          </w:p>
          <w:p w14:paraId="5E28A10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16、最大充电电流：1A/2A/4A/6A</w:t>
            </w:r>
          </w:p>
          <w:p w14:paraId="78C8700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17、温湿度：相对湿度0-95%且温度0-40°C(不结露）  </w:t>
            </w:r>
          </w:p>
        </w:tc>
      </w:tr>
      <w:tr w14:paraId="7F8E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80" w:type="dxa"/>
            <w:vAlign w:val="center"/>
          </w:tcPr>
          <w:p w14:paraId="6AF0CA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32</w:t>
            </w:r>
          </w:p>
        </w:tc>
        <w:tc>
          <w:tcPr>
            <w:tcW w:w="884" w:type="dxa"/>
            <w:shd w:val="clear" w:color="auto" w:fill="auto"/>
            <w:vAlign w:val="center"/>
          </w:tcPr>
          <w:p w14:paraId="1692C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冰箱</w:t>
            </w:r>
          </w:p>
        </w:tc>
        <w:tc>
          <w:tcPr>
            <w:tcW w:w="741" w:type="dxa"/>
            <w:vAlign w:val="center"/>
          </w:tcPr>
          <w:p w14:paraId="1898D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48" w:type="dxa"/>
            <w:gridSpan w:val="2"/>
            <w:vAlign w:val="center"/>
          </w:tcPr>
          <w:p w14:paraId="258E9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13EBB76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一、用  途：</w:t>
            </w:r>
          </w:p>
          <w:p w14:paraId="428FCF11">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适用于医院、防疫站、科研所等进行冷藏、冷冻存储物品。</w:t>
            </w:r>
          </w:p>
          <w:p w14:paraId="32B0C5A5">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二、主要性能指标：</w:t>
            </w:r>
          </w:p>
          <w:p w14:paraId="3C8BD91A">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2.1、样式：立式，上下双门。</w:t>
            </w:r>
          </w:p>
          <w:p w14:paraId="6D03E6F3">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2.2、有效容积(L)：≥316L</w:t>
            </w:r>
          </w:p>
          <w:p w14:paraId="766A6E81">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2.3、冷藏室：≥190L，</w:t>
            </w:r>
          </w:p>
          <w:p w14:paraId="41B2C896">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2.4、冷冻室：≥125L。</w:t>
            </w:r>
          </w:p>
          <w:p w14:paraId="5D5FA050">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snapToGrid w:val="0"/>
                <w:color w:val="auto"/>
                <w:kern w:val="0"/>
                <w:sz w:val="24"/>
                <w:szCs w:val="24"/>
                <w:highlight w:val="none"/>
                <w:lang w:val="en-US" w:eastAsia="zh-CN" w:bidi="ar"/>
              </w:rPr>
              <w:t>2.5、数字温度显示，显示冷藏和冷冻温度，可通过调整设定温度使箱内冷藏温度恒定控制在2～8℃；冷冻温度-10℃到-25℃可调；调节增量为0.1℃，显示精度0.1℃。</w:t>
            </w:r>
          </w:p>
          <w:p w14:paraId="57B1A05C">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2.6、微电脑温度控制系统，双数码管独立显示温度、各项报警、各项设定参数、环境温度。</w:t>
            </w:r>
          </w:p>
          <w:p w14:paraId="3B212B8D">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2.7、箱体材料：PCM钢板。</w:t>
            </w:r>
          </w:p>
          <w:p w14:paraId="53B59C2D">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2.8、内胆材料：PCM钢板。</w:t>
            </w:r>
          </w:p>
          <w:p w14:paraId="4E945B26">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2.9、门体材质：发泡门。</w:t>
            </w:r>
          </w:p>
          <w:p w14:paraId="19065870">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2.10、采用发泡保温技术。</w:t>
            </w:r>
          </w:p>
          <w:p w14:paraId="790ED072">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2.11、冷藏室配备3个搁架，冷冻室3个丝管蒸发器搁架，标配3个HIPS抽屉。</w:t>
            </w:r>
          </w:p>
          <w:p w14:paraId="1CA709BD">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2.12、采用暗把手设计。</w:t>
            </w:r>
          </w:p>
          <w:p w14:paraId="2F87FAD1">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2.13、标配安全转锁。</w:t>
            </w:r>
          </w:p>
          <w:p w14:paraId="7FF8327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2.14、底部配备4个万向轮、2个调平脚。</w:t>
            </w:r>
          </w:p>
          <w:p w14:paraId="6072734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2.15、箱体标配两个测试孔，冷藏冷冻各一个。</w:t>
            </w:r>
          </w:p>
          <w:p w14:paraId="29216CCF">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2.16、压缩机：采用品牌压缩机，运行功率≤160W，品牌风扇电机，无氟环保碳氢制冷剂。</w:t>
            </w:r>
          </w:p>
          <w:p w14:paraId="4BDAFB39">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2.17、耗电量≤1.5kWh/24h。</w:t>
            </w:r>
          </w:p>
          <w:p w14:paraId="3E8CEEBD">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2.18、双压机独立双系统：冷藏室和冷冻室可独立控制、运行。</w:t>
            </w:r>
          </w:p>
          <w:p w14:paraId="15551BD6">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2.19、冷藏室嵌入式风道，采用超薄涡流风机。</w:t>
            </w:r>
          </w:p>
          <w:p w14:paraId="496DE65A">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2.20、冷藏室采用风幕匀冷技术箱内温度均匀性≤2℃，温度波动≤2℃。</w:t>
            </w:r>
          </w:p>
          <w:p w14:paraId="3D0B998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2.21、冷冻室温度均匀性≤2℃，温度波动度≤2℃。</w:t>
            </w:r>
          </w:p>
          <w:p w14:paraId="4E2A8485">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2.22、噪声≤45db(A)。</w:t>
            </w:r>
          </w:p>
          <w:p w14:paraId="4A30EF39">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2.23、采用无氟环保碳氢制冷剂。</w:t>
            </w:r>
          </w:p>
          <w:p w14:paraId="6E7B0DB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2.24、具有声光报警功能：可进行高温报警、低温报警、冷藏冷冻室开门报警、环温报警、通讯故障报警、传感器故障报警等。</w:t>
            </w:r>
          </w:p>
          <w:p w14:paraId="6407D363">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2.25、具有多重保护功能：童锁保护、压机延时保护、压机高温保护、停机间隔保护等多重保护功能。</w:t>
            </w:r>
          </w:p>
          <w:p w14:paraId="1783C5B3">
            <w:pP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2.26、具备医疗器械注册证。</w:t>
            </w:r>
          </w:p>
        </w:tc>
      </w:tr>
      <w:tr w14:paraId="441D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580" w:type="dxa"/>
            <w:vAlign w:val="center"/>
          </w:tcPr>
          <w:p w14:paraId="0E9C8D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33</w:t>
            </w:r>
          </w:p>
        </w:tc>
        <w:tc>
          <w:tcPr>
            <w:tcW w:w="884" w:type="dxa"/>
            <w:shd w:val="clear" w:color="auto" w:fill="auto"/>
            <w:vAlign w:val="center"/>
          </w:tcPr>
          <w:p w14:paraId="596B8D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空调</w:t>
            </w:r>
          </w:p>
        </w:tc>
        <w:tc>
          <w:tcPr>
            <w:tcW w:w="741" w:type="dxa"/>
            <w:vAlign w:val="center"/>
          </w:tcPr>
          <w:p w14:paraId="75B11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8" w:type="dxa"/>
            <w:gridSpan w:val="2"/>
            <w:vAlign w:val="center"/>
          </w:tcPr>
          <w:p w14:paraId="42565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06A781C1">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1.制冷量(kW) ≥13</w:t>
            </w:r>
          </w:p>
          <w:p w14:paraId="1830DCD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2.制冷额定功率（kW）≥ 4.35</w:t>
            </w:r>
          </w:p>
          <w:p w14:paraId="79389F8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3.最大输入功率（kW）≥ 10</w:t>
            </w:r>
          </w:p>
          <w:p w14:paraId="6CE9313F">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4.加湿量 ≥ 3kg/h</w:t>
            </w:r>
          </w:p>
          <w:p w14:paraId="4B0020F7">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5.空气过滤器等级≥G4</w:t>
            </w:r>
          </w:p>
          <w:p w14:paraId="73C13AE2">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6.节流装置  电子膨胀阀</w:t>
            </w:r>
          </w:p>
          <w:p w14:paraId="1426DDF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7.制冷剂类型  R410A</w:t>
            </w:r>
          </w:p>
          <w:p w14:paraId="51C4930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8.机房专用空调机组的的电气性能应符合IEC标准。</w:t>
            </w:r>
          </w:p>
          <w:p w14:paraId="2B4B01EA">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9.输入电压允许波动范围：380V ±20%。</w:t>
            </w:r>
          </w:p>
          <w:p w14:paraId="3DCB6093">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 xml:space="preserve">10.频率：50HZ ±2HZ 。     </w:t>
            </w:r>
          </w:p>
          <w:p w14:paraId="0400CAFF">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11.空调需按要求自动调节室内温度，具有制冷、加热、除湿等功能。</w:t>
            </w:r>
          </w:p>
          <w:p w14:paraId="0C3C82F6">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12.温度调节精度： ±1℃ ，温度变化率&lt; 5℃/小时</w:t>
            </w:r>
          </w:p>
          <w:p w14:paraId="1745D115">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13.温度波动超限应能发出报警信号</w:t>
            </w:r>
          </w:p>
          <w:p w14:paraId="3221CCC8">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 xml:space="preserve">14.机组需具有过压 、欠压等故障报警及故障诊断、告警记录、自动保护、自动恢复、自动重启动等功能。 </w:t>
            </w:r>
          </w:p>
          <w:p w14:paraId="3C83F5EF">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15.控制系统具有密码保护功能。</w:t>
            </w:r>
          </w:p>
          <w:p w14:paraId="3CF431C3">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16.具备多重过热保护功能。</w:t>
            </w:r>
          </w:p>
          <w:p w14:paraId="53077644">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17.机组具备轮值功能，可自动轮流启动。</w:t>
            </w:r>
          </w:p>
          <w:p w14:paraId="2F3DD1D9">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18.满足GB 19576-2019一级能效要求。</w:t>
            </w:r>
          </w:p>
          <w:p w14:paraId="64CD5C96">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highlight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19.机组保温材料要求采用难燃B级橡塑材料或以上</w:t>
            </w:r>
          </w:p>
          <w:p w14:paraId="2B693DB5">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highlight w:val="none"/>
                <w:lang w:val="en-US" w:eastAsia="zh-CN" w:bidi="ar"/>
              </w:rPr>
              <w:t>20.室外机风机电动机的绝缘等级满足F级或以上</w:t>
            </w:r>
          </w:p>
        </w:tc>
      </w:tr>
      <w:tr w14:paraId="36DE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 w:type="dxa"/>
            <w:vAlign w:val="center"/>
          </w:tcPr>
          <w:p w14:paraId="33867C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5" w:leftChars="0" w:hanging="425"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34</w:t>
            </w:r>
          </w:p>
        </w:tc>
        <w:tc>
          <w:tcPr>
            <w:tcW w:w="884" w:type="dxa"/>
            <w:shd w:val="clear" w:color="auto" w:fill="auto"/>
            <w:vAlign w:val="center"/>
          </w:tcPr>
          <w:p w14:paraId="140AB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扩增仪</w:t>
            </w:r>
          </w:p>
        </w:tc>
        <w:tc>
          <w:tcPr>
            <w:tcW w:w="741" w:type="dxa"/>
            <w:vAlign w:val="center"/>
          </w:tcPr>
          <w:p w14:paraId="77560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8" w:type="dxa"/>
            <w:gridSpan w:val="2"/>
            <w:vAlign w:val="center"/>
          </w:tcPr>
          <w:p w14:paraId="4AC29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5DB5A600">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 xml:space="preserve">一、技术性能指标 </w:t>
            </w:r>
          </w:p>
          <w:p w14:paraId="119E68B7">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采用热电制冷技术。6分区独立控温方式，采用模块化设计。</w:t>
            </w:r>
          </w:p>
          <w:p w14:paraId="029CD9E2">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二、基本性能</w:t>
            </w:r>
          </w:p>
          <w:p w14:paraId="13F0DB62">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1、样本容量:0.2ml单管（顶部透明）、96×0.2ml（半裙边、无裙边）、8联排试管（顶部透明）。</w:t>
            </w:r>
          </w:p>
          <w:p w14:paraId="0088C470">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2、样本通量：96孔。</w:t>
            </w:r>
          </w:p>
          <w:p w14:paraId="47C1CFED">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3、线性范围：1～10</w:t>
            </w:r>
            <w:r>
              <w:rPr>
                <w:rFonts w:hint="eastAsia" w:ascii="仿宋" w:hAnsi="仿宋" w:eastAsia="仿宋" w:cs="仿宋"/>
                <w:i w:val="0"/>
                <w:iCs w:val="0"/>
                <w:snapToGrid w:val="0"/>
                <w:color w:val="auto"/>
                <w:kern w:val="0"/>
                <w:sz w:val="24"/>
                <w:szCs w:val="24"/>
                <w:vertAlign w:val="superscript"/>
                <w:lang w:val="en-US" w:eastAsia="zh-CN" w:bidi="ar"/>
              </w:rPr>
              <w:t>10</w:t>
            </w:r>
            <w:r>
              <w:rPr>
                <w:rFonts w:hint="eastAsia" w:ascii="仿宋" w:hAnsi="仿宋" w:eastAsia="仿宋" w:cs="仿宋"/>
                <w:i w:val="0"/>
                <w:iCs w:val="0"/>
                <w:snapToGrid w:val="0"/>
                <w:color w:val="auto"/>
                <w:kern w:val="0"/>
                <w:sz w:val="24"/>
                <w:szCs w:val="24"/>
                <w:lang w:val="en-US" w:eastAsia="zh-CN" w:bidi="ar"/>
              </w:rPr>
              <w:t>copies。</w:t>
            </w:r>
          </w:p>
          <w:p w14:paraId="6AF7164C">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4、反应体系：10-100μL。</w:t>
            </w:r>
          </w:p>
          <w:p w14:paraId="26E6FF5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5、全自动探出式样品仓设计。</w:t>
            </w:r>
          </w:p>
          <w:p w14:paraId="7CD58E62">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三、温控系统：</w:t>
            </w:r>
          </w:p>
          <w:p w14:paraId="2232C801">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1、控温技术：采用半导体制冷器 ，微热管阵列技术。</w:t>
            </w:r>
          </w:p>
          <w:p w14:paraId="0E99EC73">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2、控温模式：可自动选择≥2种控温模式。</w:t>
            </w:r>
          </w:p>
          <w:p w14:paraId="7A7AA3B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snapToGrid w:val="0"/>
                <w:color w:val="auto"/>
                <w:kern w:val="0"/>
                <w:sz w:val="24"/>
                <w:szCs w:val="24"/>
                <w:lang w:val="en-US" w:eastAsia="zh-CN" w:bidi="ar"/>
              </w:rPr>
              <w:t>3、控温范围：4～105℃(最小设置刻度：0.1℃)具有低温保存功能。</w:t>
            </w:r>
          </w:p>
          <w:p w14:paraId="59DD5824">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4、最大升温速度： ≥6.4℃/s 。</w:t>
            </w:r>
          </w:p>
          <w:p w14:paraId="1D9F8E3D">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5、温度精确度：≤±0.1℃。</w:t>
            </w:r>
          </w:p>
          <w:p w14:paraId="2157923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6、温度均匀性：≤±0.25℃ 。</w:t>
            </w:r>
          </w:p>
          <w:p w14:paraId="4126DF94">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 xml:space="preserve">7、检测重复性：CT的 CV值≤0.2%。 </w:t>
            </w:r>
          </w:p>
          <w:p w14:paraId="3AE7D725">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8、精确温控模块： 6个独立的精确温控区域。</w:t>
            </w:r>
          </w:p>
          <w:p w14:paraId="44E506F8">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9、热盖温度范围：30℃～110℃（可调）。</w:t>
            </w:r>
          </w:p>
          <w:p w14:paraId="74123FE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10、热盖技术：内置式高密封性热盖，可自动调节，实现试管压力恒定，自动升降。同时适配多种类型试管。</w:t>
            </w:r>
          </w:p>
          <w:p w14:paraId="774E48D1">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四、荧光检测系统：</w:t>
            </w:r>
          </w:p>
          <w:p w14:paraId="5D3210BA">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1、采用CMOS，顶部成像技术单个通道检测≤1s。</w:t>
            </w:r>
          </w:p>
          <w:p w14:paraId="41DCFDF0">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2、激发光源：LED光源。</w:t>
            </w:r>
          </w:p>
          <w:p w14:paraId="50A130D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3、荧光检测波长：500-800nm。</w:t>
            </w:r>
          </w:p>
          <w:p w14:paraId="7FC4D6AC">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4、激发光波长：300-800nm。</w:t>
            </w:r>
          </w:p>
          <w:p w14:paraId="374FCA1B">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5、检测通道:≥4个检测通道。</w:t>
            </w:r>
          </w:p>
          <w:p w14:paraId="742FD443">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6、部分荧光染料： F1:FAM，SYBR Green I，LC Green。F2:VIC，HEX，JOE，TET ，CY3 ，TAMARA，NED;F3:ROX，TEXAS-RED。F4: CY5 。</w:t>
            </w:r>
          </w:p>
          <w:p w14:paraId="648E1A12">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7、分辨率：在单重反应中可区分低至1.5倍的拷贝数差异。</w:t>
            </w:r>
          </w:p>
          <w:p w14:paraId="4B568AA3">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8、检测灵敏度：单个反应中最低可检测单拷贝</w:t>
            </w:r>
          </w:p>
          <w:p w14:paraId="612D4056">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9、数据采集： 所有反应孔同时采集荧光数据，不同孔之间不存在时间差。</w:t>
            </w:r>
          </w:p>
          <w:p w14:paraId="2407F2B8">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10、光电检测：采用阵列平场光源。</w:t>
            </w:r>
          </w:p>
          <w:p w14:paraId="1D21830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11、采用进口光纤，集束传导设计无需校准。</w:t>
            </w:r>
          </w:p>
          <w:p w14:paraId="1EE690B6">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12、激发和检测通道采用独立的滤光轮。</w:t>
            </w:r>
          </w:p>
          <w:p w14:paraId="46837797">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13、全开放平台，无专用耗材和试剂。</w:t>
            </w:r>
          </w:p>
          <w:p w14:paraId="0F18ED00">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14、具备三类注册证。</w:t>
            </w:r>
          </w:p>
          <w:p w14:paraId="6715BB1E">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五、软件系统：</w:t>
            </w:r>
          </w:p>
          <w:p w14:paraId="6D889F42">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1、软件功能：绝对定量自动分析，相对定量，SNP分析，溶解曲线（可连续扫描、检测时间短）、基因分型等。</w:t>
            </w:r>
          </w:p>
          <w:p w14:paraId="7082CF8D">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2、操作界面：触摸式软件操作，可通过USB上传PC端编辑好的运行程序，全部参数可存储。</w:t>
            </w:r>
          </w:p>
          <w:p w14:paraId="010D80C4">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3、适配手机/平板电脑 APP，实现远程操作和实时监控。</w:t>
            </w:r>
          </w:p>
          <w:p w14:paraId="6BB2A729">
            <w:pPr>
              <w:keepNext w:val="0"/>
              <w:keepLines w:val="0"/>
              <w:widowControl/>
              <w:suppressLineNumbers w:val="0"/>
              <w:spacing w:line="240" w:lineRule="auto"/>
              <w:jc w:val="left"/>
              <w:textAlignment w:val="center"/>
              <w:rPr>
                <w:rFonts w:hint="eastAsia" w:ascii="仿宋" w:hAnsi="仿宋" w:eastAsia="仿宋" w:cs="仿宋"/>
                <w:i w:val="0"/>
                <w:iCs w:val="0"/>
                <w:snapToGrid w:val="0"/>
                <w:color w:val="auto"/>
                <w:kern w:val="0"/>
                <w:sz w:val="24"/>
                <w:szCs w:val="24"/>
                <w:lang w:val="en-US" w:eastAsia="zh-CN" w:bidi="ar"/>
              </w:rPr>
            </w:pPr>
            <w:r>
              <w:rPr>
                <w:rFonts w:hint="eastAsia" w:ascii="仿宋" w:hAnsi="仿宋" w:eastAsia="仿宋" w:cs="仿宋"/>
                <w:i w:val="0"/>
                <w:iCs w:val="0"/>
                <w:snapToGrid w:val="0"/>
                <w:color w:val="auto"/>
                <w:kern w:val="0"/>
                <w:sz w:val="24"/>
                <w:szCs w:val="24"/>
                <w:lang w:val="en-US" w:eastAsia="zh-CN" w:bidi="ar"/>
              </w:rPr>
              <w:t>4、数据导出：导出CSV、Excel、txt等格式的实验数据。</w:t>
            </w:r>
          </w:p>
          <w:p w14:paraId="1E324B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snapToGrid w:val="0"/>
                <w:color w:val="auto"/>
                <w:kern w:val="0"/>
                <w:sz w:val="24"/>
                <w:szCs w:val="24"/>
                <w:lang w:val="en-US" w:eastAsia="zh-CN" w:bidi="ar"/>
              </w:rPr>
              <w:t>5、信号接口：USB接口（与计算机连接）、蓝牙接口、网络接口。</w:t>
            </w:r>
          </w:p>
        </w:tc>
      </w:tr>
      <w:tr w14:paraId="5F33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580" w:type="dxa"/>
            <w:vAlign w:val="center"/>
          </w:tcPr>
          <w:p w14:paraId="430C06AF">
            <w:pPr>
              <w:keepNext w:val="0"/>
              <w:keepLines w:val="0"/>
              <w:widowControl/>
              <w:numPr>
                <w:ilvl w:val="0"/>
                <w:numId w:val="0"/>
              </w:numPr>
              <w:suppressLineNumbers w:val="0"/>
              <w:spacing w:line="240" w:lineRule="auto"/>
              <w:ind w:left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884" w:type="dxa"/>
            <w:shd w:val="clear" w:color="auto" w:fill="auto"/>
            <w:vAlign w:val="center"/>
          </w:tcPr>
          <w:p w14:paraId="1749DA9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医用洁净工作台</w:t>
            </w:r>
          </w:p>
        </w:tc>
        <w:tc>
          <w:tcPr>
            <w:tcW w:w="741" w:type="dxa"/>
            <w:vAlign w:val="center"/>
          </w:tcPr>
          <w:p w14:paraId="6297666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48" w:type="dxa"/>
            <w:gridSpan w:val="2"/>
            <w:vAlign w:val="center"/>
          </w:tcPr>
          <w:p w14:paraId="0EDA3150">
            <w:pPr>
              <w:keepNext w:val="0"/>
              <w:keepLines w:val="0"/>
              <w:widowControl/>
              <w:suppressLineNumbers w:val="0"/>
              <w:spacing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77034AA0">
            <w:pPr>
              <w:rPr>
                <w:color w:val="auto"/>
              </w:rPr>
            </w:pPr>
          </w:p>
          <w:p w14:paraId="59AE45E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 外部尺寸：≥1060mm×620mm×1850mm；</w:t>
            </w:r>
          </w:p>
          <w:p w14:paraId="083D5D6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内部尺寸：≥935mm ×530mm×650mm；</w:t>
            </w:r>
          </w:p>
          <w:p w14:paraId="1F40024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 过滤器尺寸：≥900mm×450mm×69mm；</w:t>
            </w:r>
          </w:p>
          <w:p w14:paraId="20560EDD">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 、额定功率：≥650 W；</w:t>
            </w:r>
          </w:p>
          <w:p w14:paraId="60C61763">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 气流流速：0.30～0.45m/s；</w:t>
            </w:r>
          </w:p>
          <w:p w14:paraId="4AF3BB4A">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 、紫外灯功率：20W；</w:t>
            </w:r>
          </w:p>
          <w:p w14:paraId="0AD77AD2">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 、LED日光灯功率：≥12W；</w:t>
            </w:r>
          </w:p>
          <w:p w14:paraId="20CFA60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 、前窗玻璃最大开口高度：≥400mm；</w:t>
            </w:r>
          </w:p>
          <w:p w14:paraId="7E7BED06">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 、前窗玻璃开口安全操作高度：200-350mm；</w:t>
            </w:r>
          </w:p>
          <w:p w14:paraId="5D15DEC4">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 、噪音≤65dB(A)；</w:t>
            </w:r>
          </w:p>
          <w:p w14:paraId="09E85575">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 工作台到地面高度：750mm±10mm；</w:t>
            </w:r>
          </w:p>
          <w:p w14:paraId="2AF12BA1">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 、产品安全性：菌落数≤0.5CFU/30min；</w:t>
            </w:r>
          </w:p>
          <w:p w14:paraId="5AE3F17A">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 、照明：≥300lx；</w:t>
            </w:r>
          </w:p>
          <w:p w14:paraId="628D9BB2">
            <w:pPr>
              <w:rPr>
                <w:color w:val="auto"/>
              </w:rPr>
            </w:pPr>
            <w:r>
              <w:rPr>
                <w:rFonts w:hint="eastAsia" w:ascii="仿宋" w:hAnsi="仿宋" w:eastAsia="仿宋" w:cs="仿宋"/>
                <w:i w:val="0"/>
                <w:iCs w:val="0"/>
                <w:color w:val="auto"/>
                <w:kern w:val="0"/>
                <w:sz w:val="24"/>
                <w:szCs w:val="24"/>
                <w:highlight w:val="none"/>
                <w:u w:val="none"/>
                <w:lang w:val="en-US" w:eastAsia="zh-CN" w:bidi="ar"/>
              </w:rPr>
              <w:t>14 、洁净等级：ISO5级（ISO Class5），100级（美联邦209E）Class100（Fed 209E）</w:t>
            </w:r>
          </w:p>
          <w:p w14:paraId="27EA31C9">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p>
        </w:tc>
      </w:tr>
      <w:tr w14:paraId="56A5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80" w:type="dxa"/>
            <w:vAlign w:val="center"/>
          </w:tcPr>
          <w:p w14:paraId="44F2F0CF">
            <w:pPr>
              <w:keepNext w:val="0"/>
              <w:keepLines w:val="0"/>
              <w:widowControl/>
              <w:numPr>
                <w:ilvl w:val="0"/>
                <w:numId w:val="0"/>
              </w:numPr>
              <w:suppressLineNumbers w:val="0"/>
              <w:spacing w:line="240" w:lineRule="auto"/>
              <w:ind w:left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884" w:type="dxa"/>
            <w:shd w:val="clear" w:color="auto" w:fill="auto"/>
            <w:vAlign w:val="center"/>
          </w:tcPr>
          <w:p w14:paraId="471C4EAD">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生物安全柜</w:t>
            </w:r>
          </w:p>
        </w:tc>
        <w:tc>
          <w:tcPr>
            <w:tcW w:w="741" w:type="dxa"/>
            <w:vAlign w:val="center"/>
          </w:tcPr>
          <w:p w14:paraId="6EF715A4">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dxa"/>
            <w:gridSpan w:val="2"/>
            <w:vAlign w:val="center"/>
          </w:tcPr>
          <w:p w14:paraId="5C7D4166">
            <w:pPr>
              <w:keepNext w:val="0"/>
              <w:keepLines w:val="0"/>
              <w:widowControl/>
              <w:suppressLineNumbers w:val="0"/>
              <w:spacing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372BB58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1、分类：A2型，30%外排，70%循环</w:t>
            </w:r>
          </w:p>
          <w:p w14:paraId="2097FB5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2、外部尺寸≥（L×D×H）1100mm×755mm×2200mm；</w:t>
            </w:r>
          </w:p>
          <w:p w14:paraId="6A4ACAC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3、内部尺寸≥（L×D×H）940mm ×600mm×660mm 。</w:t>
            </w:r>
          </w:p>
          <w:p w14:paraId="46A1F4B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4、台面距离地面高度：770mm（尺寸可根据要求订制修改）</w:t>
            </w:r>
          </w:p>
          <w:p w14:paraId="28FB9C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5、风速： 平均下降风速：0.33±0.025m/s； 平均吸入口风速0.53±0.025m/s</w:t>
            </w:r>
          </w:p>
          <w:p w14:paraId="670E9A7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6、系统排风总量：≥360 m³/h</w:t>
            </w:r>
          </w:p>
          <w:p w14:paraId="007DCA8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7、额定功率：≥1500VA</w:t>
            </w:r>
          </w:p>
          <w:p w14:paraId="74EDE48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8、噪音等级：≤65dB（A）</w:t>
            </w:r>
          </w:p>
          <w:p w14:paraId="64626E3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9、照明：≥1000lx</w:t>
            </w:r>
          </w:p>
          <w:p w14:paraId="2574C56E">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10、过滤效率:送风和排风过滤器均采用硼硅酸盐玻璃纤维材质的ULPA高效过滤器，对0.12μm颗粒过滤效率≥99.9995%</w:t>
            </w:r>
          </w:p>
          <w:p w14:paraId="33343C3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11、使用人数：1—2人</w:t>
            </w:r>
          </w:p>
        </w:tc>
      </w:tr>
      <w:tr w14:paraId="2400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580" w:type="dxa"/>
            <w:vAlign w:val="center"/>
          </w:tcPr>
          <w:p w14:paraId="2A37E78A">
            <w:pPr>
              <w:keepNext w:val="0"/>
              <w:keepLines w:val="0"/>
              <w:widowControl/>
              <w:numPr>
                <w:ilvl w:val="0"/>
                <w:numId w:val="0"/>
              </w:numPr>
              <w:suppressLineNumbers w:val="0"/>
              <w:spacing w:line="240" w:lineRule="auto"/>
              <w:ind w:left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884" w:type="dxa"/>
            <w:shd w:val="clear" w:color="auto" w:fill="auto"/>
            <w:vAlign w:val="center"/>
          </w:tcPr>
          <w:p w14:paraId="023416DC">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温湿度计</w:t>
            </w:r>
          </w:p>
        </w:tc>
        <w:tc>
          <w:tcPr>
            <w:tcW w:w="741" w:type="dxa"/>
            <w:vAlign w:val="center"/>
          </w:tcPr>
          <w:p w14:paraId="362F45B4">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w:t>
            </w:r>
          </w:p>
        </w:tc>
        <w:tc>
          <w:tcPr>
            <w:tcW w:w="648" w:type="dxa"/>
            <w:gridSpan w:val="2"/>
            <w:vAlign w:val="center"/>
          </w:tcPr>
          <w:p w14:paraId="1DD592FF">
            <w:pPr>
              <w:keepNext w:val="0"/>
              <w:keepLines w:val="0"/>
              <w:widowControl/>
              <w:suppressLineNumbers w:val="0"/>
              <w:spacing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6950" w:type="dxa"/>
            <w:shd w:val="clear" w:color="auto" w:fill="auto"/>
            <w:vAlign w:val="center"/>
          </w:tcPr>
          <w:p w14:paraId="208C467E">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1、温度精度：在常用区间（-25℃~8℃）内，误差：温湿度计精度温度±1℃，湿度±5%以内；需有校准证书；冰箱和室内都能用。</w:t>
            </w:r>
          </w:p>
          <w:p w14:paraId="257B0238">
            <w:pPr>
              <w:keepNext w:val="0"/>
              <w:keepLines w:val="0"/>
              <w:widowControl/>
              <w:numPr>
                <w:ilvl w:val="0"/>
                <w:numId w:val="0"/>
              </w:numPr>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2、内置报警功能，可进行报警的上下限值及回差值设置</w:t>
            </w:r>
          </w:p>
          <w:p w14:paraId="13359CE8">
            <w:pP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highlight w:val="none"/>
                <w:u w:val="none"/>
                <w:lang w:val="en-US" w:eastAsia="zh-CN" w:bidi="ar"/>
              </w:rPr>
              <w:t>3、可接免费的本地监控软件平台及环境监控云平台，通过WIFI方式上传数据，支持局域网内通信。</w:t>
            </w:r>
          </w:p>
        </w:tc>
      </w:tr>
      <w:tr w14:paraId="7F7D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80" w:type="dxa"/>
            <w:vAlign w:val="center"/>
          </w:tcPr>
          <w:p w14:paraId="16D49939">
            <w:pPr>
              <w:keepNext w:val="0"/>
              <w:keepLines w:val="0"/>
              <w:widowControl/>
              <w:numPr>
                <w:ilvl w:val="0"/>
                <w:numId w:val="0"/>
              </w:numPr>
              <w:suppressLineNumbers w:val="0"/>
              <w:spacing w:line="240" w:lineRule="auto"/>
              <w:ind w:left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884" w:type="dxa"/>
            <w:shd w:val="clear" w:color="auto" w:fill="auto"/>
            <w:vAlign w:val="center"/>
          </w:tcPr>
          <w:p w14:paraId="4188FE6A">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纯水仪</w:t>
            </w:r>
          </w:p>
        </w:tc>
        <w:tc>
          <w:tcPr>
            <w:tcW w:w="741" w:type="dxa"/>
            <w:vAlign w:val="center"/>
          </w:tcPr>
          <w:p w14:paraId="2D8A3D0D">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dxa"/>
            <w:gridSpan w:val="2"/>
            <w:vAlign w:val="center"/>
          </w:tcPr>
          <w:p w14:paraId="48E3D77C">
            <w:pPr>
              <w:keepNext w:val="0"/>
              <w:keepLines w:val="0"/>
              <w:widowControl/>
              <w:suppressLineNumbers w:val="0"/>
              <w:spacing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558E079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前端纯水制水设备：</w:t>
            </w:r>
          </w:p>
          <w:p w14:paraId="32E7E52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一、工作环境</w:t>
            </w:r>
          </w:p>
          <w:p w14:paraId="32E607B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1、进水要求：城市自来水或地下水（TDS＜1000ppm）,水压0.10—0.40MPa，水温5－45℃</w:t>
            </w:r>
          </w:p>
          <w:p w14:paraId="3BAB4A9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2、电源及功率：AC220V/50Hz，150W</w:t>
            </w:r>
          </w:p>
          <w:p w14:paraId="1B50D1F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二、技术参数</w:t>
            </w:r>
          </w:p>
          <w:p w14:paraId="13ACA0E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1、制水量: ≥15升/小时（水温25℃时）</w:t>
            </w:r>
          </w:p>
          <w:p w14:paraId="68E3C2B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2、出水流量：1.5－2.0升/分钟，标配≥20L具有液位传感控制系统的PE水箱。</w:t>
            </w:r>
          </w:p>
          <w:p w14:paraId="349AF3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3、双膜双泵反渗透模块。电导率:1—5μs/cm 补偿至25℃</w:t>
            </w:r>
          </w:p>
          <w:p w14:paraId="57551FF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4、主机尺寸:≤420*560*570mm(高*宽*深)5、根据新疆水质加配加强型预处理。</w:t>
            </w:r>
          </w:p>
          <w:p w14:paraId="468B9BA3">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三、功能及配置：</w:t>
            </w:r>
          </w:p>
          <w:p w14:paraId="057FD39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1、具系统自动冲洗功能；开机自检功能；自动保护功能；</w:t>
            </w:r>
          </w:p>
          <w:p w14:paraId="689E4B8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2、制备纯水；二级纯水电导率在线监测功能；</w:t>
            </w:r>
          </w:p>
          <w:p w14:paraId="06734488">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3、PLC自动控制，液晶中文显示屏；</w:t>
            </w:r>
          </w:p>
          <w:p w14:paraId="3537068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4、具有低水压和无水保护信号装置。</w:t>
            </w:r>
          </w:p>
          <w:p w14:paraId="47B0719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5、配备内置在线实时电导率监测仪</w:t>
            </w:r>
          </w:p>
          <w:p w14:paraId="31AF37E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6、具有超纯水机水路控制模块。</w:t>
            </w:r>
          </w:p>
          <w:p w14:paraId="730B010F">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7、具有超纯水生产用的预处理检测装置。</w:t>
            </w:r>
          </w:p>
          <w:p w14:paraId="063F6CB4">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8、具有纯水器水质超标排放装置。</w:t>
            </w:r>
          </w:p>
          <w:p w14:paraId="5A73347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9、具有RO膜自动药剂清洗装置。</w:t>
            </w:r>
          </w:p>
          <w:p w14:paraId="4A0C571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10、具有恒压脉冲发生装置</w:t>
            </w:r>
          </w:p>
          <w:p w14:paraId="273A8E7C">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后端超纯制水系统：</w:t>
            </w:r>
          </w:p>
          <w:p w14:paraId="7B3F4F2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一、主机参数：</w:t>
            </w:r>
          </w:p>
          <w:p w14:paraId="3924459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1、取水流量：1.0-1.5L/Min</w:t>
            </w:r>
          </w:p>
          <w:p w14:paraId="4FDC6EE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2、进水水源：以UPR纯水器纯水为源水</w:t>
            </w:r>
          </w:p>
          <w:p w14:paraId="51B7695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3、产水水质：电阻率≥18.2MΩ.cm@250C（在线监测）TOC≤5ppb，可在线测定</w:t>
            </w:r>
          </w:p>
          <w:p w14:paraId="1165B81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细菌≤0.1CFU/ml，PNases N/A，DNases N/A,微颗粒物≤1个/ml；</w:t>
            </w:r>
          </w:p>
          <w:p w14:paraId="523CE30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 xml:space="preserve">阳离子：Na+＜0.001ppt  K+＜0.002ppt  Mg2+＜0.001ppt  Ca2+＜0.01ppt </w:t>
            </w:r>
          </w:p>
          <w:p w14:paraId="0ADABF0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阴离子：Cl-＜10 ppt  NO3-＜10 ppt  PO43-＜5 ppt   Br-＜10 ppt；超纯化模块采用智能控制系统。</w:t>
            </w:r>
          </w:p>
          <w:p w14:paraId="6C6E5DDA">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二、功能特点：</w:t>
            </w:r>
          </w:p>
          <w:p w14:paraId="2F74078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 触摸式操作界面，具有快速定量、手动定量、手动自动取水方式，整机采用全塑料机箱。</w:t>
            </w:r>
          </w:p>
          <w:p w14:paraId="6918645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2、具有UP-FRO膜；</w:t>
            </w:r>
          </w:p>
          <w:p w14:paraId="2124298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w:t>
            </w:r>
            <w:r>
              <w:rPr>
                <w:rFonts w:hint="eastAsia" w:ascii="仿宋" w:hAnsi="仿宋" w:eastAsia="仿宋" w:cs="仿宋"/>
                <w:i w:val="0"/>
                <w:iCs w:val="0"/>
                <w:color w:val="auto"/>
                <w:kern w:val="0"/>
                <w:sz w:val="24"/>
                <w:szCs w:val="24"/>
                <w:highlight w:val="none"/>
                <w:u w:val="none"/>
                <w:lang w:val="en-US" w:eastAsia="zh-CN" w:bidi="ar"/>
              </w:rPr>
              <w:t>3、 符合GB17324饮用纯净水卫生标准要求或中国药典要求的纯化水或为原水，经过预纯化、灭菌、光解有机物、超纯化、纳滤等精细化水处处理工艺处理；</w:t>
            </w:r>
          </w:p>
          <w:p w14:paraId="1573948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4、设有原水，取水水质在线监测，原水缺水监测，取水流量在线监测功能；</w:t>
            </w:r>
          </w:p>
          <w:p w14:paraId="132DEDB5">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 设有触摸式操作界面，快速定量、手动定量、手动自动取水方式；</w:t>
            </w:r>
          </w:p>
          <w:p w14:paraId="172A09D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6、控制系统具有自动润洗水处理流道功能，间隔时间可设定；</w:t>
            </w:r>
          </w:p>
          <w:p w14:paraId="68ED215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7、超纯水取水内循环设定时间范围0～2000s；</w:t>
            </w:r>
          </w:p>
          <w:p w14:paraId="0D0F612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8、具有历史数据查询功能：历次取水时间，取水量，取水水质；累计总取水量；</w:t>
            </w:r>
          </w:p>
          <w:p w14:paraId="69B9758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 标配≥30L专用PE材质的外置式原水水箱，控制系设有原水缺水自动停机保护功能，具有液位传感控制系统</w:t>
            </w:r>
          </w:p>
          <w:p w14:paraId="08307DC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10、具有纯水器低水压和无水保护信号装置。</w:t>
            </w:r>
          </w:p>
          <w:p w14:paraId="2784613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11、配备内置在线实时电阻率/电导率监测仪，并具有超纯水机水处理监控模块。</w:t>
            </w:r>
          </w:p>
          <w:p w14:paraId="2E022881">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12、具有超纯水机水路控制模块。</w:t>
            </w:r>
          </w:p>
          <w:p w14:paraId="6B0F0BD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13、具有超纯水生产用的预处理检测装置。</w:t>
            </w:r>
          </w:p>
          <w:p w14:paraId="4A3A1A9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14、具有纯水器水质超标排放装置。</w:t>
            </w:r>
          </w:p>
          <w:p w14:paraId="25875927">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15、具有纯水器恒压脉冲发生装置。</w:t>
            </w:r>
          </w:p>
          <w:p w14:paraId="6E9318AD">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red"/>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16、配有“纯化柱螺旋盖。</w:t>
            </w:r>
          </w:p>
          <w:p w14:paraId="1FA83C62">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17、具有无菌储水箱的净水系统。</w:t>
            </w:r>
          </w:p>
          <w:p w14:paraId="595C255B">
            <w:pPr>
              <w:rPr>
                <w:color w:val="auto"/>
              </w:rPr>
            </w:pPr>
            <w:r>
              <w:rPr>
                <w:rFonts w:hint="eastAsia" w:ascii="仿宋" w:hAnsi="仿宋" w:eastAsia="仿宋" w:cs="仿宋"/>
                <w:i w:val="0"/>
                <w:iCs w:val="0"/>
                <w:color w:val="auto"/>
                <w:kern w:val="0"/>
                <w:sz w:val="24"/>
                <w:szCs w:val="24"/>
                <w:highlight w:val="none"/>
                <w:u w:val="none"/>
                <w:lang w:val="en-US" w:eastAsia="zh-CN" w:bidi="ar"/>
              </w:rPr>
              <w:t>18、内置压力泵噪音&lt;40dBa，内部水电路，强电，弱电分区，分层用隔板隔离，具有漏电安全报警装置。</w:t>
            </w:r>
          </w:p>
          <w:p w14:paraId="02990A8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p>
          <w:p w14:paraId="5602E626">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三、配置要求：</w:t>
            </w:r>
          </w:p>
          <w:p w14:paraId="1A9EFF2B">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 原水箱：≥30L纯PE全封闭式常压水箱，具有高效无菌呼吸器；</w:t>
            </w:r>
          </w:p>
          <w:p w14:paraId="27B78999">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 具有预纯化柱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 树脂柱</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4、紫外消解器</w:t>
            </w:r>
            <w:r>
              <w:rPr>
                <w:rFonts w:hint="eastAsia" w:ascii="仿宋" w:hAnsi="仿宋" w:eastAsia="仿宋" w:cs="仿宋"/>
                <w:i w:val="0"/>
                <w:iCs w:val="0"/>
                <w:color w:val="auto"/>
                <w:kern w:val="0"/>
                <w:sz w:val="24"/>
                <w:szCs w:val="24"/>
                <w:highlight w:val="red"/>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 超纯化柱</w:t>
            </w:r>
          </w:p>
          <w:p w14:paraId="658F4FE0">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6、无菌改型膜柱；</w:t>
            </w:r>
          </w:p>
          <w:p w14:paraId="5BD722C8">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 终端微滤：赛多利斯-0.22</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8、管材管件：LDPE管材， PFA管材，PP管件</w:t>
            </w:r>
          </w:p>
        </w:tc>
      </w:tr>
      <w:tr w14:paraId="3DC8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580" w:type="dxa"/>
            <w:vAlign w:val="center"/>
          </w:tcPr>
          <w:p w14:paraId="668E2171">
            <w:pPr>
              <w:keepNext w:val="0"/>
              <w:keepLines w:val="0"/>
              <w:widowControl/>
              <w:numPr>
                <w:ilvl w:val="0"/>
                <w:numId w:val="0"/>
              </w:numPr>
              <w:suppressLineNumbers w:val="0"/>
              <w:spacing w:line="240" w:lineRule="auto"/>
              <w:ind w:left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884" w:type="dxa"/>
            <w:shd w:val="clear" w:color="auto" w:fill="auto"/>
            <w:vAlign w:val="center"/>
          </w:tcPr>
          <w:p w14:paraId="4B7ED560">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便携式余氯总氯二氧化氯臭氧检测仪氯</w:t>
            </w:r>
          </w:p>
        </w:tc>
        <w:tc>
          <w:tcPr>
            <w:tcW w:w="741" w:type="dxa"/>
            <w:vAlign w:val="center"/>
          </w:tcPr>
          <w:p w14:paraId="36FE180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648" w:type="dxa"/>
            <w:gridSpan w:val="2"/>
            <w:vAlign w:val="center"/>
          </w:tcPr>
          <w:p w14:paraId="6AFDA936">
            <w:pPr>
              <w:keepNext w:val="0"/>
              <w:keepLines w:val="0"/>
              <w:widowControl/>
              <w:suppressLineNumbers w:val="0"/>
              <w:spacing w:line="240" w:lineRule="auto"/>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6950" w:type="dxa"/>
            <w:shd w:val="clear" w:color="auto" w:fill="auto"/>
            <w:vAlign w:val="center"/>
          </w:tcPr>
          <w:p w14:paraId="0B19C08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default"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一、基本功能</w:t>
            </w:r>
          </w:p>
          <w:p w14:paraId="48D058F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1、</w:t>
            </w:r>
            <w:r>
              <w:rPr>
                <w:rStyle w:val="21"/>
                <w:rFonts w:hint="eastAsia" w:ascii="仿宋" w:hAnsi="仿宋" w:eastAsia="仿宋" w:cs="仿宋"/>
                <w:b w:val="0"/>
                <w:bCs/>
                <w:i w:val="0"/>
                <w:caps w:val="0"/>
                <w:color w:val="auto"/>
                <w:spacing w:val="0"/>
                <w:sz w:val="24"/>
                <w:szCs w:val="24"/>
                <w:highlight w:val="none"/>
                <w:shd w:val="clear" w:color="auto" w:fill="FFFFFF"/>
              </w:rPr>
              <w:t>便携式水质检测仪（</w:t>
            </w: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余氯，总氯，二氧化氯，臭氧，PH、碘、溴</w:t>
            </w:r>
            <w:r>
              <w:rPr>
                <w:rStyle w:val="21"/>
                <w:rFonts w:hint="eastAsia" w:ascii="仿宋" w:hAnsi="仿宋" w:eastAsia="仿宋" w:cs="仿宋"/>
                <w:b w:val="0"/>
                <w:bCs/>
                <w:i w:val="0"/>
                <w:caps w:val="0"/>
                <w:color w:val="auto"/>
                <w:spacing w:val="0"/>
                <w:sz w:val="24"/>
                <w:szCs w:val="24"/>
                <w:highlight w:val="none"/>
                <w:shd w:val="clear" w:color="auto" w:fill="FFFFFF"/>
              </w:rPr>
              <w:t>等参数）智能水质快速分析仪器</w:t>
            </w:r>
            <w:r>
              <w:rPr>
                <w:rStyle w:val="21"/>
                <w:rFonts w:hint="eastAsia" w:ascii="仿宋" w:hAnsi="仿宋" w:eastAsia="仿宋" w:cs="仿宋"/>
                <w:b w:val="0"/>
                <w:bCs/>
                <w:i w:val="0"/>
                <w:caps w:val="0"/>
                <w:color w:val="auto"/>
                <w:spacing w:val="0"/>
                <w:sz w:val="24"/>
                <w:szCs w:val="24"/>
                <w:highlight w:val="none"/>
                <w:shd w:val="clear" w:color="auto" w:fill="FFFFFF"/>
                <w:lang w:eastAsia="zh-CN"/>
              </w:rPr>
              <w:t>。</w:t>
            </w:r>
          </w:p>
          <w:p w14:paraId="6DF44F5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2、</w:t>
            </w:r>
            <w:r>
              <w:rPr>
                <w:rStyle w:val="21"/>
                <w:rFonts w:hint="eastAsia" w:ascii="仿宋" w:hAnsi="仿宋" w:eastAsia="仿宋" w:cs="仿宋"/>
                <w:b w:val="0"/>
                <w:bCs/>
                <w:i w:val="0"/>
                <w:caps w:val="0"/>
                <w:color w:val="auto"/>
                <w:spacing w:val="0"/>
                <w:sz w:val="24"/>
                <w:szCs w:val="24"/>
                <w:highlight w:val="none"/>
                <w:shd w:val="clear" w:color="auto" w:fill="FFFFFF"/>
              </w:rPr>
              <w:t>采用准平行冷光源。</w:t>
            </w:r>
          </w:p>
          <w:p w14:paraId="4FAE5FD9">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3、</w:t>
            </w:r>
            <w:r>
              <w:rPr>
                <w:rStyle w:val="21"/>
                <w:rFonts w:hint="eastAsia" w:ascii="仿宋" w:hAnsi="仿宋" w:eastAsia="仿宋" w:cs="仿宋"/>
                <w:b w:val="0"/>
                <w:bCs/>
                <w:i w:val="0"/>
                <w:caps w:val="0"/>
                <w:color w:val="auto"/>
                <w:spacing w:val="0"/>
                <w:sz w:val="24"/>
                <w:szCs w:val="24"/>
                <w:highlight w:val="none"/>
                <w:shd w:val="clear" w:color="auto" w:fill="FFFFFF"/>
              </w:rPr>
              <w:t>仪器全塑机壳，核心部件密封防水。</w:t>
            </w:r>
          </w:p>
          <w:p w14:paraId="4B423006">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4、</w:t>
            </w:r>
            <w:r>
              <w:rPr>
                <w:rStyle w:val="21"/>
                <w:rFonts w:hint="eastAsia" w:ascii="仿宋" w:hAnsi="仿宋" w:eastAsia="仿宋" w:cs="仿宋"/>
                <w:b w:val="0"/>
                <w:bCs/>
                <w:i w:val="0"/>
                <w:caps w:val="0"/>
                <w:color w:val="auto"/>
                <w:spacing w:val="0"/>
                <w:sz w:val="24"/>
                <w:szCs w:val="24"/>
                <w:highlight w:val="none"/>
                <w:shd w:val="clear" w:color="auto" w:fill="FFFFFF"/>
              </w:rPr>
              <w:t>10mL比色瓶。</w:t>
            </w:r>
          </w:p>
          <w:p w14:paraId="5A18DA1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5、</w:t>
            </w:r>
            <w:r>
              <w:rPr>
                <w:rStyle w:val="21"/>
                <w:rFonts w:hint="eastAsia" w:ascii="仿宋" w:hAnsi="仿宋" w:eastAsia="仿宋" w:cs="仿宋"/>
                <w:b w:val="0"/>
                <w:bCs/>
                <w:i w:val="0"/>
                <w:caps w:val="0"/>
                <w:color w:val="auto"/>
                <w:spacing w:val="0"/>
                <w:sz w:val="24"/>
                <w:szCs w:val="24"/>
                <w:highlight w:val="none"/>
                <w:shd w:val="clear" w:color="auto" w:fill="FFFFFF"/>
              </w:rPr>
              <w:t>多参数检测，支持420nm、470nm、520nm和620nm波长，可支持多种参数检测。</w:t>
            </w:r>
          </w:p>
          <w:p w14:paraId="3EC83212">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6、</w:t>
            </w:r>
            <w:r>
              <w:rPr>
                <w:rStyle w:val="21"/>
                <w:rFonts w:hint="eastAsia" w:ascii="仿宋" w:hAnsi="仿宋" w:eastAsia="仿宋" w:cs="仿宋"/>
                <w:b w:val="0"/>
                <w:bCs/>
                <w:i w:val="0"/>
                <w:caps w:val="0"/>
                <w:color w:val="auto"/>
                <w:spacing w:val="0"/>
                <w:sz w:val="24"/>
                <w:szCs w:val="24"/>
                <w:highlight w:val="none"/>
                <w:shd w:val="clear" w:color="auto" w:fill="FFFFFF"/>
              </w:rPr>
              <w:t>可保存</w:t>
            </w: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w:t>
            </w:r>
            <w:r>
              <w:rPr>
                <w:rStyle w:val="21"/>
                <w:rFonts w:hint="eastAsia" w:ascii="仿宋" w:hAnsi="仿宋" w:eastAsia="仿宋" w:cs="仿宋"/>
                <w:b w:val="0"/>
                <w:bCs/>
                <w:i w:val="0"/>
                <w:caps w:val="0"/>
                <w:color w:val="auto"/>
                <w:spacing w:val="0"/>
                <w:sz w:val="24"/>
                <w:szCs w:val="24"/>
                <w:highlight w:val="none"/>
                <w:shd w:val="clear" w:color="auto" w:fill="FFFFFF"/>
              </w:rPr>
              <w:t>5000条检测结果。</w:t>
            </w:r>
          </w:p>
          <w:p w14:paraId="220525A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7、≥5</w:t>
            </w:r>
            <w:r>
              <w:rPr>
                <w:rStyle w:val="21"/>
                <w:rFonts w:hint="eastAsia" w:ascii="仿宋" w:hAnsi="仿宋" w:eastAsia="仿宋" w:cs="仿宋"/>
                <w:b w:val="0"/>
                <w:bCs/>
                <w:i w:val="0"/>
                <w:caps w:val="0"/>
                <w:color w:val="auto"/>
                <w:spacing w:val="0"/>
                <w:sz w:val="24"/>
                <w:szCs w:val="24"/>
                <w:highlight w:val="none"/>
                <w:shd w:val="clear" w:color="auto" w:fill="FFFFFF"/>
              </w:rPr>
              <w:t>个按键，亚克力保护面板。</w:t>
            </w:r>
          </w:p>
          <w:p w14:paraId="22B6591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8、</w:t>
            </w:r>
            <w:r>
              <w:rPr>
                <w:rStyle w:val="21"/>
                <w:rFonts w:hint="eastAsia" w:ascii="仿宋" w:hAnsi="仿宋" w:eastAsia="仿宋" w:cs="仿宋"/>
                <w:b w:val="0"/>
                <w:bCs/>
                <w:i w:val="0"/>
                <w:caps w:val="0"/>
                <w:color w:val="auto"/>
                <w:spacing w:val="0"/>
                <w:sz w:val="24"/>
                <w:szCs w:val="24"/>
                <w:highlight w:val="none"/>
                <w:shd w:val="clear" w:color="auto" w:fill="FFFFFF"/>
              </w:rPr>
              <w:t>防水接口设计，</w:t>
            </w: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可</w:t>
            </w:r>
            <w:r>
              <w:rPr>
                <w:rStyle w:val="21"/>
                <w:rFonts w:hint="eastAsia" w:ascii="仿宋" w:hAnsi="仿宋" w:eastAsia="仿宋" w:cs="仿宋"/>
                <w:b w:val="0"/>
                <w:bCs/>
                <w:i w:val="0"/>
                <w:caps w:val="0"/>
                <w:color w:val="auto"/>
                <w:spacing w:val="0"/>
                <w:sz w:val="24"/>
                <w:szCs w:val="24"/>
                <w:highlight w:val="none"/>
                <w:shd w:val="clear" w:color="auto" w:fill="FFFFFF"/>
              </w:rPr>
              <w:t>与安卓手机数据线通用。</w:t>
            </w:r>
          </w:p>
          <w:p w14:paraId="4E0A53A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9、</w:t>
            </w:r>
            <w:r>
              <w:rPr>
                <w:rStyle w:val="21"/>
                <w:rFonts w:hint="eastAsia" w:ascii="仿宋" w:hAnsi="仿宋" w:eastAsia="仿宋" w:cs="仿宋"/>
                <w:b w:val="0"/>
                <w:bCs/>
                <w:i w:val="0"/>
                <w:caps w:val="0"/>
                <w:color w:val="auto"/>
                <w:spacing w:val="0"/>
                <w:sz w:val="24"/>
                <w:szCs w:val="24"/>
                <w:highlight w:val="none"/>
                <w:shd w:val="clear" w:color="auto" w:fill="FFFFFF"/>
              </w:rPr>
              <w:t>检测结果手动保存。</w:t>
            </w:r>
          </w:p>
          <w:p w14:paraId="41E39BDA">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10、</w:t>
            </w:r>
            <w:r>
              <w:rPr>
                <w:rStyle w:val="21"/>
                <w:rFonts w:hint="eastAsia" w:ascii="仿宋" w:hAnsi="仿宋" w:eastAsia="仿宋" w:cs="仿宋"/>
                <w:b w:val="0"/>
                <w:bCs/>
                <w:i w:val="0"/>
                <w:caps w:val="0"/>
                <w:color w:val="auto"/>
                <w:spacing w:val="0"/>
                <w:sz w:val="24"/>
                <w:szCs w:val="24"/>
                <w:highlight w:val="none"/>
                <w:shd w:val="clear" w:color="auto" w:fill="FFFFFF"/>
              </w:rPr>
              <w:t>内置</w:t>
            </w: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w:t>
            </w:r>
            <w:r>
              <w:rPr>
                <w:rStyle w:val="21"/>
                <w:rFonts w:hint="eastAsia" w:ascii="仿宋" w:hAnsi="仿宋" w:eastAsia="仿宋" w:cs="仿宋"/>
                <w:b w:val="0"/>
                <w:bCs/>
                <w:i w:val="0"/>
                <w:caps w:val="0"/>
                <w:color w:val="auto"/>
                <w:spacing w:val="0"/>
                <w:sz w:val="24"/>
                <w:szCs w:val="24"/>
                <w:highlight w:val="none"/>
                <w:shd w:val="clear" w:color="auto" w:fill="FFFFFF"/>
              </w:rPr>
              <w:t>2500mAh锂电池，也可通过数据线连接电源充电。</w:t>
            </w:r>
          </w:p>
          <w:p w14:paraId="4F41F2D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二、检测项目-检测范围(mg/L)</w:t>
            </w:r>
          </w:p>
          <w:p w14:paraId="79BE1CB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1.余氯：0-3；0-12</w:t>
            </w:r>
          </w:p>
          <w:p w14:paraId="72F0922B">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2.总氯</w:t>
            </w:r>
            <w:r>
              <w:rPr>
                <w:rStyle w:val="21"/>
                <w:rFonts w:hint="eastAsia" w:ascii="仿宋" w:hAnsi="仿宋" w:eastAsia="仿宋" w:cs="仿宋"/>
                <w:b w:val="0"/>
                <w:bCs/>
                <w:i w:val="0"/>
                <w:caps w:val="0"/>
                <w:color w:val="auto"/>
                <w:spacing w:val="0"/>
                <w:sz w:val="24"/>
                <w:szCs w:val="24"/>
                <w:highlight w:val="none"/>
                <w:shd w:val="clear" w:color="auto" w:fill="FFFFFF"/>
                <w:lang w:eastAsia="zh-CN"/>
              </w:rPr>
              <w:t xml:space="preserve"> </w:t>
            </w: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：0-3；0-12</w:t>
            </w:r>
          </w:p>
          <w:p w14:paraId="607A724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3.臭氧：0-2.5</w:t>
            </w:r>
          </w:p>
          <w:p w14:paraId="136B3D9D">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4.二氧化氯：0-5</w:t>
            </w:r>
          </w:p>
          <w:p w14:paraId="26ABDB37">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5.pH：6.5-9.0</w:t>
            </w:r>
          </w:p>
          <w:p w14:paraId="44D68230">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6.碘：0-7</w:t>
            </w:r>
          </w:p>
          <w:p w14:paraId="39BD3281">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Style w:val="21"/>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21"/>
                <w:rFonts w:hint="eastAsia" w:ascii="仿宋" w:hAnsi="仿宋" w:eastAsia="仿宋" w:cs="仿宋"/>
                <w:b w:val="0"/>
                <w:bCs/>
                <w:i w:val="0"/>
                <w:caps w:val="0"/>
                <w:color w:val="auto"/>
                <w:spacing w:val="0"/>
                <w:sz w:val="24"/>
                <w:szCs w:val="24"/>
                <w:highlight w:val="none"/>
                <w:shd w:val="clear" w:color="auto" w:fill="FFFFFF"/>
                <w:lang w:val="en-US" w:eastAsia="zh-CN"/>
              </w:rPr>
              <w:t>7.溴0-4.5</w:t>
            </w:r>
          </w:p>
          <w:p w14:paraId="2CAC002C">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kern w:val="2"/>
                <w:sz w:val="24"/>
                <w:szCs w:val="24"/>
                <w:highlight w:val="none"/>
                <w:vertAlign w:val="baseline"/>
                <w:lang w:val="en-US" w:eastAsia="zh-CN" w:bidi="ar-SA"/>
              </w:rPr>
              <w:t>三、基本参数</w:t>
            </w:r>
          </w:p>
          <w:p w14:paraId="1B28EF1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1.吸光度检测范围：0 ~ 3.0Abs</w:t>
            </w:r>
          </w:p>
          <w:p w14:paraId="3A8B39C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2.光路稳定性：≤±0.005Abs/30min</w:t>
            </w:r>
          </w:p>
          <w:p w14:paraId="3B25F5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3.吸光度分辨率：0.001Abs</w:t>
            </w:r>
          </w:p>
          <w:p w14:paraId="64A01E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4.外壳防护等级：IP65</w:t>
            </w:r>
          </w:p>
          <w:p w14:paraId="73E61F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5.光源寿命：≥10万小时</w:t>
            </w:r>
          </w:p>
          <w:p w14:paraId="21EC9B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6.滤光片寿命：≥5年</w:t>
            </w:r>
          </w:p>
          <w:p w14:paraId="17BA15C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7.额定功率：≥0.3W</w:t>
            </w:r>
          </w:p>
          <w:p w14:paraId="16883F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8.操作重复性：≤±0.01Abs</w:t>
            </w:r>
          </w:p>
          <w:p w14:paraId="0C0BFBBF">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9.温度：0 ~ 50℃</w:t>
            </w:r>
          </w:p>
        </w:tc>
      </w:tr>
    </w:tbl>
    <w:p w14:paraId="7D1F1224">
      <w:pPr>
        <w:rPr>
          <w:rFonts w:hint="eastAsia" w:ascii="仿宋" w:hAnsi="仿宋" w:eastAsia="仿宋" w:cs="仿宋"/>
          <w:b/>
          <w:bCs/>
          <w:color w:val="auto"/>
          <w:sz w:val="36"/>
          <w:highlight w:val="none"/>
          <w:lang w:val="en-US" w:eastAsia="zh-CN"/>
        </w:rPr>
      </w:pPr>
    </w:p>
    <w:p w14:paraId="7CF9465D">
      <w:pPr>
        <w:rPr>
          <w:rFonts w:hint="eastAsia" w:ascii="仿宋" w:hAnsi="仿宋" w:eastAsia="仿宋" w:cs="仿宋"/>
          <w:b/>
          <w:bCs/>
          <w:color w:val="auto"/>
          <w:sz w:val="36"/>
          <w:highlight w:val="none"/>
          <w:lang w:val="en-US" w:eastAsia="zh-CN"/>
        </w:rPr>
      </w:pPr>
      <w:r>
        <w:rPr>
          <w:rFonts w:hint="eastAsia" w:ascii="仿宋" w:hAnsi="仿宋" w:eastAsia="仿宋" w:cs="仿宋"/>
          <w:b/>
          <w:bCs/>
          <w:color w:val="auto"/>
          <w:sz w:val="36"/>
          <w:highlight w:val="none"/>
          <w:lang w:val="en-US" w:eastAsia="zh-CN"/>
        </w:rPr>
        <w:br w:type="page"/>
      </w:r>
    </w:p>
    <w:p w14:paraId="3FF86CB5">
      <w:pPr>
        <w:jc w:val="center"/>
        <w:rPr>
          <w:rFonts w:hint="default" w:eastAsia="仿宋"/>
          <w:b/>
          <w:bCs/>
          <w:color w:val="auto"/>
          <w:highlight w:val="none"/>
          <w:lang w:val="en-US" w:eastAsia="zh-CN"/>
        </w:rPr>
      </w:pPr>
      <w:r>
        <w:rPr>
          <w:rFonts w:hint="eastAsia" w:ascii="仿宋" w:hAnsi="仿宋" w:eastAsia="仿宋" w:cs="仿宋"/>
          <w:b/>
          <w:bCs/>
          <w:color w:val="auto"/>
          <w:sz w:val="36"/>
          <w:highlight w:val="none"/>
          <w:lang w:val="en-US" w:eastAsia="zh-CN"/>
        </w:rPr>
        <w:t>商务要求</w:t>
      </w:r>
    </w:p>
    <w:p w14:paraId="1E4763A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仿宋"/>
          <w:color w:val="auto"/>
          <w:sz w:val="24"/>
          <w:szCs w:val="22"/>
          <w:highlight w:val="none"/>
          <w:lang w:val="en-US" w:eastAsia="zh-CN"/>
        </w:rPr>
      </w:pPr>
      <w:bookmarkStart w:id="111" w:name="_Toc26329"/>
      <w:r>
        <w:rPr>
          <w:rFonts w:hint="eastAsia" w:ascii="仿宋" w:hAnsi="仿宋" w:eastAsia="仿宋" w:cs="仿宋"/>
          <w:color w:val="auto"/>
          <w:sz w:val="24"/>
          <w:szCs w:val="22"/>
          <w:highlight w:val="none"/>
          <w:lang w:val="en-US" w:eastAsia="zh-CN"/>
        </w:rPr>
        <w:t>投标产品质量要求:</w:t>
      </w:r>
      <w:bookmarkEnd w:id="111"/>
    </w:p>
    <w:p w14:paraId="0D92C4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bookmarkStart w:id="112" w:name="_Toc947"/>
      <w:r>
        <w:rPr>
          <w:rFonts w:hint="eastAsia" w:ascii="仿宋" w:hAnsi="仿宋" w:eastAsia="仿宋" w:cs="仿宋"/>
          <w:color w:val="auto"/>
          <w:sz w:val="24"/>
          <w:szCs w:val="22"/>
          <w:highlight w:val="none"/>
          <w:lang w:val="en-US" w:eastAsia="zh-CN"/>
        </w:rPr>
        <w:t>1、资质证照合法、手续齐全；</w:t>
      </w:r>
      <w:bookmarkEnd w:id="112"/>
    </w:p>
    <w:p w14:paraId="766747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bookmarkStart w:id="113" w:name="_Toc11252"/>
      <w:r>
        <w:rPr>
          <w:rFonts w:hint="eastAsia" w:ascii="仿宋" w:hAnsi="仿宋" w:eastAsia="仿宋" w:cs="仿宋"/>
          <w:color w:val="auto"/>
          <w:sz w:val="24"/>
          <w:szCs w:val="22"/>
          <w:highlight w:val="none"/>
          <w:lang w:val="en-US" w:eastAsia="zh-CN"/>
        </w:rPr>
        <w:t>2、投标产品实际品牌、规格型号、生产厂家、质量必须与投标书内所投产品描述一致；</w:t>
      </w:r>
      <w:bookmarkEnd w:id="113"/>
    </w:p>
    <w:p w14:paraId="3BAB43F7">
      <w:pPr>
        <w:tabs>
          <w:tab w:val="left" w:pos="576"/>
          <w:tab w:val="left" w:pos="1296"/>
        </w:tabs>
        <w:bidi w:val="0"/>
        <w:ind w:firstLine="480" w:firstLineChars="200"/>
        <w:outlineLvl w:val="9"/>
        <w:rPr>
          <w:rFonts w:hint="default" w:ascii="仿宋" w:hAnsi="仿宋" w:eastAsia="仿宋" w:cs="仿宋"/>
          <w:color w:val="auto"/>
          <w:sz w:val="24"/>
          <w:szCs w:val="18"/>
          <w:highlight w:val="none"/>
          <w:lang w:val="en-US" w:eastAsia="zh-CN"/>
        </w:rPr>
      </w:pPr>
      <w:r>
        <w:rPr>
          <w:rFonts w:hint="eastAsia" w:ascii="仿宋" w:hAnsi="仿宋" w:eastAsia="仿宋" w:cs="仿宋"/>
          <w:color w:val="auto"/>
          <w:sz w:val="24"/>
          <w:szCs w:val="18"/>
          <w:highlight w:val="none"/>
          <w:lang w:val="en-US" w:eastAsia="zh-CN"/>
        </w:rPr>
        <w:t>3、质保服务期2年；</w:t>
      </w:r>
    </w:p>
    <w:p w14:paraId="0534EFF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bookmarkStart w:id="114" w:name="_Toc7666"/>
      <w:r>
        <w:rPr>
          <w:rFonts w:hint="eastAsia" w:ascii="仿宋" w:hAnsi="仿宋" w:eastAsia="仿宋" w:cs="仿宋"/>
          <w:color w:val="auto"/>
          <w:sz w:val="24"/>
          <w:szCs w:val="22"/>
          <w:highlight w:val="none"/>
          <w:lang w:val="en-US" w:eastAsia="zh-CN"/>
        </w:rPr>
        <w:t>4、有足够的物资供应配送能力、较好的售后服务保障能力和支持仪器性能校准验证能力；</w:t>
      </w:r>
      <w:bookmarkEnd w:id="114"/>
    </w:p>
    <w:p w14:paraId="59699C8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bookmarkStart w:id="115" w:name="_Toc4648"/>
      <w:r>
        <w:rPr>
          <w:rFonts w:hint="eastAsia" w:ascii="仿宋" w:hAnsi="仿宋" w:eastAsia="仿宋" w:cs="仿宋"/>
          <w:color w:val="auto"/>
          <w:sz w:val="24"/>
          <w:szCs w:val="22"/>
          <w:highlight w:val="none"/>
          <w:lang w:val="en-US" w:eastAsia="zh-CN"/>
        </w:rPr>
        <w:t>5、商业信誉良好，在经营活动中无违法记录、无不良销售记录和不规范销售行为记录；</w:t>
      </w:r>
      <w:bookmarkEnd w:id="115"/>
    </w:p>
    <w:p w14:paraId="19B5167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bookmarkStart w:id="116" w:name="_Toc30628"/>
      <w:r>
        <w:rPr>
          <w:rFonts w:hint="eastAsia" w:ascii="仿宋" w:hAnsi="仿宋" w:eastAsia="仿宋" w:cs="仿宋"/>
          <w:color w:val="auto"/>
          <w:sz w:val="24"/>
          <w:szCs w:val="22"/>
          <w:highlight w:val="none"/>
          <w:lang w:val="en-US" w:eastAsia="zh-CN"/>
        </w:rPr>
        <w:t>6、具有合法的产品来源，符合法律法规规定的其它条件。</w:t>
      </w:r>
      <w:bookmarkEnd w:id="116"/>
    </w:p>
    <w:p w14:paraId="3A70FE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bookmarkStart w:id="117" w:name="_Toc24259"/>
      <w:r>
        <w:rPr>
          <w:rFonts w:hint="eastAsia" w:ascii="仿宋" w:hAnsi="仿宋" w:eastAsia="仿宋" w:cs="仿宋"/>
          <w:color w:val="auto"/>
          <w:sz w:val="24"/>
          <w:szCs w:val="22"/>
          <w:highlight w:val="none"/>
          <w:lang w:val="en-US" w:eastAsia="zh-CN"/>
        </w:rPr>
        <w:t>7、投标人必须提供企业及产品的有效资质证明文件，具备该行业国家规定必备的资质、资格，且符合参投品种的经营范围；</w:t>
      </w:r>
      <w:bookmarkEnd w:id="117"/>
    </w:p>
    <w:p w14:paraId="0D357F8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bookmarkStart w:id="118" w:name="_Toc2268"/>
      <w:r>
        <w:rPr>
          <w:rFonts w:hint="eastAsia" w:ascii="仿宋" w:hAnsi="仿宋" w:eastAsia="仿宋" w:cs="仿宋"/>
          <w:color w:val="auto"/>
          <w:sz w:val="24"/>
          <w:szCs w:val="22"/>
          <w:highlight w:val="none"/>
          <w:lang w:val="en-US" w:eastAsia="zh-CN"/>
        </w:rPr>
        <w:t>8、提供所投产品的检测报告（国家无需检测的设备可以不提供检验报告）；提供产品彩页等资料</w:t>
      </w:r>
      <w:bookmarkEnd w:id="118"/>
      <w:r>
        <w:rPr>
          <w:rFonts w:hint="eastAsia" w:ascii="仿宋" w:hAnsi="仿宋" w:eastAsia="仿宋" w:cs="仿宋"/>
          <w:color w:val="auto"/>
          <w:sz w:val="24"/>
          <w:szCs w:val="22"/>
          <w:highlight w:val="none"/>
          <w:lang w:val="en-US" w:eastAsia="zh-CN"/>
        </w:rPr>
        <w:t>；</w:t>
      </w:r>
    </w:p>
    <w:p w14:paraId="0BBA304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9、所有检测 / 分析类仪器：必须提供第一次出厂 / 到货校准证书；</w:t>
      </w:r>
    </w:p>
    <w:p w14:paraId="0C038C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10、酶底物法微生物自动计数仪：必须提供方法验证指导 + CMA 认证辅导（中标方承担相关费用）；</w:t>
      </w:r>
    </w:p>
    <w:p w14:paraId="6DAA5D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11、所有设备到货安装时，同步提供操作 SOP、维护 SOP、期间核查方法；</w:t>
      </w:r>
    </w:p>
    <w:p w14:paraId="73967B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12、中标方在供货并安装完成后，负责完成设备的第一次检定（校准 / 计量检定），并承担相关费用。</w:t>
      </w:r>
    </w:p>
    <w:p w14:paraId="3C59F2FB">
      <w:pPr>
        <w:numPr>
          <w:ilvl w:val="0"/>
          <w:numId w:val="9"/>
        </w:numPr>
        <w:jc w:val="center"/>
        <w:outlineLvl w:val="0"/>
        <w:rPr>
          <w:rFonts w:hint="eastAsia" w:ascii="仿宋" w:hAnsi="仿宋" w:eastAsia="仿宋" w:cs="仿宋"/>
          <w:b/>
          <w:bCs/>
          <w:color w:val="auto"/>
          <w:kern w:val="2"/>
          <w:sz w:val="36"/>
          <w:szCs w:val="32"/>
          <w:highlight w:val="none"/>
          <w:lang w:val="en-US" w:eastAsia="zh-CN" w:bidi="ar-SA"/>
        </w:rPr>
      </w:pPr>
      <w:r>
        <w:rPr>
          <w:rFonts w:hint="eastAsia" w:ascii="仿宋" w:hAnsi="仿宋" w:eastAsia="仿宋" w:cs="仿宋"/>
          <w:b/>
          <w:bCs/>
          <w:color w:val="auto"/>
          <w:kern w:val="2"/>
          <w:sz w:val="36"/>
          <w:szCs w:val="32"/>
          <w:highlight w:val="none"/>
          <w:lang w:val="en-US" w:eastAsia="zh-CN" w:bidi="ar-SA"/>
        </w:rPr>
        <w:br w:type="page"/>
      </w:r>
      <w:bookmarkStart w:id="119" w:name="_Toc14757"/>
      <w:r>
        <w:rPr>
          <w:rFonts w:hint="eastAsia" w:ascii="仿宋" w:hAnsi="仿宋" w:eastAsia="仿宋" w:cs="仿宋"/>
          <w:b/>
          <w:bCs/>
          <w:color w:val="auto"/>
          <w:kern w:val="2"/>
          <w:sz w:val="36"/>
          <w:szCs w:val="32"/>
          <w:highlight w:val="none"/>
          <w:lang w:val="en-US" w:eastAsia="zh-CN" w:bidi="ar-SA"/>
        </w:rPr>
        <w:t>合同条款及格式</w:t>
      </w:r>
      <w:bookmarkEnd w:id="109"/>
      <w:bookmarkEnd w:id="119"/>
      <w:bookmarkStart w:id="120" w:name="_Toc20669"/>
    </w:p>
    <w:bookmarkEnd w:id="120"/>
    <w:p w14:paraId="5227C16F">
      <w:pPr>
        <w:spacing w:line="520" w:lineRule="exact"/>
        <w:ind w:left="560" w:firstLine="720" w:firstLineChars="200"/>
        <w:outlineLvl w:val="9"/>
        <w:rPr>
          <w:rFonts w:hint="eastAsia" w:ascii="仿宋" w:hAnsi="仿宋" w:eastAsia="仿宋" w:cs="仿宋"/>
          <w:b/>
          <w:color w:val="auto"/>
          <w:sz w:val="36"/>
          <w:highlight w:val="none"/>
          <w:lang w:eastAsia="zh-CN"/>
        </w:rPr>
      </w:pPr>
    </w:p>
    <w:p w14:paraId="057EC2E5">
      <w:pPr>
        <w:spacing w:line="520" w:lineRule="exact"/>
        <w:ind w:left="560" w:firstLine="560" w:firstLineChars="200"/>
        <w:outlineLvl w:val="9"/>
        <w:rPr>
          <w:rFonts w:hint="eastAsia" w:ascii="仿宋" w:hAnsi="仿宋" w:eastAsia="仿宋" w:cs="仿宋"/>
          <w:b w:val="0"/>
          <w:bCs/>
          <w:color w:val="auto"/>
          <w:sz w:val="28"/>
          <w:szCs w:val="16"/>
          <w:highlight w:val="none"/>
          <w:lang w:eastAsia="zh-CN"/>
        </w:rPr>
      </w:pPr>
    </w:p>
    <w:p w14:paraId="3F896252">
      <w:pPr>
        <w:spacing w:line="520" w:lineRule="exact"/>
        <w:ind w:left="560" w:firstLine="2880" w:firstLineChars="900"/>
        <w:jc w:val="both"/>
        <w:outlineLvl w:val="9"/>
        <w:rPr>
          <w:rFonts w:hint="eastAsia" w:ascii="仿宋" w:hAnsi="仿宋" w:eastAsia="仿宋" w:cs="仿宋"/>
          <w:b/>
          <w:bCs w:val="0"/>
          <w:color w:val="auto"/>
          <w:sz w:val="32"/>
          <w:szCs w:val="18"/>
          <w:highlight w:val="none"/>
        </w:rPr>
      </w:pPr>
      <w:r>
        <w:rPr>
          <w:rFonts w:hint="eastAsia" w:ascii="仿宋" w:hAnsi="仿宋" w:eastAsia="仿宋" w:cs="仿宋"/>
          <w:b/>
          <w:bCs w:val="0"/>
          <w:color w:val="auto"/>
          <w:sz w:val="32"/>
          <w:szCs w:val="18"/>
          <w:highlight w:val="none"/>
          <w:lang w:eastAsia="zh-CN"/>
        </w:rPr>
        <w:t>富蕴县</w:t>
      </w:r>
      <w:r>
        <w:rPr>
          <w:rFonts w:hint="eastAsia" w:ascii="仿宋" w:hAnsi="仿宋" w:eastAsia="仿宋" w:cs="仿宋"/>
          <w:b/>
          <w:bCs w:val="0"/>
          <w:color w:val="auto"/>
          <w:sz w:val="32"/>
          <w:szCs w:val="18"/>
          <w:highlight w:val="none"/>
        </w:rPr>
        <w:t>疾病预防控制中心</w:t>
      </w:r>
    </w:p>
    <w:p w14:paraId="230DCB97">
      <w:pPr>
        <w:spacing w:line="520" w:lineRule="exact"/>
        <w:ind w:left="560" w:firstLine="560" w:firstLineChars="200"/>
        <w:jc w:val="center"/>
        <w:outlineLvl w:val="9"/>
        <w:rPr>
          <w:rFonts w:hint="eastAsia" w:ascii="仿宋" w:hAnsi="仿宋" w:eastAsia="仿宋" w:cs="仿宋"/>
          <w:b w:val="0"/>
          <w:bCs/>
          <w:color w:val="auto"/>
          <w:sz w:val="28"/>
          <w:szCs w:val="16"/>
          <w:highlight w:val="none"/>
        </w:rPr>
      </w:pPr>
    </w:p>
    <w:p w14:paraId="28F990C1">
      <w:pPr>
        <w:spacing w:line="520" w:lineRule="exact"/>
        <w:ind w:left="560" w:firstLine="560" w:firstLineChars="200"/>
        <w:jc w:val="center"/>
        <w:outlineLvl w:val="9"/>
        <w:rPr>
          <w:rFonts w:hint="eastAsia" w:ascii="仿宋" w:hAnsi="仿宋" w:eastAsia="仿宋" w:cs="仿宋"/>
          <w:b w:val="0"/>
          <w:bCs/>
          <w:color w:val="auto"/>
          <w:sz w:val="28"/>
          <w:szCs w:val="16"/>
          <w:highlight w:val="none"/>
        </w:rPr>
      </w:pPr>
      <w:r>
        <w:rPr>
          <w:rFonts w:hint="eastAsia" w:ascii="仿宋" w:hAnsi="仿宋" w:eastAsia="仿宋" w:cs="仿宋"/>
          <w:b w:val="0"/>
          <w:bCs/>
          <w:color w:val="auto"/>
          <w:sz w:val="28"/>
          <w:szCs w:val="16"/>
          <w:highlight w:val="none"/>
        </w:rPr>
        <w:t>采购合同(货物类)</w:t>
      </w:r>
    </w:p>
    <w:p w14:paraId="367AACF9">
      <w:pPr>
        <w:spacing w:line="520" w:lineRule="exact"/>
        <w:ind w:left="560" w:firstLine="560" w:firstLineChars="200"/>
        <w:jc w:val="center"/>
        <w:outlineLvl w:val="9"/>
        <w:rPr>
          <w:rFonts w:hint="eastAsia" w:ascii="仿宋" w:hAnsi="仿宋" w:eastAsia="仿宋" w:cs="仿宋"/>
          <w:b w:val="0"/>
          <w:bCs/>
          <w:color w:val="auto"/>
          <w:sz w:val="28"/>
          <w:szCs w:val="16"/>
          <w:highlight w:val="none"/>
        </w:rPr>
      </w:pPr>
    </w:p>
    <w:p w14:paraId="10A405F3">
      <w:pPr>
        <w:spacing w:line="520" w:lineRule="exact"/>
        <w:ind w:left="560" w:firstLine="3920" w:firstLineChars="1400"/>
        <w:jc w:val="both"/>
        <w:outlineLvl w:val="9"/>
        <w:rPr>
          <w:rFonts w:hint="default" w:ascii="仿宋" w:hAnsi="仿宋" w:eastAsia="仿宋" w:cs="仿宋"/>
          <w:b w:val="0"/>
          <w:bCs/>
          <w:color w:val="auto"/>
          <w:sz w:val="28"/>
          <w:szCs w:val="16"/>
          <w:highlight w:val="none"/>
          <w:lang w:val="en-US" w:eastAsia="zh-CN"/>
        </w:rPr>
      </w:pPr>
      <w:r>
        <w:rPr>
          <w:rFonts w:hint="eastAsia" w:ascii="仿宋" w:hAnsi="仿宋" w:eastAsia="仿宋" w:cs="仿宋"/>
          <w:b w:val="0"/>
          <w:bCs/>
          <w:color w:val="auto"/>
          <w:sz w:val="28"/>
          <w:szCs w:val="16"/>
          <w:highlight w:val="none"/>
        </w:rPr>
        <w:t>项目编号:</w:t>
      </w:r>
      <w:r>
        <w:rPr>
          <w:rFonts w:hint="eastAsia" w:ascii="仿宋" w:hAnsi="仿宋" w:eastAsia="仿宋" w:cs="仿宋"/>
          <w:b w:val="0"/>
          <w:bCs/>
          <w:color w:val="auto"/>
          <w:sz w:val="28"/>
          <w:szCs w:val="16"/>
          <w:highlight w:val="none"/>
          <w:u w:val="single"/>
          <w:lang w:val="en-US" w:eastAsia="zh-CN"/>
        </w:rPr>
        <w:t xml:space="preserve">      </w:t>
      </w:r>
    </w:p>
    <w:p w14:paraId="570EC210">
      <w:pPr>
        <w:spacing w:line="520" w:lineRule="exact"/>
        <w:ind w:left="560" w:firstLine="560" w:firstLineChars="200"/>
        <w:jc w:val="center"/>
        <w:outlineLvl w:val="9"/>
        <w:rPr>
          <w:rFonts w:hint="eastAsia" w:ascii="仿宋" w:hAnsi="仿宋" w:eastAsia="仿宋" w:cs="仿宋"/>
          <w:b w:val="0"/>
          <w:bCs/>
          <w:color w:val="auto"/>
          <w:sz w:val="28"/>
          <w:szCs w:val="16"/>
          <w:highlight w:val="none"/>
        </w:rPr>
      </w:pPr>
      <w:r>
        <w:rPr>
          <w:rFonts w:hint="eastAsia" w:ascii="仿宋" w:hAnsi="仿宋" w:eastAsia="仿宋" w:cs="仿宋"/>
          <w:b w:val="0"/>
          <w:bCs/>
          <w:color w:val="auto"/>
          <w:sz w:val="28"/>
          <w:szCs w:val="16"/>
          <w:highlight w:val="none"/>
        </w:rPr>
        <w:t>(20</w:t>
      </w:r>
      <w:r>
        <w:rPr>
          <w:rFonts w:hint="eastAsia" w:ascii="仿宋" w:hAnsi="仿宋" w:eastAsia="仿宋" w:cs="仿宋"/>
          <w:b w:val="0"/>
          <w:bCs/>
          <w:color w:val="auto"/>
          <w:sz w:val="28"/>
          <w:szCs w:val="16"/>
          <w:highlight w:val="none"/>
          <w:u w:val="single"/>
          <w:lang w:val="en-US" w:eastAsia="zh-CN"/>
        </w:rPr>
        <w:t xml:space="preserve">   </w:t>
      </w:r>
      <w:r>
        <w:rPr>
          <w:rFonts w:hint="eastAsia" w:ascii="仿宋" w:hAnsi="仿宋" w:eastAsia="仿宋" w:cs="仿宋"/>
          <w:b w:val="0"/>
          <w:bCs/>
          <w:color w:val="auto"/>
          <w:sz w:val="28"/>
          <w:szCs w:val="16"/>
          <w:highlight w:val="none"/>
        </w:rPr>
        <w:t>年度)</w:t>
      </w:r>
    </w:p>
    <w:p w14:paraId="7AE54886">
      <w:pPr>
        <w:spacing w:line="520" w:lineRule="exact"/>
        <w:ind w:left="560" w:firstLine="560" w:firstLineChars="200"/>
        <w:outlineLvl w:val="9"/>
        <w:rPr>
          <w:rFonts w:hint="eastAsia" w:ascii="仿宋" w:hAnsi="仿宋" w:eastAsia="仿宋" w:cs="仿宋"/>
          <w:b w:val="0"/>
          <w:bCs/>
          <w:color w:val="auto"/>
          <w:sz w:val="28"/>
          <w:szCs w:val="16"/>
          <w:highlight w:val="none"/>
        </w:rPr>
      </w:pPr>
    </w:p>
    <w:p w14:paraId="6DDAB962">
      <w:pPr>
        <w:spacing w:line="520" w:lineRule="exact"/>
        <w:outlineLvl w:val="9"/>
        <w:rPr>
          <w:rFonts w:hint="eastAsia" w:ascii="仿宋" w:hAnsi="仿宋" w:eastAsia="仿宋" w:cs="仿宋"/>
          <w:b w:val="0"/>
          <w:bCs/>
          <w:color w:val="auto"/>
          <w:sz w:val="28"/>
          <w:szCs w:val="16"/>
          <w:highlight w:val="none"/>
        </w:rPr>
      </w:pPr>
    </w:p>
    <w:p w14:paraId="258C05E4">
      <w:pPr>
        <w:spacing w:line="520" w:lineRule="exact"/>
        <w:ind w:left="560" w:firstLine="560" w:firstLineChars="200"/>
        <w:jc w:val="center"/>
        <w:outlineLvl w:val="9"/>
        <w:rPr>
          <w:rFonts w:hint="eastAsia" w:ascii="仿宋" w:hAnsi="仿宋" w:eastAsia="仿宋" w:cs="仿宋"/>
          <w:b w:val="0"/>
          <w:bCs/>
          <w:color w:val="auto"/>
          <w:sz w:val="28"/>
          <w:szCs w:val="16"/>
          <w:highlight w:val="none"/>
          <w:u w:val="single"/>
          <w:lang w:val="en-US" w:eastAsia="zh-CN"/>
        </w:rPr>
      </w:pPr>
      <w:r>
        <w:rPr>
          <w:rFonts w:hint="eastAsia" w:ascii="仿宋" w:hAnsi="仿宋" w:eastAsia="仿宋" w:cs="仿宋"/>
          <w:b w:val="0"/>
          <w:bCs/>
          <w:color w:val="auto"/>
          <w:sz w:val="28"/>
          <w:szCs w:val="16"/>
          <w:highlight w:val="none"/>
        </w:rPr>
        <w:t>甲方:</w:t>
      </w:r>
      <w:r>
        <w:rPr>
          <w:rFonts w:hint="eastAsia" w:ascii="仿宋" w:hAnsi="仿宋" w:eastAsia="仿宋" w:cs="仿宋"/>
          <w:b w:val="0"/>
          <w:bCs/>
          <w:color w:val="auto"/>
          <w:sz w:val="28"/>
          <w:szCs w:val="16"/>
          <w:highlight w:val="none"/>
          <w:u w:val="single"/>
          <w:lang w:eastAsia="zh-CN"/>
        </w:rPr>
        <w:t>富蕴县</w:t>
      </w:r>
      <w:r>
        <w:rPr>
          <w:rFonts w:hint="eastAsia" w:ascii="仿宋" w:hAnsi="仿宋" w:eastAsia="仿宋" w:cs="仿宋"/>
          <w:b w:val="0"/>
          <w:bCs/>
          <w:color w:val="auto"/>
          <w:sz w:val="28"/>
          <w:szCs w:val="16"/>
          <w:highlight w:val="none"/>
          <w:u w:val="single"/>
        </w:rPr>
        <w:t>疾病预防控制中心</w:t>
      </w:r>
    </w:p>
    <w:p w14:paraId="3EB62C0F">
      <w:pPr>
        <w:spacing w:line="520" w:lineRule="exact"/>
        <w:ind w:left="560" w:firstLine="560" w:firstLineChars="200"/>
        <w:jc w:val="center"/>
        <w:outlineLvl w:val="9"/>
        <w:rPr>
          <w:rFonts w:hint="eastAsia" w:ascii="仿宋" w:hAnsi="仿宋" w:eastAsia="仿宋" w:cs="仿宋"/>
          <w:b w:val="0"/>
          <w:bCs/>
          <w:color w:val="auto"/>
          <w:sz w:val="28"/>
          <w:szCs w:val="16"/>
          <w:highlight w:val="none"/>
        </w:rPr>
      </w:pPr>
    </w:p>
    <w:p w14:paraId="7F85BC04">
      <w:pPr>
        <w:spacing w:line="520" w:lineRule="exact"/>
        <w:ind w:left="560" w:firstLine="3080" w:firstLineChars="1100"/>
        <w:jc w:val="both"/>
        <w:outlineLvl w:val="9"/>
        <w:rPr>
          <w:rFonts w:hint="default" w:ascii="仿宋" w:hAnsi="仿宋" w:eastAsia="仿宋" w:cs="仿宋"/>
          <w:b w:val="0"/>
          <w:bCs/>
          <w:color w:val="auto"/>
          <w:sz w:val="28"/>
          <w:szCs w:val="16"/>
          <w:highlight w:val="none"/>
          <w:lang w:val="en-US"/>
        </w:rPr>
      </w:pPr>
      <w:r>
        <w:rPr>
          <w:rFonts w:hint="eastAsia" w:ascii="仿宋" w:hAnsi="仿宋" w:eastAsia="仿宋" w:cs="仿宋"/>
          <w:b w:val="0"/>
          <w:bCs/>
          <w:color w:val="auto"/>
          <w:sz w:val="28"/>
          <w:szCs w:val="16"/>
          <w:highlight w:val="none"/>
        </w:rPr>
        <w:t>乙方:</w:t>
      </w:r>
      <w:r>
        <w:rPr>
          <w:rFonts w:hint="eastAsia" w:ascii="仿宋" w:hAnsi="仿宋" w:eastAsia="仿宋" w:cs="仿宋"/>
          <w:b w:val="0"/>
          <w:bCs/>
          <w:color w:val="auto"/>
          <w:sz w:val="28"/>
          <w:szCs w:val="16"/>
          <w:highlight w:val="none"/>
          <w:u w:val="single"/>
          <w:lang w:val="en-US" w:eastAsia="zh-CN"/>
        </w:rPr>
        <w:t xml:space="preserve">                       </w:t>
      </w:r>
    </w:p>
    <w:p w14:paraId="025F1160">
      <w:pPr>
        <w:spacing w:line="520" w:lineRule="exact"/>
        <w:ind w:left="560" w:firstLine="560" w:firstLineChars="200"/>
        <w:jc w:val="center"/>
        <w:outlineLvl w:val="9"/>
        <w:rPr>
          <w:rFonts w:hint="eastAsia" w:ascii="仿宋" w:hAnsi="仿宋" w:eastAsia="仿宋" w:cs="仿宋"/>
          <w:b w:val="0"/>
          <w:bCs/>
          <w:color w:val="auto"/>
          <w:sz w:val="28"/>
          <w:szCs w:val="16"/>
          <w:highlight w:val="none"/>
          <w:lang w:eastAsia="zh-CN"/>
        </w:rPr>
      </w:pPr>
      <w:r>
        <w:rPr>
          <w:rFonts w:hint="eastAsia" w:ascii="仿宋" w:hAnsi="仿宋" w:eastAsia="仿宋" w:cs="仿宋"/>
          <w:b w:val="0"/>
          <w:bCs/>
          <w:color w:val="auto"/>
          <w:sz w:val="28"/>
          <w:szCs w:val="16"/>
          <w:highlight w:val="none"/>
        </w:rPr>
        <w:t>合同签订地点:</w:t>
      </w:r>
      <w:r>
        <w:rPr>
          <w:rFonts w:hint="eastAsia" w:ascii="仿宋" w:hAnsi="仿宋" w:eastAsia="仿宋" w:cs="仿宋"/>
          <w:b w:val="0"/>
          <w:bCs/>
          <w:color w:val="auto"/>
          <w:sz w:val="28"/>
          <w:szCs w:val="16"/>
          <w:highlight w:val="none"/>
          <w:lang w:eastAsia="zh-CN"/>
        </w:rPr>
        <w:t>富蕴县</w:t>
      </w:r>
    </w:p>
    <w:p w14:paraId="78E4268E">
      <w:pPr>
        <w:spacing w:line="520" w:lineRule="exact"/>
        <w:ind w:left="560" w:firstLine="560" w:firstLineChars="200"/>
        <w:jc w:val="center"/>
        <w:outlineLvl w:val="9"/>
        <w:rPr>
          <w:rFonts w:hint="eastAsia" w:ascii="仿宋" w:hAnsi="仿宋" w:eastAsia="仿宋" w:cs="仿宋"/>
          <w:b w:val="0"/>
          <w:bCs/>
          <w:color w:val="auto"/>
          <w:sz w:val="28"/>
          <w:szCs w:val="16"/>
          <w:highlight w:val="none"/>
          <w:lang w:eastAsia="zh-CN"/>
        </w:rPr>
      </w:pPr>
    </w:p>
    <w:p w14:paraId="474C8D0B">
      <w:pPr>
        <w:spacing w:line="520" w:lineRule="exact"/>
        <w:ind w:left="560" w:firstLine="560" w:firstLineChars="200"/>
        <w:jc w:val="center"/>
        <w:outlineLvl w:val="9"/>
        <w:rPr>
          <w:rFonts w:hint="eastAsia" w:ascii="仿宋" w:hAnsi="仿宋" w:eastAsia="仿宋" w:cs="仿宋"/>
          <w:b w:val="0"/>
          <w:bCs/>
          <w:color w:val="auto"/>
          <w:sz w:val="28"/>
          <w:szCs w:val="16"/>
          <w:highlight w:val="none"/>
        </w:rPr>
      </w:pPr>
      <w:r>
        <w:rPr>
          <w:rFonts w:hint="eastAsia" w:ascii="仿宋" w:hAnsi="仿宋" w:eastAsia="仿宋" w:cs="仿宋"/>
          <w:b w:val="0"/>
          <w:bCs/>
          <w:color w:val="auto"/>
          <w:sz w:val="28"/>
          <w:szCs w:val="16"/>
          <w:highlight w:val="none"/>
        </w:rPr>
        <w:t>二零二</w:t>
      </w:r>
      <w:r>
        <w:rPr>
          <w:rFonts w:hint="eastAsia" w:ascii="仿宋" w:hAnsi="仿宋" w:eastAsia="仿宋" w:cs="仿宋"/>
          <w:b w:val="0"/>
          <w:bCs/>
          <w:color w:val="auto"/>
          <w:sz w:val="28"/>
          <w:szCs w:val="16"/>
          <w:highlight w:val="none"/>
          <w:u w:val="single"/>
          <w:lang w:val="en-US" w:eastAsia="zh-CN"/>
        </w:rPr>
        <w:t xml:space="preserve">    </w:t>
      </w:r>
      <w:r>
        <w:rPr>
          <w:rFonts w:hint="eastAsia" w:ascii="仿宋" w:hAnsi="仿宋" w:eastAsia="仿宋" w:cs="仿宋"/>
          <w:b w:val="0"/>
          <w:bCs/>
          <w:color w:val="auto"/>
          <w:sz w:val="28"/>
          <w:szCs w:val="16"/>
          <w:highlight w:val="none"/>
        </w:rPr>
        <w:t>年</w:t>
      </w:r>
      <w:r>
        <w:rPr>
          <w:rFonts w:hint="eastAsia" w:ascii="仿宋" w:hAnsi="仿宋" w:eastAsia="仿宋" w:cs="仿宋"/>
          <w:b w:val="0"/>
          <w:bCs/>
          <w:color w:val="auto"/>
          <w:sz w:val="28"/>
          <w:szCs w:val="16"/>
          <w:highlight w:val="none"/>
          <w:lang w:val="en-US" w:eastAsia="zh-CN"/>
        </w:rPr>
        <w:t xml:space="preserve"> </w:t>
      </w:r>
      <w:r>
        <w:rPr>
          <w:rFonts w:hint="eastAsia" w:ascii="仿宋" w:hAnsi="仿宋" w:eastAsia="仿宋" w:cs="仿宋"/>
          <w:b w:val="0"/>
          <w:bCs/>
          <w:color w:val="auto"/>
          <w:sz w:val="28"/>
          <w:szCs w:val="16"/>
          <w:highlight w:val="none"/>
          <w:u w:val="single"/>
          <w:lang w:val="en-US" w:eastAsia="zh-CN"/>
        </w:rPr>
        <w:t xml:space="preserve">    </w:t>
      </w:r>
      <w:r>
        <w:rPr>
          <w:rFonts w:hint="eastAsia" w:ascii="仿宋" w:hAnsi="仿宋" w:eastAsia="仿宋" w:cs="仿宋"/>
          <w:b w:val="0"/>
          <w:bCs/>
          <w:color w:val="auto"/>
          <w:sz w:val="28"/>
          <w:szCs w:val="16"/>
          <w:highlight w:val="none"/>
        </w:rPr>
        <w:t>月</w:t>
      </w:r>
    </w:p>
    <w:p w14:paraId="3D29D7DF">
      <w:pPr>
        <w:rPr>
          <w:rFonts w:hint="eastAsia" w:ascii="仿宋" w:hAnsi="仿宋" w:eastAsia="仿宋" w:cs="仿宋"/>
          <w:b w:val="0"/>
          <w:bCs/>
          <w:color w:val="auto"/>
          <w:sz w:val="28"/>
          <w:szCs w:val="16"/>
          <w:highlight w:val="none"/>
        </w:rPr>
      </w:pPr>
      <w:r>
        <w:rPr>
          <w:rFonts w:hint="eastAsia" w:ascii="仿宋" w:hAnsi="仿宋" w:eastAsia="仿宋" w:cs="仿宋"/>
          <w:b w:val="0"/>
          <w:bCs/>
          <w:color w:val="auto"/>
          <w:sz w:val="28"/>
          <w:szCs w:val="16"/>
          <w:highlight w:val="none"/>
        </w:rPr>
        <w:br w:type="page"/>
      </w:r>
    </w:p>
    <w:p w14:paraId="3D7B666E">
      <w:pPr>
        <w:spacing w:line="520" w:lineRule="exact"/>
        <w:ind w:left="560" w:firstLine="560" w:firstLineChars="200"/>
        <w:jc w:val="center"/>
        <w:outlineLvl w:val="9"/>
        <w:rPr>
          <w:rFonts w:hint="eastAsia" w:ascii="仿宋" w:hAnsi="仿宋" w:eastAsia="仿宋" w:cs="仿宋"/>
          <w:b w:val="0"/>
          <w:bCs/>
          <w:color w:val="auto"/>
          <w:sz w:val="28"/>
          <w:szCs w:val="16"/>
          <w:highlight w:val="none"/>
        </w:rPr>
      </w:pPr>
      <w:r>
        <w:rPr>
          <w:rFonts w:hint="eastAsia" w:ascii="仿宋" w:hAnsi="仿宋" w:eastAsia="仿宋" w:cs="仿宋"/>
          <w:b w:val="0"/>
          <w:bCs/>
          <w:color w:val="auto"/>
          <w:sz w:val="28"/>
          <w:szCs w:val="16"/>
          <w:highlight w:val="none"/>
        </w:rPr>
        <w:t>采购(专用)合同</w:t>
      </w:r>
    </w:p>
    <w:p w14:paraId="08C20397">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甲方:</w:t>
      </w:r>
      <w:r>
        <w:rPr>
          <w:rFonts w:hint="eastAsia" w:ascii="仿宋" w:hAnsi="仿宋" w:eastAsia="仿宋" w:cs="仿宋"/>
          <w:b w:val="0"/>
          <w:bCs/>
          <w:color w:val="auto"/>
          <w:sz w:val="24"/>
          <w:szCs w:val="15"/>
          <w:highlight w:val="none"/>
          <w:u w:val="single"/>
          <w:lang w:eastAsia="zh-CN"/>
        </w:rPr>
        <w:t>富蕴县</w:t>
      </w:r>
      <w:r>
        <w:rPr>
          <w:rFonts w:hint="eastAsia" w:ascii="仿宋" w:hAnsi="仿宋" w:eastAsia="仿宋" w:cs="仿宋"/>
          <w:b w:val="0"/>
          <w:bCs/>
          <w:color w:val="auto"/>
          <w:sz w:val="24"/>
          <w:szCs w:val="15"/>
          <w:highlight w:val="none"/>
          <w:u w:val="single"/>
        </w:rPr>
        <w:t>疾病预防控制中心</w:t>
      </w:r>
    </w:p>
    <w:p w14:paraId="1D9CB3B7">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乙方:</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val="en-US" w:eastAsia="zh-CN"/>
        </w:rPr>
        <w:t xml:space="preserve">   </w:t>
      </w:r>
    </w:p>
    <w:p w14:paraId="1D00C32F">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eastAsia="zh-CN"/>
        </w:rPr>
        <w:t>富蕴县</w:t>
      </w:r>
      <w:r>
        <w:rPr>
          <w:rFonts w:hint="eastAsia" w:ascii="仿宋" w:hAnsi="仿宋" w:eastAsia="仿宋" w:cs="仿宋"/>
          <w:b w:val="0"/>
          <w:bCs/>
          <w:color w:val="auto"/>
          <w:sz w:val="24"/>
          <w:szCs w:val="15"/>
          <w:highlight w:val="none"/>
        </w:rPr>
        <w:t>疾病预防控制中心(以下简称甲方)经</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rPr>
        <w:t>组织的招标采购，选定</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rPr>
        <w:t>(以下简称乙方):为提供</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rPr>
        <w:t>的中标单位。依据《中华人民共和国民法典》、《中华人民共和国政府采购法》及相关法律、法规，经甲、乙双方共同协商，按下述条款签署本合同。</w:t>
      </w:r>
    </w:p>
    <w:p w14:paraId="247C4711">
      <w:pPr>
        <w:spacing w:line="520" w:lineRule="exact"/>
        <w:ind w:left="560" w:firstLine="480" w:firstLineChars="200"/>
        <w:outlineLvl w:val="9"/>
        <w:rPr>
          <w:rFonts w:hint="eastAsia" w:ascii="仿宋" w:hAnsi="仿宋" w:eastAsia="仿宋" w:cs="仿宋"/>
          <w:b/>
          <w:bCs w:val="0"/>
          <w:color w:val="auto"/>
          <w:sz w:val="24"/>
          <w:szCs w:val="15"/>
          <w:highlight w:val="none"/>
        </w:rPr>
      </w:pPr>
      <w:r>
        <w:rPr>
          <w:rFonts w:hint="eastAsia" w:ascii="仿宋" w:hAnsi="仿宋" w:eastAsia="仿宋" w:cs="仿宋"/>
          <w:b/>
          <w:bCs w:val="0"/>
          <w:color w:val="auto"/>
          <w:sz w:val="24"/>
          <w:szCs w:val="15"/>
          <w:highlight w:val="none"/>
        </w:rPr>
        <w:t>合同标的、规格、数量、单价</w:t>
      </w:r>
    </w:p>
    <w:tbl>
      <w:tblPr>
        <w:tblStyle w:val="18"/>
        <w:tblW w:w="10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0" w:type="dxa"/>
          <w:left w:w="64" w:type="dxa"/>
          <w:bottom w:w="40" w:type="dxa"/>
          <w:right w:w="64" w:type="dxa"/>
        </w:tblCellMar>
      </w:tblPr>
      <w:tblGrid>
        <w:gridCol w:w="1375"/>
        <w:gridCol w:w="1289"/>
        <w:gridCol w:w="1289"/>
        <w:gridCol w:w="1289"/>
        <w:gridCol w:w="1289"/>
        <w:gridCol w:w="1474"/>
        <w:gridCol w:w="1474"/>
        <w:gridCol w:w="1290"/>
      </w:tblGrid>
      <w:tr w14:paraId="7DB6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375" w:type="dxa"/>
            <w:noWrap w:val="0"/>
            <w:vAlign w:val="center"/>
          </w:tcPr>
          <w:p w14:paraId="433449A4">
            <w:pPr>
              <w:snapToGrid w:val="0"/>
              <w:spacing w:line="520" w:lineRule="exact"/>
              <w:jc w:val="center"/>
              <w:outlineLvl w:val="9"/>
              <w:rPr>
                <w:rFonts w:hint="eastAsia" w:ascii="仿宋" w:hAnsi="仿宋" w:eastAsia="仿宋" w:cs="仿宋"/>
                <w:b/>
                <w:bCs/>
                <w:color w:val="auto"/>
                <w:sz w:val="24"/>
                <w:szCs w:val="15"/>
                <w:highlight w:val="none"/>
                <w:lang w:eastAsia="zh-CN"/>
              </w:rPr>
            </w:pPr>
            <w:r>
              <w:rPr>
                <w:rFonts w:hint="eastAsia" w:ascii="仿宋" w:hAnsi="仿宋" w:eastAsia="仿宋" w:cs="仿宋"/>
                <w:b/>
                <w:bCs/>
                <w:color w:val="auto"/>
                <w:sz w:val="24"/>
                <w:szCs w:val="15"/>
                <w:highlight w:val="none"/>
                <w:lang w:eastAsia="zh-CN"/>
              </w:rPr>
              <w:t>序号</w:t>
            </w:r>
          </w:p>
        </w:tc>
        <w:tc>
          <w:tcPr>
            <w:tcW w:w="1289" w:type="dxa"/>
            <w:noWrap w:val="0"/>
            <w:vAlign w:val="center"/>
          </w:tcPr>
          <w:p w14:paraId="74B02838">
            <w:pPr>
              <w:snapToGrid w:val="0"/>
              <w:spacing w:line="520" w:lineRule="exact"/>
              <w:jc w:val="center"/>
              <w:outlineLvl w:val="9"/>
              <w:rPr>
                <w:rFonts w:hint="eastAsia" w:ascii="仿宋" w:hAnsi="仿宋" w:eastAsia="仿宋" w:cs="仿宋"/>
                <w:b/>
                <w:bCs/>
                <w:color w:val="auto"/>
                <w:sz w:val="24"/>
                <w:szCs w:val="15"/>
                <w:highlight w:val="none"/>
              </w:rPr>
            </w:pPr>
            <w:r>
              <w:rPr>
                <w:rFonts w:hint="eastAsia" w:ascii="仿宋" w:hAnsi="仿宋" w:eastAsia="仿宋" w:cs="仿宋"/>
                <w:b/>
                <w:bCs/>
                <w:color w:val="auto"/>
                <w:sz w:val="24"/>
                <w:szCs w:val="15"/>
                <w:highlight w:val="none"/>
                <w:lang w:eastAsia="zh-CN"/>
              </w:rPr>
              <w:t>产品名称</w:t>
            </w:r>
          </w:p>
        </w:tc>
        <w:tc>
          <w:tcPr>
            <w:tcW w:w="1289" w:type="dxa"/>
            <w:noWrap w:val="0"/>
            <w:vAlign w:val="center"/>
          </w:tcPr>
          <w:p w14:paraId="3F477CE0">
            <w:pPr>
              <w:snapToGrid w:val="0"/>
              <w:spacing w:line="520" w:lineRule="exact"/>
              <w:jc w:val="center"/>
              <w:outlineLvl w:val="9"/>
              <w:rPr>
                <w:rFonts w:hint="eastAsia" w:ascii="仿宋" w:hAnsi="仿宋" w:eastAsia="仿宋" w:cs="仿宋"/>
                <w:b/>
                <w:bCs/>
                <w:color w:val="auto"/>
                <w:sz w:val="24"/>
                <w:szCs w:val="15"/>
                <w:highlight w:val="none"/>
                <w:lang w:val="en-US" w:eastAsia="zh-CN"/>
              </w:rPr>
            </w:pPr>
            <w:r>
              <w:rPr>
                <w:rFonts w:hint="eastAsia" w:ascii="仿宋" w:hAnsi="仿宋" w:eastAsia="仿宋" w:cs="仿宋"/>
                <w:b/>
                <w:bCs/>
                <w:color w:val="auto"/>
                <w:sz w:val="24"/>
                <w:szCs w:val="15"/>
                <w:highlight w:val="none"/>
                <w:lang w:val="en-US" w:eastAsia="zh-CN"/>
              </w:rPr>
              <w:t>规格型号及配套设备</w:t>
            </w:r>
          </w:p>
        </w:tc>
        <w:tc>
          <w:tcPr>
            <w:tcW w:w="1289" w:type="dxa"/>
            <w:noWrap w:val="0"/>
            <w:vAlign w:val="center"/>
          </w:tcPr>
          <w:p w14:paraId="3A0A01B9">
            <w:pPr>
              <w:snapToGrid w:val="0"/>
              <w:spacing w:line="520" w:lineRule="exact"/>
              <w:jc w:val="center"/>
              <w:outlineLvl w:val="9"/>
              <w:rPr>
                <w:rFonts w:hint="eastAsia" w:ascii="仿宋" w:hAnsi="仿宋" w:eastAsia="仿宋" w:cs="仿宋"/>
                <w:b/>
                <w:bCs/>
                <w:color w:val="auto"/>
                <w:sz w:val="24"/>
                <w:szCs w:val="15"/>
                <w:highlight w:val="none"/>
                <w:lang w:eastAsia="zh-CN"/>
              </w:rPr>
            </w:pPr>
            <w:r>
              <w:rPr>
                <w:rFonts w:hint="eastAsia" w:ascii="仿宋" w:hAnsi="仿宋" w:eastAsia="仿宋" w:cs="仿宋"/>
                <w:b/>
                <w:bCs/>
                <w:color w:val="auto"/>
                <w:sz w:val="24"/>
                <w:szCs w:val="15"/>
                <w:highlight w:val="none"/>
                <w:lang w:eastAsia="zh-CN"/>
              </w:rPr>
              <w:t>数量</w:t>
            </w:r>
          </w:p>
        </w:tc>
        <w:tc>
          <w:tcPr>
            <w:tcW w:w="1289" w:type="dxa"/>
            <w:noWrap w:val="0"/>
            <w:vAlign w:val="center"/>
          </w:tcPr>
          <w:p w14:paraId="6EB608ED">
            <w:pPr>
              <w:snapToGrid w:val="0"/>
              <w:spacing w:line="520" w:lineRule="exact"/>
              <w:jc w:val="center"/>
              <w:outlineLvl w:val="9"/>
              <w:rPr>
                <w:rFonts w:hint="eastAsia" w:ascii="仿宋" w:hAnsi="仿宋" w:eastAsia="仿宋" w:cs="仿宋"/>
                <w:b/>
                <w:bCs/>
                <w:color w:val="auto"/>
                <w:sz w:val="24"/>
                <w:szCs w:val="15"/>
                <w:highlight w:val="none"/>
                <w:lang w:eastAsia="zh-CN"/>
              </w:rPr>
            </w:pPr>
            <w:r>
              <w:rPr>
                <w:rFonts w:hint="eastAsia" w:ascii="仿宋" w:hAnsi="仿宋" w:eastAsia="仿宋" w:cs="仿宋"/>
                <w:b/>
                <w:bCs/>
                <w:color w:val="auto"/>
                <w:sz w:val="24"/>
                <w:szCs w:val="15"/>
                <w:highlight w:val="none"/>
                <w:lang w:eastAsia="zh-CN"/>
              </w:rPr>
              <w:t>计量单位</w:t>
            </w:r>
          </w:p>
        </w:tc>
        <w:tc>
          <w:tcPr>
            <w:tcW w:w="1474" w:type="dxa"/>
            <w:noWrap w:val="0"/>
            <w:vAlign w:val="center"/>
          </w:tcPr>
          <w:p w14:paraId="014EC8FF">
            <w:pPr>
              <w:snapToGrid w:val="0"/>
              <w:spacing w:line="520" w:lineRule="exact"/>
              <w:jc w:val="center"/>
              <w:outlineLvl w:val="9"/>
              <w:rPr>
                <w:rFonts w:hint="eastAsia" w:ascii="仿宋" w:hAnsi="仿宋" w:eastAsia="仿宋" w:cs="仿宋"/>
                <w:b/>
                <w:bCs/>
                <w:color w:val="auto"/>
                <w:sz w:val="24"/>
                <w:szCs w:val="15"/>
                <w:highlight w:val="none"/>
                <w:lang w:eastAsia="zh-CN"/>
              </w:rPr>
            </w:pPr>
            <w:r>
              <w:rPr>
                <w:rFonts w:hint="eastAsia" w:ascii="仿宋" w:hAnsi="仿宋" w:eastAsia="仿宋" w:cs="仿宋"/>
                <w:b/>
                <w:bCs/>
                <w:color w:val="auto"/>
                <w:sz w:val="24"/>
                <w:szCs w:val="15"/>
                <w:highlight w:val="none"/>
                <w:lang w:eastAsia="zh-CN"/>
              </w:rPr>
              <w:t>单价（元）</w:t>
            </w:r>
          </w:p>
        </w:tc>
        <w:tc>
          <w:tcPr>
            <w:tcW w:w="1474" w:type="dxa"/>
            <w:noWrap w:val="0"/>
            <w:vAlign w:val="center"/>
          </w:tcPr>
          <w:p w14:paraId="6C2ABA4E">
            <w:pPr>
              <w:snapToGrid w:val="0"/>
              <w:spacing w:line="520" w:lineRule="exact"/>
              <w:jc w:val="center"/>
              <w:outlineLvl w:val="9"/>
              <w:rPr>
                <w:rFonts w:hint="eastAsia" w:ascii="仿宋" w:hAnsi="仿宋" w:eastAsia="仿宋" w:cs="仿宋"/>
                <w:b/>
                <w:bCs/>
                <w:color w:val="auto"/>
                <w:sz w:val="24"/>
                <w:szCs w:val="15"/>
                <w:highlight w:val="none"/>
                <w:lang w:eastAsia="zh-CN"/>
              </w:rPr>
            </w:pPr>
            <w:r>
              <w:rPr>
                <w:rFonts w:hint="eastAsia" w:ascii="仿宋" w:hAnsi="仿宋" w:eastAsia="仿宋" w:cs="仿宋"/>
                <w:b/>
                <w:bCs/>
                <w:color w:val="auto"/>
                <w:sz w:val="24"/>
                <w:szCs w:val="15"/>
                <w:highlight w:val="none"/>
                <w:lang w:eastAsia="zh-CN"/>
              </w:rPr>
              <w:t>金额（元）</w:t>
            </w:r>
          </w:p>
        </w:tc>
        <w:tc>
          <w:tcPr>
            <w:tcW w:w="1290" w:type="dxa"/>
            <w:noWrap w:val="0"/>
            <w:vAlign w:val="center"/>
          </w:tcPr>
          <w:p w14:paraId="23EC4C69">
            <w:pPr>
              <w:snapToGrid w:val="0"/>
              <w:spacing w:line="520" w:lineRule="exact"/>
              <w:jc w:val="center"/>
              <w:outlineLvl w:val="9"/>
              <w:rPr>
                <w:rFonts w:hint="eastAsia" w:ascii="仿宋" w:hAnsi="仿宋" w:eastAsia="仿宋" w:cs="仿宋"/>
                <w:b/>
                <w:bCs/>
                <w:color w:val="auto"/>
                <w:sz w:val="24"/>
                <w:szCs w:val="15"/>
                <w:highlight w:val="none"/>
                <w:lang w:eastAsia="zh-CN"/>
              </w:rPr>
            </w:pPr>
            <w:r>
              <w:rPr>
                <w:rFonts w:hint="eastAsia" w:ascii="仿宋" w:hAnsi="仿宋" w:eastAsia="仿宋" w:cs="仿宋"/>
                <w:b/>
                <w:bCs/>
                <w:color w:val="auto"/>
                <w:sz w:val="24"/>
                <w:szCs w:val="15"/>
                <w:highlight w:val="none"/>
                <w:lang w:eastAsia="zh-CN"/>
              </w:rPr>
              <w:t>备注</w:t>
            </w:r>
          </w:p>
        </w:tc>
      </w:tr>
      <w:tr w14:paraId="39DA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75" w:type="dxa"/>
            <w:noWrap w:val="0"/>
            <w:vAlign w:val="center"/>
          </w:tcPr>
          <w:p w14:paraId="43EE34B7">
            <w:pPr>
              <w:snapToGrid w:val="0"/>
              <w:spacing w:line="520" w:lineRule="exact"/>
              <w:jc w:val="center"/>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1</w:t>
            </w:r>
          </w:p>
        </w:tc>
        <w:tc>
          <w:tcPr>
            <w:tcW w:w="1289" w:type="dxa"/>
            <w:noWrap w:val="0"/>
            <w:vAlign w:val="center"/>
          </w:tcPr>
          <w:p w14:paraId="52EBE5CD">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3C188982">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6972A04C">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4AA16D03">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11A0BC79">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638EC52F">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90" w:type="dxa"/>
            <w:noWrap w:val="0"/>
            <w:vAlign w:val="center"/>
          </w:tcPr>
          <w:p w14:paraId="0CA2E3B7">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r>
      <w:tr w14:paraId="4BD7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75" w:type="dxa"/>
            <w:noWrap w:val="0"/>
            <w:vAlign w:val="center"/>
          </w:tcPr>
          <w:p w14:paraId="37488D72">
            <w:pPr>
              <w:snapToGrid w:val="0"/>
              <w:spacing w:line="520" w:lineRule="exact"/>
              <w:jc w:val="center"/>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2</w:t>
            </w:r>
          </w:p>
        </w:tc>
        <w:tc>
          <w:tcPr>
            <w:tcW w:w="1289" w:type="dxa"/>
            <w:noWrap w:val="0"/>
            <w:vAlign w:val="center"/>
          </w:tcPr>
          <w:p w14:paraId="1E611FA2">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04A6B30C">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1B03775D">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54D2E862">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7733414F">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524E5137">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90" w:type="dxa"/>
            <w:noWrap w:val="0"/>
            <w:vAlign w:val="center"/>
          </w:tcPr>
          <w:p w14:paraId="2561C2AD">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r>
      <w:tr w14:paraId="7443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75" w:type="dxa"/>
            <w:noWrap w:val="0"/>
            <w:vAlign w:val="center"/>
          </w:tcPr>
          <w:p w14:paraId="268C4CE5">
            <w:pPr>
              <w:snapToGrid w:val="0"/>
              <w:spacing w:line="520" w:lineRule="exact"/>
              <w:jc w:val="center"/>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3</w:t>
            </w:r>
          </w:p>
        </w:tc>
        <w:tc>
          <w:tcPr>
            <w:tcW w:w="1289" w:type="dxa"/>
            <w:noWrap w:val="0"/>
            <w:vAlign w:val="center"/>
          </w:tcPr>
          <w:p w14:paraId="246EA61B">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1F401E61">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rPr>
            </w:pPr>
          </w:p>
        </w:tc>
        <w:tc>
          <w:tcPr>
            <w:tcW w:w="1289" w:type="dxa"/>
            <w:noWrap w:val="0"/>
            <w:vAlign w:val="center"/>
          </w:tcPr>
          <w:p w14:paraId="6D333A81">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6776323A">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rPr>
            </w:pPr>
          </w:p>
        </w:tc>
        <w:tc>
          <w:tcPr>
            <w:tcW w:w="1474" w:type="dxa"/>
            <w:noWrap w:val="0"/>
            <w:vAlign w:val="center"/>
          </w:tcPr>
          <w:p w14:paraId="20E1D76A">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410A9AD7">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90" w:type="dxa"/>
            <w:noWrap w:val="0"/>
            <w:vAlign w:val="center"/>
          </w:tcPr>
          <w:p w14:paraId="3D02D4E1">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r>
      <w:tr w14:paraId="05DB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75" w:type="dxa"/>
            <w:noWrap w:val="0"/>
            <w:vAlign w:val="center"/>
          </w:tcPr>
          <w:p w14:paraId="01976970">
            <w:pPr>
              <w:snapToGrid w:val="0"/>
              <w:spacing w:line="520" w:lineRule="exact"/>
              <w:jc w:val="center"/>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4</w:t>
            </w:r>
          </w:p>
        </w:tc>
        <w:tc>
          <w:tcPr>
            <w:tcW w:w="1289" w:type="dxa"/>
            <w:noWrap w:val="0"/>
            <w:vAlign w:val="center"/>
          </w:tcPr>
          <w:p w14:paraId="1B4703FE">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3470191C">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rPr>
            </w:pPr>
          </w:p>
        </w:tc>
        <w:tc>
          <w:tcPr>
            <w:tcW w:w="1289" w:type="dxa"/>
            <w:noWrap w:val="0"/>
            <w:vAlign w:val="center"/>
          </w:tcPr>
          <w:p w14:paraId="744F5FDE">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1D0BE2E1">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rPr>
            </w:pPr>
          </w:p>
        </w:tc>
        <w:tc>
          <w:tcPr>
            <w:tcW w:w="1474" w:type="dxa"/>
            <w:noWrap w:val="0"/>
            <w:vAlign w:val="center"/>
          </w:tcPr>
          <w:p w14:paraId="053A642B">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4D6AFDF0">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90" w:type="dxa"/>
            <w:noWrap w:val="0"/>
            <w:vAlign w:val="center"/>
          </w:tcPr>
          <w:p w14:paraId="76834FA4">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r>
      <w:tr w14:paraId="6FC1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75" w:type="dxa"/>
            <w:noWrap w:val="0"/>
            <w:vAlign w:val="center"/>
          </w:tcPr>
          <w:p w14:paraId="70D577C0">
            <w:pPr>
              <w:snapToGrid w:val="0"/>
              <w:spacing w:line="520" w:lineRule="exact"/>
              <w:jc w:val="center"/>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5</w:t>
            </w:r>
          </w:p>
        </w:tc>
        <w:tc>
          <w:tcPr>
            <w:tcW w:w="1289" w:type="dxa"/>
            <w:noWrap w:val="0"/>
            <w:vAlign w:val="center"/>
          </w:tcPr>
          <w:p w14:paraId="5F0AE779">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5DE46848">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6AA5E69B">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7A882D44">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rPr>
            </w:pPr>
          </w:p>
        </w:tc>
        <w:tc>
          <w:tcPr>
            <w:tcW w:w="1474" w:type="dxa"/>
            <w:noWrap w:val="0"/>
            <w:vAlign w:val="center"/>
          </w:tcPr>
          <w:p w14:paraId="0B6D0B81">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4BBD30C3">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90" w:type="dxa"/>
            <w:noWrap w:val="0"/>
            <w:vAlign w:val="center"/>
          </w:tcPr>
          <w:p w14:paraId="45A8FB18">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r>
      <w:tr w14:paraId="2385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75" w:type="dxa"/>
            <w:noWrap w:val="0"/>
            <w:vAlign w:val="center"/>
          </w:tcPr>
          <w:p w14:paraId="005960A1">
            <w:pPr>
              <w:snapToGrid w:val="0"/>
              <w:spacing w:line="520" w:lineRule="exact"/>
              <w:jc w:val="center"/>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6</w:t>
            </w:r>
          </w:p>
        </w:tc>
        <w:tc>
          <w:tcPr>
            <w:tcW w:w="1289" w:type="dxa"/>
            <w:noWrap w:val="0"/>
            <w:vAlign w:val="center"/>
          </w:tcPr>
          <w:p w14:paraId="6D240219">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4B192A31">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03A851DC">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5BD35F3E">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663765FB">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7FA0CE07">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90" w:type="dxa"/>
            <w:noWrap w:val="0"/>
            <w:vAlign w:val="center"/>
          </w:tcPr>
          <w:p w14:paraId="71BC9D6D">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r>
      <w:tr w14:paraId="5394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375" w:type="dxa"/>
            <w:noWrap w:val="0"/>
            <w:vAlign w:val="center"/>
          </w:tcPr>
          <w:p w14:paraId="23B61C8E">
            <w:pPr>
              <w:snapToGrid w:val="0"/>
              <w:spacing w:line="520" w:lineRule="exact"/>
              <w:jc w:val="center"/>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7</w:t>
            </w:r>
          </w:p>
        </w:tc>
        <w:tc>
          <w:tcPr>
            <w:tcW w:w="1289" w:type="dxa"/>
            <w:noWrap w:val="0"/>
            <w:vAlign w:val="center"/>
          </w:tcPr>
          <w:p w14:paraId="77923C88">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4B9A4F43">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595B07FC">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89" w:type="dxa"/>
            <w:noWrap w:val="0"/>
            <w:vAlign w:val="center"/>
          </w:tcPr>
          <w:p w14:paraId="33A5779E">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46FA772A">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474" w:type="dxa"/>
            <w:noWrap w:val="0"/>
            <w:vAlign w:val="center"/>
          </w:tcPr>
          <w:p w14:paraId="621BD4D6">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c>
          <w:tcPr>
            <w:tcW w:w="1290" w:type="dxa"/>
            <w:noWrap w:val="0"/>
            <w:vAlign w:val="center"/>
          </w:tcPr>
          <w:p w14:paraId="74B3C800">
            <w:pPr>
              <w:snapToGrid w:val="0"/>
              <w:spacing w:line="520" w:lineRule="exact"/>
              <w:ind w:left="560" w:firstLine="480" w:firstLineChars="200"/>
              <w:jc w:val="center"/>
              <w:outlineLvl w:val="9"/>
              <w:rPr>
                <w:rFonts w:hint="eastAsia" w:ascii="仿宋" w:hAnsi="仿宋" w:eastAsia="仿宋" w:cs="仿宋"/>
                <w:b w:val="0"/>
                <w:bCs/>
                <w:color w:val="auto"/>
                <w:sz w:val="24"/>
                <w:szCs w:val="15"/>
                <w:highlight w:val="none"/>
                <w:lang w:val="en-US" w:eastAsia="zh-CN"/>
              </w:rPr>
            </w:pPr>
          </w:p>
        </w:tc>
      </w:tr>
      <w:tr w14:paraId="36CB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3953" w:type="dxa"/>
            <w:gridSpan w:val="3"/>
            <w:noWrap w:val="0"/>
            <w:vAlign w:val="center"/>
          </w:tcPr>
          <w:p w14:paraId="537E868B">
            <w:pPr>
              <w:snapToGrid w:val="0"/>
              <w:spacing w:line="520" w:lineRule="exact"/>
              <w:ind w:left="560" w:firstLine="480" w:firstLineChars="200"/>
              <w:jc w:val="center"/>
              <w:outlineLvl w:val="9"/>
              <w:rPr>
                <w:rFonts w:hint="eastAsia" w:ascii="仿宋" w:hAnsi="仿宋" w:eastAsia="仿宋" w:cs="仿宋"/>
                <w:b/>
                <w:bCs/>
                <w:color w:val="auto"/>
                <w:sz w:val="24"/>
                <w:szCs w:val="15"/>
                <w:highlight w:val="none"/>
                <w:lang w:val="en-US" w:eastAsia="zh-CN"/>
              </w:rPr>
            </w:pPr>
            <w:r>
              <w:rPr>
                <w:rFonts w:hint="eastAsia" w:ascii="仿宋" w:hAnsi="仿宋" w:eastAsia="仿宋" w:cs="仿宋"/>
                <w:b/>
                <w:bCs/>
                <w:color w:val="auto"/>
                <w:sz w:val="24"/>
                <w:szCs w:val="15"/>
                <w:highlight w:val="none"/>
                <w:lang w:val="en-US" w:eastAsia="zh-CN"/>
              </w:rPr>
              <w:t>合计金额（小写）：¥</w:t>
            </w:r>
          </w:p>
        </w:tc>
        <w:tc>
          <w:tcPr>
            <w:tcW w:w="6816" w:type="dxa"/>
            <w:gridSpan w:val="5"/>
            <w:noWrap w:val="0"/>
            <w:vAlign w:val="center"/>
          </w:tcPr>
          <w:p w14:paraId="48CA6B5C">
            <w:pPr>
              <w:snapToGrid w:val="0"/>
              <w:spacing w:line="520" w:lineRule="exact"/>
              <w:ind w:left="560" w:firstLine="480" w:firstLineChars="200"/>
              <w:jc w:val="center"/>
              <w:outlineLvl w:val="9"/>
              <w:rPr>
                <w:rFonts w:hint="eastAsia" w:ascii="仿宋" w:hAnsi="仿宋" w:eastAsia="仿宋" w:cs="仿宋"/>
                <w:b/>
                <w:bCs/>
                <w:color w:val="auto"/>
                <w:sz w:val="24"/>
                <w:szCs w:val="15"/>
                <w:highlight w:val="none"/>
                <w:lang w:val="en-US" w:eastAsia="zh-CN"/>
              </w:rPr>
            </w:pPr>
            <w:r>
              <w:rPr>
                <w:rFonts w:hint="eastAsia" w:ascii="仿宋" w:hAnsi="仿宋" w:eastAsia="仿宋" w:cs="仿宋"/>
                <w:b/>
                <w:bCs/>
                <w:color w:val="auto"/>
                <w:sz w:val="24"/>
                <w:szCs w:val="15"/>
                <w:highlight w:val="none"/>
                <w:lang w:val="en-US" w:eastAsia="zh-CN"/>
              </w:rPr>
              <w:t>合计金额（大写）：</w:t>
            </w:r>
          </w:p>
        </w:tc>
      </w:tr>
    </w:tbl>
    <w:p w14:paraId="0B102373">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（详细技术参数和售后服务见附件2）</w:t>
      </w:r>
    </w:p>
    <w:p w14:paraId="34A504E0">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说明:</w:t>
      </w:r>
    </w:p>
    <w:p w14:paraId="1B67BF2D">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(一)合同总价包含到达交货地点的运杂费、技术服务(相关技术指导)、安装费、运输费、保险费、培训及其他各项费用。</w:t>
      </w:r>
    </w:p>
    <w:p w14:paraId="1890FA1E">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(二)合同总价包括乙方销售本合同产品，国家根据现行税法向乙方征收的与履行合同有关的一切税费。</w:t>
      </w:r>
    </w:p>
    <w:p w14:paraId="2D031E07">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(三)合同总价一次包死，不受市场价格变化的影响，并作为结算的唯一依据。</w:t>
      </w:r>
    </w:p>
    <w:p w14:paraId="13CB5C34">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二、产品质量要求</w:t>
      </w:r>
    </w:p>
    <w:p w14:paraId="4A0F85DC">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(一)国家标准:符合国家标准</w:t>
      </w:r>
    </w:p>
    <w:p w14:paraId="7DAEF4D4">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(二)行业标准:符合行业标准</w:t>
      </w:r>
    </w:p>
    <w:p w14:paraId="6FD427AB">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eastAsia="zh-CN"/>
        </w:rPr>
        <w:t>(三)样品标准:</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u w:val="single"/>
          <w:lang w:val="en-US" w:eastAsia="zh-CN"/>
        </w:rPr>
        <w:t xml:space="preserve">    /    </w:t>
      </w:r>
      <w:r>
        <w:rPr>
          <w:rFonts w:hint="eastAsia" w:ascii="仿宋" w:hAnsi="仿宋" w:eastAsia="仿宋" w:cs="仿宋"/>
          <w:b w:val="0"/>
          <w:bCs/>
          <w:color w:val="auto"/>
          <w:sz w:val="24"/>
          <w:szCs w:val="15"/>
          <w:highlight w:val="none"/>
          <w:u w:val="single"/>
          <w:lang w:val="en-US" w:eastAsia="zh-CN"/>
        </w:rPr>
        <w:tab/>
      </w:r>
    </w:p>
    <w:p w14:paraId="581EDE0B">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(四)乙方提供的设备根据法律与行政法规规范有鉴定或校准要求的，应当提供在鉴定或校准有效期内的报告。</w:t>
      </w:r>
    </w:p>
    <w:p w14:paraId="4D68EEAB">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lang w:val="en-US" w:eastAsia="zh-CN"/>
        </w:rPr>
        <w:t>五</w:t>
      </w:r>
      <w:r>
        <w:rPr>
          <w:rFonts w:hint="eastAsia" w:ascii="仿宋" w:hAnsi="仿宋" w:eastAsia="仿宋" w:cs="仿宋"/>
          <w:b w:val="0"/>
          <w:bCs/>
          <w:color w:val="auto"/>
          <w:sz w:val="24"/>
          <w:szCs w:val="15"/>
          <w:highlight w:val="none"/>
          <w:lang w:eastAsia="zh-CN"/>
        </w:rPr>
        <w:t>）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7天内，免费负责更换新的产品。对造成的损失甲方保留索赔的权利。</w:t>
      </w:r>
    </w:p>
    <w:p w14:paraId="14F7FC6E">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lang w:val="en-US" w:eastAsia="zh-CN"/>
        </w:rPr>
        <w:t>六</w:t>
      </w:r>
      <w:r>
        <w:rPr>
          <w:rFonts w:hint="eastAsia" w:ascii="仿宋" w:hAnsi="仿宋" w:eastAsia="仿宋" w:cs="仿宋"/>
          <w:b w:val="0"/>
          <w:bCs/>
          <w:color w:val="auto"/>
          <w:sz w:val="24"/>
          <w:szCs w:val="15"/>
          <w:highlight w:val="none"/>
          <w:lang w:eastAsia="zh-CN"/>
        </w:rPr>
        <w:t>)因乙方产品发生知识产权纠纷、质量问题导致的产品被监管部门没收、罚款或召回及因第三方主张民事权利等造成的甲方经济损失和相关费用均由乙方承担。</w:t>
      </w:r>
    </w:p>
    <w:p w14:paraId="18803E9B">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三、包装方式及包装品处理</w:t>
      </w:r>
    </w:p>
    <w:p w14:paraId="5E5D349D">
      <w:pPr>
        <w:spacing w:line="520" w:lineRule="exact"/>
        <w:ind w:left="560" w:firstLine="480" w:firstLineChars="200"/>
        <w:outlineLvl w:val="9"/>
        <w:rPr>
          <w:rFonts w:hint="eastAsia" w:ascii="仿宋" w:hAnsi="仿宋" w:eastAsia="仿宋" w:cs="仿宋"/>
          <w:b w:val="0"/>
          <w:bCs/>
          <w:color w:val="auto"/>
          <w:sz w:val="24"/>
          <w:szCs w:val="15"/>
          <w:highlight w:val="none"/>
          <w:u w:val="single"/>
          <w:lang w:val="en-US" w:eastAsia="zh-CN"/>
        </w:rPr>
      </w:pPr>
      <w:r>
        <w:rPr>
          <w:rFonts w:hint="eastAsia" w:ascii="仿宋" w:hAnsi="仿宋" w:eastAsia="仿宋" w:cs="仿宋"/>
          <w:b w:val="0"/>
          <w:bCs/>
          <w:color w:val="auto"/>
          <w:sz w:val="24"/>
          <w:szCs w:val="15"/>
          <w:highlight w:val="none"/>
          <w:lang w:eastAsia="zh-CN"/>
        </w:rPr>
        <w:t>(一)包装方式:</w:t>
      </w:r>
      <w:r>
        <w:rPr>
          <w:rFonts w:hint="eastAsia" w:ascii="仿宋" w:hAnsi="仿宋" w:eastAsia="仿宋" w:cs="仿宋"/>
          <w:b w:val="0"/>
          <w:bCs/>
          <w:color w:val="auto"/>
          <w:sz w:val="24"/>
          <w:szCs w:val="15"/>
          <w:highlight w:val="none"/>
          <w:u w:val="single"/>
          <w:lang w:eastAsia="zh-CN"/>
        </w:rPr>
        <w:t>纸箱/木箱/泡沫</w:t>
      </w:r>
      <w:r>
        <w:rPr>
          <w:rFonts w:hint="eastAsia" w:ascii="仿宋" w:hAnsi="仿宋" w:eastAsia="仿宋" w:cs="仿宋"/>
          <w:b w:val="0"/>
          <w:bCs/>
          <w:color w:val="auto"/>
          <w:sz w:val="24"/>
          <w:szCs w:val="15"/>
          <w:highlight w:val="none"/>
          <w:u w:val="single"/>
          <w:lang w:val="en-US" w:eastAsia="zh-CN"/>
        </w:rPr>
        <w:t xml:space="preserve">   </w:t>
      </w:r>
    </w:p>
    <w:p w14:paraId="6E785529">
      <w:pPr>
        <w:spacing w:line="520" w:lineRule="exact"/>
        <w:ind w:left="560" w:firstLine="480" w:firstLineChars="200"/>
        <w:outlineLvl w:val="9"/>
        <w:rPr>
          <w:rFonts w:hint="eastAsia" w:ascii="仿宋" w:hAnsi="仿宋" w:eastAsia="仿宋" w:cs="仿宋"/>
          <w:b w:val="0"/>
          <w:bCs/>
          <w:color w:val="auto"/>
          <w:sz w:val="24"/>
          <w:szCs w:val="15"/>
          <w:highlight w:val="none"/>
          <w:u w:val="single"/>
          <w:lang w:eastAsia="zh-CN"/>
        </w:rPr>
      </w:pPr>
      <w:r>
        <w:rPr>
          <w:rFonts w:hint="eastAsia" w:ascii="仿宋" w:hAnsi="仿宋" w:eastAsia="仿宋" w:cs="仿宋"/>
          <w:b w:val="0"/>
          <w:bCs/>
          <w:color w:val="auto"/>
          <w:sz w:val="24"/>
          <w:szCs w:val="15"/>
          <w:highlight w:val="none"/>
          <w:lang w:eastAsia="zh-CN"/>
        </w:rPr>
        <w:t>(二)包装品处理:</w:t>
      </w:r>
      <w:r>
        <w:rPr>
          <w:rFonts w:hint="eastAsia" w:ascii="仿宋" w:hAnsi="仿宋" w:eastAsia="仿宋" w:cs="仿宋"/>
          <w:b w:val="0"/>
          <w:bCs/>
          <w:color w:val="auto"/>
          <w:sz w:val="24"/>
          <w:szCs w:val="15"/>
          <w:highlight w:val="none"/>
          <w:u w:val="single"/>
          <w:lang w:eastAsia="zh-CN"/>
        </w:rPr>
        <w:t>由甲方指定处理</w:t>
      </w:r>
    </w:p>
    <w:p w14:paraId="44D1F1FE">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四、交货方式</w:t>
      </w:r>
    </w:p>
    <w:p w14:paraId="5931EDE7">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(一)交货期限:</w:t>
      </w:r>
      <w:r>
        <w:rPr>
          <w:rFonts w:hint="eastAsia" w:ascii="仿宋" w:hAnsi="仿宋" w:eastAsia="仿宋" w:cs="仿宋"/>
          <w:b w:val="0"/>
          <w:bCs/>
          <w:color w:val="auto"/>
          <w:sz w:val="24"/>
          <w:szCs w:val="15"/>
          <w:highlight w:val="none"/>
          <w:u w:val="single"/>
          <w:lang w:eastAsia="zh-CN"/>
        </w:rPr>
        <w:t>接到甲方供货通知后，30个日历日内完成供货。</w:t>
      </w:r>
    </w:p>
    <w:p w14:paraId="420B48DC">
      <w:pPr>
        <w:spacing w:line="520" w:lineRule="exact"/>
        <w:ind w:left="560" w:firstLine="480" w:firstLineChars="200"/>
        <w:outlineLvl w:val="9"/>
        <w:rPr>
          <w:rFonts w:hint="eastAsia" w:ascii="仿宋" w:hAnsi="仿宋" w:eastAsia="仿宋" w:cs="仿宋"/>
          <w:b w:val="0"/>
          <w:bCs/>
          <w:color w:val="auto"/>
          <w:sz w:val="24"/>
          <w:szCs w:val="15"/>
          <w:highlight w:val="none"/>
          <w:u w:val="single"/>
          <w:lang w:eastAsia="zh-CN"/>
        </w:rPr>
      </w:pPr>
      <w:r>
        <w:rPr>
          <w:rFonts w:hint="eastAsia" w:ascii="仿宋" w:hAnsi="仿宋" w:eastAsia="仿宋" w:cs="仿宋"/>
          <w:b w:val="0"/>
          <w:bCs/>
          <w:color w:val="auto"/>
          <w:sz w:val="24"/>
          <w:szCs w:val="15"/>
          <w:highlight w:val="none"/>
          <w:lang w:eastAsia="zh-CN"/>
        </w:rPr>
        <w:t xml:space="preserve">(二)交货地点: </w:t>
      </w:r>
      <w:r>
        <w:rPr>
          <w:rFonts w:hint="eastAsia" w:ascii="仿宋" w:hAnsi="仿宋" w:eastAsia="仿宋" w:cs="仿宋"/>
          <w:b w:val="0"/>
          <w:bCs/>
          <w:color w:val="auto"/>
          <w:sz w:val="24"/>
          <w:szCs w:val="15"/>
          <w:highlight w:val="none"/>
          <w:u w:val="single"/>
          <w:lang w:eastAsia="zh-CN"/>
        </w:rPr>
        <w:t>甲方指定地点。</w:t>
      </w:r>
    </w:p>
    <w:p w14:paraId="3DFB3B4A">
      <w:pPr>
        <w:spacing w:line="520" w:lineRule="exact"/>
        <w:ind w:left="560" w:firstLine="480" w:firstLineChars="200"/>
        <w:outlineLvl w:val="9"/>
        <w:rPr>
          <w:rFonts w:hint="eastAsia" w:ascii="仿宋" w:hAnsi="仿宋" w:eastAsia="仿宋" w:cs="仿宋"/>
          <w:b w:val="0"/>
          <w:bCs/>
          <w:color w:val="auto"/>
          <w:sz w:val="24"/>
          <w:szCs w:val="15"/>
          <w:highlight w:val="none"/>
          <w:u w:val="single"/>
          <w:lang w:eastAsia="zh-CN"/>
        </w:rPr>
      </w:pPr>
      <w:r>
        <w:rPr>
          <w:rFonts w:hint="eastAsia" w:ascii="仿宋" w:hAnsi="仿宋" w:eastAsia="仿宋" w:cs="仿宋"/>
          <w:b w:val="0"/>
          <w:bCs/>
          <w:color w:val="auto"/>
          <w:sz w:val="24"/>
          <w:szCs w:val="15"/>
          <w:highlight w:val="none"/>
          <w:lang w:eastAsia="zh-CN"/>
        </w:rPr>
        <w:t xml:space="preserve">(三)运输方式: </w:t>
      </w:r>
      <w:r>
        <w:rPr>
          <w:rFonts w:hint="eastAsia" w:ascii="仿宋" w:hAnsi="仿宋" w:eastAsia="仿宋" w:cs="仿宋"/>
          <w:b w:val="0"/>
          <w:bCs/>
          <w:color w:val="auto"/>
          <w:sz w:val="24"/>
          <w:szCs w:val="15"/>
          <w:highlight w:val="none"/>
          <w:u w:val="single"/>
          <w:lang w:eastAsia="zh-CN"/>
        </w:rPr>
        <w:t>乙方负责运输到甲方指定地点。</w:t>
      </w:r>
    </w:p>
    <w:p w14:paraId="3E5056F1">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根据国家相关部门规定，产品需特殊方式运输的，如冷链运输的，配送由具备冷链储存、运输条件乙方或乙方委托具备冷链储存、运输条件的企业负责配送。配送要符合新修改条例及各级卫生主管部门和食品药品监督管理部门的相关规定，遵守储存、运输管理规范，保证产品质量。产品储存、运输的全过程应当始终处于规定的温度环境，不得脱离冷链，每批货物需配备自动温度记录器，按要求做好全程温度记录，并能够现场读取。</w:t>
      </w:r>
    </w:p>
    <w:p w14:paraId="1B907FFD">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风险承担:在乙方将产品交付甲方前标的物的毁损、灭失风险由乙方承担。甲方已付乙方的费用中已包含货物的保险费用，乙方应当按规定购买保险。</w:t>
      </w:r>
    </w:p>
    <w:p w14:paraId="155BF83D">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五、验收</w:t>
      </w:r>
    </w:p>
    <w:p w14:paraId="16ADD918">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(一)验收时间:</w:t>
      </w:r>
      <w:r>
        <w:rPr>
          <w:rFonts w:hint="eastAsia" w:ascii="仿宋" w:hAnsi="仿宋" w:eastAsia="仿宋" w:cs="仿宋"/>
          <w:b w:val="0"/>
          <w:bCs/>
          <w:color w:val="auto"/>
          <w:sz w:val="24"/>
          <w:szCs w:val="15"/>
          <w:highlight w:val="none"/>
          <w:u w:val="single"/>
          <w:lang w:eastAsia="zh-CN"/>
        </w:rPr>
        <w:t>货到现场验收。</w:t>
      </w:r>
    </w:p>
    <w:p w14:paraId="246515A4">
      <w:pPr>
        <w:spacing w:line="520" w:lineRule="exact"/>
        <w:ind w:left="560" w:firstLine="480" w:firstLineChars="200"/>
        <w:outlineLvl w:val="9"/>
        <w:rPr>
          <w:rFonts w:hint="default" w:ascii="仿宋" w:hAnsi="仿宋" w:eastAsia="仿宋" w:cs="仿宋"/>
          <w:b w:val="0"/>
          <w:bCs/>
          <w:color w:val="auto"/>
          <w:sz w:val="24"/>
          <w:szCs w:val="15"/>
          <w:highlight w:val="none"/>
          <w:u w:val="single"/>
          <w:lang w:val="en-US" w:eastAsia="zh-CN"/>
        </w:rPr>
      </w:pPr>
      <w:r>
        <w:rPr>
          <w:rFonts w:hint="eastAsia" w:ascii="仿宋" w:hAnsi="仿宋" w:eastAsia="仿宋" w:cs="仿宋"/>
          <w:b w:val="0"/>
          <w:bCs/>
          <w:color w:val="auto"/>
          <w:sz w:val="24"/>
          <w:szCs w:val="15"/>
          <w:highlight w:val="none"/>
          <w:lang w:eastAsia="zh-CN"/>
        </w:rPr>
        <w:t>(二)验收方式:</w:t>
      </w:r>
      <w:r>
        <w:rPr>
          <w:rFonts w:hint="eastAsia" w:ascii="仿宋" w:hAnsi="仿宋" w:eastAsia="仿宋" w:cs="仿宋"/>
          <w:b w:val="0"/>
          <w:bCs/>
          <w:color w:val="auto"/>
          <w:sz w:val="24"/>
          <w:szCs w:val="15"/>
          <w:highlight w:val="none"/>
          <w:u w:val="single"/>
          <w:lang w:val="en-US" w:eastAsia="zh-CN"/>
        </w:rPr>
        <w:t xml:space="preserve">               </w:t>
      </w:r>
    </w:p>
    <w:p w14:paraId="32705955">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验收按照下列要求验收，如一项不合格，视同产品不合格:</w:t>
      </w:r>
    </w:p>
    <w:p w14:paraId="6BE9D034">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lang w:val="en-US" w:eastAsia="zh-CN"/>
        </w:rPr>
        <w:t>1</w:t>
      </w:r>
      <w:r>
        <w:rPr>
          <w:rFonts w:hint="eastAsia" w:ascii="仿宋" w:hAnsi="仿宋" w:eastAsia="仿宋" w:cs="仿宋"/>
          <w:b w:val="0"/>
          <w:bCs/>
          <w:color w:val="auto"/>
          <w:sz w:val="24"/>
          <w:szCs w:val="15"/>
          <w:highlight w:val="none"/>
          <w:lang w:eastAsia="zh-CN"/>
        </w:rPr>
        <w:t>)资料验收:供方交货时应按合同规定的要求，提供相关的技术资料。</w:t>
      </w:r>
    </w:p>
    <w:p w14:paraId="5E7B3139">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(2)实物验收:包括产品名称、数量、规格和包装等外观形态。质保期剩余期限不得低于该产品限定质保期的</w:t>
      </w:r>
      <w:r>
        <w:rPr>
          <w:rFonts w:hint="eastAsia" w:ascii="仿宋" w:hAnsi="仿宋" w:eastAsia="仿宋" w:cs="仿宋"/>
          <w:b w:val="0"/>
          <w:bCs/>
          <w:color w:val="auto"/>
          <w:sz w:val="24"/>
          <w:szCs w:val="15"/>
          <w:highlight w:val="none"/>
          <w:u w:val="single"/>
          <w:lang w:val="en-US" w:eastAsia="zh-CN"/>
        </w:rPr>
        <w:t xml:space="preserve">  / </w:t>
      </w:r>
      <w:r>
        <w:rPr>
          <w:rFonts w:hint="eastAsia" w:ascii="仿宋" w:hAnsi="仿宋" w:eastAsia="仿宋" w:cs="仿宋"/>
          <w:b w:val="0"/>
          <w:bCs/>
          <w:color w:val="auto"/>
          <w:sz w:val="24"/>
          <w:szCs w:val="15"/>
          <w:highlight w:val="none"/>
          <w:lang w:eastAsia="zh-CN"/>
        </w:rPr>
        <w:t>。</w:t>
      </w:r>
    </w:p>
    <w:p w14:paraId="4F8AE35A">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(3)产品质量抽检复核。</w:t>
      </w:r>
    </w:p>
    <w:p w14:paraId="23BBCA8E">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(4)验收人员可以包括使用部门人员、财务部门人员、乙方人员、代理机构。</w:t>
      </w:r>
    </w:p>
    <w:p w14:paraId="45C9271C">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(5)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如对不便于开箱验收的商品或不能当场全面验收的货物进行开箱验收后出现商品短缺、破损等产品不合格情况，甲方应及时书面告知乙方。甲方要求乙方取回破损产品的，乙方应在接到甲方告知之日起</w:t>
      </w:r>
      <w:r>
        <w:rPr>
          <w:rFonts w:hint="eastAsia" w:ascii="仿宋" w:hAnsi="仿宋" w:eastAsia="仿宋" w:cs="仿宋"/>
          <w:b w:val="0"/>
          <w:bCs/>
          <w:color w:val="auto"/>
          <w:sz w:val="24"/>
          <w:szCs w:val="15"/>
          <w:highlight w:val="none"/>
          <w:u w:val="single"/>
          <w:lang w:eastAsia="zh-CN"/>
        </w:rPr>
        <w:t xml:space="preserve"> 5 </w:t>
      </w:r>
      <w:r>
        <w:rPr>
          <w:rFonts w:hint="eastAsia" w:ascii="仿宋" w:hAnsi="仿宋" w:eastAsia="仿宋" w:cs="仿宋"/>
          <w:b w:val="0"/>
          <w:bCs/>
          <w:color w:val="auto"/>
          <w:sz w:val="24"/>
          <w:szCs w:val="15"/>
          <w:highlight w:val="none"/>
          <w:lang w:eastAsia="zh-CN"/>
        </w:rPr>
        <w:t>日内完成;如甲方已经支付货款，乙方应当在取回破损产品之日起</w:t>
      </w:r>
      <w:r>
        <w:rPr>
          <w:rFonts w:hint="eastAsia" w:ascii="仿宋" w:hAnsi="仿宋" w:eastAsia="仿宋" w:cs="仿宋"/>
          <w:b w:val="0"/>
          <w:bCs/>
          <w:color w:val="auto"/>
          <w:sz w:val="24"/>
          <w:szCs w:val="15"/>
          <w:highlight w:val="none"/>
          <w:u w:val="single"/>
          <w:lang w:val="en-US" w:eastAsia="zh-CN"/>
        </w:rPr>
        <w:t>3</w:t>
      </w:r>
      <w:r>
        <w:rPr>
          <w:rFonts w:hint="eastAsia" w:ascii="仿宋" w:hAnsi="仿宋" w:eastAsia="仿宋" w:cs="仿宋"/>
          <w:b w:val="0"/>
          <w:bCs/>
          <w:color w:val="auto"/>
          <w:sz w:val="24"/>
          <w:szCs w:val="15"/>
          <w:highlight w:val="none"/>
          <w:lang w:eastAsia="zh-CN"/>
        </w:rPr>
        <w:t>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46B0671D">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(三)安装验收:</w:t>
      </w:r>
    </w:p>
    <w:p w14:paraId="1161069C">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产品如需安装验收，自设备正常运转</w:t>
      </w:r>
      <w:r>
        <w:rPr>
          <w:rFonts w:hint="eastAsia" w:ascii="仿宋" w:hAnsi="仿宋" w:eastAsia="仿宋" w:cs="仿宋"/>
          <w:b w:val="0"/>
          <w:bCs/>
          <w:color w:val="auto"/>
          <w:sz w:val="24"/>
          <w:szCs w:val="15"/>
          <w:highlight w:val="none"/>
          <w:u w:val="single"/>
          <w:lang w:eastAsia="zh-CN"/>
        </w:rPr>
        <w:t xml:space="preserve"> 30</w:t>
      </w:r>
      <w:r>
        <w:rPr>
          <w:rFonts w:hint="eastAsia" w:ascii="仿宋" w:hAnsi="仿宋" w:eastAsia="仿宋" w:cs="仿宋"/>
          <w:b w:val="0"/>
          <w:bCs/>
          <w:color w:val="auto"/>
          <w:sz w:val="24"/>
          <w:szCs w:val="15"/>
          <w:highlight w:val="none"/>
          <w:lang w:eastAsia="zh-CN"/>
        </w:rPr>
        <w:t>天后，视为验收合格。</w:t>
      </w:r>
    </w:p>
    <w:p w14:paraId="149F15F7">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四)特殊产品(指疫苗等生物产品)乙方交货时，同时应当提供该批产品由药品检验机构依法签发的生物制品每批检验合格或者审核批准证明复印件，并加盖企业印章。销售进口产品的，还应当提供进口药品通关单复印件，并加盖企业印章。甲方在产品质量保证期内有权进行抽检复核，如发现产品质量问题，乙方应按照甲方要求及时予以退换。</w:t>
      </w:r>
    </w:p>
    <w:p w14:paraId="02D63C71">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(五)质量争议:对产品质量发生争议由</w:t>
      </w:r>
      <w:r>
        <w:rPr>
          <w:rFonts w:hint="eastAsia" w:ascii="仿宋" w:hAnsi="仿宋" w:eastAsia="仿宋" w:cs="仿宋"/>
          <w:b w:val="0"/>
          <w:bCs/>
          <w:color w:val="auto"/>
          <w:sz w:val="24"/>
          <w:szCs w:val="15"/>
          <w:highlight w:val="none"/>
          <w:u w:val="single"/>
          <w:lang w:eastAsia="zh-CN"/>
        </w:rPr>
        <w:t>甲方委托</w:t>
      </w:r>
      <w:r>
        <w:rPr>
          <w:rFonts w:hint="eastAsia" w:ascii="仿宋" w:hAnsi="仿宋" w:eastAsia="仿宋" w:cs="仿宋"/>
          <w:b w:val="0"/>
          <w:bCs/>
          <w:color w:val="auto"/>
          <w:sz w:val="24"/>
          <w:szCs w:val="15"/>
          <w:highlight w:val="none"/>
          <w:lang w:eastAsia="zh-CN"/>
        </w:rPr>
        <w:t>具有检验资质的第三方检验机构进行检验，检验费由乙方承担。</w:t>
      </w:r>
    </w:p>
    <w:p w14:paraId="6A7475C3">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(六)乙方接到甲方对产品质量提出异议的通知后，3天内负责处理并通知甲方处理情况，否则即视为默认甲方提出的异议和处理意见。</w:t>
      </w:r>
    </w:p>
    <w:p w14:paraId="6DAF9516">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(七)甲方因使用、保管、保养不善等造成产品质量下降的，不得提出异议。</w:t>
      </w:r>
    </w:p>
    <w:p w14:paraId="747FE18F">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(八)货物符合合同约定的技术规范要求和验收标准的，甲方签署验收合格证明。</w:t>
      </w:r>
    </w:p>
    <w:p w14:paraId="17270DFF">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六、款项支付</w:t>
      </w:r>
    </w:p>
    <w:p w14:paraId="079E4392">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val="en-US" w:eastAsia="zh-CN"/>
        </w:rPr>
        <w:t>（一）双方约定</w:t>
      </w:r>
      <w:r>
        <w:rPr>
          <w:rFonts w:hint="eastAsia" w:ascii="仿宋" w:hAnsi="仿宋" w:eastAsia="仿宋" w:cs="仿宋"/>
          <w:b w:val="0"/>
          <w:bCs/>
          <w:color w:val="auto"/>
          <w:sz w:val="24"/>
          <w:szCs w:val="15"/>
          <w:highlight w:val="none"/>
          <w:lang w:eastAsia="zh-CN"/>
        </w:rPr>
        <w:t>：合同签订后甲方支付给乙方合同总价款30%即</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eastAsia="zh-CN"/>
        </w:rPr>
        <w:t>元整（小写：</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eastAsia="zh-CN"/>
        </w:rPr>
        <w:t>元）的设备款，乙方向甲方支付合同总价款 6%即</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eastAsia="zh-CN"/>
        </w:rPr>
        <w:t>元整（小写：</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eastAsia="zh-CN"/>
        </w:rPr>
        <w:t>元）的履约保证金（以银行保函形式，保期不低于2年），产品到货安装验收合格且正常运转之后支付70%即</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eastAsia="zh-CN"/>
        </w:rPr>
        <w:t>元整（小写：</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eastAsia="zh-CN"/>
        </w:rPr>
        <w:t>元）的设备款。</w:t>
      </w:r>
    </w:p>
    <w:p w14:paraId="50F0CB43">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val="en-US" w:eastAsia="zh-CN"/>
        </w:rPr>
        <w:t>（二）</w:t>
      </w:r>
      <w:r>
        <w:rPr>
          <w:rFonts w:hint="eastAsia" w:ascii="仿宋" w:hAnsi="仿宋" w:eastAsia="仿宋" w:cs="仿宋"/>
          <w:b w:val="0"/>
          <w:bCs/>
          <w:color w:val="auto"/>
          <w:sz w:val="24"/>
          <w:szCs w:val="15"/>
          <w:highlight w:val="none"/>
          <w:lang w:eastAsia="zh-CN"/>
        </w:rPr>
        <w:t>付款要求:甲方财务凭下列单据支付货款(按甲乙各方的义务提交) :(a) 全额发票; (b)中标通知书复印件(1份)； (c)疾控中心采购验收单; (d) 乙方供货清单(盖章) ; (e)疾控中心采购合同(包括附件1和附件2)。以上资料因乙方提交单据不全导致甲方财务未能付款的，甲方不承担逾期付款责任。</w:t>
      </w:r>
    </w:p>
    <w:p w14:paraId="35342AE8">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（三）付款信息</w:t>
      </w:r>
    </w:p>
    <w:tbl>
      <w:tblPr>
        <w:tblStyle w:val="18"/>
        <w:tblpPr w:leftFromText="180" w:rightFromText="180" w:vertAnchor="text" w:horzAnchor="page" w:tblpXSpec="center" w:tblpY="402"/>
        <w:tblOverlap w:val="never"/>
        <w:tblW w:w="8504" w:type="dxa"/>
        <w:jc w:val="center"/>
        <w:tblLayout w:type="fixed"/>
        <w:tblCellMar>
          <w:top w:w="0" w:type="dxa"/>
          <w:left w:w="108" w:type="dxa"/>
          <w:bottom w:w="0" w:type="dxa"/>
          <w:right w:w="108" w:type="dxa"/>
        </w:tblCellMar>
      </w:tblPr>
      <w:tblGrid>
        <w:gridCol w:w="4145"/>
        <w:gridCol w:w="4359"/>
      </w:tblGrid>
      <w:tr w14:paraId="19ED266E">
        <w:tblPrEx>
          <w:tblCellMar>
            <w:top w:w="0" w:type="dxa"/>
            <w:left w:w="108" w:type="dxa"/>
            <w:bottom w:w="0" w:type="dxa"/>
            <w:right w:w="108" w:type="dxa"/>
          </w:tblCellMar>
        </w:tblPrEx>
        <w:trPr>
          <w:trHeight w:val="351" w:hRule="atLeast"/>
          <w:jc w:val="center"/>
        </w:trPr>
        <w:tc>
          <w:tcPr>
            <w:tcW w:w="4415" w:type="dxa"/>
            <w:noWrap w:val="0"/>
            <w:vAlign w:val="top"/>
          </w:tcPr>
          <w:p w14:paraId="32A29FD8">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eastAsia="zh-CN"/>
              </w:rPr>
              <w:t>甲</w:t>
            </w:r>
            <w:r>
              <w:rPr>
                <w:rFonts w:hint="eastAsia" w:ascii="仿宋" w:hAnsi="仿宋" w:eastAsia="仿宋" w:cs="仿宋"/>
                <w:b w:val="0"/>
                <w:bCs/>
                <w:color w:val="auto"/>
                <w:sz w:val="24"/>
                <w:szCs w:val="15"/>
                <w:highlight w:val="none"/>
              </w:rPr>
              <w:t>方：富蕴县疾病预防控制中心</w:t>
            </w:r>
          </w:p>
        </w:tc>
        <w:tc>
          <w:tcPr>
            <w:tcW w:w="4644" w:type="dxa"/>
            <w:noWrap w:val="0"/>
            <w:vAlign w:val="top"/>
          </w:tcPr>
          <w:p w14:paraId="4CF8D1FA">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eastAsia="zh-CN"/>
              </w:rPr>
              <w:t>乙</w:t>
            </w:r>
            <w:r>
              <w:rPr>
                <w:rFonts w:hint="eastAsia" w:ascii="仿宋" w:hAnsi="仿宋" w:eastAsia="仿宋" w:cs="仿宋"/>
                <w:b w:val="0"/>
                <w:bCs/>
                <w:color w:val="auto"/>
                <w:sz w:val="24"/>
                <w:szCs w:val="15"/>
                <w:highlight w:val="none"/>
              </w:rPr>
              <w:t>方：</w:t>
            </w:r>
          </w:p>
        </w:tc>
      </w:tr>
      <w:tr w14:paraId="38FD4342">
        <w:tblPrEx>
          <w:tblCellMar>
            <w:top w:w="0" w:type="dxa"/>
            <w:left w:w="108" w:type="dxa"/>
            <w:bottom w:w="0" w:type="dxa"/>
            <w:right w:w="108" w:type="dxa"/>
          </w:tblCellMar>
        </w:tblPrEx>
        <w:trPr>
          <w:trHeight w:val="706" w:hRule="atLeast"/>
          <w:jc w:val="center"/>
        </w:trPr>
        <w:tc>
          <w:tcPr>
            <w:tcW w:w="4415" w:type="dxa"/>
            <w:noWrap w:val="0"/>
            <w:vAlign w:val="center"/>
          </w:tcPr>
          <w:p w14:paraId="20B2023D">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开户银行：中国工商银行股份有限公司富蕴支行</w:t>
            </w:r>
          </w:p>
        </w:tc>
        <w:tc>
          <w:tcPr>
            <w:tcW w:w="4644" w:type="dxa"/>
            <w:noWrap w:val="0"/>
            <w:vAlign w:val="center"/>
          </w:tcPr>
          <w:p w14:paraId="12C5835A">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开户银行：</w:t>
            </w:r>
          </w:p>
        </w:tc>
      </w:tr>
      <w:tr w14:paraId="3EF00BAA">
        <w:tblPrEx>
          <w:tblCellMar>
            <w:top w:w="0" w:type="dxa"/>
            <w:left w:w="108" w:type="dxa"/>
            <w:bottom w:w="0" w:type="dxa"/>
            <w:right w:w="108" w:type="dxa"/>
          </w:tblCellMar>
        </w:tblPrEx>
        <w:trPr>
          <w:trHeight w:val="352" w:hRule="atLeast"/>
          <w:jc w:val="center"/>
        </w:trPr>
        <w:tc>
          <w:tcPr>
            <w:tcW w:w="4415" w:type="dxa"/>
            <w:noWrap w:val="0"/>
            <w:vAlign w:val="center"/>
          </w:tcPr>
          <w:p w14:paraId="1BA5A6B3">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账号：3008150109026404477</w:t>
            </w:r>
          </w:p>
        </w:tc>
        <w:tc>
          <w:tcPr>
            <w:tcW w:w="4644" w:type="dxa"/>
            <w:noWrap w:val="0"/>
            <w:vAlign w:val="center"/>
          </w:tcPr>
          <w:p w14:paraId="7E6B37E3">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账号：</w:t>
            </w:r>
          </w:p>
        </w:tc>
      </w:tr>
      <w:tr w14:paraId="177E9290">
        <w:tblPrEx>
          <w:tblCellMar>
            <w:top w:w="0" w:type="dxa"/>
            <w:left w:w="108" w:type="dxa"/>
            <w:bottom w:w="0" w:type="dxa"/>
            <w:right w:w="108" w:type="dxa"/>
          </w:tblCellMar>
        </w:tblPrEx>
        <w:trPr>
          <w:trHeight w:val="352" w:hRule="atLeast"/>
          <w:jc w:val="center"/>
        </w:trPr>
        <w:tc>
          <w:tcPr>
            <w:tcW w:w="4415" w:type="dxa"/>
            <w:noWrap w:val="0"/>
            <w:vAlign w:val="center"/>
          </w:tcPr>
          <w:p w14:paraId="65456A1C">
            <w:pPr>
              <w:spacing w:line="520" w:lineRule="exact"/>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eastAsia="zh-CN"/>
              </w:rPr>
              <w:t>行号：</w:t>
            </w:r>
            <w:r>
              <w:rPr>
                <w:rFonts w:hint="eastAsia" w:ascii="仿宋" w:hAnsi="仿宋" w:eastAsia="仿宋" w:cs="仿宋"/>
                <w:b w:val="0"/>
                <w:bCs/>
                <w:color w:val="auto"/>
                <w:sz w:val="24"/>
                <w:szCs w:val="15"/>
                <w:highlight w:val="none"/>
                <w:lang w:val="en-US" w:eastAsia="zh-CN"/>
              </w:rPr>
              <w:t>102902300018</w:t>
            </w:r>
          </w:p>
        </w:tc>
        <w:tc>
          <w:tcPr>
            <w:tcW w:w="4644" w:type="dxa"/>
            <w:noWrap w:val="0"/>
            <w:vAlign w:val="center"/>
          </w:tcPr>
          <w:p w14:paraId="3FFDB27C">
            <w:pPr>
              <w:spacing w:line="520" w:lineRule="exact"/>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行号：</w:t>
            </w:r>
          </w:p>
        </w:tc>
      </w:tr>
      <w:tr w14:paraId="1BDC9404">
        <w:tblPrEx>
          <w:tblCellMar>
            <w:top w:w="0" w:type="dxa"/>
            <w:left w:w="108" w:type="dxa"/>
            <w:bottom w:w="0" w:type="dxa"/>
            <w:right w:w="108" w:type="dxa"/>
          </w:tblCellMar>
        </w:tblPrEx>
        <w:trPr>
          <w:trHeight w:val="352" w:hRule="atLeast"/>
          <w:jc w:val="center"/>
        </w:trPr>
        <w:tc>
          <w:tcPr>
            <w:tcW w:w="4415" w:type="dxa"/>
            <w:noWrap w:val="0"/>
            <w:vAlign w:val="center"/>
          </w:tcPr>
          <w:p w14:paraId="61CB5799">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税号：12654322458419532L</w:t>
            </w:r>
          </w:p>
        </w:tc>
        <w:tc>
          <w:tcPr>
            <w:tcW w:w="4644" w:type="dxa"/>
            <w:noWrap w:val="0"/>
            <w:vAlign w:val="center"/>
          </w:tcPr>
          <w:p w14:paraId="29526280">
            <w:pPr>
              <w:spacing w:line="520" w:lineRule="exact"/>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税号：</w:t>
            </w:r>
          </w:p>
        </w:tc>
      </w:tr>
    </w:tbl>
    <w:p w14:paraId="2F4FC640">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如果乙方未能按七、延期交货与核定损失额</w:t>
      </w:r>
    </w:p>
    <w:p w14:paraId="18A9AB2C">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如果乙方未能按合同规定的时间按期交货(不可抗力除外)，在乙方同意支付核定损失额的条件下，甲方可适当延长交货期。核定损失额的支付将从未付款或从质保证金中扣除。核定损失额计付比率为每迟交</w:t>
      </w:r>
      <w:r>
        <w:rPr>
          <w:rFonts w:hint="eastAsia" w:ascii="仿宋" w:hAnsi="仿宋" w:eastAsia="仿宋" w:cs="仿宋"/>
          <w:b w:val="0"/>
          <w:bCs/>
          <w:color w:val="auto"/>
          <w:sz w:val="24"/>
          <w:szCs w:val="15"/>
          <w:highlight w:val="none"/>
          <w:u w:val="single"/>
          <w:lang w:val="en-US" w:eastAsia="zh-CN"/>
        </w:rPr>
        <w:t>1</w:t>
      </w:r>
      <w:r>
        <w:rPr>
          <w:rFonts w:hint="eastAsia" w:ascii="仿宋" w:hAnsi="仿宋" w:eastAsia="仿宋" w:cs="仿宋"/>
          <w:b w:val="0"/>
          <w:bCs/>
          <w:color w:val="auto"/>
          <w:sz w:val="24"/>
          <w:szCs w:val="15"/>
          <w:highlight w:val="none"/>
          <w:lang w:val="en-US" w:eastAsia="zh-CN"/>
        </w:rPr>
        <w:t xml:space="preserve">天，按货款全额的 </w:t>
      </w:r>
      <w:r>
        <w:rPr>
          <w:rFonts w:hint="eastAsia" w:ascii="仿宋" w:hAnsi="仿宋" w:eastAsia="仿宋" w:cs="仿宋"/>
          <w:b w:val="0"/>
          <w:bCs/>
          <w:color w:val="auto"/>
          <w:sz w:val="24"/>
          <w:szCs w:val="15"/>
          <w:highlight w:val="none"/>
          <w:u w:val="single"/>
          <w:lang w:val="en-US" w:eastAsia="zh-CN"/>
        </w:rPr>
        <w:t>0.1</w:t>
      </w:r>
      <w:r>
        <w:rPr>
          <w:rFonts w:hint="eastAsia" w:ascii="仿宋" w:hAnsi="仿宋" w:eastAsia="仿宋" w:cs="仿宋"/>
          <w:b w:val="0"/>
          <w:bCs/>
          <w:color w:val="auto"/>
          <w:sz w:val="24"/>
          <w:szCs w:val="15"/>
          <w:highlight w:val="none"/>
          <w:lang w:val="en-US" w:eastAsia="zh-CN"/>
        </w:rPr>
        <w:t xml:space="preserve"> %。如果乙方</w:t>
      </w:r>
      <w:r>
        <w:rPr>
          <w:rFonts w:hint="eastAsia" w:ascii="仿宋" w:hAnsi="仿宋" w:eastAsia="仿宋" w:cs="仿宋"/>
          <w:b w:val="0"/>
          <w:bCs/>
          <w:color w:val="auto"/>
          <w:sz w:val="24"/>
          <w:szCs w:val="15"/>
          <w:highlight w:val="none"/>
          <w:u w:val="single"/>
          <w:lang w:val="en-US" w:eastAsia="zh-CN"/>
        </w:rPr>
        <w:t>7</w:t>
      </w:r>
      <w:r>
        <w:rPr>
          <w:rFonts w:hint="eastAsia" w:ascii="仿宋" w:hAnsi="仿宋" w:eastAsia="仿宋" w:cs="仿宋"/>
          <w:b w:val="0"/>
          <w:bCs/>
          <w:color w:val="auto"/>
          <w:sz w:val="24"/>
          <w:szCs w:val="15"/>
          <w:highlight w:val="none"/>
          <w:lang w:val="en-US" w:eastAsia="zh-CN"/>
        </w:rPr>
        <w:t>天后仍不能交货，甲方有权因乙方违约解除合同，而乙方仍有义务支付上述迟交核定损失金额。</w:t>
      </w:r>
    </w:p>
    <w:p w14:paraId="76C0B693">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八、保密</w:t>
      </w:r>
    </w:p>
    <w:p w14:paraId="3B259CD8">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双方保证对从另一方取得且无法自公开渠道获得的商业秘密(技术信息、经济信息及其他商业秘密)予以保密。未经对方同意不得向任何第三方泄露该商业秘密。</w:t>
      </w:r>
    </w:p>
    <w:p w14:paraId="1CD66687">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九、保修与售后服务</w:t>
      </w:r>
    </w:p>
    <w:p w14:paraId="08D62346">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(一)、质保期为</w:t>
      </w:r>
      <w:r>
        <w:rPr>
          <w:rFonts w:hint="eastAsia" w:ascii="仿宋" w:hAnsi="仿宋" w:eastAsia="仿宋" w:cs="仿宋"/>
          <w:b w:val="0"/>
          <w:bCs/>
          <w:color w:val="auto"/>
          <w:sz w:val="24"/>
          <w:szCs w:val="15"/>
          <w:highlight w:val="none"/>
          <w:u w:val="single"/>
          <w:lang w:val="en-US" w:eastAsia="zh-CN"/>
        </w:rPr>
        <w:t xml:space="preserve"> 贰 </w:t>
      </w:r>
      <w:r>
        <w:rPr>
          <w:rFonts w:hint="eastAsia" w:ascii="仿宋" w:hAnsi="仿宋" w:eastAsia="仿宋" w:cs="仿宋"/>
          <w:b w:val="0"/>
          <w:bCs/>
          <w:color w:val="auto"/>
          <w:sz w:val="24"/>
          <w:szCs w:val="15"/>
          <w:highlight w:val="none"/>
          <w:lang w:val="en-US" w:eastAsia="zh-CN"/>
        </w:rPr>
        <w:t>年，自产品最终验收合格之日起至质保期届满且经甲方确认无任何质量问题时止。在质保期内因产品质量造成产品不能正常使用，自维护后/更换后正常使用之日起计算质保期。</w:t>
      </w:r>
    </w:p>
    <w:p w14:paraId="32CB0932">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(二)、接到甲方通知，乙方应在</w:t>
      </w:r>
      <w:r>
        <w:rPr>
          <w:rFonts w:hint="eastAsia" w:ascii="仿宋" w:hAnsi="仿宋" w:eastAsia="仿宋" w:cs="仿宋"/>
          <w:b w:val="0"/>
          <w:bCs/>
          <w:color w:val="auto"/>
          <w:sz w:val="24"/>
          <w:szCs w:val="15"/>
          <w:highlight w:val="none"/>
          <w:u w:val="single"/>
          <w:lang w:val="en-US" w:eastAsia="zh-CN"/>
        </w:rPr>
        <w:t xml:space="preserve"> 12 </w:t>
      </w:r>
      <w:r>
        <w:rPr>
          <w:rFonts w:hint="eastAsia" w:ascii="仿宋" w:hAnsi="仿宋" w:eastAsia="仿宋" w:cs="仿宋"/>
          <w:b w:val="0"/>
          <w:bCs/>
          <w:color w:val="auto"/>
          <w:sz w:val="24"/>
          <w:szCs w:val="15"/>
          <w:highlight w:val="none"/>
          <w:lang w:val="en-US" w:eastAsia="zh-CN"/>
        </w:rPr>
        <w:t>小时内派遣相关人员到达现场，</w:t>
      </w:r>
      <w:r>
        <w:rPr>
          <w:rFonts w:hint="eastAsia" w:ascii="仿宋" w:hAnsi="仿宋" w:eastAsia="仿宋" w:cs="仿宋"/>
          <w:b w:val="0"/>
          <w:bCs/>
          <w:color w:val="auto"/>
          <w:sz w:val="24"/>
          <w:szCs w:val="15"/>
          <w:highlight w:val="none"/>
          <w:u w:val="single"/>
          <w:lang w:val="en-US" w:eastAsia="zh-CN"/>
        </w:rPr>
        <w:t xml:space="preserve">24 </w:t>
      </w:r>
      <w:r>
        <w:rPr>
          <w:rFonts w:hint="eastAsia" w:ascii="仿宋" w:hAnsi="仿宋" w:eastAsia="仿宋" w:cs="仿宋"/>
          <w:b w:val="0"/>
          <w:bCs/>
          <w:color w:val="auto"/>
          <w:sz w:val="24"/>
          <w:szCs w:val="15"/>
          <w:highlight w:val="none"/>
          <w:lang w:val="en-US" w:eastAsia="zh-CN"/>
        </w:rPr>
        <w:t>小时内维修完毕;发生紧急抢修事故的，乙方应在接到甲方通知后立即赶往现场排除故障。乙方未在约定时间到达现场，甲方可另选第三方修复，相关费用由乙方承担。乙方未在约定时间内修复的或同一产品经</w:t>
      </w:r>
      <w:r>
        <w:rPr>
          <w:rFonts w:hint="eastAsia" w:ascii="仿宋" w:hAnsi="仿宋" w:eastAsia="仿宋" w:cs="仿宋"/>
          <w:b w:val="0"/>
          <w:bCs/>
          <w:color w:val="auto"/>
          <w:sz w:val="24"/>
          <w:szCs w:val="15"/>
          <w:highlight w:val="none"/>
          <w:u w:val="single"/>
          <w:lang w:val="en-US" w:eastAsia="zh-CN"/>
        </w:rPr>
        <w:t>3</w:t>
      </w:r>
      <w:r>
        <w:rPr>
          <w:rFonts w:hint="eastAsia" w:ascii="仿宋" w:hAnsi="仿宋" w:eastAsia="仿宋" w:cs="仿宋"/>
          <w:b w:val="0"/>
          <w:bCs/>
          <w:color w:val="auto"/>
          <w:sz w:val="24"/>
          <w:szCs w:val="15"/>
          <w:highlight w:val="none"/>
          <w:lang w:val="en-US" w:eastAsia="zh-CN"/>
        </w:rPr>
        <w:t>次维修后仍不能稳定、可靠运行的，甲方有权要求乙方免费更换。返修或更换部件后的产品保修期应重新计算。质保期内经更换设备后仍无法解决问题的，相关设备退货并全额无息退回该设备款项。</w:t>
      </w:r>
    </w:p>
    <w:p w14:paraId="08DDC249">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(三)、在质保期内，乙方应对产品出现的质量及安全问题负责处理解决并承担一切费用。</w:t>
      </w:r>
    </w:p>
    <w:p w14:paraId="097064A8">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(四)、质保期届满后，乙方对本合同项下产品提供终身维修服务，且维修时只收取所需维修部件的成本费。</w:t>
      </w:r>
    </w:p>
    <w:p w14:paraId="3C5A3D10">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十、不可抗力</w:t>
      </w:r>
    </w:p>
    <w:p w14:paraId="3F7BB1FE">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本合同所称不可抗力是指不能预见、不能克服、不能避免并对另-方造成重大影响的客观事件。包括但不限于自然灾害如洪水、地震、火灾和风暴等以及社会事件如战争、动乱、政府行为等。</w:t>
      </w:r>
    </w:p>
    <w:p w14:paraId="17898BED">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如遇不可抗力事件的一方导致合同无法履行时，应立即将事故情况书面告知另一方，并在 3 天内提供事故详情。</w:t>
      </w:r>
    </w:p>
    <w:p w14:paraId="7BC7B047">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十一、违约责任</w:t>
      </w:r>
    </w:p>
    <w:p w14:paraId="4506A9BC">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(一)在补救违约而采取的任何其他措施未能实现的情况下，即在乙方收到甲方发出的违约整改通知后</w:t>
      </w:r>
      <w:r>
        <w:rPr>
          <w:rFonts w:hint="eastAsia" w:ascii="仿宋" w:hAnsi="仿宋" w:eastAsia="仿宋" w:cs="仿宋"/>
          <w:b w:val="0"/>
          <w:bCs/>
          <w:color w:val="auto"/>
          <w:sz w:val="24"/>
          <w:szCs w:val="15"/>
          <w:highlight w:val="none"/>
          <w:u w:val="single"/>
          <w:lang w:val="en-US" w:eastAsia="zh-CN"/>
        </w:rPr>
        <w:t>3</w:t>
      </w:r>
      <w:r>
        <w:rPr>
          <w:rFonts w:hint="eastAsia" w:ascii="仿宋" w:hAnsi="仿宋" w:eastAsia="仿宋" w:cs="仿宋"/>
          <w:b w:val="0"/>
          <w:bCs/>
          <w:color w:val="auto"/>
          <w:sz w:val="24"/>
          <w:szCs w:val="15"/>
          <w:highlight w:val="none"/>
          <w:lang w:val="en-US" w:eastAsia="zh-CN"/>
        </w:rPr>
        <w:t>天内(或经甲方书面确认的更长时间内)仍未纠正其下述任何一种违约行为,甲方可向乙方发出书面解除通知，解除全部或部分合同条款:</w:t>
      </w:r>
    </w:p>
    <w:p w14:paraId="026D5CA5">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(1)如果乙方未能在合同规定的期限内或甲方准许的任何延期内交付部分或全部产品。</w:t>
      </w:r>
    </w:p>
    <w:p w14:paraId="4516EFCD">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(2)乙方未能履行合同项下的其它义务。</w:t>
      </w:r>
    </w:p>
    <w:p w14:paraId="37BE7D65">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(二)因乙方违约致使甲方解除合同时，乙方除退还甲方已付全部货款及资金占用费外，应无条件承担合同总价30%的违约金。</w:t>
      </w:r>
    </w:p>
    <w:p w14:paraId="687D49B2">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(三)严禁乙方转让合同，若乙方违约，则甲方有权解除合同，乙方承担合同总价30%的违约金。</w:t>
      </w:r>
    </w:p>
    <w:p w14:paraId="65BC75BF">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(四)任何一方违约应承担守约方因主张权利而支付的所有费用，包含且不限于误工费、差旅费、住宿费、交通费、律师费等。</w:t>
      </w:r>
    </w:p>
    <w:p w14:paraId="3C62D488">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十二、其它事项</w:t>
      </w:r>
    </w:p>
    <w:p w14:paraId="37969C8F">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(一)、 招投标文件均作为合同不可分割的部分。解释顺序为招标文件、投标文件、合同、合同附件。</w:t>
      </w:r>
    </w:p>
    <w:p w14:paraId="39EF747A">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(二)、合同未尽事宜，由甲、乙双方协商，作为合同的补充与原合同具有同等法律效力。</w:t>
      </w:r>
    </w:p>
    <w:p w14:paraId="728E0C90">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(三)、双方如对履行合同发生争执，应友好协商解决，如协商不成，任何一方均可向甲方所在地法院提起诉讼。</w:t>
      </w:r>
    </w:p>
    <w:p w14:paraId="4068F934">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十三、通知和送达</w:t>
      </w:r>
    </w:p>
    <w:p w14:paraId="2219F630">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甲、乙双方因履行本合同而相互发出或者提供的所有通知、文件、材料等均以本合同所列明电子邮箱、传真送达。一方迁址或者变更邮箱、 传真电话的，应当五日内书面通知对方。</w:t>
      </w:r>
    </w:p>
    <w:p w14:paraId="6EFB8196">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以当面交付文件方式送达的，交付之时视为送达;以电子邮件方式送达的，发出电子邮件时间视为送达;以传真方式送达的，发出传真时视为送达;以邮寄方式送达的，邮件交邮当日视为送达。</w:t>
      </w:r>
    </w:p>
    <w:p w14:paraId="0F106D21">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十四、合同签订及生效</w:t>
      </w:r>
    </w:p>
    <w:p w14:paraId="2422D3F8">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本合同共</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val="en-US" w:eastAsia="zh-CN"/>
        </w:rPr>
        <w:t>页，一式</w:t>
      </w:r>
      <w:r>
        <w:rPr>
          <w:rFonts w:hint="eastAsia" w:ascii="仿宋" w:hAnsi="仿宋" w:eastAsia="仿宋" w:cs="仿宋"/>
          <w:b w:val="0"/>
          <w:bCs/>
          <w:color w:val="auto"/>
          <w:sz w:val="24"/>
          <w:szCs w:val="15"/>
          <w:highlight w:val="none"/>
          <w:u w:val="single"/>
          <w:lang w:val="en-US" w:eastAsia="zh-CN"/>
        </w:rPr>
        <w:t>四</w:t>
      </w:r>
      <w:r>
        <w:rPr>
          <w:rFonts w:hint="eastAsia" w:ascii="仿宋" w:hAnsi="仿宋" w:eastAsia="仿宋" w:cs="仿宋"/>
          <w:b w:val="0"/>
          <w:bCs/>
          <w:color w:val="auto"/>
          <w:sz w:val="24"/>
          <w:szCs w:val="15"/>
          <w:highlight w:val="none"/>
          <w:lang w:val="en-US" w:eastAsia="zh-CN"/>
        </w:rPr>
        <w:t>份， 甲方执</w:t>
      </w:r>
      <w:r>
        <w:rPr>
          <w:rFonts w:hint="eastAsia" w:ascii="仿宋" w:hAnsi="仿宋" w:eastAsia="仿宋" w:cs="仿宋"/>
          <w:b w:val="0"/>
          <w:bCs/>
          <w:color w:val="auto"/>
          <w:sz w:val="24"/>
          <w:szCs w:val="15"/>
          <w:highlight w:val="none"/>
          <w:u w:val="single"/>
          <w:lang w:val="en-US" w:eastAsia="zh-CN"/>
        </w:rPr>
        <w:t>叁</w:t>
      </w:r>
      <w:r>
        <w:rPr>
          <w:rFonts w:hint="eastAsia" w:ascii="仿宋" w:hAnsi="仿宋" w:eastAsia="仿宋" w:cs="仿宋"/>
          <w:b w:val="0"/>
          <w:bCs/>
          <w:color w:val="auto"/>
          <w:sz w:val="24"/>
          <w:szCs w:val="15"/>
          <w:highlight w:val="none"/>
          <w:lang w:val="en-US" w:eastAsia="zh-CN"/>
        </w:rPr>
        <w:t>份、乙方执</w:t>
      </w:r>
      <w:r>
        <w:rPr>
          <w:rFonts w:hint="eastAsia" w:ascii="仿宋" w:hAnsi="仿宋" w:eastAsia="仿宋" w:cs="仿宋"/>
          <w:b w:val="0"/>
          <w:bCs/>
          <w:color w:val="auto"/>
          <w:sz w:val="24"/>
          <w:szCs w:val="15"/>
          <w:highlight w:val="none"/>
          <w:u w:val="single"/>
          <w:lang w:val="en-US" w:eastAsia="zh-CN"/>
        </w:rPr>
        <w:t>壹</w:t>
      </w:r>
      <w:r>
        <w:rPr>
          <w:rFonts w:hint="eastAsia" w:ascii="仿宋" w:hAnsi="仿宋" w:eastAsia="仿宋" w:cs="仿宋"/>
          <w:b w:val="0"/>
          <w:bCs/>
          <w:color w:val="auto"/>
          <w:sz w:val="24"/>
          <w:szCs w:val="15"/>
          <w:highlight w:val="none"/>
          <w:lang w:val="en-US" w:eastAsia="zh-CN"/>
        </w:rPr>
        <w:t>份，双方签字并盖章后生效。</w:t>
      </w:r>
    </w:p>
    <w:p w14:paraId="2AEBFB5B">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（以下无正文）</w:t>
      </w:r>
    </w:p>
    <w:tbl>
      <w:tblPr>
        <w:tblStyle w:val="18"/>
        <w:tblpPr w:leftFromText="180" w:rightFromText="180" w:vertAnchor="text" w:horzAnchor="page" w:tblpXSpec="center" w:tblpY="402"/>
        <w:tblOverlap w:val="never"/>
        <w:tblW w:w="9071" w:type="dxa"/>
        <w:jc w:val="center"/>
        <w:tblLayout w:type="fixed"/>
        <w:tblCellMar>
          <w:top w:w="0" w:type="dxa"/>
          <w:left w:w="108" w:type="dxa"/>
          <w:bottom w:w="0" w:type="dxa"/>
          <w:right w:w="108" w:type="dxa"/>
        </w:tblCellMar>
      </w:tblPr>
      <w:tblGrid>
        <w:gridCol w:w="4727"/>
        <w:gridCol w:w="4344"/>
      </w:tblGrid>
      <w:tr w14:paraId="3DD9307A">
        <w:tblPrEx>
          <w:tblCellMar>
            <w:top w:w="0" w:type="dxa"/>
            <w:left w:w="108" w:type="dxa"/>
            <w:bottom w:w="0" w:type="dxa"/>
            <w:right w:w="108" w:type="dxa"/>
          </w:tblCellMar>
        </w:tblPrEx>
        <w:trPr>
          <w:jc w:val="center"/>
        </w:trPr>
        <w:tc>
          <w:tcPr>
            <w:tcW w:w="5246" w:type="dxa"/>
            <w:noWrap w:val="0"/>
            <w:vAlign w:val="top"/>
          </w:tcPr>
          <w:p w14:paraId="4D24473B">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eastAsia="zh-CN"/>
              </w:rPr>
              <w:t>甲</w:t>
            </w:r>
            <w:r>
              <w:rPr>
                <w:rFonts w:hint="eastAsia" w:ascii="仿宋" w:hAnsi="仿宋" w:eastAsia="仿宋" w:cs="仿宋"/>
                <w:b w:val="0"/>
                <w:bCs/>
                <w:color w:val="auto"/>
                <w:sz w:val="24"/>
                <w:szCs w:val="15"/>
                <w:highlight w:val="none"/>
              </w:rPr>
              <w:t>方：富蕴县疾病预防控制中心</w:t>
            </w:r>
          </w:p>
          <w:p w14:paraId="61EDED4B">
            <w:pPr>
              <w:spacing w:line="520" w:lineRule="exact"/>
              <w:ind w:left="560" w:firstLine="480" w:firstLineChars="200"/>
              <w:outlineLvl w:val="9"/>
              <w:rPr>
                <w:rFonts w:hint="eastAsia" w:ascii="仿宋" w:hAnsi="仿宋" w:eastAsia="仿宋" w:cs="仿宋"/>
                <w:b w:val="0"/>
                <w:bCs/>
                <w:color w:val="auto"/>
                <w:sz w:val="24"/>
                <w:szCs w:val="15"/>
                <w:highlight w:val="none"/>
              </w:rPr>
            </w:pPr>
          </w:p>
          <w:p w14:paraId="3E57F119">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（盖章）</w:t>
            </w:r>
          </w:p>
          <w:p w14:paraId="017BB73F">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 xml:space="preserve">                    </w:t>
            </w:r>
          </w:p>
          <w:p w14:paraId="5B89D2B3">
            <w:pPr>
              <w:spacing w:line="520" w:lineRule="exact"/>
              <w:ind w:left="560" w:firstLine="480" w:firstLineChars="200"/>
              <w:outlineLvl w:val="9"/>
              <w:rPr>
                <w:rFonts w:hint="eastAsia" w:ascii="仿宋" w:hAnsi="仿宋" w:eastAsia="仿宋" w:cs="仿宋"/>
                <w:b w:val="0"/>
                <w:bCs/>
                <w:color w:val="auto"/>
                <w:sz w:val="24"/>
                <w:szCs w:val="15"/>
                <w:highlight w:val="none"/>
              </w:rPr>
            </w:pPr>
          </w:p>
        </w:tc>
        <w:tc>
          <w:tcPr>
            <w:tcW w:w="4819" w:type="dxa"/>
            <w:noWrap w:val="0"/>
            <w:vAlign w:val="top"/>
          </w:tcPr>
          <w:p w14:paraId="4ABDB42C">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eastAsia="zh-CN"/>
              </w:rPr>
              <w:t>乙</w:t>
            </w:r>
            <w:r>
              <w:rPr>
                <w:rFonts w:hint="eastAsia" w:ascii="仿宋" w:hAnsi="仿宋" w:eastAsia="仿宋" w:cs="仿宋"/>
                <w:b w:val="0"/>
                <w:bCs/>
                <w:color w:val="auto"/>
                <w:sz w:val="24"/>
                <w:szCs w:val="15"/>
                <w:highlight w:val="none"/>
              </w:rPr>
              <w:t>方：</w:t>
            </w:r>
          </w:p>
          <w:p w14:paraId="32D00D78">
            <w:pPr>
              <w:spacing w:line="520" w:lineRule="exact"/>
              <w:ind w:left="560" w:firstLine="480" w:firstLineChars="200"/>
              <w:outlineLvl w:val="9"/>
              <w:rPr>
                <w:rFonts w:hint="eastAsia" w:ascii="仿宋" w:hAnsi="仿宋" w:eastAsia="仿宋" w:cs="仿宋"/>
                <w:b w:val="0"/>
                <w:bCs/>
                <w:color w:val="auto"/>
                <w:sz w:val="24"/>
                <w:szCs w:val="15"/>
                <w:highlight w:val="none"/>
              </w:rPr>
            </w:pPr>
          </w:p>
          <w:p w14:paraId="3A3D0CDE">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（盖章）</w:t>
            </w:r>
          </w:p>
          <w:p w14:paraId="756DAB7F">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 xml:space="preserve">                       </w:t>
            </w:r>
          </w:p>
          <w:p w14:paraId="79BA82F5">
            <w:pPr>
              <w:spacing w:line="520" w:lineRule="exact"/>
              <w:ind w:left="560" w:firstLine="480" w:firstLineChars="200"/>
              <w:outlineLvl w:val="9"/>
              <w:rPr>
                <w:rFonts w:hint="eastAsia" w:ascii="仿宋" w:hAnsi="仿宋" w:eastAsia="仿宋" w:cs="仿宋"/>
                <w:b w:val="0"/>
                <w:bCs/>
                <w:color w:val="auto"/>
                <w:sz w:val="24"/>
                <w:szCs w:val="15"/>
                <w:highlight w:val="none"/>
              </w:rPr>
            </w:pPr>
          </w:p>
        </w:tc>
      </w:tr>
      <w:tr w14:paraId="7F7A3E34">
        <w:tblPrEx>
          <w:tblCellMar>
            <w:top w:w="0" w:type="dxa"/>
            <w:left w:w="108" w:type="dxa"/>
            <w:bottom w:w="0" w:type="dxa"/>
            <w:right w:w="108" w:type="dxa"/>
          </w:tblCellMar>
        </w:tblPrEx>
        <w:trPr>
          <w:jc w:val="center"/>
        </w:trPr>
        <w:tc>
          <w:tcPr>
            <w:tcW w:w="5246" w:type="dxa"/>
            <w:noWrap w:val="0"/>
            <w:vAlign w:val="top"/>
          </w:tcPr>
          <w:p w14:paraId="0663F5FA">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单位地址：富蕴县赛尔江东路116号</w:t>
            </w:r>
          </w:p>
        </w:tc>
        <w:tc>
          <w:tcPr>
            <w:tcW w:w="4819" w:type="dxa"/>
            <w:noWrap w:val="0"/>
            <w:vAlign w:val="center"/>
          </w:tcPr>
          <w:p w14:paraId="6B2EE67B">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单位地址：</w:t>
            </w:r>
          </w:p>
        </w:tc>
      </w:tr>
      <w:tr w14:paraId="08B38CCA">
        <w:tblPrEx>
          <w:tblCellMar>
            <w:top w:w="0" w:type="dxa"/>
            <w:left w:w="108" w:type="dxa"/>
            <w:bottom w:w="0" w:type="dxa"/>
            <w:right w:w="108" w:type="dxa"/>
          </w:tblCellMar>
        </w:tblPrEx>
        <w:trPr>
          <w:jc w:val="center"/>
        </w:trPr>
        <w:tc>
          <w:tcPr>
            <w:tcW w:w="5246" w:type="dxa"/>
            <w:noWrap w:val="0"/>
            <w:vAlign w:val="center"/>
          </w:tcPr>
          <w:p w14:paraId="4C4C72E2">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法定代表人或委托代理人（签字）：</w:t>
            </w:r>
          </w:p>
          <w:p w14:paraId="4954A5D9">
            <w:pPr>
              <w:spacing w:line="520" w:lineRule="exact"/>
              <w:ind w:left="560" w:firstLine="480" w:firstLineChars="200"/>
              <w:outlineLvl w:val="9"/>
              <w:rPr>
                <w:rFonts w:hint="eastAsia" w:ascii="仿宋" w:hAnsi="仿宋" w:eastAsia="仿宋" w:cs="仿宋"/>
                <w:b w:val="0"/>
                <w:bCs/>
                <w:color w:val="auto"/>
                <w:sz w:val="24"/>
                <w:szCs w:val="15"/>
                <w:highlight w:val="none"/>
              </w:rPr>
            </w:pPr>
          </w:p>
          <w:p w14:paraId="73145E9B">
            <w:pPr>
              <w:spacing w:line="520" w:lineRule="exact"/>
              <w:ind w:left="560" w:firstLine="480" w:firstLineChars="200"/>
              <w:outlineLvl w:val="9"/>
              <w:rPr>
                <w:rFonts w:hint="eastAsia" w:ascii="仿宋" w:hAnsi="仿宋" w:eastAsia="仿宋" w:cs="仿宋"/>
                <w:b w:val="0"/>
                <w:bCs/>
                <w:color w:val="auto"/>
                <w:sz w:val="24"/>
                <w:szCs w:val="15"/>
                <w:highlight w:val="none"/>
              </w:rPr>
            </w:pPr>
          </w:p>
        </w:tc>
        <w:tc>
          <w:tcPr>
            <w:tcW w:w="4819" w:type="dxa"/>
            <w:noWrap w:val="0"/>
            <w:vAlign w:val="top"/>
          </w:tcPr>
          <w:p w14:paraId="25C93E4D">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法定代表人或委托代理人（签字）：</w:t>
            </w:r>
          </w:p>
          <w:p w14:paraId="459D646A">
            <w:pPr>
              <w:spacing w:line="520" w:lineRule="exact"/>
              <w:ind w:left="560" w:firstLine="480" w:firstLineChars="200"/>
              <w:outlineLvl w:val="9"/>
              <w:rPr>
                <w:rFonts w:hint="eastAsia" w:ascii="仿宋" w:hAnsi="仿宋" w:eastAsia="仿宋" w:cs="仿宋"/>
                <w:b w:val="0"/>
                <w:bCs/>
                <w:color w:val="auto"/>
                <w:sz w:val="24"/>
                <w:szCs w:val="15"/>
                <w:highlight w:val="none"/>
              </w:rPr>
            </w:pPr>
          </w:p>
        </w:tc>
      </w:tr>
      <w:tr w14:paraId="110AA9B4">
        <w:tblPrEx>
          <w:tblCellMar>
            <w:top w:w="0" w:type="dxa"/>
            <w:left w:w="108" w:type="dxa"/>
            <w:bottom w:w="0" w:type="dxa"/>
            <w:right w:w="108" w:type="dxa"/>
          </w:tblCellMar>
        </w:tblPrEx>
        <w:trPr>
          <w:jc w:val="center"/>
        </w:trPr>
        <w:tc>
          <w:tcPr>
            <w:tcW w:w="5246" w:type="dxa"/>
            <w:noWrap w:val="0"/>
            <w:vAlign w:val="center"/>
          </w:tcPr>
          <w:p w14:paraId="2CA36CA8">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电话：0906-872</w:t>
            </w:r>
            <w:r>
              <w:rPr>
                <w:rFonts w:hint="eastAsia" w:ascii="仿宋" w:hAnsi="仿宋" w:eastAsia="仿宋" w:cs="仿宋"/>
                <w:b w:val="0"/>
                <w:bCs/>
                <w:color w:val="auto"/>
                <w:sz w:val="24"/>
                <w:szCs w:val="15"/>
                <w:highlight w:val="none"/>
                <w:lang w:val="en-US" w:eastAsia="zh-CN"/>
              </w:rPr>
              <w:t>2313</w:t>
            </w:r>
          </w:p>
        </w:tc>
        <w:tc>
          <w:tcPr>
            <w:tcW w:w="4819" w:type="dxa"/>
            <w:noWrap w:val="0"/>
            <w:vAlign w:val="center"/>
          </w:tcPr>
          <w:p w14:paraId="4978E608">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电话：</w:t>
            </w:r>
          </w:p>
        </w:tc>
      </w:tr>
      <w:tr w14:paraId="765FD953">
        <w:tblPrEx>
          <w:tblCellMar>
            <w:top w:w="0" w:type="dxa"/>
            <w:left w:w="108" w:type="dxa"/>
            <w:bottom w:w="0" w:type="dxa"/>
            <w:right w:w="108" w:type="dxa"/>
          </w:tblCellMar>
        </w:tblPrEx>
        <w:trPr>
          <w:jc w:val="center"/>
        </w:trPr>
        <w:tc>
          <w:tcPr>
            <w:tcW w:w="5246" w:type="dxa"/>
            <w:noWrap w:val="0"/>
            <w:vAlign w:val="center"/>
          </w:tcPr>
          <w:p w14:paraId="38766A03">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开户银行：中国工商银行股份有限公司富蕴支行</w:t>
            </w:r>
          </w:p>
        </w:tc>
        <w:tc>
          <w:tcPr>
            <w:tcW w:w="4819" w:type="dxa"/>
            <w:noWrap w:val="0"/>
            <w:vAlign w:val="center"/>
          </w:tcPr>
          <w:p w14:paraId="7A4BCE2B">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开户银行：</w:t>
            </w:r>
          </w:p>
        </w:tc>
      </w:tr>
      <w:tr w14:paraId="034DA619">
        <w:tblPrEx>
          <w:tblCellMar>
            <w:top w:w="0" w:type="dxa"/>
            <w:left w:w="108" w:type="dxa"/>
            <w:bottom w:w="0" w:type="dxa"/>
            <w:right w:w="108" w:type="dxa"/>
          </w:tblCellMar>
        </w:tblPrEx>
        <w:trPr>
          <w:jc w:val="center"/>
        </w:trPr>
        <w:tc>
          <w:tcPr>
            <w:tcW w:w="5246" w:type="dxa"/>
            <w:noWrap w:val="0"/>
            <w:vAlign w:val="center"/>
          </w:tcPr>
          <w:p w14:paraId="07A4CB34">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账号：3008150109026404477</w:t>
            </w:r>
          </w:p>
        </w:tc>
        <w:tc>
          <w:tcPr>
            <w:tcW w:w="4819" w:type="dxa"/>
            <w:noWrap w:val="0"/>
            <w:vAlign w:val="center"/>
          </w:tcPr>
          <w:p w14:paraId="05992B27">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账号：</w:t>
            </w:r>
          </w:p>
        </w:tc>
      </w:tr>
      <w:tr w14:paraId="3434F37D">
        <w:tblPrEx>
          <w:tblCellMar>
            <w:top w:w="0" w:type="dxa"/>
            <w:left w:w="108" w:type="dxa"/>
            <w:bottom w:w="0" w:type="dxa"/>
            <w:right w:w="108" w:type="dxa"/>
          </w:tblCellMar>
        </w:tblPrEx>
        <w:trPr>
          <w:trHeight w:val="334" w:hRule="atLeast"/>
          <w:jc w:val="center"/>
        </w:trPr>
        <w:tc>
          <w:tcPr>
            <w:tcW w:w="5246" w:type="dxa"/>
            <w:noWrap w:val="0"/>
            <w:vAlign w:val="center"/>
          </w:tcPr>
          <w:p w14:paraId="34ECCF55">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eastAsia="zh-CN"/>
              </w:rPr>
              <w:t>行号：</w:t>
            </w:r>
            <w:r>
              <w:rPr>
                <w:rFonts w:hint="eastAsia" w:ascii="仿宋" w:hAnsi="仿宋" w:eastAsia="仿宋" w:cs="仿宋"/>
                <w:b w:val="0"/>
                <w:bCs/>
                <w:color w:val="auto"/>
                <w:sz w:val="24"/>
                <w:szCs w:val="15"/>
                <w:highlight w:val="none"/>
                <w:lang w:val="en-US" w:eastAsia="zh-CN"/>
              </w:rPr>
              <w:t>102902300018</w:t>
            </w:r>
          </w:p>
        </w:tc>
        <w:tc>
          <w:tcPr>
            <w:tcW w:w="4819" w:type="dxa"/>
            <w:noWrap w:val="0"/>
            <w:vAlign w:val="center"/>
          </w:tcPr>
          <w:p w14:paraId="7D0D2CDA">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eastAsia="zh-CN"/>
              </w:rPr>
              <w:t>行号：</w:t>
            </w:r>
          </w:p>
        </w:tc>
      </w:tr>
      <w:tr w14:paraId="492057C3">
        <w:tblPrEx>
          <w:tblCellMar>
            <w:top w:w="0" w:type="dxa"/>
            <w:left w:w="108" w:type="dxa"/>
            <w:bottom w:w="0" w:type="dxa"/>
            <w:right w:w="108" w:type="dxa"/>
          </w:tblCellMar>
        </w:tblPrEx>
        <w:trPr>
          <w:trHeight w:val="334" w:hRule="atLeast"/>
          <w:jc w:val="center"/>
        </w:trPr>
        <w:tc>
          <w:tcPr>
            <w:tcW w:w="5246" w:type="dxa"/>
            <w:noWrap w:val="0"/>
            <w:vAlign w:val="center"/>
          </w:tcPr>
          <w:p w14:paraId="4213FEEC">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税号：12654322458419532L</w:t>
            </w:r>
          </w:p>
        </w:tc>
        <w:tc>
          <w:tcPr>
            <w:tcW w:w="4819" w:type="dxa"/>
            <w:noWrap w:val="0"/>
            <w:vAlign w:val="center"/>
          </w:tcPr>
          <w:p w14:paraId="4CF09D2E">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税号：</w:t>
            </w:r>
          </w:p>
        </w:tc>
      </w:tr>
      <w:tr w14:paraId="37744D91">
        <w:tblPrEx>
          <w:tblCellMar>
            <w:top w:w="0" w:type="dxa"/>
            <w:left w:w="108" w:type="dxa"/>
            <w:bottom w:w="0" w:type="dxa"/>
            <w:right w:w="108" w:type="dxa"/>
          </w:tblCellMar>
        </w:tblPrEx>
        <w:trPr>
          <w:jc w:val="center"/>
        </w:trPr>
        <w:tc>
          <w:tcPr>
            <w:tcW w:w="5246" w:type="dxa"/>
            <w:noWrap w:val="0"/>
            <w:vAlign w:val="center"/>
          </w:tcPr>
          <w:p w14:paraId="67BC0085">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邮政编码：836100</w:t>
            </w:r>
          </w:p>
        </w:tc>
        <w:tc>
          <w:tcPr>
            <w:tcW w:w="4819" w:type="dxa"/>
            <w:noWrap w:val="0"/>
            <w:vAlign w:val="center"/>
          </w:tcPr>
          <w:p w14:paraId="17DE6906">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邮政编码：</w:t>
            </w:r>
          </w:p>
        </w:tc>
      </w:tr>
      <w:tr w14:paraId="171BA01D">
        <w:tblPrEx>
          <w:tblCellMar>
            <w:top w:w="0" w:type="dxa"/>
            <w:left w:w="108" w:type="dxa"/>
            <w:bottom w:w="0" w:type="dxa"/>
            <w:right w:w="108" w:type="dxa"/>
          </w:tblCellMar>
        </w:tblPrEx>
        <w:trPr>
          <w:trHeight w:val="963" w:hRule="atLeast"/>
          <w:jc w:val="center"/>
        </w:trPr>
        <w:tc>
          <w:tcPr>
            <w:tcW w:w="10065" w:type="dxa"/>
            <w:gridSpan w:val="2"/>
            <w:noWrap w:val="0"/>
            <w:vAlign w:val="center"/>
          </w:tcPr>
          <w:p w14:paraId="6F7CC91F">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合同签订日期：        年    月    日</w:t>
            </w:r>
          </w:p>
        </w:tc>
      </w:tr>
    </w:tbl>
    <w:p w14:paraId="08A2220B">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br w:type="page"/>
      </w:r>
    </w:p>
    <w:p w14:paraId="4320DC40">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附件1:</w:t>
      </w:r>
    </w:p>
    <w:p w14:paraId="3BF451D7">
      <w:pPr>
        <w:spacing w:line="520" w:lineRule="exact"/>
        <w:ind w:left="560" w:firstLine="560" w:firstLineChars="200"/>
        <w:jc w:val="center"/>
        <w:outlineLvl w:val="9"/>
        <w:rPr>
          <w:rFonts w:hint="eastAsia" w:ascii="仿宋" w:hAnsi="仿宋" w:eastAsia="仿宋" w:cs="仿宋"/>
          <w:b/>
          <w:bCs w:val="0"/>
          <w:color w:val="auto"/>
          <w:sz w:val="28"/>
          <w:szCs w:val="16"/>
          <w:highlight w:val="none"/>
        </w:rPr>
      </w:pPr>
      <w:r>
        <w:rPr>
          <w:rFonts w:hint="eastAsia" w:ascii="仿宋" w:hAnsi="仿宋" w:eastAsia="仿宋" w:cs="仿宋"/>
          <w:b/>
          <w:bCs w:val="0"/>
          <w:color w:val="auto"/>
          <w:sz w:val="28"/>
          <w:szCs w:val="16"/>
          <w:highlight w:val="none"/>
          <w:lang w:eastAsia="zh-CN"/>
        </w:rPr>
        <w:t>富蕴县</w:t>
      </w:r>
      <w:r>
        <w:rPr>
          <w:rFonts w:hint="eastAsia" w:ascii="仿宋" w:hAnsi="仿宋" w:eastAsia="仿宋" w:cs="仿宋"/>
          <w:b/>
          <w:bCs w:val="0"/>
          <w:color w:val="auto"/>
          <w:sz w:val="28"/>
          <w:szCs w:val="16"/>
          <w:highlight w:val="none"/>
        </w:rPr>
        <w:t>疾控中心物资采购廉洁合同</w:t>
      </w:r>
    </w:p>
    <w:p w14:paraId="7E3F642F">
      <w:pPr>
        <w:spacing w:line="520" w:lineRule="exact"/>
        <w:ind w:left="560" w:firstLine="480" w:firstLineChars="200"/>
        <w:outlineLvl w:val="9"/>
        <w:rPr>
          <w:rFonts w:hint="eastAsia" w:ascii="仿宋" w:hAnsi="仿宋" w:eastAsia="仿宋" w:cs="仿宋"/>
          <w:b w:val="0"/>
          <w:bCs/>
          <w:color w:val="auto"/>
          <w:sz w:val="24"/>
          <w:szCs w:val="15"/>
          <w:highlight w:val="none"/>
          <w:u w:val="single"/>
        </w:rPr>
      </w:pPr>
      <w:r>
        <w:rPr>
          <w:rFonts w:hint="eastAsia" w:ascii="仿宋" w:hAnsi="仿宋" w:eastAsia="仿宋" w:cs="仿宋"/>
          <w:b w:val="0"/>
          <w:bCs/>
          <w:color w:val="auto"/>
          <w:sz w:val="24"/>
          <w:szCs w:val="15"/>
          <w:highlight w:val="none"/>
        </w:rPr>
        <w:t>甲方:</w:t>
      </w:r>
      <w:r>
        <w:rPr>
          <w:rFonts w:hint="eastAsia" w:ascii="仿宋" w:hAnsi="仿宋" w:eastAsia="仿宋" w:cs="仿宋"/>
          <w:b w:val="0"/>
          <w:bCs/>
          <w:color w:val="auto"/>
          <w:sz w:val="24"/>
          <w:szCs w:val="15"/>
          <w:highlight w:val="none"/>
          <w:u w:val="single"/>
          <w:lang w:eastAsia="zh-CN"/>
        </w:rPr>
        <w:t>富蕴县</w:t>
      </w:r>
      <w:r>
        <w:rPr>
          <w:rFonts w:hint="eastAsia" w:ascii="仿宋" w:hAnsi="仿宋" w:eastAsia="仿宋" w:cs="仿宋"/>
          <w:b w:val="0"/>
          <w:bCs/>
          <w:color w:val="auto"/>
          <w:sz w:val="24"/>
          <w:szCs w:val="15"/>
          <w:highlight w:val="none"/>
          <w:u w:val="single"/>
        </w:rPr>
        <w:t>疾病预防控制中心</w:t>
      </w:r>
    </w:p>
    <w:p w14:paraId="68FB4FB7">
      <w:pPr>
        <w:spacing w:line="520" w:lineRule="exact"/>
        <w:ind w:left="560" w:firstLine="480" w:firstLineChars="200"/>
        <w:outlineLvl w:val="9"/>
        <w:rPr>
          <w:rFonts w:hint="eastAsia" w:ascii="仿宋" w:hAnsi="仿宋" w:eastAsia="仿宋" w:cs="仿宋"/>
          <w:b w:val="0"/>
          <w:bCs/>
          <w:color w:val="auto"/>
          <w:sz w:val="24"/>
          <w:szCs w:val="15"/>
          <w:highlight w:val="none"/>
          <w:u w:val="single"/>
          <w:lang w:val="en-US" w:eastAsia="zh-CN"/>
        </w:rPr>
      </w:pPr>
      <w:r>
        <w:rPr>
          <w:rFonts w:hint="eastAsia" w:ascii="仿宋" w:hAnsi="仿宋" w:eastAsia="仿宋" w:cs="仿宋"/>
          <w:b w:val="0"/>
          <w:bCs/>
          <w:color w:val="auto"/>
          <w:sz w:val="24"/>
          <w:szCs w:val="15"/>
          <w:highlight w:val="none"/>
        </w:rPr>
        <w:t>乙方:</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u w:val="single"/>
          <w:lang w:val="en-US" w:eastAsia="zh-CN"/>
        </w:rPr>
        <w:t xml:space="preserve">                     </w:t>
      </w:r>
    </w:p>
    <w:p w14:paraId="00BEF789">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项目名称:</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val="en-US" w:eastAsia="zh-CN"/>
        </w:rPr>
        <w:t xml:space="preserve">                 </w:t>
      </w:r>
    </w:p>
    <w:p w14:paraId="48E2343F">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项目金额:</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rPr>
        <w:t>元</w:t>
      </w:r>
    </w:p>
    <w:p w14:paraId="6779084A">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为进一步加强中心行风建设，规范中心物资采购行为，有效防范商业贿赂行为，营造公平交易、诚实守信的采购环境，经甲、乙双方协商，同意签订本合同，并共同遵守:</w:t>
      </w:r>
    </w:p>
    <w:p w14:paraId="536A247C">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一、甲乙双方按照《民法典》及物资采购合同约定采购工程建设、仪器设备、药品、疫苗、试剂耗材、生物制品、印刷、办公设备、办公用品、图书、后勤物资、服务等等各类物资。</w:t>
      </w:r>
    </w:p>
    <w:p w14:paraId="3B6159A3">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二、甲方应当严格执行物资采购合同验收、入库制度对采购物资及发票进行查验，不得违反有关规定合同外采购、违价采购或从非规定渠道采购。</w:t>
      </w:r>
    </w:p>
    <w:p w14:paraId="325BAEB0">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2BD0D4F">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四、严禁甲方工作人员利用任何途径和方式，私自为乙方提供物资用量、底价等信息，或为乙方投标提供便利。</w:t>
      </w:r>
    </w:p>
    <w:p w14:paraId="7230E809">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五、乙方不得以回扣、宴请等方式影响甲方工作人员采购或使用物资的选择权，不得在学术活动中提供旅游、超标准支付食宿费用。</w:t>
      </w:r>
    </w:p>
    <w:p w14:paraId="63381AD4">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六、乙方指定作为销售代表洽谈业务。销售代表必须在工作时间到甲方指定地点联系商谈，不得到各科室推销产品，不得借故到甲方相关领导、部门负责人及相关工作人员家中访谈并提供任何好处费。</w:t>
      </w:r>
    </w:p>
    <w:p w14:paraId="123EDE37">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七、乙方如违反本合同，一经发现，甲方有权终止购销合同，并向有关卫生行政部门报告。如乙方被列入商业贿赂不良记录，则严格按照《国家卫生计生委关于建立医药购销领域商业贿赂不良记录的规定》(国卫法制发(2013)50号)相关规定处理。</w:t>
      </w:r>
    </w:p>
    <w:p w14:paraId="5203A7BC">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八、本合同作为</w:t>
      </w:r>
      <w:r>
        <w:rPr>
          <w:rFonts w:hint="eastAsia" w:ascii="仿宋" w:hAnsi="仿宋" w:eastAsia="仿宋" w:cs="仿宋"/>
          <w:b w:val="0"/>
          <w:bCs/>
          <w:color w:val="auto"/>
          <w:sz w:val="24"/>
          <w:szCs w:val="15"/>
          <w:highlight w:val="none"/>
          <w:lang w:eastAsia="zh-CN"/>
        </w:rPr>
        <w:t>疾控</w:t>
      </w:r>
      <w:r>
        <w:rPr>
          <w:rFonts w:hint="eastAsia" w:ascii="仿宋" w:hAnsi="仿宋" w:eastAsia="仿宋" w:cs="仿宋"/>
          <w:b w:val="0"/>
          <w:bCs/>
          <w:color w:val="auto"/>
          <w:sz w:val="24"/>
          <w:szCs w:val="15"/>
          <w:highlight w:val="none"/>
        </w:rPr>
        <w:t>中心物资购销合同的重要组成部分，与购销合同一并执行，具有同等的法律效力。</w:t>
      </w:r>
    </w:p>
    <w:p w14:paraId="69D92CE6">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九、本合同一式四份，甲、乙双方各执一份。</w:t>
      </w:r>
    </w:p>
    <w:p w14:paraId="45BD6CEB">
      <w:pPr>
        <w:spacing w:line="520" w:lineRule="exact"/>
        <w:ind w:left="560" w:firstLine="560" w:firstLineChars="200"/>
        <w:outlineLvl w:val="9"/>
        <w:rPr>
          <w:rFonts w:hint="eastAsia" w:ascii="仿宋" w:hAnsi="仿宋" w:eastAsia="仿宋" w:cs="仿宋"/>
          <w:b w:val="0"/>
          <w:bCs/>
          <w:color w:val="auto"/>
          <w:sz w:val="28"/>
          <w:szCs w:val="16"/>
          <w:highlight w:val="none"/>
        </w:rPr>
      </w:pPr>
    </w:p>
    <w:p w14:paraId="5C4D613E">
      <w:pPr>
        <w:rPr>
          <w:rFonts w:hint="eastAsia" w:ascii="仿宋" w:hAnsi="仿宋" w:eastAsia="仿宋" w:cs="仿宋"/>
          <w:b w:val="0"/>
          <w:bCs/>
          <w:color w:val="auto"/>
          <w:sz w:val="28"/>
          <w:szCs w:val="16"/>
          <w:highlight w:val="none"/>
          <w:vertAlign w:val="baseline"/>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2550"/>
        <w:gridCol w:w="4092"/>
      </w:tblGrid>
      <w:tr w14:paraId="0BC2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0" w:type="dxa"/>
            <w:tcBorders>
              <w:top w:val="nil"/>
              <w:left w:val="nil"/>
              <w:bottom w:val="nil"/>
              <w:right w:val="nil"/>
            </w:tcBorders>
            <w:vAlign w:val="top"/>
          </w:tcPr>
          <w:p w14:paraId="77D1B434">
            <w:p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color w:val="auto"/>
                <w:sz w:val="24"/>
                <w:szCs w:val="24"/>
              </w:rPr>
              <w:t>甲方申请</w:t>
            </w:r>
            <w:r>
              <w:rPr>
                <w:rFonts w:hint="eastAsia" w:ascii="仿宋" w:hAnsi="仿宋" w:eastAsia="仿宋" w:cs="仿宋"/>
                <w:color w:val="auto"/>
                <w:sz w:val="24"/>
                <w:szCs w:val="24"/>
                <w:lang w:eastAsia="zh-CN"/>
              </w:rPr>
              <w:t>科室</w:t>
            </w:r>
            <w:r>
              <w:rPr>
                <w:rFonts w:hint="eastAsia" w:ascii="仿宋" w:hAnsi="仿宋" w:eastAsia="仿宋" w:cs="仿宋"/>
                <w:color w:val="auto"/>
                <w:sz w:val="24"/>
                <w:szCs w:val="24"/>
              </w:rPr>
              <w:t>负</w:t>
            </w:r>
            <w:r>
              <w:rPr>
                <w:rFonts w:hint="eastAsia" w:ascii="仿宋" w:hAnsi="仿宋" w:eastAsia="仿宋" w:cs="仿宋"/>
                <w:color w:val="auto"/>
                <w:sz w:val="24"/>
                <w:szCs w:val="24"/>
                <w:lang w:eastAsia="zh-CN"/>
              </w:rPr>
              <w:t>责人：</w:t>
            </w:r>
          </w:p>
        </w:tc>
        <w:tc>
          <w:tcPr>
            <w:tcW w:w="2550" w:type="dxa"/>
            <w:tcBorders>
              <w:top w:val="nil"/>
              <w:left w:val="nil"/>
              <w:bottom w:val="nil"/>
              <w:right w:val="nil"/>
            </w:tcBorders>
            <w:vAlign w:val="top"/>
          </w:tcPr>
          <w:p w14:paraId="498DFC5C">
            <w:pPr>
              <w:rPr>
                <w:rFonts w:hint="eastAsia" w:ascii="仿宋" w:hAnsi="仿宋" w:eastAsia="仿宋" w:cs="仿宋"/>
                <w:b w:val="0"/>
                <w:bCs/>
                <w:color w:val="auto"/>
                <w:sz w:val="24"/>
                <w:szCs w:val="24"/>
                <w:highlight w:val="none"/>
                <w:vertAlign w:val="baseline"/>
                <w:lang w:val="en-US" w:eastAsia="zh-CN"/>
              </w:rPr>
            </w:pPr>
          </w:p>
        </w:tc>
        <w:tc>
          <w:tcPr>
            <w:tcW w:w="4092" w:type="dxa"/>
            <w:tcBorders>
              <w:top w:val="nil"/>
              <w:left w:val="nil"/>
              <w:bottom w:val="nil"/>
              <w:right w:val="nil"/>
            </w:tcBorders>
            <w:vAlign w:val="top"/>
          </w:tcPr>
          <w:p w14:paraId="4AC954C6">
            <w:p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方（盖章）</w:t>
            </w:r>
          </w:p>
        </w:tc>
      </w:tr>
      <w:tr w14:paraId="45ED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0" w:type="dxa"/>
            <w:tcBorders>
              <w:top w:val="nil"/>
              <w:left w:val="nil"/>
              <w:bottom w:val="nil"/>
              <w:right w:val="nil"/>
            </w:tcBorders>
            <w:vAlign w:val="top"/>
          </w:tcPr>
          <w:p w14:paraId="3643DA35">
            <w:p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color w:val="auto"/>
                <w:sz w:val="24"/>
                <w:szCs w:val="24"/>
              </w:rPr>
              <w:t>甲方采购负责</w:t>
            </w:r>
            <w:r>
              <w:rPr>
                <w:rFonts w:hint="eastAsia" w:ascii="仿宋" w:hAnsi="仿宋" w:eastAsia="仿宋" w:cs="仿宋"/>
                <w:color w:val="auto"/>
                <w:sz w:val="24"/>
                <w:szCs w:val="24"/>
                <w:lang w:eastAsia="zh-CN"/>
              </w:rPr>
              <w:t>人：</w:t>
            </w:r>
          </w:p>
        </w:tc>
        <w:tc>
          <w:tcPr>
            <w:tcW w:w="2550" w:type="dxa"/>
            <w:tcBorders>
              <w:top w:val="nil"/>
              <w:left w:val="nil"/>
              <w:bottom w:val="nil"/>
              <w:right w:val="nil"/>
            </w:tcBorders>
            <w:vAlign w:val="top"/>
          </w:tcPr>
          <w:p w14:paraId="482E72BB">
            <w:pPr>
              <w:rPr>
                <w:rFonts w:hint="eastAsia" w:ascii="仿宋" w:hAnsi="仿宋" w:eastAsia="仿宋" w:cs="仿宋"/>
                <w:b w:val="0"/>
                <w:bCs/>
                <w:color w:val="auto"/>
                <w:sz w:val="24"/>
                <w:szCs w:val="24"/>
                <w:highlight w:val="none"/>
                <w:vertAlign w:val="baseline"/>
                <w:lang w:val="en-US" w:eastAsia="zh-CN"/>
              </w:rPr>
            </w:pPr>
          </w:p>
        </w:tc>
        <w:tc>
          <w:tcPr>
            <w:tcW w:w="4092" w:type="dxa"/>
            <w:tcBorders>
              <w:top w:val="nil"/>
              <w:left w:val="nil"/>
              <w:bottom w:val="nil"/>
              <w:right w:val="nil"/>
            </w:tcBorders>
            <w:vAlign w:val="top"/>
          </w:tcPr>
          <w:p w14:paraId="3432C240">
            <w:p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color w:val="auto"/>
                <w:sz w:val="24"/>
                <w:szCs w:val="24"/>
                <w:lang w:eastAsia="zh-CN"/>
              </w:rPr>
              <w:t>法定代表人或委托代理人（签字）：</w:t>
            </w:r>
          </w:p>
        </w:tc>
      </w:tr>
      <w:tr w14:paraId="0811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0" w:type="dxa"/>
            <w:tcBorders>
              <w:top w:val="nil"/>
              <w:left w:val="nil"/>
              <w:bottom w:val="nil"/>
              <w:right w:val="nil"/>
            </w:tcBorders>
            <w:vAlign w:val="top"/>
          </w:tcPr>
          <w:p w14:paraId="27E3673F">
            <w:pP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color w:val="auto"/>
                <w:sz w:val="24"/>
                <w:szCs w:val="24"/>
              </w:rPr>
              <w:t>甲方纪检</w:t>
            </w:r>
            <w:r>
              <w:rPr>
                <w:rFonts w:hint="eastAsia" w:ascii="仿宋" w:hAnsi="仿宋" w:eastAsia="仿宋" w:cs="仿宋"/>
                <w:color w:val="auto"/>
                <w:sz w:val="24"/>
                <w:szCs w:val="24"/>
                <w:lang w:eastAsia="zh-CN"/>
              </w:rPr>
              <w:t>委员：</w:t>
            </w:r>
          </w:p>
        </w:tc>
        <w:tc>
          <w:tcPr>
            <w:tcW w:w="2550" w:type="dxa"/>
            <w:tcBorders>
              <w:top w:val="nil"/>
              <w:left w:val="nil"/>
              <w:bottom w:val="nil"/>
              <w:right w:val="nil"/>
            </w:tcBorders>
            <w:vAlign w:val="top"/>
          </w:tcPr>
          <w:p w14:paraId="601069F0">
            <w:pPr>
              <w:rPr>
                <w:rFonts w:hint="eastAsia" w:ascii="仿宋" w:hAnsi="仿宋" w:eastAsia="仿宋" w:cs="仿宋"/>
                <w:b w:val="0"/>
                <w:bCs/>
                <w:color w:val="auto"/>
                <w:sz w:val="24"/>
                <w:szCs w:val="24"/>
                <w:highlight w:val="none"/>
                <w:vertAlign w:val="baseline"/>
                <w:lang w:val="en-US" w:eastAsia="zh-CN"/>
              </w:rPr>
            </w:pPr>
          </w:p>
        </w:tc>
        <w:tc>
          <w:tcPr>
            <w:tcW w:w="4092" w:type="dxa"/>
            <w:tcBorders>
              <w:top w:val="nil"/>
              <w:left w:val="nil"/>
              <w:bottom w:val="nil"/>
              <w:right w:val="nil"/>
            </w:tcBorders>
            <w:vAlign w:val="top"/>
          </w:tcPr>
          <w:p w14:paraId="30B8D8EE">
            <w:pPr>
              <w:rPr>
                <w:rFonts w:hint="eastAsia" w:ascii="仿宋" w:hAnsi="仿宋" w:eastAsia="仿宋" w:cs="仿宋"/>
                <w:b w:val="0"/>
                <w:bCs/>
                <w:color w:val="auto"/>
                <w:sz w:val="24"/>
                <w:szCs w:val="24"/>
                <w:highlight w:val="none"/>
                <w:vertAlign w:val="baseline"/>
                <w:lang w:val="en-US" w:eastAsia="zh-CN"/>
              </w:rPr>
            </w:pPr>
          </w:p>
        </w:tc>
      </w:tr>
      <w:tr w14:paraId="3BAD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62" w:type="dxa"/>
            <w:gridSpan w:val="3"/>
            <w:tcBorders>
              <w:top w:val="nil"/>
              <w:left w:val="nil"/>
              <w:bottom w:val="nil"/>
              <w:right w:val="nil"/>
            </w:tcBorders>
            <w:vAlign w:val="top"/>
          </w:tcPr>
          <w:p w14:paraId="0B642315">
            <w:pPr>
              <w:jc w:val="right"/>
              <w:rPr>
                <w:rFonts w:hint="eastAsia" w:ascii="仿宋" w:hAnsi="仿宋" w:eastAsia="仿宋" w:cs="仿宋"/>
                <w:color w:val="auto"/>
                <w:sz w:val="24"/>
                <w:szCs w:val="24"/>
                <w:lang w:eastAsia="zh-CN"/>
              </w:rPr>
            </w:pPr>
          </w:p>
          <w:p w14:paraId="7B188CFB">
            <w:pPr>
              <w:jc w:val="righ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日</w:t>
            </w:r>
          </w:p>
        </w:tc>
      </w:tr>
    </w:tbl>
    <w:p w14:paraId="39A90AE2">
      <w:pPr>
        <w:rPr>
          <w:rFonts w:hint="eastAsia" w:ascii="仿宋" w:hAnsi="仿宋" w:eastAsia="仿宋" w:cs="仿宋"/>
          <w:b w:val="0"/>
          <w:bCs/>
          <w:color w:val="auto"/>
          <w:sz w:val="28"/>
          <w:szCs w:val="16"/>
          <w:highlight w:val="none"/>
          <w:lang w:val="en-US" w:eastAsia="zh-CN"/>
        </w:rPr>
      </w:pPr>
    </w:p>
    <w:p w14:paraId="05C6D5CA">
      <w:pPr>
        <w:rPr>
          <w:rFonts w:hint="eastAsia" w:ascii="仿宋" w:hAnsi="仿宋" w:eastAsia="仿宋" w:cs="仿宋"/>
          <w:b w:val="0"/>
          <w:bCs/>
          <w:color w:val="auto"/>
          <w:sz w:val="28"/>
          <w:szCs w:val="16"/>
          <w:highlight w:val="none"/>
          <w:lang w:val="en-US" w:eastAsia="zh-CN"/>
        </w:rPr>
      </w:pPr>
      <w:r>
        <w:rPr>
          <w:rFonts w:hint="eastAsia" w:ascii="仿宋" w:hAnsi="仿宋" w:eastAsia="仿宋" w:cs="仿宋"/>
          <w:b w:val="0"/>
          <w:bCs/>
          <w:color w:val="auto"/>
          <w:sz w:val="28"/>
          <w:szCs w:val="16"/>
          <w:highlight w:val="none"/>
          <w:lang w:val="en-US" w:eastAsia="zh-CN"/>
        </w:rPr>
        <w:br w:type="page"/>
      </w:r>
    </w:p>
    <w:p w14:paraId="6767EC86">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r>
        <w:rPr>
          <w:rFonts w:hint="eastAsia" w:ascii="仿宋" w:hAnsi="仿宋" w:eastAsia="仿宋" w:cs="仿宋"/>
          <w:b w:val="0"/>
          <w:bCs/>
          <w:color w:val="auto"/>
          <w:sz w:val="28"/>
          <w:szCs w:val="16"/>
          <w:highlight w:val="none"/>
          <w:lang w:val="en-US" w:eastAsia="zh-CN"/>
        </w:rPr>
        <w:t>附件2:技术参数和售后服务</w:t>
      </w:r>
    </w:p>
    <w:p w14:paraId="1F3CF9FC">
      <w:pPr>
        <w:spacing w:line="520" w:lineRule="exact"/>
        <w:ind w:left="560" w:firstLine="560" w:firstLineChars="200"/>
        <w:jc w:val="center"/>
        <w:outlineLvl w:val="9"/>
        <w:rPr>
          <w:rFonts w:hint="eastAsia" w:ascii="仿宋" w:hAnsi="仿宋" w:eastAsia="仿宋" w:cs="仿宋"/>
          <w:b/>
          <w:bCs w:val="0"/>
          <w:color w:val="auto"/>
          <w:sz w:val="28"/>
          <w:szCs w:val="16"/>
          <w:highlight w:val="none"/>
        </w:rPr>
      </w:pPr>
      <w:r>
        <w:rPr>
          <w:rFonts w:hint="eastAsia" w:ascii="仿宋" w:hAnsi="仿宋" w:eastAsia="仿宋" w:cs="仿宋"/>
          <w:b/>
          <w:bCs w:val="0"/>
          <w:color w:val="auto"/>
          <w:sz w:val="28"/>
          <w:szCs w:val="16"/>
          <w:highlight w:val="none"/>
          <w:lang w:val="en-US" w:eastAsia="zh-CN"/>
        </w:rPr>
        <w:t>一、技术要求</w:t>
      </w:r>
      <w:r>
        <w:rPr>
          <w:rFonts w:hint="eastAsia" w:ascii="仿宋" w:hAnsi="仿宋" w:eastAsia="仿宋" w:cs="仿宋"/>
          <w:b/>
          <w:bCs w:val="0"/>
          <w:color w:val="auto"/>
          <w:sz w:val="28"/>
          <w:szCs w:val="16"/>
          <w:highlight w:val="none"/>
        </w:rPr>
        <w:t>响应偏离表</w:t>
      </w:r>
    </w:p>
    <w:p w14:paraId="7C5A70A0">
      <w:pPr>
        <w:spacing w:line="520" w:lineRule="exact"/>
        <w:ind w:left="560" w:firstLine="560" w:firstLineChars="200"/>
        <w:outlineLvl w:val="9"/>
        <w:rPr>
          <w:rFonts w:hint="eastAsia" w:ascii="仿宋" w:hAnsi="仿宋" w:eastAsia="仿宋" w:cs="仿宋"/>
          <w:b w:val="0"/>
          <w:bCs/>
          <w:color w:val="auto"/>
          <w:sz w:val="28"/>
          <w:szCs w:val="16"/>
          <w:highlight w:val="none"/>
        </w:rPr>
      </w:pPr>
    </w:p>
    <w:p w14:paraId="1ED10F16">
      <w:pPr>
        <w:spacing w:line="520" w:lineRule="exact"/>
        <w:ind w:left="560" w:firstLine="560" w:firstLineChars="200"/>
        <w:outlineLvl w:val="9"/>
        <w:rPr>
          <w:rFonts w:hint="eastAsia" w:ascii="仿宋" w:hAnsi="仿宋" w:eastAsia="仿宋" w:cs="仿宋"/>
          <w:b w:val="0"/>
          <w:bCs/>
          <w:color w:val="auto"/>
          <w:sz w:val="28"/>
          <w:szCs w:val="16"/>
          <w:highlight w:val="none"/>
          <w:u w:val="single"/>
          <w:lang w:val="en-US" w:eastAsia="zh-CN"/>
        </w:rPr>
      </w:pPr>
      <w:r>
        <w:rPr>
          <w:rFonts w:hint="eastAsia" w:ascii="仿宋" w:hAnsi="仿宋" w:eastAsia="仿宋" w:cs="仿宋"/>
          <w:b w:val="0"/>
          <w:bCs/>
          <w:color w:val="auto"/>
          <w:sz w:val="28"/>
          <w:szCs w:val="16"/>
          <w:highlight w:val="none"/>
          <w:lang w:val="en-US" w:eastAsia="zh-CN"/>
        </w:rPr>
        <w:t>项目名称：</w:t>
      </w:r>
      <w:r>
        <w:rPr>
          <w:rFonts w:hint="eastAsia" w:ascii="仿宋" w:hAnsi="仿宋" w:eastAsia="仿宋" w:cs="仿宋"/>
          <w:b w:val="0"/>
          <w:bCs/>
          <w:color w:val="auto"/>
          <w:sz w:val="28"/>
          <w:szCs w:val="16"/>
          <w:highlight w:val="none"/>
          <w:u w:val="single"/>
          <w:lang w:val="en-US" w:eastAsia="zh-CN"/>
        </w:rPr>
        <w:t xml:space="preserve">                          </w:t>
      </w:r>
    </w:p>
    <w:p w14:paraId="17E71F4C">
      <w:pPr>
        <w:spacing w:line="520" w:lineRule="exact"/>
        <w:ind w:left="560" w:firstLine="560" w:firstLineChars="200"/>
        <w:outlineLvl w:val="9"/>
        <w:rPr>
          <w:rFonts w:hint="eastAsia" w:ascii="仿宋" w:hAnsi="仿宋" w:eastAsia="仿宋" w:cs="仿宋"/>
          <w:b w:val="0"/>
          <w:bCs/>
          <w:color w:val="auto"/>
          <w:sz w:val="28"/>
          <w:szCs w:val="16"/>
          <w:highlight w:val="none"/>
          <w:lang w:val="en-US"/>
        </w:rPr>
      </w:pPr>
      <w:r>
        <w:rPr>
          <w:rFonts w:hint="eastAsia" w:ascii="仿宋" w:hAnsi="仿宋" w:eastAsia="仿宋" w:cs="仿宋"/>
          <w:b w:val="0"/>
          <w:bCs/>
          <w:color w:val="auto"/>
          <w:sz w:val="28"/>
          <w:szCs w:val="16"/>
          <w:highlight w:val="none"/>
          <w:lang w:val="en-US" w:eastAsia="zh-CN"/>
        </w:rPr>
        <w:t>项目编号：</w:t>
      </w:r>
      <w:r>
        <w:rPr>
          <w:rFonts w:hint="eastAsia" w:ascii="仿宋" w:hAnsi="仿宋" w:eastAsia="仿宋" w:cs="仿宋"/>
          <w:b w:val="0"/>
          <w:bCs/>
          <w:color w:val="auto"/>
          <w:sz w:val="28"/>
          <w:szCs w:val="16"/>
          <w:highlight w:val="none"/>
          <w:u w:val="single"/>
          <w:lang w:val="en-US" w:eastAsia="zh-CN"/>
        </w:rPr>
        <w:t xml:space="preserve">                          </w:t>
      </w:r>
    </w:p>
    <w:tbl>
      <w:tblPr>
        <w:tblStyle w:val="31"/>
        <w:tblpPr w:leftFromText="180" w:rightFromText="180" w:vertAnchor="text" w:horzAnchor="page" w:tblpX="966" w:tblpY="361"/>
        <w:tblOverlap w:val="never"/>
        <w:tblW w:w="102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3384"/>
        <w:gridCol w:w="3233"/>
        <w:gridCol w:w="1183"/>
        <w:gridCol w:w="1749"/>
      </w:tblGrid>
      <w:tr w14:paraId="1E6D7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29" w:type="dxa"/>
            <w:vAlign w:val="center"/>
          </w:tcPr>
          <w:p w14:paraId="0105209B">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3384" w:type="dxa"/>
            <w:vAlign w:val="center"/>
          </w:tcPr>
          <w:p w14:paraId="76A3E29C">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3233" w:type="dxa"/>
            <w:vAlign w:val="center"/>
          </w:tcPr>
          <w:p w14:paraId="5E119464">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183" w:type="dxa"/>
            <w:vAlign w:val="center"/>
          </w:tcPr>
          <w:p w14:paraId="026419F1">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6BF393E1">
            <w:pPr>
              <w:spacing w:line="520" w:lineRule="exact"/>
              <w:ind w:left="560" w:firstLine="560" w:firstLineChars="200"/>
              <w:outlineLvl w:val="9"/>
              <w:rPr>
                <w:rFonts w:hint="eastAsia" w:ascii="仿宋" w:hAnsi="仿宋" w:eastAsia="仿宋" w:cs="仿宋"/>
                <w:b w:val="0"/>
                <w:bCs/>
                <w:color w:val="auto"/>
                <w:sz w:val="28"/>
                <w:szCs w:val="16"/>
                <w:highlight w:val="none"/>
              </w:rPr>
            </w:pPr>
          </w:p>
        </w:tc>
      </w:tr>
      <w:tr w14:paraId="7DC53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9" w:type="dxa"/>
            <w:vAlign w:val="center"/>
          </w:tcPr>
          <w:p w14:paraId="60685556">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1EA25F04">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c>
          <w:tcPr>
            <w:tcW w:w="3233" w:type="dxa"/>
            <w:vAlign w:val="center"/>
          </w:tcPr>
          <w:p w14:paraId="42C8E610">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c>
          <w:tcPr>
            <w:tcW w:w="1183" w:type="dxa"/>
            <w:vAlign w:val="center"/>
          </w:tcPr>
          <w:p w14:paraId="25E0BEF6">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c>
          <w:tcPr>
            <w:tcW w:w="1749" w:type="dxa"/>
            <w:vAlign w:val="center"/>
          </w:tcPr>
          <w:p w14:paraId="4A4A1AD7">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r w14:paraId="09FEB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29" w:type="dxa"/>
            <w:vAlign w:val="center"/>
          </w:tcPr>
          <w:p w14:paraId="2573150E">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2F0351AE">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754CBD93">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4A4B02A3">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09268BE8">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r w14:paraId="51F80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29" w:type="dxa"/>
            <w:vAlign w:val="center"/>
          </w:tcPr>
          <w:p w14:paraId="7DA5066A">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4C9829E6">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4164013D">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5C41DB3C">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212E3204">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r w14:paraId="6D92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29" w:type="dxa"/>
            <w:vAlign w:val="center"/>
          </w:tcPr>
          <w:p w14:paraId="585C5C2A">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7D0EAF4E">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5BAF9FB0">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3E2F263C">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2FD1BDC9">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r w14:paraId="0F8DA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29" w:type="dxa"/>
            <w:vAlign w:val="center"/>
          </w:tcPr>
          <w:p w14:paraId="1F713FE2">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5B49FA24">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47AF80BE">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5FC84534">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3A02AFD5">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r w14:paraId="0D2DD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29" w:type="dxa"/>
            <w:vAlign w:val="center"/>
          </w:tcPr>
          <w:p w14:paraId="230C1856">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272FFE73">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5F44AD7E">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512666DC">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7DCF5702">
            <w:pPr>
              <w:spacing w:line="520" w:lineRule="exact"/>
              <w:ind w:left="560" w:firstLine="560" w:firstLineChars="200"/>
              <w:outlineLvl w:val="9"/>
              <w:rPr>
                <w:rFonts w:hint="eastAsia" w:ascii="仿宋" w:hAnsi="仿宋" w:eastAsia="仿宋" w:cs="仿宋"/>
                <w:b w:val="0"/>
                <w:bCs/>
                <w:color w:val="auto"/>
                <w:sz w:val="28"/>
                <w:szCs w:val="16"/>
                <w:highlight w:val="none"/>
                <w:lang w:eastAsia="zh-CN"/>
              </w:rPr>
            </w:pPr>
          </w:p>
        </w:tc>
      </w:tr>
      <w:tr w14:paraId="028B3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9" w:type="dxa"/>
            <w:vAlign w:val="center"/>
          </w:tcPr>
          <w:p w14:paraId="47508E26">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6E5A2DCD">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6382A57D">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209072C5">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7EEE8415">
            <w:pPr>
              <w:spacing w:line="520" w:lineRule="exact"/>
              <w:ind w:left="560" w:firstLine="560" w:firstLineChars="200"/>
              <w:outlineLvl w:val="9"/>
              <w:rPr>
                <w:rFonts w:hint="eastAsia" w:ascii="仿宋" w:hAnsi="仿宋" w:eastAsia="仿宋" w:cs="仿宋"/>
                <w:b w:val="0"/>
                <w:bCs/>
                <w:color w:val="auto"/>
                <w:sz w:val="28"/>
                <w:szCs w:val="16"/>
                <w:highlight w:val="none"/>
                <w:lang w:eastAsia="zh-CN"/>
              </w:rPr>
            </w:pPr>
          </w:p>
        </w:tc>
      </w:tr>
      <w:tr w14:paraId="14B5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29" w:type="dxa"/>
            <w:vAlign w:val="center"/>
          </w:tcPr>
          <w:p w14:paraId="7ED1B8A8">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50847572">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1EC560F6">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5D5A98CE">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6619DB21">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r w14:paraId="7D74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29" w:type="dxa"/>
            <w:vAlign w:val="center"/>
          </w:tcPr>
          <w:p w14:paraId="3BCD4D2A">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330E6E95">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c>
          <w:tcPr>
            <w:tcW w:w="3233" w:type="dxa"/>
            <w:vAlign w:val="center"/>
          </w:tcPr>
          <w:p w14:paraId="7B327A10">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c>
          <w:tcPr>
            <w:tcW w:w="1183" w:type="dxa"/>
            <w:vAlign w:val="center"/>
          </w:tcPr>
          <w:p w14:paraId="3E7B4CDA">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33B374A2">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r w14:paraId="6716C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29" w:type="dxa"/>
            <w:vAlign w:val="center"/>
          </w:tcPr>
          <w:p w14:paraId="4036950B">
            <w:pPr>
              <w:numPr>
                <w:ilvl w:val="0"/>
                <w:numId w:val="10"/>
              </w:numPr>
              <w:spacing w:line="520" w:lineRule="exact"/>
              <w:ind w:left="425" w:leftChars="0" w:hanging="425" w:firstLineChars="0"/>
              <w:jc w:val="center"/>
              <w:outlineLvl w:val="9"/>
              <w:rPr>
                <w:rFonts w:hint="eastAsia" w:ascii="仿宋" w:hAnsi="仿宋" w:eastAsia="仿宋" w:cs="仿宋"/>
                <w:b w:val="0"/>
                <w:bCs/>
                <w:color w:val="auto"/>
                <w:sz w:val="28"/>
                <w:szCs w:val="16"/>
                <w:highlight w:val="none"/>
              </w:rPr>
            </w:pPr>
          </w:p>
        </w:tc>
        <w:tc>
          <w:tcPr>
            <w:tcW w:w="3384" w:type="dxa"/>
            <w:vAlign w:val="center"/>
          </w:tcPr>
          <w:p w14:paraId="33EAD3B2">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3233" w:type="dxa"/>
            <w:vAlign w:val="center"/>
          </w:tcPr>
          <w:p w14:paraId="20CACE1E">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en-US"/>
              </w:rPr>
            </w:pPr>
          </w:p>
        </w:tc>
        <w:tc>
          <w:tcPr>
            <w:tcW w:w="1183" w:type="dxa"/>
            <w:vAlign w:val="center"/>
          </w:tcPr>
          <w:p w14:paraId="3834E6C7">
            <w:pPr>
              <w:spacing w:line="520" w:lineRule="exact"/>
              <w:ind w:left="560" w:firstLine="560" w:firstLineChars="200"/>
              <w:outlineLvl w:val="9"/>
              <w:rPr>
                <w:rFonts w:hint="eastAsia" w:ascii="仿宋" w:hAnsi="仿宋" w:eastAsia="仿宋" w:cs="仿宋"/>
                <w:b w:val="0"/>
                <w:bCs/>
                <w:color w:val="auto"/>
                <w:sz w:val="28"/>
                <w:szCs w:val="16"/>
                <w:highlight w:val="none"/>
              </w:rPr>
            </w:pPr>
          </w:p>
        </w:tc>
        <w:tc>
          <w:tcPr>
            <w:tcW w:w="1749" w:type="dxa"/>
            <w:vAlign w:val="center"/>
          </w:tcPr>
          <w:p w14:paraId="6CCA407E">
            <w:pPr>
              <w:spacing w:line="520" w:lineRule="exact"/>
              <w:ind w:left="560" w:firstLine="560" w:firstLineChars="200"/>
              <w:outlineLvl w:val="9"/>
              <w:rPr>
                <w:rFonts w:hint="eastAsia" w:ascii="仿宋" w:hAnsi="仿宋" w:eastAsia="仿宋" w:cs="仿宋"/>
                <w:b w:val="0"/>
                <w:bCs/>
                <w:color w:val="auto"/>
                <w:sz w:val="28"/>
                <w:szCs w:val="16"/>
                <w:highlight w:val="none"/>
                <w:lang w:val="en-US" w:eastAsia="zh-CN"/>
              </w:rPr>
            </w:pPr>
          </w:p>
        </w:tc>
      </w:tr>
    </w:tbl>
    <w:p w14:paraId="1D237E36">
      <w:pPr>
        <w:spacing w:line="520" w:lineRule="exact"/>
        <w:ind w:left="560" w:firstLine="560" w:firstLineChars="200"/>
        <w:outlineLvl w:val="9"/>
        <w:rPr>
          <w:rFonts w:hint="eastAsia" w:ascii="仿宋" w:hAnsi="仿宋" w:eastAsia="仿宋" w:cs="仿宋"/>
          <w:b w:val="0"/>
          <w:bCs/>
          <w:color w:val="auto"/>
          <w:sz w:val="28"/>
          <w:szCs w:val="16"/>
          <w:highlight w:val="none"/>
        </w:rPr>
      </w:pPr>
      <w:r>
        <w:rPr>
          <w:rFonts w:hint="eastAsia" w:ascii="仿宋" w:hAnsi="仿宋" w:eastAsia="仿宋" w:cs="仿宋"/>
          <w:b w:val="0"/>
          <w:bCs/>
          <w:color w:val="auto"/>
          <w:sz w:val="28"/>
          <w:szCs w:val="16"/>
          <w:highlight w:val="none"/>
        </w:rPr>
        <w:br w:type="page"/>
      </w:r>
    </w:p>
    <w:p w14:paraId="6A507A83">
      <w:pPr>
        <w:spacing w:line="520" w:lineRule="exact"/>
        <w:ind w:left="560" w:firstLine="560" w:firstLineChars="200"/>
        <w:jc w:val="center"/>
        <w:outlineLvl w:val="9"/>
        <w:rPr>
          <w:rFonts w:hint="eastAsia" w:ascii="仿宋" w:hAnsi="仿宋" w:eastAsia="仿宋" w:cs="仿宋"/>
          <w:b/>
          <w:bCs w:val="0"/>
          <w:color w:val="auto"/>
          <w:sz w:val="28"/>
          <w:szCs w:val="16"/>
          <w:highlight w:val="none"/>
        </w:rPr>
      </w:pPr>
      <w:r>
        <w:rPr>
          <w:rFonts w:hint="eastAsia" w:ascii="仿宋" w:hAnsi="仿宋" w:eastAsia="仿宋" w:cs="仿宋"/>
          <w:b/>
          <w:bCs w:val="0"/>
          <w:color w:val="auto"/>
          <w:sz w:val="28"/>
          <w:szCs w:val="16"/>
          <w:highlight w:val="none"/>
          <w:lang w:val="en-US" w:eastAsia="zh-CN"/>
        </w:rPr>
        <w:t>二</w:t>
      </w:r>
      <w:r>
        <w:rPr>
          <w:rFonts w:hint="eastAsia" w:ascii="仿宋" w:hAnsi="仿宋" w:eastAsia="仿宋" w:cs="仿宋"/>
          <w:b/>
          <w:bCs w:val="0"/>
          <w:color w:val="auto"/>
          <w:sz w:val="28"/>
          <w:szCs w:val="16"/>
          <w:highlight w:val="none"/>
        </w:rPr>
        <w:t>.售后服务体系及承诺书</w:t>
      </w:r>
    </w:p>
    <w:p w14:paraId="6771913B">
      <w:pPr>
        <w:spacing w:line="520" w:lineRule="exact"/>
        <w:ind w:left="560" w:firstLine="480" w:firstLineChars="200"/>
        <w:outlineLvl w:val="9"/>
        <w:rPr>
          <w:rFonts w:hint="eastAsia" w:ascii="仿宋" w:hAnsi="仿宋" w:eastAsia="仿宋" w:cs="仿宋"/>
          <w:b w:val="0"/>
          <w:bCs/>
          <w:color w:val="auto"/>
          <w:sz w:val="24"/>
          <w:szCs w:val="15"/>
          <w:highlight w:val="none"/>
        </w:rPr>
      </w:pPr>
    </w:p>
    <w:p w14:paraId="3E61311C">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val="en-US" w:eastAsia="en-US"/>
        </w:rPr>
        <w:t>（1）</w:t>
      </w:r>
      <w:r>
        <w:rPr>
          <w:rFonts w:hint="eastAsia" w:ascii="仿宋" w:hAnsi="仿宋" w:eastAsia="仿宋" w:cs="仿宋"/>
          <w:b w:val="0"/>
          <w:bCs/>
          <w:color w:val="auto"/>
          <w:sz w:val="24"/>
          <w:szCs w:val="15"/>
          <w:highlight w:val="none"/>
        </w:rPr>
        <w:t>质量保证期</w:t>
      </w:r>
    </w:p>
    <w:p w14:paraId="491D266D">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质保期</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rPr>
        <w:t>，质保期自货物最终验收合格之日起算，质保期内我方对所提供的货物实行包修、包换、包退、包维护保养，在质保期内属产品质量问题所发生的一切费用由我方负担。</w:t>
      </w:r>
    </w:p>
    <w:p w14:paraId="42A23FE5">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eastAsia="zh-CN"/>
        </w:rPr>
        <w:t>（2）应急处理时间安排</w:t>
      </w:r>
    </w:p>
    <w:p w14:paraId="43851809">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项目过程中，我公司将为您提供相应于各个阶段的应急服务，并由相应部门负责完成。设专门的应急支持小组，建立内部和外部沟通机制。项目经理亲自指导、指挥应急支持小组的日常工作，直接听取应急支持小组的各种报告。在特定的紧急状况下将召集会议，组织临时机构或者亲赴现场处理，直至紧急状况解除。各分组组长负责其职责范围内应急预案措施的组织、落实、实施。</w:t>
      </w:r>
    </w:p>
    <w:p w14:paraId="70BB7F5F">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lang w:val="en-US" w:eastAsia="zh-CN"/>
        </w:rPr>
        <w:t>我方在乌鲁木齐设立有售后服务机构，如设备发生故障后，具备完善的售后</w:t>
      </w:r>
      <w:r>
        <w:rPr>
          <w:rFonts w:hint="eastAsia" w:ascii="仿宋" w:hAnsi="仿宋" w:eastAsia="仿宋" w:cs="仿宋"/>
          <w:b w:val="0"/>
          <w:bCs/>
          <w:color w:val="auto"/>
          <w:sz w:val="24"/>
          <w:szCs w:val="15"/>
          <w:highlight w:val="none"/>
          <w:lang w:eastAsia="zh-CN"/>
        </w:rPr>
        <w:t>服务体系。 在非工作时间设置有专人7*24小时接听的移动电话热线，用于</w:t>
      </w:r>
      <w:r>
        <w:rPr>
          <w:rFonts w:hint="eastAsia" w:ascii="仿宋" w:hAnsi="仿宋" w:eastAsia="仿宋" w:cs="仿宋"/>
          <w:b w:val="0"/>
          <w:bCs/>
          <w:color w:val="auto"/>
          <w:sz w:val="24"/>
          <w:szCs w:val="15"/>
          <w:highlight w:val="none"/>
          <w:lang w:val="en-US" w:eastAsia="zh-CN"/>
        </w:rPr>
        <w:t>解决技术问题以及突发情况汇报。</w:t>
      </w:r>
      <w:r>
        <w:rPr>
          <w:rFonts w:hint="eastAsia" w:ascii="仿宋" w:hAnsi="仿宋" w:eastAsia="仿宋" w:cs="仿宋"/>
          <w:b w:val="0"/>
          <w:bCs/>
          <w:color w:val="auto"/>
          <w:sz w:val="24"/>
          <w:szCs w:val="15"/>
          <w:highlight w:val="none"/>
          <w:lang w:eastAsia="zh-CN"/>
        </w:rPr>
        <w:t>当采购人遇到操作问题、仪器故障及技术问题时我方接报后</w:t>
      </w:r>
      <w:r>
        <w:rPr>
          <w:rFonts w:hint="eastAsia" w:ascii="仿宋" w:hAnsi="仿宋" w:eastAsia="仿宋" w:cs="仿宋"/>
          <w:b w:val="0"/>
          <w:bCs/>
          <w:color w:val="auto"/>
          <w:sz w:val="24"/>
          <w:szCs w:val="15"/>
          <w:highlight w:val="none"/>
          <w:lang w:val="en-US" w:eastAsia="zh-CN"/>
        </w:rPr>
        <w:t>30分钟</w:t>
      </w:r>
      <w:r>
        <w:rPr>
          <w:rFonts w:hint="eastAsia" w:ascii="仿宋" w:hAnsi="仿宋" w:eastAsia="仿宋" w:cs="仿宋"/>
          <w:b w:val="0"/>
          <w:bCs/>
          <w:color w:val="auto"/>
          <w:sz w:val="24"/>
          <w:szCs w:val="15"/>
          <w:highlight w:val="none"/>
          <w:lang w:eastAsia="zh-CN"/>
        </w:rPr>
        <w:t>内响应，电话咨询不能解决的，我方在</w:t>
      </w:r>
      <w:r>
        <w:rPr>
          <w:rFonts w:hint="eastAsia" w:ascii="仿宋" w:hAnsi="仿宋" w:eastAsia="仿宋" w:cs="仿宋"/>
          <w:b w:val="0"/>
          <w:bCs/>
          <w:color w:val="auto"/>
          <w:sz w:val="24"/>
          <w:szCs w:val="15"/>
          <w:highlight w:val="none"/>
          <w:lang w:val="en-US" w:eastAsia="zh-CN"/>
        </w:rPr>
        <w:t>2</w:t>
      </w:r>
      <w:r>
        <w:rPr>
          <w:rFonts w:hint="eastAsia" w:ascii="仿宋" w:hAnsi="仿宋" w:eastAsia="仿宋" w:cs="仿宋"/>
          <w:b w:val="0"/>
          <w:bCs/>
          <w:color w:val="auto"/>
          <w:sz w:val="24"/>
          <w:szCs w:val="15"/>
          <w:highlight w:val="none"/>
          <w:lang w:eastAsia="zh-CN"/>
        </w:rPr>
        <w:t>小时内到达现场进行处理，</w:t>
      </w:r>
      <w:r>
        <w:rPr>
          <w:rFonts w:hint="eastAsia" w:ascii="仿宋" w:hAnsi="仿宋" w:eastAsia="仿宋" w:cs="仿宋"/>
          <w:b w:val="0"/>
          <w:bCs/>
          <w:color w:val="auto"/>
          <w:sz w:val="24"/>
          <w:szCs w:val="15"/>
          <w:highlight w:val="none"/>
          <w:lang w:val="en-US" w:eastAsia="zh-CN"/>
        </w:rPr>
        <w:t>24</w:t>
      </w:r>
      <w:r>
        <w:rPr>
          <w:rFonts w:hint="eastAsia" w:ascii="仿宋" w:hAnsi="仿宋" w:eastAsia="仿宋" w:cs="仿宋"/>
          <w:b w:val="0"/>
          <w:bCs/>
          <w:color w:val="auto"/>
          <w:sz w:val="24"/>
          <w:szCs w:val="15"/>
          <w:highlight w:val="none"/>
          <w:lang w:eastAsia="zh-CN"/>
        </w:rPr>
        <w:t>小时内解决问题且不影响正常工作。若在</w:t>
      </w:r>
      <w:r>
        <w:rPr>
          <w:rFonts w:hint="eastAsia" w:ascii="仿宋" w:hAnsi="仿宋" w:eastAsia="仿宋" w:cs="仿宋"/>
          <w:b w:val="0"/>
          <w:bCs/>
          <w:color w:val="auto"/>
          <w:sz w:val="24"/>
          <w:szCs w:val="15"/>
          <w:highlight w:val="none"/>
          <w:lang w:val="en-US" w:eastAsia="zh-CN"/>
        </w:rPr>
        <w:t>48</w:t>
      </w:r>
      <w:r>
        <w:rPr>
          <w:rFonts w:hint="eastAsia" w:ascii="仿宋" w:hAnsi="仿宋" w:eastAsia="仿宋" w:cs="仿宋"/>
          <w:b w:val="0"/>
          <w:bCs/>
          <w:color w:val="auto"/>
          <w:sz w:val="24"/>
          <w:szCs w:val="15"/>
          <w:highlight w:val="none"/>
          <w:lang w:eastAsia="zh-CN"/>
        </w:rPr>
        <w:t>小时内仍未能有效解决故障，我方免费提供同档次的设备予采购人临时使用。</w:t>
      </w:r>
    </w:p>
    <w:p w14:paraId="4F7AC1F7">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lang w:val="en-US" w:eastAsia="zh-CN"/>
        </w:rPr>
        <w:t>3</w:t>
      </w: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rPr>
        <w:t>质保期内、质保期后维护计划</w:t>
      </w:r>
    </w:p>
    <w:p w14:paraId="2243447D">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保修期内</w:t>
      </w:r>
      <w:r>
        <w:rPr>
          <w:rFonts w:hint="eastAsia" w:ascii="仿宋" w:hAnsi="仿宋" w:eastAsia="仿宋" w:cs="仿宋"/>
          <w:b w:val="0"/>
          <w:bCs/>
          <w:color w:val="auto"/>
          <w:sz w:val="24"/>
          <w:szCs w:val="15"/>
          <w:highlight w:val="none"/>
          <w:lang w:eastAsia="zh-CN"/>
        </w:rPr>
        <w:t>：</w:t>
      </w:r>
    </w:p>
    <w:p w14:paraId="77F618D9">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1.我方须保证货物是全新、未使用过的，并完全符合强制性的国家技术质量规范和合同规定的质量、规格、性能和技术规范等的要求。</w:t>
      </w:r>
    </w:p>
    <w:p w14:paraId="66FC9C6C">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2.我方须保证所提供的货物经正确安装、正常运转和保养，在其使用寿命期内须具有符合质量要求和产品说明书的性能。在货物质量保证期之内，我方对由于设计、工艺或材料的缺陷而发生的任何不足或故障负责。</w:t>
      </w:r>
    </w:p>
    <w:p w14:paraId="187501D8">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3</w:t>
      </w:r>
      <w:r>
        <w:rPr>
          <w:rFonts w:hint="eastAsia" w:ascii="仿宋" w:hAnsi="仿宋" w:eastAsia="仿宋" w:cs="仿宋"/>
          <w:b w:val="0"/>
          <w:bCs/>
          <w:color w:val="auto"/>
          <w:sz w:val="24"/>
          <w:szCs w:val="15"/>
          <w:highlight w:val="none"/>
          <w:lang w:eastAsia="zh-CN"/>
        </w:rPr>
        <w:t>.根</w:t>
      </w:r>
      <w:r>
        <w:rPr>
          <w:rFonts w:hint="eastAsia" w:ascii="仿宋" w:hAnsi="仿宋" w:eastAsia="仿宋" w:cs="仿宋"/>
          <w:b w:val="0"/>
          <w:bCs/>
          <w:color w:val="auto"/>
          <w:sz w:val="24"/>
          <w:szCs w:val="15"/>
          <w:highlight w:val="none"/>
        </w:rPr>
        <w:t>据院方按检验标准自己检验结果或委托有资质的相关质检机构的检验结果</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发现货物的数量、质量、规格与合同不符</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或者在质量保证期内，证实货物存在缺陷，包括潜在的缺陷或使用不符合要求的材料等，我方在收到通知后免费维修或更换有缺陷的货物或部件。</w:t>
      </w:r>
    </w:p>
    <w:p w14:paraId="3DA6FD8B">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4.保修期内，因设备本身的质量问题发生故障，我方对提供的设备及其相应的零配件</w:t>
      </w:r>
      <w:r>
        <w:rPr>
          <w:rFonts w:hint="eastAsia" w:ascii="仿宋" w:hAnsi="仿宋" w:eastAsia="仿宋" w:cs="仿宋"/>
          <w:b w:val="0"/>
          <w:bCs/>
          <w:color w:val="auto"/>
          <w:sz w:val="24"/>
          <w:szCs w:val="15"/>
          <w:highlight w:val="none"/>
          <w:lang w:eastAsia="zh-CN"/>
        </w:rPr>
        <w:t>免费保修</w:t>
      </w:r>
      <w:r>
        <w:rPr>
          <w:rFonts w:hint="eastAsia" w:ascii="仿宋" w:hAnsi="仿宋" w:eastAsia="仿宋" w:cs="仿宋"/>
          <w:b w:val="0"/>
          <w:bCs/>
          <w:color w:val="auto"/>
          <w:sz w:val="24"/>
          <w:szCs w:val="15"/>
          <w:highlight w:val="none"/>
        </w:rPr>
        <w:t>、包退、包换，并提供免费上门维修服务，终身维护。</w:t>
      </w:r>
    </w:p>
    <w:p w14:paraId="61D79428">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5.保修期内，我方保证所提供设备无故障开机运行，如达不到要求，保修期应顺延。</w:t>
      </w:r>
    </w:p>
    <w:p w14:paraId="54032F88">
      <w:pPr>
        <w:spacing w:line="520" w:lineRule="exact"/>
        <w:ind w:left="560" w:firstLine="480" w:firstLineChars="200"/>
        <w:outlineLvl w:val="9"/>
        <w:rPr>
          <w:rFonts w:hint="eastAsia" w:ascii="仿宋" w:hAnsi="仿宋" w:eastAsia="仿宋" w:cs="仿宋"/>
          <w:b w:val="0"/>
          <w:bCs/>
          <w:color w:val="auto"/>
          <w:sz w:val="24"/>
          <w:szCs w:val="15"/>
          <w:highlight w:val="none"/>
          <w:lang w:eastAsia="zh-CN"/>
        </w:rPr>
      </w:pPr>
      <w:r>
        <w:rPr>
          <w:rFonts w:hint="eastAsia" w:ascii="仿宋" w:hAnsi="仿宋" w:eastAsia="仿宋" w:cs="仿宋"/>
          <w:b w:val="0"/>
          <w:bCs/>
          <w:color w:val="auto"/>
          <w:sz w:val="24"/>
          <w:szCs w:val="15"/>
          <w:highlight w:val="none"/>
        </w:rPr>
        <w:t>质保期外</w:t>
      </w:r>
      <w:r>
        <w:rPr>
          <w:rFonts w:hint="eastAsia" w:ascii="仿宋" w:hAnsi="仿宋" w:eastAsia="仿宋" w:cs="仿宋"/>
          <w:b w:val="0"/>
          <w:bCs/>
          <w:color w:val="auto"/>
          <w:sz w:val="24"/>
          <w:szCs w:val="15"/>
          <w:highlight w:val="none"/>
          <w:lang w:eastAsia="zh-CN"/>
        </w:rPr>
        <w:t>：</w:t>
      </w:r>
    </w:p>
    <w:p w14:paraId="37C78209">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1.质保期满后，若有零部件出现故障，经权威部门鉴定属于寿命异常问题</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明显短于该零部件正常寿命</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时，则由我方负责免费更换及维修。</w:t>
      </w:r>
    </w:p>
    <w:p w14:paraId="5AA38E7B">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2.质保期满后，应使用方要求，我方会（参考当时的市场价格）按优惠价格与</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签订定期维修保养合同及提供</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所需零配件。</w:t>
      </w:r>
    </w:p>
    <w:p w14:paraId="179A09E1">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3.在备件停止生产情况下，我方应将要停止生产的计划通知</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，使</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有足够的时间招标所需备件</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停止生产后，我方免费向</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提供备件的图纸、资料。</w:t>
      </w:r>
    </w:p>
    <w:p w14:paraId="3E64C6B4">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lang w:val="en-US" w:eastAsia="zh-CN"/>
        </w:rPr>
        <w:t>4</w:t>
      </w: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rPr>
        <w:t>零配件供应方案</w:t>
      </w:r>
    </w:p>
    <w:p w14:paraId="54806295">
      <w:pPr>
        <w:spacing w:line="520" w:lineRule="exact"/>
        <w:ind w:left="560" w:firstLine="480" w:firstLineChars="200"/>
        <w:outlineLvl w:val="9"/>
        <w:rPr>
          <w:rFonts w:hint="eastAsia" w:ascii="仿宋" w:hAnsi="仿宋" w:eastAsia="仿宋" w:cs="仿宋"/>
          <w:b w:val="0"/>
          <w:bCs/>
          <w:color w:val="auto"/>
          <w:sz w:val="24"/>
          <w:szCs w:val="15"/>
          <w:highlight w:val="none"/>
          <w:u w:val="single"/>
          <w:lang w:val="en-US" w:eastAsia="zh-CN"/>
        </w:rPr>
      </w:pPr>
      <w:r>
        <w:rPr>
          <w:rFonts w:hint="eastAsia" w:ascii="仿宋" w:hAnsi="仿宋" w:eastAsia="仿宋" w:cs="仿宋"/>
          <w:b w:val="0"/>
          <w:bCs/>
          <w:color w:val="auto"/>
          <w:sz w:val="24"/>
          <w:szCs w:val="15"/>
          <w:highlight w:val="none"/>
        </w:rPr>
        <w:t>1.快速的服务离不开充足的备件及备件管理。为保证设备正常运行，我司在乌鲁木齐设有零配件仓库；地址：</w:t>
      </w:r>
      <w:r>
        <w:rPr>
          <w:rFonts w:hint="eastAsia" w:ascii="仿宋" w:hAnsi="仿宋" w:eastAsia="仿宋" w:cs="仿宋"/>
          <w:b w:val="0"/>
          <w:bCs/>
          <w:color w:val="auto"/>
          <w:sz w:val="24"/>
          <w:szCs w:val="15"/>
          <w:highlight w:val="none"/>
          <w:u w:val="single"/>
          <w:lang w:val="en-US" w:eastAsia="zh-CN"/>
        </w:rPr>
        <w:t xml:space="preserve">                            。</w:t>
      </w:r>
    </w:p>
    <w:p w14:paraId="45AB39EE">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2.公司设有备件库。专人管理，依据维修状况及</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需求，动态调整库存。同时常用及关键部件保持最低库存。主要配件常备库存率高达30</w:t>
      </w:r>
      <w:r>
        <w:rPr>
          <w:rFonts w:hint="eastAsia" w:ascii="仿宋" w:hAnsi="仿宋" w:eastAsia="仿宋" w:cs="仿宋"/>
          <w:b w:val="0"/>
          <w:bCs/>
          <w:color w:val="auto"/>
          <w:sz w:val="24"/>
          <w:szCs w:val="15"/>
          <w:highlight w:val="none"/>
          <w:lang w:eastAsia="zh-CN"/>
        </w:rPr>
        <w:t>%以</w:t>
      </w:r>
      <w:r>
        <w:rPr>
          <w:rFonts w:hint="eastAsia" w:ascii="仿宋" w:hAnsi="仿宋" w:eastAsia="仿宋" w:cs="仿宋"/>
          <w:b w:val="0"/>
          <w:bCs/>
          <w:color w:val="auto"/>
          <w:sz w:val="24"/>
          <w:szCs w:val="15"/>
          <w:highlight w:val="none"/>
        </w:rPr>
        <w:t>上，根据质量体系要求，建立了备件预存制度，确保不间断供给。</w:t>
      </w:r>
    </w:p>
    <w:p w14:paraId="1C1770D5">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3.售后服务部备有一定数量的维修常用备件，为</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更换配件及维修提供更快捷的服务。</w:t>
      </w:r>
    </w:p>
    <w:p w14:paraId="73646587">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4.依照相关质量体系的要求公司对所有货物保证1年以上的备件供应，对本项目的配件更换优先处理。</w:t>
      </w:r>
    </w:p>
    <w:p w14:paraId="43A1371F">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lang w:val="en-US" w:eastAsia="zh-CN"/>
        </w:rPr>
        <w:t>5</w:t>
      </w: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rPr>
        <w:t>售后服务机构维护地点、地址、联系电话及技术服务人员</w:t>
      </w:r>
    </w:p>
    <w:p w14:paraId="7A3C11C9">
      <w:pPr>
        <w:spacing w:line="520" w:lineRule="exact"/>
        <w:ind w:left="560" w:firstLine="480" w:firstLineChars="200"/>
        <w:outlineLvl w:val="9"/>
        <w:rPr>
          <w:rFonts w:hint="eastAsia" w:ascii="仿宋" w:hAnsi="仿宋" w:eastAsia="仿宋" w:cs="仿宋"/>
          <w:b w:val="0"/>
          <w:bCs/>
          <w:color w:val="auto"/>
          <w:sz w:val="24"/>
          <w:szCs w:val="15"/>
          <w:highlight w:val="none"/>
          <w:u w:val="single"/>
          <w:lang w:val="en-US" w:eastAsia="zh-CN"/>
        </w:rPr>
      </w:pPr>
      <w:r>
        <w:rPr>
          <w:rFonts w:hint="eastAsia" w:ascii="仿宋" w:hAnsi="仿宋" w:eastAsia="仿宋" w:cs="仿宋"/>
          <w:b w:val="0"/>
          <w:bCs/>
          <w:color w:val="auto"/>
          <w:sz w:val="24"/>
          <w:szCs w:val="15"/>
          <w:highlight w:val="none"/>
        </w:rPr>
        <w:t>售后服务地址</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lang w:val="en-US" w:eastAsia="zh-CN"/>
        </w:rPr>
        <w:t xml:space="preserve"> </w:t>
      </w:r>
      <w:r>
        <w:rPr>
          <w:rFonts w:hint="eastAsia" w:ascii="仿宋" w:hAnsi="仿宋" w:eastAsia="仿宋" w:cs="仿宋"/>
          <w:b w:val="0"/>
          <w:bCs/>
          <w:color w:val="auto"/>
          <w:sz w:val="24"/>
          <w:szCs w:val="15"/>
          <w:highlight w:val="none"/>
          <w:u w:val="single"/>
          <w:lang w:val="en-US" w:eastAsia="zh-CN"/>
        </w:rPr>
        <w:t xml:space="preserve">                 </w:t>
      </w:r>
    </w:p>
    <w:p w14:paraId="78BA3BE5">
      <w:pPr>
        <w:spacing w:line="520" w:lineRule="exact"/>
        <w:ind w:left="560" w:firstLine="480" w:firstLineChars="200"/>
        <w:outlineLvl w:val="9"/>
        <w:rPr>
          <w:rFonts w:hint="eastAsia" w:ascii="仿宋" w:hAnsi="仿宋" w:eastAsia="仿宋" w:cs="仿宋"/>
          <w:b w:val="0"/>
          <w:bCs/>
          <w:color w:val="auto"/>
          <w:sz w:val="24"/>
          <w:szCs w:val="15"/>
          <w:highlight w:val="none"/>
          <w:u w:val="single"/>
          <w:lang w:val="en-US" w:eastAsia="zh-CN"/>
        </w:rPr>
      </w:pPr>
      <w:r>
        <w:rPr>
          <w:rFonts w:hint="eastAsia" w:ascii="仿宋" w:hAnsi="仿宋" w:eastAsia="仿宋" w:cs="仿宋"/>
          <w:b w:val="0"/>
          <w:bCs/>
          <w:color w:val="auto"/>
          <w:sz w:val="24"/>
          <w:szCs w:val="15"/>
          <w:highlight w:val="none"/>
        </w:rPr>
        <w:t>售后服务电话：</w:t>
      </w:r>
      <w:r>
        <w:rPr>
          <w:rFonts w:hint="eastAsia" w:ascii="仿宋" w:hAnsi="仿宋" w:eastAsia="仿宋" w:cs="仿宋"/>
          <w:b w:val="0"/>
          <w:bCs/>
          <w:color w:val="auto"/>
          <w:sz w:val="24"/>
          <w:szCs w:val="15"/>
          <w:highlight w:val="none"/>
          <w:u w:val="single"/>
          <w:lang w:val="en-US" w:eastAsia="zh-CN"/>
        </w:rPr>
        <w:t xml:space="preserve">                  </w:t>
      </w:r>
    </w:p>
    <w:p w14:paraId="498567F5">
      <w:pPr>
        <w:spacing w:line="520" w:lineRule="exact"/>
        <w:ind w:left="560" w:firstLine="480" w:firstLineChars="200"/>
        <w:outlineLvl w:val="9"/>
        <w:rPr>
          <w:rFonts w:hint="eastAsia" w:ascii="仿宋" w:hAnsi="仿宋" w:eastAsia="仿宋" w:cs="仿宋"/>
          <w:b w:val="0"/>
          <w:bCs/>
          <w:color w:val="auto"/>
          <w:sz w:val="24"/>
          <w:szCs w:val="15"/>
          <w:highlight w:val="none"/>
          <w:u w:val="single"/>
          <w:lang w:val="en-US" w:eastAsia="zh-CN"/>
        </w:rPr>
      </w:pPr>
      <w:r>
        <w:rPr>
          <w:rFonts w:hint="eastAsia" w:ascii="仿宋" w:hAnsi="仿宋" w:eastAsia="仿宋" w:cs="仿宋"/>
          <w:b w:val="0"/>
          <w:bCs/>
          <w:color w:val="auto"/>
          <w:sz w:val="24"/>
          <w:szCs w:val="15"/>
          <w:highlight w:val="none"/>
        </w:rPr>
        <w:t>负责工程师：</w:t>
      </w:r>
      <w:r>
        <w:rPr>
          <w:rFonts w:hint="eastAsia" w:ascii="仿宋" w:hAnsi="仿宋" w:eastAsia="仿宋" w:cs="仿宋"/>
          <w:b w:val="0"/>
          <w:bCs/>
          <w:color w:val="auto"/>
          <w:sz w:val="24"/>
          <w:szCs w:val="15"/>
          <w:highlight w:val="none"/>
          <w:u w:val="single"/>
          <w:lang w:val="en-US" w:eastAsia="zh-CN"/>
        </w:rPr>
        <w:t xml:space="preserve">                    </w:t>
      </w:r>
    </w:p>
    <w:p w14:paraId="4A38844A">
      <w:pPr>
        <w:spacing w:line="520" w:lineRule="exact"/>
        <w:ind w:left="560" w:firstLine="480" w:firstLineChars="200"/>
        <w:outlineLvl w:val="9"/>
        <w:rPr>
          <w:rFonts w:hint="eastAsia" w:ascii="仿宋" w:hAnsi="仿宋" w:eastAsia="仿宋" w:cs="仿宋"/>
          <w:b w:val="0"/>
          <w:bCs/>
          <w:color w:val="auto"/>
          <w:sz w:val="24"/>
          <w:szCs w:val="15"/>
          <w:highlight w:val="none"/>
          <w:lang w:val="en-US" w:eastAsia="zh-CN"/>
        </w:rPr>
      </w:pPr>
      <w:r>
        <w:rPr>
          <w:rFonts w:hint="eastAsia" w:ascii="仿宋" w:hAnsi="仿宋" w:eastAsia="仿宋" w:cs="仿宋"/>
          <w:b w:val="0"/>
          <w:bCs/>
          <w:color w:val="auto"/>
          <w:sz w:val="24"/>
          <w:szCs w:val="15"/>
          <w:highlight w:val="none"/>
          <w:lang w:val="en-US" w:eastAsia="zh-CN"/>
        </w:rPr>
        <w:t>负责区域销售经理：</w:t>
      </w:r>
      <w:r>
        <w:rPr>
          <w:rFonts w:hint="eastAsia" w:ascii="仿宋" w:hAnsi="仿宋" w:eastAsia="仿宋" w:cs="仿宋"/>
          <w:b w:val="0"/>
          <w:bCs/>
          <w:color w:val="auto"/>
          <w:sz w:val="24"/>
          <w:szCs w:val="15"/>
          <w:highlight w:val="none"/>
          <w:u w:val="single"/>
          <w:lang w:val="en-US" w:eastAsia="zh-CN"/>
        </w:rPr>
        <w:t xml:space="preserve">              </w:t>
      </w:r>
      <w:r>
        <w:rPr>
          <w:rFonts w:hint="eastAsia" w:ascii="仿宋" w:hAnsi="仿宋" w:eastAsia="仿宋" w:cs="仿宋"/>
          <w:b w:val="0"/>
          <w:bCs/>
          <w:color w:val="auto"/>
          <w:sz w:val="24"/>
          <w:szCs w:val="15"/>
          <w:highlight w:val="none"/>
          <w:lang w:val="en-US" w:eastAsia="zh-CN"/>
        </w:rPr>
        <w:t xml:space="preserve">                  </w:t>
      </w:r>
    </w:p>
    <w:p w14:paraId="73F4D197">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lang w:val="en-US" w:eastAsia="zh-CN"/>
        </w:rPr>
        <w:t>6</w:t>
      </w: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rPr>
        <w:t>维护服务收费标准</w:t>
      </w:r>
    </w:p>
    <w:p w14:paraId="7C46B28E">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1.在仪器抵达</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所在地的10天内</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以我方收到</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通知时间开始计算</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，我方免费派生产厂家技术人员抵达</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指定地完成仪器的安装调试。对每台仪器不少于4名</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仪器使用人员在安装现场进行不少于1天的免费培训至熟练操作仪器。厂家将负责对4名以上</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操作人员进行基本原理，必要的日常操作以及基本维护和安全常识等技术培训，使</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能更快更好地掌握仪器操作规范。安装验收后1个月内提供免费的二次培训或回访，提供2</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3人进行高级应用技术培训，安装验收后每个月会及时电话及现场回访，如有需要需进行再培训以及配合</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进行新方法摸索或共同完成。</w:t>
      </w:r>
    </w:p>
    <w:p w14:paraId="11056045">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2.所有有关于产品质量投诉，在半小时内</w:t>
      </w:r>
      <w:r>
        <w:rPr>
          <w:rFonts w:hint="eastAsia" w:ascii="仿宋" w:hAnsi="仿宋" w:eastAsia="仿宋" w:cs="仿宋"/>
          <w:b w:val="0"/>
          <w:bCs/>
          <w:color w:val="auto"/>
          <w:sz w:val="24"/>
          <w:szCs w:val="15"/>
          <w:highlight w:val="none"/>
          <w:lang w:eastAsia="zh-CN"/>
        </w:rPr>
        <w:t>给予</w:t>
      </w:r>
      <w:r>
        <w:rPr>
          <w:rFonts w:hint="eastAsia" w:ascii="仿宋" w:hAnsi="仿宋" w:eastAsia="仿宋" w:cs="仿宋"/>
          <w:b w:val="0"/>
          <w:bCs/>
          <w:color w:val="auto"/>
          <w:sz w:val="24"/>
          <w:szCs w:val="15"/>
          <w:highlight w:val="none"/>
        </w:rPr>
        <w:t>答复，并在</w:t>
      </w:r>
      <w:r>
        <w:rPr>
          <w:rFonts w:hint="eastAsia" w:ascii="仿宋" w:hAnsi="仿宋" w:eastAsia="仿宋" w:cs="仿宋"/>
          <w:b w:val="0"/>
          <w:bCs/>
          <w:color w:val="auto"/>
          <w:sz w:val="24"/>
          <w:szCs w:val="15"/>
          <w:highlight w:val="none"/>
          <w:lang w:val="en-US" w:eastAsia="zh-CN"/>
        </w:rPr>
        <w:t>2</w:t>
      </w:r>
      <w:r>
        <w:rPr>
          <w:rFonts w:hint="eastAsia" w:ascii="仿宋" w:hAnsi="仿宋" w:eastAsia="仿宋" w:cs="仿宋"/>
          <w:b w:val="0"/>
          <w:bCs/>
          <w:color w:val="auto"/>
          <w:sz w:val="24"/>
          <w:szCs w:val="15"/>
          <w:highlight w:val="none"/>
        </w:rPr>
        <w:t>小时内到</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现场进行维修，一般问题应在</w:t>
      </w:r>
      <w:r>
        <w:rPr>
          <w:rFonts w:hint="eastAsia" w:ascii="仿宋" w:hAnsi="仿宋" w:eastAsia="仿宋" w:cs="仿宋"/>
          <w:b w:val="0"/>
          <w:bCs/>
          <w:color w:val="auto"/>
          <w:sz w:val="24"/>
          <w:szCs w:val="15"/>
          <w:highlight w:val="none"/>
          <w:lang w:val="en-US" w:eastAsia="zh-CN"/>
        </w:rPr>
        <w:t>24</w:t>
      </w:r>
      <w:r>
        <w:rPr>
          <w:rFonts w:hint="eastAsia" w:ascii="仿宋" w:hAnsi="仿宋" w:eastAsia="仿宋" w:cs="仿宋"/>
          <w:b w:val="0"/>
          <w:bCs/>
          <w:color w:val="auto"/>
          <w:sz w:val="24"/>
          <w:szCs w:val="15"/>
          <w:highlight w:val="none"/>
        </w:rPr>
        <w:t>小时内解决。</w:t>
      </w:r>
    </w:p>
    <w:p w14:paraId="0AE7888A">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3.保质期内有关于产品质量引发的费用，由我公司承担。</w:t>
      </w:r>
    </w:p>
    <w:p w14:paraId="4C3D4E8F">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4.超出保修期的产品，我公司承诺终身定期上门检测和维护。</w:t>
      </w:r>
    </w:p>
    <w:p w14:paraId="7953437A">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lang w:val="en-US" w:eastAsia="zh-CN"/>
        </w:rPr>
        <w:t>7</w:t>
      </w:r>
      <w:r>
        <w:rPr>
          <w:rFonts w:hint="eastAsia" w:ascii="仿宋" w:hAnsi="仿宋" w:eastAsia="仿宋" w:cs="仿宋"/>
          <w:b w:val="0"/>
          <w:bCs/>
          <w:color w:val="auto"/>
          <w:sz w:val="24"/>
          <w:szCs w:val="15"/>
          <w:highlight w:val="none"/>
          <w:lang w:val="en-US" w:eastAsia="en-US"/>
        </w:rPr>
        <w:t>）</w:t>
      </w:r>
      <w:r>
        <w:rPr>
          <w:rFonts w:hint="eastAsia" w:ascii="仿宋" w:hAnsi="仿宋" w:eastAsia="仿宋" w:cs="仿宋"/>
          <w:b w:val="0"/>
          <w:bCs/>
          <w:color w:val="auto"/>
          <w:sz w:val="24"/>
          <w:szCs w:val="15"/>
          <w:highlight w:val="none"/>
        </w:rPr>
        <w:t>巡检方案</w:t>
      </w:r>
    </w:p>
    <w:p w14:paraId="657DAB36">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1.巡检：</w:t>
      </w:r>
    </w:p>
    <w:p w14:paraId="31E83F05">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我公司每季度针对本次销售产品进行一次巡检，巡检的容包括测量主机、导线、电源适配器，以及各使用零配件。保修期内免费巡检；保修期外的维修只收取配件成本费，免工时费和相关费用。</w:t>
      </w:r>
    </w:p>
    <w:p w14:paraId="4C617D01">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2.建立</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档案及回访制度：</w:t>
      </w:r>
    </w:p>
    <w:p w14:paraId="17F3E0FB">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按相关质量体系要求</w:t>
      </w:r>
      <w:r>
        <w:rPr>
          <w:rFonts w:hint="eastAsia" w:ascii="仿宋" w:hAnsi="仿宋" w:eastAsia="仿宋" w:cs="仿宋"/>
          <w:b w:val="0"/>
          <w:bCs/>
          <w:color w:val="auto"/>
          <w:sz w:val="24"/>
          <w:szCs w:val="15"/>
          <w:highlight w:val="none"/>
          <w:lang w:eastAsia="zh-CN"/>
        </w:rPr>
        <w:t>，</w:t>
      </w:r>
      <w:r>
        <w:rPr>
          <w:rFonts w:hint="eastAsia" w:ascii="仿宋" w:hAnsi="仿宋" w:eastAsia="仿宋" w:cs="仿宋"/>
          <w:b w:val="0"/>
          <w:bCs/>
          <w:color w:val="auto"/>
          <w:sz w:val="24"/>
          <w:szCs w:val="15"/>
          <w:highlight w:val="none"/>
        </w:rPr>
        <w:t>本公司对</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实行定期回访制度，定期的对</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使用情况进行回访。针对本次项目</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，我公司将建立一整套的</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设备档案，记录</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的联系方式设备型号、数量、配置、维修记录、购买日期、</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的使用情况，为我们提高对</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服务响应时间，预防设备故障隐患，及时迅速地解决问题提供有力的帮助。</w:t>
      </w:r>
    </w:p>
    <w:p w14:paraId="45327072">
      <w:pPr>
        <w:spacing w:line="520" w:lineRule="exact"/>
        <w:ind w:left="560" w:firstLine="480" w:firstLineChars="200"/>
        <w:outlineLvl w:val="9"/>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t>确定对本项目实行每季电话回访并记录回访报告，了解</w:t>
      </w:r>
      <w:r>
        <w:rPr>
          <w:rFonts w:hint="eastAsia" w:ascii="仿宋" w:hAnsi="仿宋" w:eastAsia="仿宋" w:cs="仿宋"/>
          <w:b w:val="0"/>
          <w:bCs/>
          <w:color w:val="auto"/>
          <w:sz w:val="24"/>
          <w:szCs w:val="15"/>
          <w:highlight w:val="none"/>
          <w:lang w:eastAsia="zh-CN"/>
        </w:rPr>
        <w:t>采购人</w:t>
      </w:r>
      <w:r>
        <w:rPr>
          <w:rFonts w:hint="eastAsia" w:ascii="仿宋" w:hAnsi="仿宋" w:eastAsia="仿宋" w:cs="仿宋"/>
          <w:b w:val="0"/>
          <w:bCs/>
          <w:color w:val="auto"/>
          <w:sz w:val="24"/>
          <w:szCs w:val="15"/>
          <w:highlight w:val="none"/>
        </w:rPr>
        <w:t>使用情况及对公司的意见，并加以改进。</w:t>
      </w:r>
    </w:p>
    <w:p w14:paraId="79577E48">
      <w:pPr>
        <w:rPr>
          <w:rFonts w:hint="eastAsia" w:ascii="仿宋" w:hAnsi="仿宋" w:eastAsia="仿宋" w:cs="仿宋"/>
          <w:b w:val="0"/>
          <w:bCs/>
          <w:color w:val="auto"/>
          <w:sz w:val="24"/>
          <w:szCs w:val="15"/>
          <w:highlight w:val="none"/>
        </w:rPr>
      </w:pPr>
      <w:r>
        <w:rPr>
          <w:rFonts w:hint="eastAsia" w:ascii="仿宋" w:hAnsi="仿宋" w:eastAsia="仿宋" w:cs="仿宋"/>
          <w:b w:val="0"/>
          <w:bCs/>
          <w:color w:val="auto"/>
          <w:sz w:val="24"/>
          <w:szCs w:val="15"/>
          <w:highlight w:val="none"/>
        </w:rPr>
        <w:br w:type="page"/>
      </w:r>
    </w:p>
    <w:p w14:paraId="0507DB70">
      <w:pPr>
        <w:spacing w:line="520" w:lineRule="exact"/>
        <w:ind w:left="560" w:firstLine="480" w:firstLineChars="200"/>
        <w:outlineLvl w:val="9"/>
        <w:rPr>
          <w:rFonts w:hint="eastAsia" w:ascii="仿宋" w:hAnsi="仿宋" w:eastAsia="仿宋" w:cs="仿宋"/>
          <w:b w:val="0"/>
          <w:bCs/>
          <w:color w:val="auto"/>
          <w:sz w:val="24"/>
          <w:szCs w:val="15"/>
          <w:highlight w:val="none"/>
        </w:rPr>
      </w:pPr>
    </w:p>
    <w:p w14:paraId="039CBB2F">
      <w:pPr>
        <w:spacing w:line="520" w:lineRule="exact"/>
        <w:ind w:left="560" w:firstLine="720" w:firstLineChars="200"/>
        <w:outlineLvl w:val="9"/>
        <w:rPr>
          <w:rFonts w:hint="eastAsia" w:ascii="仿宋" w:hAnsi="仿宋" w:eastAsia="仿宋" w:cs="仿宋"/>
          <w:b/>
          <w:color w:val="auto"/>
          <w:sz w:val="36"/>
          <w:highlight w:val="none"/>
          <w:lang w:val="en-US" w:eastAsia="zh-CN"/>
        </w:rPr>
      </w:pPr>
    </w:p>
    <w:p w14:paraId="1CBACCE2">
      <w:pPr>
        <w:spacing w:line="520" w:lineRule="exact"/>
        <w:ind w:left="560" w:firstLine="720" w:firstLineChars="200"/>
        <w:outlineLvl w:val="9"/>
        <w:rPr>
          <w:rFonts w:hint="eastAsia" w:ascii="仿宋" w:hAnsi="仿宋" w:eastAsia="仿宋" w:cs="仿宋"/>
          <w:b/>
          <w:color w:val="auto"/>
          <w:sz w:val="36"/>
          <w:highlight w:val="none"/>
        </w:rPr>
      </w:pPr>
    </w:p>
    <w:p w14:paraId="75676D73">
      <w:pPr>
        <w:numPr>
          <w:ilvl w:val="0"/>
          <w:numId w:val="9"/>
        </w:numPr>
        <w:spacing w:line="360" w:lineRule="atLeast"/>
        <w:ind w:left="0" w:leftChars="0" w:firstLine="0" w:firstLineChars="0"/>
        <w:jc w:val="center"/>
        <w:outlineLvl w:val="0"/>
        <w:rPr>
          <w:rFonts w:hint="eastAsia" w:ascii="仿宋" w:hAnsi="仿宋" w:eastAsia="仿宋" w:cs="仿宋"/>
          <w:b/>
          <w:color w:val="auto"/>
          <w:sz w:val="36"/>
          <w:highlight w:val="none"/>
        </w:rPr>
      </w:pPr>
      <w:bookmarkStart w:id="121" w:name="_Toc8939"/>
      <w:bookmarkStart w:id="122" w:name="_Toc32653"/>
      <w:r>
        <w:rPr>
          <w:rFonts w:hint="eastAsia" w:ascii="仿宋" w:hAnsi="仿宋" w:eastAsia="仿宋" w:cs="仿宋"/>
          <w:b/>
          <w:color w:val="auto"/>
          <w:sz w:val="36"/>
          <w:highlight w:val="none"/>
        </w:rPr>
        <w:t>投标书格式</w:t>
      </w:r>
      <w:bookmarkEnd w:id="121"/>
      <w:bookmarkEnd w:id="122"/>
      <w:bookmarkStart w:id="123" w:name="_Toc61184635"/>
      <w:bookmarkStart w:id="124" w:name="_Toc56170392"/>
    </w:p>
    <w:p w14:paraId="0A19850E">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7F51701F">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6ABD2683">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06EDB5DC">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61A76C5A">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7DA42B21">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75300730">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0362FDCE">
      <w:pPr>
        <w:numPr>
          <w:ilvl w:val="0"/>
          <w:numId w:val="0"/>
        </w:numPr>
        <w:spacing w:line="360" w:lineRule="atLeast"/>
        <w:ind w:leftChars="0"/>
        <w:jc w:val="center"/>
        <w:outlineLvl w:val="0"/>
        <w:rPr>
          <w:rFonts w:hint="default" w:ascii="仿宋" w:hAnsi="仿宋" w:eastAsia="仿宋" w:cs="仿宋"/>
          <w:b/>
          <w:color w:val="auto"/>
          <w:sz w:val="48"/>
          <w:szCs w:val="24"/>
          <w:highlight w:val="none"/>
          <w:lang w:val="en-US" w:eastAsia="zh-CN"/>
        </w:rPr>
      </w:pPr>
      <w:bookmarkStart w:id="125" w:name="_Toc6169"/>
      <w:r>
        <w:rPr>
          <w:rFonts w:hint="eastAsia" w:ascii="仿宋" w:hAnsi="仿宋" w:eastAsia="仿宋" w:cs="仿宋"/>
          <w:b/>
          <w:color w:val="auto"/>
          <w:sz w:val="48"/>
          <w:szCs w:val="24"/>
          <w:highlight w:val="none"/>
          <w:lang w:val="en-US" w:eastAsia="zh-CN"/>
        </w:rPr>
        <w:t>封皮格式自拟</w:t>
      </w:r>
      <w:bookmarkEnd w:id="125"/>
    </w:p>
    <w:p w14:paraId="67A26E80">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4D88481F">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184DD10F">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16D3CF8E">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26D7B5A4">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4237ABB2">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54D759C2">
      <w:pPr>
        <w:numPr>
          <w:ilvl w:val="0"/>
          <w:numId w:val="0"/>
        </w:numPr>
        <w:spacing w:line="360" w:lineRule="atLeast"/>
        <w:ind w:leftChars="0"/>
        <w:jc w:val="both"/>
        <w:outlineLvl w:val="9"/>
        <w:rPr>
          <w:rFonts w:hint="eastAsia" w:ascii="仿宋" w:hAnsi="仿宋" w:eastAsia="仿宋" w:cs="仿宋"/>
          <w:b/>
          <w:color w:val="auto"/>
          <w:sz w:val="36"/>
          <w:highlight w:val="none"/>
        </w:rPr>
      </w:pPr>
    </w:p>
    <w:p w14:paraId="2300F856">
      <w:pPr>
        <w:numPr>
          <w:ilvl w:val="0"/>
          <w:numId w:val="0"/>
        </w:numPr>
        <w:spacing w:line="360" w:lineRule="atLeast"/>
        <w:ind w:leftChars="0"/>
        <w:jc w:val="both"/>
        <w:outlineLvl w:val="9"/>
        <w:rPr>
          <w:rFonts w:hint="eastAsia" w:ascii="仿宋" w:hAnsi="仿宋" w:eastAsia="仿宋" w:cs="仿宋"/>
          <w:b/>
          <w:color w:val="auto"/>
          <w:sz w:val="36"/>
          <w:highlight w:val="none"/>
        </w:rPr>
      </w:pPr>
    </w:p>
    <w:bookmarkEnd w:id="123"/>
    <w:bookmarkEnd w:id="124"/>
    <w:p w14:paraId="6117D58F">
      <w:pPr>
        <w:rPr>
          <w:rFonts w:hint="eastAsia" w:ascii="仿宋" w:hAnsi="仿宋" w:eastAsia="仿宋" w:cs="仿宋"/>
          <w:color w:val="auto"/>
          <w:sz w:val="28"/>
          <w:szCs w:val="28"/>
          <w:highlight w:val="none"/>
        </w:rPr>
      </w:pPr>
      <w:bookmarkStart w:id="126" w:name="_Toc10657"/>
      <w:bookmarkStart w:id="127" w:name="_Toc61184636"/>
      <w:bookmarkStart w:id="128" w:name="_Toc13962"/>
      <w:bookmarkStart w:id="129" w:name="_Toc56170393"/>
      <w:r>
        <w:rPr>
          <w:rFonts w:hint="eastAsia" w:ascii="仿宋" w:hAnsi="仿宋" w:eastAsia="仿宋" w:cs="仿宋"/>
          <w:color w:val="auto"/>
          <w:sz w:val="28"/>
          <w:szCs w:val="28"/>
          <w:highlight w:val="none"/>
        </w:rPr>
        <w:br w:type="page"/>
      </w:r>
    </w:p>
    <w:p w14:paraId="24163E82">
      <w:pPr>
        <w:jc w:val="center"/>
        <w:outlineLvl w:val="1"/>
        <w:rPr>
          <w:rFonts w:hint="eastAsia" w:ascii="仿宋" w:hAnsi="仿宋" w:eastAsia="仿宋" w:cs="仿宋"/>
          <w:color w:val="auto"/>
          <w:highlight w:val="none"/>
        </w:rPr>
      </w:pPr>
      <w:r>
        <w:rPr>
          <w:rFonts w:hint="eastAsia" w:ascii="仿宋" w:hAnsi="仿宋" w:eastAsia="仿宋" w:cs="仿宋"/>
          <w:color w:val="auto"/>
          <w:sz w:val="28"/>
          <w:szCs w:val="28"/>
          <w:highlight w:val="none"/>
        </w:rPr>
        <w:t>附件一、投标书</w:t>
      </w:r>
      <w:bookmarkEnd w:id="126"/>
      <w:bookmarkEnd w:id="127"/>
      <w:bookmarkEnd w:id="128"/>
      <w:bookmarkEnd w:id="129"/>
    </w:p>
    <w:p w14:paraId="71148141">
      <w:pPr>
        <w:pStyle w:val="30"/>
        <w:spacing w:line="360" w:lineRule="auto"/>
        <w:ind w:firstLine="0" w:firstLineChars="0"/>
        <w:jc w:val="both"/>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新疆浩瑞兴建设工程项目管理咨询有限公司</w:t>
      </w:r>
      <w:r>
        <w:rPr>
          <w:rFonts w:hint="eastAsia" w:ascii="仿宋" w:hAnsi="仿宋" w:eastAsia="仿宋" w:cs="仿宋"/>
          <w:b w:val="0"/>
          <w:color w:val="auto"/>
          <w:sz w:val="24"/>
          <w:szCs w:val="24"/>
          <w:highlight w:val="none"/>
        </w:rPr>
        <w:t>：</w:t>
      </w:r>
    </w:p>
    <w:p w14:paraId="2596088D">
      <w:pPr>
        <w:spacing w:line="360" w:lineRule="auto"/>
        <w:ind w:firstLine="420"/>
        <w:outlineLvl w:val="9"/>
        <w:rPr>
          <w:rFonts w:hint="eastAsia" w:ascii="仿宋" w:hAnsi="仿宋" w:eastAsia="仿宋" w:cs="仿宋"/>
          <w:color w:val="auto"/>
          <w:sz w:val="24"/>
          <w:szCs w:val="24"/>
          <w:highlight w:val="none"/>
        </w:rPr>
      </w:pPr>
    </w:p>
    <w:p w14:paraId="17EC43F2">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我们收到你们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招标文件，经认真研究，我们决定参加投标。</w:t>
      </w:r>
    </w:p>
    <w:p w14:paraId="5DC12CC4">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⒈按照招标文件中的一切要求，提供投标货物、安装及技术服务，投标总价</w:t>
      </w:r>
    </w:p>
    <w:p w14:paraId="378A12DC">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元（用阿拉伯数字书写）人民币，明细见投标产品名称数量报价表。</w:t>
      </w:r>
    </w:p>
    <w:p w14:paraId="1A15C672">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⒉如果我们的响应文件被接受，我们将履行招标文件中规定的每一项要求，按期、按质、按量完成交货和完工任务。</w:t>
      </w:r>
    </w:p>
    <w:p w14:paraId="09F80BB5">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⒊我们同意按招标文件的规定，本响应文件的有效期为投标截止后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14:paraId="6B83A8DC">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⒋我们愿意提供采购人在招标文件中要求的所有资料。</w:t>
      </w:r>
    </w:p>
    <w:p w14:paraId="7AC2C639">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⒌我们认为你们有选择或拒绝任何投标者成交的权力。我们理解，最低报价不是成交的唯一条件。</w:t>
      </w:r>
    </w:p>
    <w:p w14:paraId="37697BF9">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⒍我们愿按合同法履行自己的全部责任。</w:t>
      </w:r>
    </w:p>
    <w:p w14:paraId="155C7AA7">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⒎我方愿意遵守国家有关规定及招标文件中规定的收费标准，承付成交服务费。</w:t>
      </w:r>
    </w:p>
    <w:p w14:paraId="7C333B38">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⒏该项承诺在开标后的全过程中保持有效，不作任何更改和变动。</w:t>
      </w:r>
    </w:p>
    <w:p w14:paraId="5299AB04">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⒐我们同意按招标文件规定，交纳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的投标保证金。并同意在确定最终成交供应商、发出成交通知书之后5个工作日内退还我公司的投标保证金。（如因特殊原因，在投标有效期之后确定成交供应商，本承诺依然有效。）</w:t>
      </w:r>
    </w:p>
    <w:p w14:paraId="26316ECB">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⒑综合说明：</w:t>
      </w:r>
    </w:p>
    <w:p w14:paraId="797EADFA">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（1）材料的详细技术参数、技术条件、技术标准、拟达到的质量标准和保险期限。</w:t>
      </w:r>
    </w:p>
    <w:p w14:paraId="18B93ED3">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（2）易损件、配件及供应方式。</w:t>
      </w:r>
    </w:p>
    <w:p w14:paraId="74F0DCFD">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计划、组织机构及人员安排。</w:t>
      </w:r>
    </w:p>
    <w:p w14:paraId="617EBB79">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）技术服务。</w:t>
      </w:r>
    </w:p>
    <w:p w14:paraId="4048229A">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）运输方式。</w:t>
      </w:r>
    </w:p>
    <w:p w14:paraId="3E95F986">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）要求项目单位提供的配合。</w:t>
      </w:r>
    </w:p>
    <w:p w14:paraId="482040F3">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）对招标文件内容有不同意见的偏离说明。</w:t>
      </w:r>
    </w:p>
    <w:p w14:paraId="16B262A9">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）其它。</w:t>
      </w:r>
    </w:p>
    <w:p w14:paraId="4CA451C8">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11.所有有关本标书的函电，请按下列地址联系：</w:t>
      </w:r>
    </w:p>
    <w:p w14:paraId="30D1164A">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       位：</w:t>
      </w:r>
    </w:p>
    <w:p w14:paraId="00AE11C6">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p>
    <w:p w14:paraId="78F5F7D9">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p w14:paraId="5B024557">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p w14:paraId="55AFCE3A">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政 编 码：</w:t>
      </w:r>
    </w:p>
    <w:p w14:paraId="4F6E49B4">
      <w:pPr>
        <w:spacing w:line="360" w:lineRule="auto"/>
        <w:ind w:firstLine="56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p w14:paraId="14ECE970">
      <w:pPr>
        <w:spacing w:line="360" w:lineRule="auto"/>
        <w:ind w:firstLine="560"/>
        <w:outlineLvl w:val="9"/>
        <w:rPr>
          <w:rFonts w:hint="eastAsia" w:ascii="仿宋" w:hAnsi="仿宋" w:eastAsia="仿宋" w:cs="仿宋"/>
          <w:color w:val="auto"/>
          <w:sz w:val="24"/>
          <w:szCs w:val="24"/>
          <w:highlight w:val="none"/>
        </w:rPr>
      </w:pPr>
    </w:p>
    <w:p w14:paraId="0BFA407B">
      <w:pPr>
        <w:pStyle w:val="23"/>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投标单位名称</w:t>
      </w:r>
      <w:r>
        <w:rPr>
          <w:rFonts w:hint="eastAsia" w:ascii="仿宋" w:hAnsi="仿宋" w:eastAsia="仿宋" w:cs="仿宋"/>
          <w:color w:val="auto"/>
          <w:sz w:val="24"/>
          <w:szCs w:val="24"/>
          <w:highlight w:val="none"/>
        </w:rPr>
        <w:t>：（公章）</w:t>
      </w:r>
    </w:p>
    <w:p w14:paraId="0CB61646">
      <w:pPr>
        <w:pStyle w:val="23"/>
        <w:spacing w:line="360" w:lineRule="auto"/>
        <w:ind w:firstLine="480" w:firstLineChars="200"/>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法定代表授权委托人：（签字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14:paraId="16329564">
      <w:pPr>
        <w:pStyle w:val="23"/>
        <w:spacing w:line="360" w:lineRule="auto"/>
        <w:ind w:firstLine="1200" w:firstLineChars="5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0423DA8">
      <w:pPr>
        <w:pStyle w:val="23"/>
        <w:spacing w:line="360" w:lineRule="auto"/>
        <w:ind w:left="0" w:leftChars="0" w:firstLine="0" w:firstLineChars="0"/>
        <w:jc w:val="center"/>
        <w:outlineLvl w:val="1"/>
        <w:rPr>
          <w:rFonts w:hint="default" w:ascii="仿宋" w:hAnsi="仿宋" w:eastAsia="仿宋" w:cs="仿宋"/>
          <w:color w:val="auto"/>
          <w:highlight w:val="none"/>
          <w:lang w:val="en-US" w:eastAsia="zh-CN"/>
        </w:rPr>
      </w:pPr>
      <w:r>
        <w:rPr>
          <w:rFonts w:hint="eastAsia" w:ascii="仿宋" w:hAnsi="仿宋" w:eastAsia="仿宋" w:cs="仿宋"/>
          <w:color w:val="auto"/>
          <w:highlight w:val="none"/>
        </w:rPr>
        <w:br w:type="page"/>
      </w:r>
      <w:bookmarkStart w:id="130" w:name="_Toc61184637"/>
      <w:bookmarkStart w:id="131" w:name="_Toc56170394"/>
      <w:bookmarkStart w:id="132" w:name="_Toc26466"/>
      <w:bookmarkStart w:id="133" w:name="_Toc18422"/>
      <w:r>
        <w:rPr>
          <w:rFonts w:hint="eastAsia" w:ascii="仿宋" w:hAnsi="仿宋" w:eastAsia="仿宋" w:cs="仿宋"/>
          <w:color w:val="auto"/>
          <w:highlight w:val="none"/>
        </w:rPr>
        <w:t>附件二、法定代表人资格证明书</w:t>
      </w:r>
      <w:bookmarkEnd w:id="130"/>
      <w:bookmarkEnd w:id="131"/>
      <w:bookmarkEnd w:id="132"/>
      <w:bookmarkEnd w:id="133"/>
      <w:r>
        <w:rPr>
          <w:rFonts w:hint="eastAsia" w:ascii="仿宋" w:hAnsi="仿宋" w:eastAsia="仿宋" w:cs="仿宋"/>
          <w:color w:val="auto"/>
          <w:highlight w:val="none"/>
          <w:lang w:val="en-US" w:eastAsia="zh-CN"/>
        </w:rPr>
        <w:t>(法人投标时提供）</w:t>
      </w:r>
    </w:p>
    <w:p w14:paraId="78D3C8C8">
      <w:pPr>
        <w:spacing w:line="360" w:lineRule="auto"/>
        <w:outlineLvl w:val="9"/>
        <w:rPr>
          <w:rFonts w:hint="eastAsia" w:ascii="仿宋" w:hAnsi="仿宋" w:eastAsia="仿宋" w:cs="仿宋"/>
          <w:color w:val="auto"/>
          <w:szCs w:val="21"/>
          <w:highlight w:val="none"/>
        </w:rPr>
      </w:pPr>
    </w:p>
    <w:p w14:paraId="3FE7E41B">
      <w:pPr>
        <w:pStyle w:val="23"/>
        <w:spacing w:line="360" w:lineRule="auto"/>
        <w:ind w:firstLine="560"/>
        <w:outlineLvl w:val="9"/>
        <w:rPr>
          <w:rFonts w:hint="eastAsia" w:ascii="仿宋" w:hAnsi="仿宋" w:eastAsia="仿宋" w:cs="仿宋"/>
          <w:color w:val="auto"/>
          <w:sz w:val="24"/>
          <w:szCs w:val="18"/>
          <w:highlight w:val="none"/>
          <w:u w:val="single"/>
        </w:rPr>
      </w:pPr>
      <w:r>
        <w:rPr>
          <w:rFonts w:hint="eastAsia" w:ascii="仿宋" w:hAnsi="仿宋" w:eastAsia="仿宋" w:cs="仿宋"/>
          <w:color w:val="auto"/>
          <w:sz w:val="24"/>
          <w:szCs w:val="18"/>
          <w:highlight w:val="none"/>
        </w:rPr>
        <w:t>单位名称：</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w:t>
      </w:r>
    </w:p>
    <w:p w14:paraId="28036D8F">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地    址：</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w:t>
      </w:r>
    </w:p>
    <w:p w14:paraId="5D74F71B">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姓    名：</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性别：</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年龄：</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职务：</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w:t>
      </w:r>
    </w:p>
    <w:p w14:paraId="0CA259C4">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该同志系</w:t>
      </w:r>
      <w:r>
        <w:rPr>
          <w:rFonts w:hint="eastAsia" w:ascii="仿宋" w:hAnsi="仿宋" w:eastAsia="仿宋" w:cs="仿宋"/>
          <w:color w:val="auto"/>
          <w:sz w:val="24"/>
          <w:szCs w:val="18"/>
          <w:highlight w:val="none"/>
          <w:u w:val="single"/>
        </w:rPr>
        <w:t xml:space="preserve">                                  公司</w:t>
      </w:r>
      <w:r>
        <w:rPr>
          <w:rFonts w:hint="eastAsia" w:ascii="仿宋" w:hAnsi="仿宋" w:eastAsia="仿宋" w:cs="仿宋"/>
          <w:color w:val="auto"/>
          <w:sz w:val="24"/>
          <w:szCs w:val="18"/>
          <w:highlight w:val="none"/>
        </w:rPr>
        <w:t>的法定代表人。为参加本项目，签署上述的文件、进行合同谈判、签署合同和处理与之有关的一切事务。</w:t>
      </w:r>
    </w:p>
    <w:p w14:paraId="705B16CE">
      <w:pPr>
        <w:pStyle w:val="23"/>
        <w:spacing w:line="360" w:lineRule="auto"/>
        <w:ind w:firstLine="560"/>
        <w:outlineLvl w:val="9"/>
        <w:rPr>
          <w:rFonts w:hint="eastAsia" w:ascii="仿宋" w:hAnsi="仿宋" w:eastAsia="仿宋" w:cs="仿宋"/>
          <w:color w:val="auto"/>
          <w:sz w:val="24"/>
          <w:szCs w:val="18"/>
          <w:highlight w:val="none"/>
        </w:rPr>
      </w:pPr>
    </w:p>
    <w:p w14:paraId="1CAE296E">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特此证明</w:t>
      </w:r>
    </w:p>
    <w:p w14:paraId="0794A166">
      <w:pPr>
        <w:pStyle w:val="23"/>
        <w:spacing w:line="360" w:lineRule="auto"/>
        <w:ind w:firstLine="560"/>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3171825</wp:posOffset>
                </wp:positionH>
                <wp:positionV relativeFrom="paragraph">
                  <wp:posOffset>191770</wp:posOffset>
                </wp:positionV>
                <wp:extent cx="2710180" cy="1793875"/>
                <wp:effectExtent l="12700" t="12700" r="20320" b="12700"/>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14:paraId="638B3971">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1817418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1312;v-text-anchor:middle;mso-width-relative:page;mso-height-relative:page;" filled="f" stroked="t" coordsize="21600,21600" arcsize="0.0403703703703704" o:gfxdata="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sCyQ7WAAAACgEA&#10;AA8AAAAAAAAAAQAgAAAAIgAAAGRycy9kb3ducmV2LnhtbFBLAQIUABQAAAAIAIdO4kB3oNfujgIA&#10;AAQFAAAOAAAAAAAAAAEAIAAAACUBAABkcnMvZTJvRG9jLnhtbFBLBQYAAAAABgAGAFkBAAAlBgAA&#10;AAA=&#10;">
                <v:fill on="f" focussize="0,0"/>
                <v:stroke weight="2pt" color="#000000" joinstyle="round"/>
                <v:imagedata o:title=""/>
                <o:lock v:ext="edit" aspectratio="f"/>
                <v:textbox>
                  <w:txbxContent>
                    <w:p w14:paraId="638B3971">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1817418A">
                      <w:pPr>
                        <w:jc w:val="center"/>
                      </w:pPr>
                    </w:p>
                  </w:txbxContent>
                </v:textbox>
              </v:round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315595</wp:posOffset>
                </wp:positionH>
                <wp:positionV relativeFrom="paragraph">
                  <wp:posOffset>191770</wp:posOffset>
                </wp:positionV>
                <wp:extent cx="2710180" cy="1793875"/>
                <wp:effectExtent l="12700" t="12700" r="20320" b="12700"/>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w="25400" cap="flat" cmpd="sng" algn="ctr">
                          <a:solidFill>
                            <a:srgbClr val="000000"/>
                          </a:solidFill>
                          <a:prstDash val="solid"/>
                        </a:ln>
                        <a:effectLst/>
                      </wps:spPr>
                      <wps:txbx>
                        <w:txbxContent>
                          <w:p w14:paraId="5B467C39">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56FDB53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60288;v-text-anchor:middle;mso-width-relative:page;mso-height-relative:page;" filled="f" stroked="t" coordsize="21600,21600" arcsize="0.0403703703703704" o:gfxdata="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ivSstYAAAAJAQAADwAAAAAAAAABACAAAAAiAAAAZHJzL2Rvd25yZXYueG1sUEsBAhQAFAAA&#10;AAgAh07iQNEAMOmcAgAAEgUAAA4AAAAAAAAAAQAgAAAAJQEAAGRycy9lMm9Eb2MueG1sUEsFBgAA&#10;AAAGAAYAWQEAADMGAAAAAA==&#10;">
                <v:fill on="f" focussize="0,0"/>
                <v:stroke weight="2pt" color="#000000" joinstyle="round"/>
                <v:imagedata o:title=""/>
                <o:lock v:ext="edit" aspectratio="f"/>
                <v:textbox>
                  <w:txbxContent>
                    <w:p w14:paraId="5B467C39">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56FDB534">
                      <w:pPr>
                        <w:jc w:val="center"/>
                      </w:pPr>
                    </w:p>
                  </w:txbxContent>
                </v:textbox>
              </v:roundrect>
            </w:pict>
          </mc:Fallback>
        </mc:AlternateContent>
      </w:r>
    </w:p>
    <w:p w14:paraId="01DFBFBB">
      <w:pPr>
        <w:pStyle w:val="23"/>
        <w:spacing w:line="360" w:lineRule="auto"/>
        <w:ind w:firstLine="560"/>
        <w:jc w:val="left"/>
        <w:outlineLvl w:val="9"/>
        <w:rPr>
          <w:rFonts w:hint="eastAsia" w:ascii="仿宋" w:hAnsi="仿宋" w:eastAsia="仿宋" w:cs="仿宋"/>
          <w:color w:val="auto"/>
          <w:highlight w:val="none"/>
        </w:rPr>
      </w:pPr>
    </w:p>
    <w:p w14:paraId="2413DCFB">
      <w:pPr>
        <w:pStyle w:val="23"/>
        <w:spacing w:line="360" w:lineRule="auto"/>
        <w:ind w:firstLine="560"/>
        <w:outlineLvl w:val="9"/>
        <w:rPr>
          <w:rFonts w:hint="eastAsia" w:ascii="仿宋" w:hAnsi="仿宋" w:eastAsia="仿宋" w:cs="仿宋"/>
          <w:color w:val="auto"/>
          <w:highlight w:val="none"/>
        </w:rPr>
      </w:pPr>
    </w:p>
    <w:p w14:paraId="63D98877">
      <w:pPr>
        <w:pStyle w:val="23"/>
        <w:spacing w:line="360" w:lineRule="auto"/>
        <w:ind w:firstLine="560"/>
        <w:outlineLvl w:val="9"/>
        <w:rPr>
          <w:rFonts w:hint="eastAsia" w:ascii="仿宋" w:hAnsi="仿宋" w:eastAsia="仿宋" w:cs="仿宋"/>
          <w:color w:val="auto"/>
          <w:highlight w:val="none"/>
        </w:rPr>
      </w:pPr>
    </w:p>
    <w:p w14:paraId="6E4EB65E">
      <w:pPr>
        <w:pStyle w:val="23"/>
        <w:spacing w:line="360" w:lineRule="auto"/>
        <w:ind w:firstLine="4200" w:firstLineChars="1500"/>
        <w:outlineLvl w:val="9"/>
        <w:rPr>
          <w:rFonts w:hint="eastAsia" w:ascii="仿宋" w:hAnsi="仿宋" w:eastAsia="仿宋" w:cs="仿宋"/>
          <w:color w:val="auto"/>
          <w:highlight w:val="none"/>
        </w:rPr>
      </w:pPr>
    </w:p>
    <w:p w14:paraId="4141CD13">
      <w:pPr>
        <w:pStyle w:val="23"/>
        <w:spacing w:line="360" w:lineRule="auto"/>
        <w:ind w:firstLine="4200" w:firstLineChars="1500"/>
        <w:outlineLvl w:val="9"/>
        <w:rPr>
          <w:rFonts w:hint="eastAsia" w:ascii="仿宋" w:hAnsi="仿宋" w:eastAsia="仿宋" w:cs="仿宋"/>
          <w:color w:val="auto"/>
          <w:highlight w:val="none"/>
        </w:rPr>
      </w:pPr>
    </w:p>
    <w:p w14:paraId="5662BFAE">
      <w:pPr>
        <w:pStyle w:val="23"/>
        <w:spacing w:line="360" w:lineRule="auto"/>
        <w:jc w:val="left"/>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lang w:val="en-US" w:eastAsia="zh-CN"/>
        </w:rPr>
        <w:t>投标单位名称</w:t>
      </w:r>
      <w:r>
        <w:rPr>
          <w:rFonts w:hint="eastAsia" w:ascii="仿宋" w:hAnsi="仿宋" w:eastAsia="仿宋" w:cs="仿宋"/>
          <w:color w:val="auto"/>
          <w:sz w:val="24"/>
          <w:szCs w:val="18"/>
          <w:highlight w:val="none"/>
        </w:rPr>
        <w:t>：（公章）</w:t>
      </w:r>
    </w:p>
    <w:p w14:paraId="195CB7C9">
      <w:pPr>
        <w:pStyle w:val="23"/>
        <w:spacing w:line="360" w:lineRule="auto"/>
        <w:jc w:val="left"/>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法定代表人：（签字</w:t>
      </w:r>
      <w:r>
        <w:rPr>
          <w:rFonts w:hint="eastAsia" w:ascii="仿宋" w:hAnsi="仿宋" w:eastAsia="仿宋" w:cs="仿宋"/>
          <w:color w:val="auto"/>
          <w:sz w:val="24"/>
          <w:szCs w:val="18"/>
          <w:highlight w:val="none"/>
          <w:lang w:val="en-US" w:eastAsia="zh-CN"/>
        </w:rPr>
        <w:t>、盖章</w:t>
      </w:r>
      <w:r>
        <w:rPr>
          <w:rFonts w:hint="eastAsia" w:ascii="仿宋" w:hAnsi="仿宋" w:eastAsia="仿宋" w:cs="仿宋"/>
          <w:color w:val="auto"/>
          <w:sz w:val="24"/>
          <w:szCs w:val="18"/>
          <w:highlight w:val="none"/>
        </w:rPr>
        <w:t>）</w:t>
      </w:r>
    </w:p>
    <w:p w14:paraId="0DD97CDE">
      <w:pPr>
        <w:pStyle w:val="23"/>
        <w:spacing w:line="360" w:lineRule="auto"/>
        <w:ind w:firstLine="1200" w:firstLineChars="500"/>
        <w:jc w:val="left"/>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年      月     日</w:t>
      </w:r>
    </w:p>
    <w:p w14:paraId="68CD8412">
      <w:pPr>
        <w:pStyle w:val="23"/>
        <w:spacing w:line="360" w:lineRule="auto"/>
        <w:jc w:val="center"/>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0"/>
          <w:szCs w:val="18"/>
          <w:highlight w:val="none"/>
        </w:rPr>
        <w:br w:type="page"/>
      </w:r>
      <w:bookmarkStart w:id="134" w:name="_Toc61184638"/>
      <w:bookmarkStart w:id="135" w:name="_Toc10811"/>
      <w:bookmarkStart w:id="136" w:name="_Toc3373"/>
      <w:bookmarkStart w:id="137" w:name="_Toc56170395"/>
      <w:r>
        <w:rPr>
          <w:rFonts w:hint="eastAsia" w:ascii="仿宋" w:hAnsi="仿宋" w:eastAsia="仿宋" w:cs="仿宋"/>
          <w:color w:val="auto"/>
          <w:sz w:val="28"/>
          <w:szCs w:val="28"/>
          <w:highlight w:val="none"/>
        </w:rPr>
        <w:t>附件三、法定代表人授权委托书</w:t>
      </w:r>
      <w:bookmarkEnd w:id="134"/>
      <w:bookmarkEnd w:id="135"/>
      <w:bookmarkEnd w:id="136"/>
      <w:bookmarkEnd w:id="13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授权代表人参加投标时提供</w:t>
      </w:r>
      <w:r>
        <w:rPr>
          <w:rFonts w:hint="eastAsia" w:ascii="仿宋" w:hAnsi="仿宋" w:eastAsia="仿宋" w:cs="仿宋"/>
          <w:color w:val="auto"/>
          <w:sz w:val="28"/>
          <w:szCs w:val="28"/>
          <w:highlight w:val="none"/>
          <w:lang w:eastAsia="zh-CN"/>
        </w:rPr>
        <w:t>）</w:t>
      </w:r>
    </w:p>
    <w:p w14:paraId="1A730DDD">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本授权委托书声明：我</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（姓名）系</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w:t>
      </w:r>
      <w:r>
        <w:rPr>
          <w:rFonts w:hint="eastAsia" w:ascii="仿宋" w:hAnsi="仿宋" w:eastAsia="仿宋" w:cs="仿宋"/>
          <w:color w:val="auto"/>
          <w:sz w:val="24"/>
          <w:szCs w:val="18"/>
          <w:highlight w:val="none"/>
          <w:lang w:val="en-US" w:eastAsia="zh-CN"/>
        </w:rPr>
        <w:t>投标人</w:t>
      </w:r>
      <w:r>
        <w:rPr>
          <w:rFonts w:hint="eastAsia" w:ascii="仿宋" w:hAnsi="仿宋" w:eastAsia="仿宋" w:cs="仿宋"/>
          <w:color w:val="auto"/>
          <w:sz w:val="24"/>
          <w:szCs w:val="18"/>
          <w:highlight w:val="none"/>
        </w:rPr>
        <w:t>名称）的法定代表人，现授权委托</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（单位名称）的</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（姓名）为我公司签署本项目投标文件的法定代表人授权委托代理人，全权代表我单位处理本次投标的有关事宜。代理人所签署的一切有关文件，我单位均予承认。</w:t>
      </w:r>
    </w:p>
    <w:p w14:paraId="1E22B369">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代理人无转委托权，特此声明！</w:t>
      </w:r>
    </w:p>
    <w:p w14:paraId="54413809">
      <w:pPr>
        <w:pStyle w:val="23"/>
        <w:spacing w:line="360" w:lineRule="auto"/>
        <w:ind w:firstLine="560"/>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3104515</wp:posOffset>
                </wp:positionH>
                <wp:positionV relativeFrom="paragraph">
                  <wp:posOffset>38735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7AE27BCC">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3C7859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3360;v-text-anchor:middle;mso-width-relative:page;mso-height-relative:page;" filled="f" stroked="t" coordsize="21600,21600" arcsize="0.0403703703703704" o:gfxdata="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7Xdd81gAAAAkB&#10;AAAPAAAAAAAAAAEAIAAAACIAAABkcnMvZG93bnJldi54bWxQSwECFAAUAAAACACHTuJAfOXys48C&#10;AAAGBQAADgAAAAAAAAABACAAAAAlAQAAZHJzL2Uyb0RvYy54bWxQSwUGAAAAAAYABgBZAQAAJgYA&#10;AAAA&#10;">
                <v:fill on="f" focussize="0,0"/>
                <v:stroke weight="2pt" color="#000000" joinstyle="round"/>
                <v:imagedata o:title=""/>
                <o:lock v:ext="edit" aspectratio="f"/>
                <v:textbox>
                  <w:txbxContent>
                    <w:p w14:paraId="7AE27BCC">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14:paraId="3C78591B">
                      <w:pPr>
                        <w:jc w:val="center"/>
                      </w:pPr>
                    </w:p>
                  </w:txbxContent>
                </v:textbox>
              </v:round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248285</wp:posOffset>
                </wp:positionH>
                <wp:positionV relativeFrom="paragraph">
                  <wp:posOffset>38735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381D88BC">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0B6EC29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2336;v-text-anchor:middle;mso-width-relative:page;mso-height-relative:page;" filled="f" stroked="t" coordsize="21600,21600" arcsize="0.0403703703703704" o:gfxdata="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nZwl1gAAAAg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14:paraId="381D88BC">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14:paraId="0B6EC298">
                      <w:pPr>
                        <w:jc w:val="center"/>
                      </w:pPr>
                    </w:p>
                  </w:txbxContent>
                </v:textbox>
              </v:roundrect>
            </w:pict>
          </mc:Fallback>
        </mc:AlternateContent>
      </w:r>
      <w:r>
        <w:rPr>
          <w:rFonts w:hint="eastAsia" w:ascii="仿宋" w:hAnsi="仿宋" w:eastAsia="仿宋" w:cs="仿宋"/>
          <w:color w:val="auto"/>
          <w:highlight w:val="none"/>
        </w:rPr>
        <w:t xml:space="preserve"> </w:t>
      </w:r>
    </w:p>
    <w:p w14:paraId="79BDADD9">
      <w:pPr>
        <w:pStyle w:val="23"/>
        <w:spacing w:line="360" w:lineRule="auto"/>
        <w:ind w:firstLine="560"/>
        <w:outlineLvl w:val="9"/>
        <w:rPr>
          <w:rFonts w:hint="eastAsia" w:ascii="仿宋" w:hAnsi="仿宋" w:eastAsia="仿宋" w:cs="仿宋"/>
          <w:color w:val="auto"/>
          <w:highlight w:val="none"/>
        </w:rPr>
      </w:pPr>
    </w:p>
    <w:p w14:paraId="02455D58">
      <w:pPr>
        <w:pStyle w:val="23"/>
        <w:spacing w:line="360" w:lineRule="auto"/>
        <w:ind w:firstLine="560"/>
        <w:outlineLvl w:val="9"/>
        <w:rPr>
          <w:rFonts w:hint="eastAsia" w:ascii="仿宋" w:hAnsi="仿宋" w:eastAsia="仿宋" w:cs="仿宋"/>
          <w:color w:val="auto"/>
          <w:highlight w:val="none"/>
        </w:rPr>
      </w:pPr>
    </w:p>
    <w:p w14:paraId="6669A14D">
      <w:pPr>
        <w:pStyle w:val="23"/>
        <w:spacing w:line="360" w:lineRule="auto"/>
        <w:ind w:firstLine="560"/>
        <w:outlineLvl w:val="9"/>
        <w:rPr>
          <w:rFonts w:hint="eastAsia" w:ascii="仿宋" w:hAnsi="仿宋" w:eastAsia="仿宋" w:cs="仿宋"/>
          <w:color w:val="auto"/>
          <w:highlight w:val="none"/>
        </w:rPr>
      </w:pPr>
    </w:p>
    <w:p w14:paraId="30276094">
      <w:pPr>
        <w:pStyle w:val="23"/>
        <w:spacing w:line="360" w:lineRule="auto"/>
        <w:ind w:firstLine="560"/>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248285</wp:posOffset>
                </wp:positionH>
                <wp:positionV relativeFrom="paragraph">
                  <wp:posOffset>137160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21C63170">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7F877CE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4384;v-text-anchor:middle;mso-width-relative:page;mso-height-relative:page;" filled="f" stroked="t" coordsize="21600,21600" arcsize="0.0403703703703704" o:gfxdata="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Ibjs61gAAAAkB&#10;AAAPAAAAAAAAAAEAIAAAACIAAABkcnMvZG93bnJldi54bWxQSwECFAAUAAAACACHTuJAIsLNxI8C&#10;AAAGBQAADgAAAAAAAAABACAAAAAlAQAAZHJzL2Uyb0RvYy54bWxQSwUGAAAAAAYABgBZAQAAJgYA&#10;AAAA&#10;">
                <v:fill on="f" focussize="0,0"/>
                <v:stroke weight="2pt" color="#000000" joinstyle="round"/>
                <v:imagedata o:title=""/>
                <o:lock v:ext="edit" aspectratio="f"/>
                <v:textbox>
                  <w:txbxContent>
                    <w:p w14:paraId="21C63170">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14:paraId="7F877CE3">
                      <w:pPr>
                        <w:jc w:val="center"/>
                      </w:pPr>
                    </w:p>
                  </w:txbxContent>
                </v:textbox>
              </v:round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3104515</wp:posOffset>
                </wp:positionH>
                <wp:positionV relativeFrom="paragraph">
                  <wp:posOffset>137160</wp:posOffset>
                </wp:positionV>
                <wp:extent cx="2710180" cy="1588770"/>
                <wp:effectExtent l="12700" t="12700" r="20320" b="1778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14:paraId="33E60517">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453A80D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5408;v-text-anchor:middle;mso-width-relative:page;mso-height-relative:page;" filled="f" stroked="t" coordsize="21600,21600" arcsize="0.0403703703703704" o:gfxdata="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IW6DWAAAACgEA&#10;AA8AAAAAAAAAAQAgAAAAIgAAAGRycy9kb3ducmV2LnhtbFBLAQIUABQAAAAIAIdO4kAB1kqmjgIA&#10;AAYFAAAOAAAAAAAAAAEAIAAAACUBAABkcnMvZTJvRG9jLnhtbFBLBQYAAAAABgAGAFkBAAAlBgAA&#10;AAA=&#10;">
                <v:fill on="f" focussize="0,0"/>
                <v:stroke weight="2pt" color="#000000" joinstyle="round"/>
                <v:imagedata o:title=""/>
                <o:lock v:ext="edit" aspectratio="f"/>
                <v:textbox>
                  <w:txbxContent>
                    <w:p w14:paraId="33E60517">
                      <w:pPr>
                        <w:pStyle w:val="23"/>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14:paraId="453A80DC">
                      <w:pPr>
                        <w:jc w:val="center"/>
                      </w:pPr>
                    </w:p>
                  </w:txbxContent>
                </v:textbox>
              </v:roundrect>
            </w:pict>
          </mc:Fallback>
        </mc:AlternateContent>
      </w:r>
    </w:p>
    <w:p w14:paraId="1E25A244">
      <w:pPr>
        <w:pStyle w:val="23"/>
        <w:spacing w:line="360" w:lineRule="auto"/>
        <w:ind w:firstLine="560"/>
        <w:outlineLvl w:val="9"/>
        <w:rPr>
          <w:rFonts w:hint="eastAsia" w:ascii="仿宋" w:hAnsi="仿宋" w:eastAsia="仿宋" w:cs="仿宋"/>
          <w:color w:val="auto"/>
          <w:highlight w:val="none"/>
        </w:rPr>
      </w:pPr>
    </w:p>
    <w:p w14:paraId="6AFEBC1B">
      <w:pPr>
        <w:pStyle w:val="23"/>
        <w:spacing w:line="360" w:lineRule="auto"/>
        <w:ind w:firstLine="560"/>
        <w:outlineLvl w:val="9"/>
        <w:rPr>
          <w:rFonts w:hint="eastAsia" w:ascii="仿宋" w:hAnsi="仿宋" w:eastAsia="仿宋" w:cs="仿宋"/>
          <w:color w:val="auto"/>
          <w:highlight w:val="none"/>
        </w:rPr>
      </w:pPr>
    </w:p>
    <w:p w14:paraId="50012EFF">
      <w:pPr>
        <w:pStyle w:val="23"/>
        <w:spacing w:line="360" w:lineRule="auto"/>
        <w:ind w:firstLine="0" w:firstLineChars="0"/>
        <w:outlineLvl w:val="9"/>
        <w:rPr>
          <w:rFonts w:hint="eastAsia" w:ascii="仿宋" w:hAnsi="仿宋" w:eastAsia="仿宋" w:cs="仿宋"/>
          <w:color w:val="auto"/>
          <w:highlight w:val="none"/>
        </w:rPr>
      </w:pPr>
    </w:p>
    <w:p w14:paraId="7EE61D4A">
      <w:pPr>
        <w:pStyle w:val="23"/>
        <w:spacing w:line="360" w:lineRule="auto"/>
        <w:ind w:firstLine="0" w:firstLineChars="0"/>
        <w:outlineLvl w:val="9"/>
        <w:rPr>
          <w:rFonts w:hint="eastAsia" w:ascii="仿宋" w:hAnsi="仿宋" w:eastAsia="仿宋" w:cs="仿宋"/>
          <w:color w:val="auto"/>
          <w:highlight w:val="none"/>
        </w:rPr>
      </w:pPr>
    </w:p>
    <w:p w14:paraId="70FF3329">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代理人：姓名：</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性别：</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年龄：</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w:t>
      </w:r>
    </w:p>
    <w:p w14:paraId="44032BAD">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身份证号码：</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职务：</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w:t>
      </w:r>
    </w:p>
    <w:p w14:paraId="51ABFCBF">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lang w:val="en-US" w:eastAsia="zh-CN"/>
        </w:rPr>
        <w:t>投标人名称</w:t>
      </w:r>
      <w:r>
        <w:rPr>
          <w:rFonts w:hint="eastAsia" w:ascii="仿宋" w:hAnsi="仿宋" w:eastAsia="仿宋" w:cs="仿宋"/>
          <w:color w:val="auto"/>
          <w:sz w:val="24"/>
          <w:szCs w:val="18"/>
          <w:highlight w:val="none"/>
        </w:rPr>
        <w:t>：</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（盖章）</w:t>
      </w:r>
    </w:p>
    <w:p w14:paraId="6CB7FCBF">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法定代表人</w:t>
      </w:r>
      <w:r>
        <w:rPr>
          <w:rFonts w:hint="eastAsia" w:ascii="仿宋" w:hAnsi="仿宋" w:eastAsia="仿宋" w:cs="仿宋"/>
          <w:color w:val="auto"/>
          <w:sz w:val="24"/>
          <w:szCs w:val="18"/>
          <w:highlight w:val="none"/>
          <w:lang w:eastAsia="zh-CN"/>
        </w:rPr>
        <w:t>、</w:t>
      </w:r>
      <w:r>
        <w:rPr>
          <w:rFonts w:hint="eastAsia" w:ascii="仿宋" w:hAnsi="仿宋" w:eastAsia="仿宋" w:cs="仿宋"/>
          <w:color w:val="auto"/>
          <w:sz w:val="24"/>
          <w:szCs w:val="18"/>
          <w:highlight w:val="none"/>
        </w:rPr>
        <w:t>法定代表授权委托人：</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（签字</w:t>
      </w:r>
      <w:r>
        <w:rPr>
          <w:rFonts w:hint="eastAsia" w:ascii="仿宋" w:hAnsi="仿宋" w:eastAsia="仿宋" w:cs="仿宋"/>
          <w:color w:val="auto"/>
          <w:sz w:val="24"/>
          <w:szCs w:val="18"/>
          <w:highlight w:val="none"/>
          <w:lang w:val="en-US" w:eastAsia="zh-CN"/>
        </w:rPr>
        <w:t>或盖章</w:t>
      </w:r>
      <w:r>
        <w:rPr>
          <w:rFonts w:hint="eastAsia" w:ascii="仿宋" w:hAnsi="仿宋" w:eastAsia="仿宋" w:cs="仿宋"/>
          <w:color w:val="auto"/>
          <w:sz w:val="24"/>
          <w:szCs w:val="18"/>
          <w:highlight w:val="none"/>
        </w:rPr>
        <w:t>）</w:t>
      </w:r>
    </w:p>
    <w:p w14:paraId="6D382565">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授权委托日期：</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年</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月</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日</w:t>
      </w:r>
    </w:p>
    <w:p w14:paraId="048AA669">
      <w:pPr>
        <w:pStyle w:val="23"/>
        <w:spacing w:line="360" w:lineRule="auto"/>
        <w:ind w:firstLine="560"/>
        <w:outlineLvl w:val="9"/>
        <w:rPr>
          <w:rFonts w:hint="eastAsia" w:ascii="仿宋" w:hAnsi="仿宋" w:eastAsia="仿宋" w:cs="仿宋"/>
          <w:color w:val="auto"/>
          <w:sz w:val="24"/>
          <w:szCs w:val="18"/>
          <w:highlight w:val="none"/>
        </w:rPr>
      </w:pPr>
    </w:p>
    <w:p w14:paraId="66657452">
      <w:pPr>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38" w:name="_Toc9301"/>
      <w:bookmarkStart w:id="139" w:name="_Toc21188"/>
      <w:bookmarkStart w:id="140" w:name="_Toc61184639"/>
      <w:bookmarkStart w:id="141" w:name="_Toc56170396"/>
      <w:r>
        <w:rPr>
          <w:rFonts w:hint="eastAsia" w:ascii="仿宋" w:hAnsi="仿宋" w:eastAsia="仿宋" w:cs="仿宋"/>
          <w:color w:val="auto"/>
          <w:sz w:val="28"/>
          <w:szCs w:val="28"/>
          <w:highlight w:val="none"/>
        </w:rPr>
        <w:t>附件四、关于招标文件的声明函</w:t>
      </w:r>
      <w:bookmarkEnd w:id="138"/>
      <w:bookmarkEnd w:id="139"/>
      <w:bookmarkEnd w:id="140"/>
      <w:bookmarkEnd w:id="141"/>
    </w:p>
    <w:p w14:paraId="4AD07237">
      <w:pPr>
        <w:adjustRightInd w:val="0"/>
        <w:snapToGrid w:val="0"/>
        <w:spacing w:line="360" w:lineRule="auto"/>
        <w:ind w:firstLine="560" w:firstLineChars="200"/>
        <w:outlineLvl w:val="9"/>
        <w:rPr>
          <w:rFonts w:hint="eastAsia" w:ascii="仿宋" w:hAnsi="仿宋" w:eastAsia="仿宋" w:cs="仿宋"/>
          <w:color w:val="auto"/>
          <w:sz w:val="28"/>
          <w:szCs w:val="28"/>
          <w:highlight w:val="none"/>
        </w:rPr>
      </w:pPr>
    </w:p>
    <w:p w14:paraId="64B5C3E0">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致：</w:t>
      </w:r>
      <w:r>
        <w:rPr>
          <w:rFonts w:hint="eastAsia" w:ascii="仿宋" w:hAnsi="仿宋" w:eastAsia="仿宋" w:cs="仿宋"/>
          <w:color w:val="auto"/>
          <w:sz w:val="24"/>
          <w:szCs w:val="18"/>
          <w:highlight w:val="none"/>
          <w:lang w:eastAsia="zh-CN"/>
        </w:rPr>
        <w:t>新疆浩瑞兴建设工程项目管理咨询有限公司</w:t>
      </w:r>
      <w:r>
        <w:rPr>
          <w:rFonts w:hint="eastAsia" w:ascii="仿宋" w:hAnsi="仿宋" w:eastAsia="仿宋" w:cs="仿宋"/>
          <w:color w:val="auto"/>
          <w:sz w:val="24"/>
          <w:szCs w:val="18"/>
          <w:highlight w:val="none"/>
        </w:rPr>
        <w:t>：</w:t>
      </w:r>
    </w:p>
    <w:p w14:paraId="1CDDEE9B">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为响应你方</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年</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月</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日的</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投标邀请，下述签字人自愿参与投标，提供招标文件技术需求书中规定的</w:t>
      </w:r>
      <w:r>
        <w:rPr>
          <w:rFonts w:hint="eastAsia" w:ascii="仿宋" w:hAnsi="仿宋" w:eastAsia="仿宋" w:cs="仿宋"/>
          <w:color w:val="auto"/>
          <w:sz w:val="24"/>
          <w:szCs w:val="18"/>
          <w:highlight w:val="none"/>
          <w:u w:val="single"/>
        </w:rPr>
        <w:t xml:space="preserve">         </w:t>
      </w:r>
      <w:r>
        <w:rPr>
          <w:rFonts w:hint="eastAsia" w:ascii="仿宋" w:hAnsi="仿宋" w:eastAsia="仿宋" w:cs="仿宋"/>
          <w:color w:val="auto"/>
          <w:sz w:val="24"/>
          <w:szCs w:val="18"/>
          <w:highlight w:val="none"/>
        </w:rPr>
        <w:t>项目，提交下述文件并声明全部说明是真实的和正确的。下述签字人将就下述文件中存在的虚假或不真实内容对采购代理机构和采购人承担法律责任。</w:t>
      </w:r>
    </w:p>
    <w:p w14:paraId="0A418527">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下述签字人证明本资格文件中的内容是真实的和正确的。</w:t>
      </w:r>
    </w:p>
    <w:p w14:paraId="29E70B5C">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下述签字人知道，采购人可能要求其提供进一步的资格材料并同意按采购人的要求提交。</w:t>
      </w:r>
    </w:p>
    <w:p w14:paraId="2724B0FC">
      <w:pPr>
        <w:pStyle w:val="23"/>
        <w:spacing w:line="360" w:lineRule="auto"/>
        <w:outlineLvl w:val="9"/>
        <w:rPr>
          <w:rFonts w:hint="eastAsia" w:ascii="仿宋" w:hAnsi="仿宋" w:eastAsia="仿宋" w:cs="仿宋"/>
          <w:color w:val="auto"/>
          <w:sz w:val="24"/>
          <w:szCs w:val="18"/>
          <w:highlight w:val="none"/>
          <w:lang w:val="en-US" w:eastAsia="zh-CN"/>
        </w:rPr>
      </w:pPr>
    </w:p>
    <w:p w14:paraId="50B29069">
      <w:pPr>
        <w:pStyle w:val="23"/>
        <w:spacing w:line="360" w:lineRule="auto"/>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lang w:val="en-US" w:eastAsia="zh-CN"/>
        </w:rPr>
        <w:t>投标单位名称</w:t>
      </w:r>
      <w:r>
        <w:rPr>
          <w:rFonts w:hint="eastAsia" w:ascii="仿宋" w:hAnsi="仿宋" w:eastAsia="仿宋" w:cs="仿宋"/>
          <w:color w:val="auto"/>
          <w:sz w:val="24"/>
          <w:szCs w:val="18"/>
          <w:highlight w:val="none"/>
        </w:rPr>
        <w:t>：（公章）</w:t>
      </w:r>
    </w:p>
    <w:p w14:paraId="1AB60E63">
      <w:pPr>
        <w:pStyle w:val="23"/>
        <w:spacing w:line="360" w:lineRule="auto"/>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法定代表人</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法定代表授权委托人：（签字</w:t>
      </w:r>
      <w:r>
        <w:rPr>
          <w:rFonts w:hint="eastAsia" w:ascii="仿宋" w:hAnsi="仿宋" w:eastAsia="仿宋" w:cs="仿宋"/>
          <w:color w:val="auto"/>
          <w:sz w:val="24"/>
          <w:szCs w:val="18"/>
          <w:highlight w:val="none"/>
          <w:lang w:val="en-US" w:eastAsia="zh-CN"/>
        </w:rPr>
        <w:t>或盖章</w:t>
      </w:r>
      <w:r>
        <w:rPr>
          <w:rFonts w:hint="eastAsia" w:ascii="仿宋" w:hAnsi="仿宋" w:eastAsia="仿宋" w:cs="仿宋"/>
          <w:color w:val="auto"/>
          <w:sz w:val="24"/>
          <w:szCs w:val="18"/>
          <w:highlight w:val="none"/>
        </w:rPr>
        <w:t>）</w:t>
      </w:r>
    </w:p>
    <w:p w14:paraId="4CBD62B0">
      <w:pPr>
        <w:pStyle w:val="23"/>
        <w:spacing w:line="360" w:lineRule="auto"/>
        <w:ind w:firstLine="1200" w:firstLineChars="50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年      月     日</w:t>
      </w:r>
    </w:p>
    <w:p w14:paraId="37612DAD">
      <w:pPr>
        <w:jc w:val="center"/>
        <w:outlineLvl w:val="1"/>
        <w:rPr>
          <w:rFonts w:hint="eastAsia" w:ascii="仿宋" w:hAnsi="仿宋" w:eastAsia="仿宋" w:cs="仿宋"/>
          <w:color w:val="auto"/>
          <w:highlight w:val="none"/>
        </w:rPr>
      </w:pPr>
      <w:r>
        <w:rPr>
          <w:rFonts w:hint="eastAsia" w:ascii="仿宋" w:hAnsi="仿宋" w:eastAsia="仿宋" w:cs="仿宋"/>
          <w:color w:val="auto"/>
          <w:sz w:val="20"/>
          <w:szCs w:val="18"/>
          <w:highlight w:val="none"/>
        </w:rPr>
        <w:br w:type="page"/>
      </w:r>
      <w:bookmarkStart w:id="142" w:name="_Toc61184640"/>
      <w:bookmarkStart w:id="143" w:name="_Toc56170397"/>
      <w:bookmarkStart w:id="144" w:name="_Toc5174"/>
      <w:bookmarkStart w:id="145" w:name="_Toc29264"/>
      <w:r>
        <w:rPr>
          <w:rFonts w:hint="eastAsia" w:ascii="仿宋" w:hAnsi="仿宋" w:eastAsia="仿宋" w:cs="仿宋"/>
          <w:color w:val="auto"/>
          <w:sz w:val="28"/>
          <w:szCs w:val="28"/>
          <w:highlight w:val="none"/>
        </w:rPr>
        <w:t>附件五、诚信投标承诺书</w:t>
      </w:r>
      <w:bookmarkEnd w:id="142"/>
      <w:bookmarkEnd w:id="143"/>
      <w:bookmarkEnd w:id="144"/>
      <w:bookmarkEnd w:id="145"/>
    </w:p>
    <w:p w14:paraId="0890C398">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本人以企业法定代表人的身份郑重承诺：</w:t>
      </w:r>
    </w:p>
    <w:p w14:paraId="26573A86">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一、招标文件中所提供的一切材料都是真实、有效、合法的；</w:t>
      </w:r>
    </w:p>
    <w:p w14:paraId="43BB5D0C">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二、不以他人名义投标或者以其他方式弄虚作假，骗取成交；</w:t>
      </w:r>
    </w:p>
    <w:p w14:paraId="48DEF82C">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三、不与其他供应商互相串通投标，不排挤其他供应商的公平竞争，不损害供应商的合法权益；</w:t>
      </w:r>
    </w:p>
    <w:p w14:paraId="1034863E">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四、不与采购人或者采购代理机构串通投标，损害国家利益、社会公共利益或者他人的合法权益；</w:t>
      </w:r>
    </w:p>
    <w:p w14:paraId="0831B7CA">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五、不向采购人或者评标委员会成员行贿以牟取成交；</w:t>
      </w:r>
    </w:p>
    <w:p w14:paraId="04EF5506">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六、如在开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292408D4">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七、遵守《中华人民共和国政府采购法》、《政府采购货物和服务招标投标管理办法》（财政部87号令）和《政府采购非招标采购方式管理办法》（财政部74号令）的规定，保证不进行恶意投诉。</w:t>
      </w:r>
    </w:p>
    <w:p w14:paraId="0CE71991">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以上内容我已仔细阅读。如若违反上述承诺或形成恶意投诉，我们自愿接受以下一种或几种处罚：自动放弃成交供应商资格、限制以后投标、记入不良信用档案、没收本次投标保证金，并愿意承担由此引起的其他法律责任。</w:t>
      </w:r>
    </w:p>
    <w:p w14:paraId="6F886046">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lang w:val="en-US" w:eastAsia="zh-CN"/>
        </w:rPr>
        <w:t>投标单位名称</w:t>
      </w:r>
      <w:r>
        <w:rPr>
          <w:rFonts w:hint="eastAsia" w:ascii="仿宋" w:hAnsi="仿宋" w:eastAsia="仿宋" w:cs="仿宋"/>
          <w:color w:val="auto"/>
          <w:sz w:val="24"/>
          <w:szCs w:val="18"/>
          <w:highlight w:val="none"/>
        </w:rPr>
        <w:t>：（公章）</w:t>
      </w:r>
    </w:p>
    <w:p w14:paraId="7B2E9E47">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法定代表人</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法定代表授权委托人：（签字</w:t>
      </w:r>
      <w:r>
        <w:rPr>
          <w:rFonts w:hint="eastAsia" w:ascii="仿宋" w:hAnsi="仿宋" w:eastAsia="仿宋" w:cs="仿宋"/>
          <w:color w:val="auto"/>
          <w:sz w:val="24"/>
          <w:szCs w:val="18"/>
          <w:highlight w:val="none"/>
          <w:lang w:val="en-US" w:eastAsia="zh-CN"/>
        </w:rPr>
        <w:t>或盖章</w:t>
      </w:r>
      <w:r>
        <w:rPr>
          <w:rFonts w:hint="eastAsia" w:ascii="仿宋" w:hAnsi="仿宋" w:eastAsia="仿宋" w:cs="仿宋"/>
          <w:color w:val="auto"/>
          <w:sz w:val="24"/>
          <w:szCs w:val="18"/>
          <w:highlight w:val="none"/>
        </w:rPr>
        <w:t>）</w:t>
      </w:r>
    </w:p>
    <w:p w14:paraId="2401B2F4">
      <w:pPr>
        <w:pStyle w:val="23"/>
        <w:spacing w:line="360" w:lineRule="auto"/>
        <w:ind w:firstLine="1200" w:firstLineChars="500"/>
        <w:jc w:val="both"/>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月     日</w:t>
      </w:r>
    </w:p>
    <w:p w14:paraId="0E8DF9D2">
      <w:pPr>
        <w:jc w:val="center"/>
        <w:outlineLvl w:val="9"/>
        <w:rPr>
          <w:rFonts w:hint="eastAsia" w:ascii="仿宋" w:hAnsi="仿宋" w:eastAsia="仿宋" w:cs="仿宋"/>
          <w:color w:val="auto"/>
          <w:sz w:val="28"/>
          <w:szCs w:val="28"/>
          <w:highlight w:val="none"/>
        </w:rPr>
      </w:pPr>
      <w:bookmarkStart w:id="146" w:name="_Toc435087575"/>
      <w:bookmarkStart w:id="147" w:name="_Toc61184641"/>
      <w:bookmarkStart w:id="148" w:name="_Toc30642"/>
      <w:bookmarkStart w:id="149" w:name="_Toc56170398"/>
      <w:bookmarkStart w:id="150" w:name="_Toc29347"/>
    </w:p>
    <w:p w14:paraId="4D01F7E4">
      <w:pPr>
        <w:jc w:val="center"/>
        <w:outlineLvl w:val="9"/>
        <w:rPr>
          <w:rFonts w:hint="eastAsia" w:ascii="仿宋" w:hAnsi="仿宋" w:eastAsia="仿宋" w:cs="仿宋"/>
          <w:color w:val="auto"/>
          <w:sz w:val="28"/>
          <w:szCs w:val="28"/>
          <w:highlight w:val="none"/>
        </w:rPr>
      </w:pPr>
    </w:p>
    <w:p w14:paraId="15F458E1">
      <w:pPr>
        <w:jc w:val="center"/>
        <w:outlineLvl w:val="9"/>
        <w:rPr>
          <w:rFonts w:hint="eastAsia" w:ascii="仿宋" w:hAnsi="仿宋" w:eastAsia="仿宋" w:cs="仿宋"/>
          <w:color w:val="auto"/>
          <w:sz w:val="28"/>
          <w:szCs w:val="28"/>
          <w:highlight w:val="none"/>
        </w:rPr>
      </w:pPr>
    </w:p>
    <w:p w14:paraId="0E230DF1">
      <w:pPr>
        <w:jc w:val="center"/>
        <w:outlineLvl w:val="9"/>
        <w:rPr>
          <w:rFonts w:hint="eastAsia" w:ascii="仿宋" w:hAnsi="仿宋" w:eastAsia="仿宋" w:cs="仿宋"/>
          <w:color w:val="auto"/>
          <w:sz w:val="28"/>
          <w:szCs w:val="28"/>
          <w:highlight w:val="none"/>
        </w:rPr>
      </w:pPr>
    </w:p>
    <w:p w14:paraId="19DFB48A">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61FF2FF">
      <w:pPr>
        <w:jc w:val="center"/>
        <w:outlineLvl w:val="9"/>
        <w:rPr>
          <w:rFonts w:hint="eastAsia" w:ascii="仿宋" w:hAnsi="仿宋" w:eastAsia="仿宋" w:cs="仿宋"/>
          <w:color w:val="auto"/>
          <w:sz w:val="28"/>
          <w:szCs w:val="28"/>
          <w:highlight w:val="none"/>
        </w:rPr>
      </w:pPr>
    </w:p>
    <w:p w14:paraId="37E02BD9">
      <w:pPr>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bookmarkEnd w:id="146"/>
      <w:r>
        <w:rPr>
          <w:rFonts w:hint="eastAsia" w:ascii="仿宋" w:hAnsi="仿宋" w:eastAsia="仿宋" w:cs="仿宋"/>
          <w:color w:val="auto"/>
          <w:sz w:val="28"/>
          <w:szCs w:val="28"/>
          <w:highlight w:val="none"/>
        </w:rPr>
        <w:t>六、供应商反商业贿赂承诺书</w:t>
      </w:r>
      <w:bookmarkEnd w:id="147"/>
      <w:bookmarkEnd w:id="148"/>
      <w:bookmarkEnd w:id="149"/>
      <w:bookmarkEnd w:id="150"/>
    </w:p>
    <w:p w14:paraId="55FF1CC2">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lang w:val="zh-CN"/>
        </w:rPr>
      </w:pPr>
    </w:p>
    <w:p w14:paraId="5366DEA1">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none"/>
          <w:lang w:val="en-US" w:eastAsia="zh-CN"/>
        </w:rPr>
        <w:t>项目编</w:t>
      </w:r>
      <w:r>
        <w:rPr>
          <w:rFonts w:hint="eastAsia" w:ascii="仿宋" w:hAnsi="仿宋" w:eastAsia="仿宋" w:cs="仿宋"/>
          <w:color w:val="auto"/>
          <w:kern w:val="0"/>
          <w:sz w:val="24"/>
          <w:szCs w:val="24"/>
          <w:highlight w:val="none"/>
          <w:u w:val="none"/>
        </w:rPr>
        <w:t>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项目）招标活动中，我公司承诺如下 ：</w:t>
      </w:r>
    </w:p>
    <w:p w14:paraId="3EC4310E">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1、不给予国家工作人员及其亲属各种形式的商业贿赂（包括送礼金礼品、有价证券、购物券、回扣、佣金、咨询费、劳务费、赞助费、宣传费、支付旅游费用、报销各种消费凭证、宴请、娱乐等）；</w:t>
      </w:r>
    </w:p>
    <w:p w14:paraId="6AEBB20C">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2、不与采购人相互勾结私下协议，弄虚作假，搞假投标、陪标、串通投标，明招暗定，暗箱操作。</w:t>
      </w:r>
    </w:p>
    <w:p w14:paraId="58ECA487">
      <w:pPr>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3、我公司法人及项目参与人员有亲戚担任业主方副科级以上领导职务时，自愿放弃此次投标权。</w:t>
      </w:r>
    </w:p>
    <w:p w14:paraId="2FD62BA2">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如有上述行为，一经发现，我公司及项目参与人员愿意按照《政府采购法》、《招投标法》、《反不正当竞争法》的有关规定接受处罚。</w:t>
      </w:r>
    </w:p>
    <w:p w14:paraId="34E91F6F">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p>
    <w:p w14:paraId="5A201FCD">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lang w:val="en-US" w:eastAsia="zh-CN"/>
        </w:rPr>
        <w:t>投标单位名称</w:t>
      </w:r>
      <w:r>
        <w:rPr>
          <w:rFonts w:hint="eastAsia" w:ascii="仿宋" w:hAnsi="仿宋" w:eastAsia="仿宋" w:cs="仿宋"/>
          <w:color w:val="auto"/>
          <w:sz w:val="24"/>
          <w:szCs w:val="18"/>
          <w:highlight w:val="none"/>
        </w:rPr>
        <w:t>：（公章）</w:t>
      </w:r>
    </w:p>
    <w:p w14:paraId="05308073">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法定代表人</w:t>
      </w:r>
      <w:r>
        <w:rPr>
          <w:rFonts w:hint="eastAsia" w:ascii="仿宋" w:hAnsi="仿宋" w:eastAsia="仿宋" w:cs="仿宋"/>
          <w:color w:val="auto"/>
          <w:sz w:val="24"/>
          <w:szCs w:val="18"/>
          <w:highlight w:val="none"/>
          <w:lang w:val="en-US" w:eastAsia="zh-CN"/>
        </w:rPr>
        <w:t>、</w:t>
      </w:r>
      <w:r>
        <w:rPr>
          <w:rFonts w:hint="eastAsia" w:ascii="仿宋" w:hAnsi="仿宋" w:eastAsia="仿宋" w:cs="仿宋"/>
          <w:color w:val="auto"/>
          <w:sz w:val="24"/>
          <w:szCs w:val="18"/>
          <w:highlight w:val="none"/>
        </w:rPr>
        <w:t>法定代表授权委托人：（签字</w:t>
      </w:r>
      <w:r>
        <w:rPr>
          <w:rFonts w:hint="eastAsia" w:ascii="仿宋" w:hAnsi="仿宋" w:eastAsia="仿宋" w:cs="仿宋"/>
          <w:color w:val="auto"/>
          <w:sz w:val="24"/>
          <w:szCs w:val="18"/>
          <w:highlight w:val="none"/>
          <w:lang w:val="en-US" w:eastAsia="zh-CN"/>
        </w:rPr>
        <w:t>或盖章</w:t>
      </w:r>
      <w:r>
        <w:rPr>
          <w:rFonts w:hint="eastAsia" w:ascii="仿宋" w:hAnsi="仿宋" w:eastAsia="仿宋" w:cs="仿宋"/>
          <w:color w:val="auto"/>
          <w:sz w:val="24"/>
          <w:szCs w:val="18"/>
          <w:highlight w:val="none"/>
        </w:rPr>
        <w:t>）</w:t>
      </w:r>
    </w:p>
    <w:p w14:paraId="2F59438B">
      <w:pPr>
        <w:pStyle w:val="23"/>
        <w:spacing w:line="360" w:lineRule="auto"/>
        <w:ind w:firstLine="1200" w:firstLineChars="500"/>
        <w:jc w:val="both"/>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年      月     日</w:t>
      </w:r>
    </w:p>
    <w:p w14:paraId="34D6CB11">
      <w:pPr>
        <w:jc w:val="center"/>
        <w:outlineLvl w:val="1"/>
        <w:rPr>
          <w:rFonts w:hint="eastAsia" w:ascii="仿宋" w:hAnsi="仿宋" w:eastAsia="仿宋" w:cs="仿宋"/>
          <w:color w:val="auto"/>
          <w:sz w:val="19"/>
          <w:szCs w:val="19"/>
          <w:highlight w:val="none"/>
        </w:rPr>
      </w:pPr>
      <w:r>
        <w:rPr>
          <w:rFonts w:hint="eastAsia" w:ascii="仿宋" w:hAnsi="仿宋" w:eastAsia="仿宋" w:cs="仿宋"/>
          <w:color w:val="auto"/>
          <w:sz w:val="20"/>
          <w:szCs w:val="18"/>
          <w:highlight w:val="none"/>
        </w:rPr>
        <w:br w:type="page"/>
      </w:r>
      <w:bookmarkStart w:id="151" w:name="_Toc5490"/>
      <w:bookmarkStart w:id="152" w:name="_Toc31315"/>
      <w:r>
        <w:rPr>
          <w:rFonts w:hint="eastAsia" w:ascii="仿宋" w:hAnsi="仿宋" w:eastAsia="仿宋" w:cs="仿宋"/>
          <w:color w:val="auto"/>
          <w:sz w:val="28"/>
          <w:szCs w:val="28"/>
          <w:highlight w:val="none"/>
        </w:rPr>
        <w:t>附件七、中小企业声明函（货物）</w:t>
      </w:r>
      <w:bookmarkEnd w:id="151"/>
      <w:bookmarkEnd w:id="152"/>
    </w:p>
    <w:p w14:paraId="38C81E44">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68FC4DF">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258BA677">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411578B1">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43FE0D00">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CE271D9">
      <w:pPr>
        <w:autoSpaceDE w:val="0"/>
        <w:autoSpaceDN w:val="0"/>
        <w:adjustRightInd w:val="0"/>
        <w:snapToGrid w:val="0"/>
        <w:spacing w:line="360" w:lineRule="auto"/>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3125411">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lang w:val="en-US" w:eastAsia="zh-CN"/>
        </w:rPr>
        <w:t>投标单位名称</w:t>
      </w:r>
      <w:r>
        <w:rPr>
          <w:rFonts w:hint="eastAsia" w:ascii="仿宋" w:hAnsi="仿宋" w:eastAsia="仿宋" w:cs="仿宋"/>
          <w:color w:val="auto"/>
          <w:sz w:val="24"/>
          <w:szCs w:val="18"/>
          <w:highlight w:val="none"/>
        </w:rPr>
        <w:t>：（公章）</w:t>
      </w:r>
    </w:p>
    <w:p w14:paraId="48EFD0DA">
      <w:pPr>
        <w:pStyle w:val="23"/>
        <w:spacing w:line="360" w:lineRule="auto"/>
        <w:ind w:firstLine="560"/>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 xml:space="preserve"> ……</w:t>
      </w:r>
    </w:p>
    <w:p w14:paraId="3CB5E527">
      <w:pPr>
        <w:pStyle w:val="23"/>
        <w:spacing w:line="360" w:lineRule="auto"/>
        <w:ind w:firstLine="560"/>
        <w:outlineLvl w:val="9"/>
        <w:rPr>
          <w:rFonts w:hint="default" w:ascii="仿宋" w:hAnsi="仿宋" w:eastAsia="仿宋" w:cs="仿宋"/>
          <w:color w:val="auto"/>
          <w:sz w:val="24"/>
          <w:szCs w:val="18"/>
          <w:highlight w:val="none"/>
          <w:lang w:val="en-US" w:eastAsia="zh-CN"/>
        </w:rPr>
      </w:pPr>
      <w:r>
        <w:rPr>
          <w:rFonts w:hint="eastAsia" w:ascii="仿宋" w:hAnsi="仿宋" w:eastAsia="仿宋" w:cs="仿宋"/>
          <w:color w:val="auto"/>
          <w:sz w:val="24"/>
          <w:szCs w:val="18"/>
          <w:highlight w:val="none"/>
          <w:lang w:val="en-US" w:eastAsia="zh-CN"/>
        </w:rPr>
        <w:t xml:space="preserve">                                        </w:t>
      </w:r>
      <w:r>
        <w:rPr>
          <w:rFonts w:hint="eastAsia" w:ascii="仿宋" w:hAnsi="仿宋" w:eastAsia="仿宋" w:cs="仿宋"/>
          <w:b/>
          <w:bCs/>
          <w:color w:val="auto"/>
          <w:sz w:val="24"/>
          <w:szCs w:val="18"/>
          <w:highlight w:val="none"/>
        </w:rPr>
        <w:t xml:space="preserve"> </w:t>
      </w:r>
      <w:r>
        <w:rPr>
          <w:rFonts w:hint="eastAsia" w:ascii="仿宋" w:hAnsi="仿宋" w:eastAsia="仿宋" w:cs="仿宋"/>
          <w:color w:val="auto"/>
          <w:kern w:val="0"/>
          <w:sz w:val="24"/>
          <w:szCs w:val="24"/>
          <w:highlight w:val="none"/>
        </w:rPr>
        <w:t>年      月     日</w:t>
      </w:r>
    </w:p>
    <w:p w14:paraId="12CF6C0B">
      <w:pPr>
        <w:pStyle w:val="23"/>
        <w:spacing w:line="360" w:lineRule="auto"/>
        <w:ind w:firstLine="560"/>
        <w:outlineLvl w:val="9"/>
        <w:rPr>
          <w:rFonts w:hint="eastAsia" w:ascii="仿宋" w:hAnsi="仿宋" w:eastAsia="仿宋" w:cs="仿宋"/>
          <w:b/>
          <w:bCs/>
          <w:color w:val="auto"/>
          <w:sz w:val="24"/>
          <w:szCs w:val="18"/>
          <w:highlight w:val="none"/>
        </w:rPr>
      </w:pPr>
      <w:r>
        <w:rPr>
          <w:rFonts w:hint="eastAsia" w:ascii="仿宋" w:hAnsi="仿宋" w:eastAsia="仿宋" w:cs="仿宋"/>
          <w:b/>
          <w:bCs/>
          <w:color w:val="auto"/>
          <w:sz w:val="24"/>
          <w:szCs w:val="18"/>
          <w:highlight w:val="none"/>
        </w:rPr>
        <w:t>注：</w:t>
      </w:r>
      <w:r>
        <w:rPr>
          <w:rFonts w:hint="eastAsia" w:ascii="仿宋" w:hAnsi="仿宋" w:eastAsia="仿宋" w:cs="仿宋"/>
          <w:b/>
          <w:bCs/>
          <w:color w:val="auto"/>
          <w:sz w:val="24"/>
          <w:szCs w:val="18"/>
          <w:highlight w:val="none"/>
          <w:lang w:val="en-US" w:eastAsia="zh-CN"/>
        </w:rPr>
        <w:t>1、</w:t>
      </w:r>
      <w:r>
        <w:rPr>
          <w:rFonts w:hint="eastAsia" w:ascii="仿宋" w:hAnsi="仿宋" w:eastAsia="仿宋" w:cs="仿宋"/>
          <w:b/>
          <w:bCs/>
          <w:color w:val="auto"/>
          <w:sz w:val="24"/>
          <w:szCs w:val="18"/>
          <w:highlight w:val="none"/>
        </w:rPr>
        <w:t xml:space="preserve">以上企业，不属于大企业的分支机构，不存在控股股东为大企业的情形，也不存在与大企业的负责人为同一人的情形。 </w:t>
      </w:r>
    </w:p>
    <w:p w14:paraId="214D107A">
      <w:pPr>
        <w:pStyle w:val="23"/>
        <w:spacing w:line="360" w:lineRule="auto"/>
        <w:ind w:firstLine="560"/>
        <w:outlineLvl w:val="9"/>
        <w:rPr>
          <w:rFonts w:hint="eastAsia" w:ascii="仿宋" w:hAnsi="仿宋" w:eastAsia="仿宋" w:cs="仿宋"/>
          <w:b/>
          <w:bCs/>
          <w:color w:val="auto"/>
          <w:sz w:val="24"/>
          <w:szCs w:val="18"/>
          <w:highlight w:val="none"/>
        </w:rPr>
      </w:pPr>
      <w:r>
        <w:rPr>
          <w:rFonts w:hint="eastAsia" w:ascii="仿宋" w:hAnsi="仿宋" w:eastAsia="仿宋" w:cs="仿宋"/>
          <w:b/>
          <w:bCs/>
          <w:color w:val="auto"/>
          <w:kern w:val="2"/>
          <w:sz w:val="24"/>
          <w:szCs w:val="18"/>
          <w:highlight w:val="none"/>
          <w:lang w:val="en-US" w:eastAsia="zh-CN" w:bidi="ar-SA"/>
        </w:rPr>
        <w:t>2、</w:t>
      </w:r>
      <w:r>
        <w:rPr>
          <w:rFonts w:hint="eastAsia" w:ascii="仿宋" w:hAnsi="仿宋" w:eastAsia="仿宋" w:cs="仿宋"/>
          <w:b/>
          <w:bCs/>
          <w:color w:val="auto"/>
          <w:sz w:val="24"/>
          <w:szCs w:val="18"/>
          <w:highlight w:val="none"/>
        </w:rPr>
        <w:t>本企业对上述声明内容的真实性负责。如有虚假，将依法承担相应责任。</w:t>
      </w:r>
    </w:p>
    <w:p w14:paraId="22050E54">
      <w:pPr>
        <w:pStyle w:val="23"/>
        <w:spacing w:line="360" w:lineRule="auto"/>
        <w:ind w:firstLine="560"/>
        <w:jc w:val="right"/>
        <w:outlineLvl w:val="9"/>
        <w:rPr>
          <w:rFonts w:hint="eastAsia" w:ascii="仿宋" w:hAnsi="仿宋" w:eastAsia="仿宋" w:cs="仿宋"/>
          <w:color w:val="auto"/>
          <w:kern w:val="0"/>
          <w:sz w:val="24"/>
          <w:szCs w:val="24"/>
          <w:highlight w:val="none"/>
        </w:rPr>
      </w:pPr>
    </w:p>
    <w:p w14:paraId="14B55935">
      <w:pPr>
        <w:pStyle w:val="23"/>
        <w:spacing w:line="360" w:lineRule="auto"/>
        <w:ind w:firstLine="560"/>
        <w:outlineLvl w:val="9"/>
        <w:rPr>
          <w:rFonts w:hint="eastAsia" w:ascii="仿宋" w:hAnsi="仿宋" w:eastAsia="仿宋" w:cs="仿宋"/>
          <w:b/>
          <w:bCs/>
          <w:color w:val="auto"/>
          <w:sz w:val="24"/>
          <w:szCs w:val="18"/>
          <w:highlight w:val="none"/>
        </w:rPr>
      </w:pPr>
    </w:p>
    <w:p w14:paraId="4498CB57">
      <w:pPr>
        <w:pStyle w:val="23"/>
        <w:spacing w:line="360" w:lineRule="auto"/>
        <w:ind w:firstLine="560"/>
        <w:outlineLvl w:val="9"/>
        <w:rPr>
          <w:rFonts w:hint="eastAsia" w:ascii="仿宋" w:hAnsi="仿宋" w:eastAsia="仿宋" w:cs="仿宋"/>
          <w:color w:val="auto"/>
          <w:highlight w:val="none"/>
        </w:rPr>
      </w:pPr>
    </w:p>
    <w:p w14:paraId="6A8C2B1C">
      <w:pPr>
        <w:spacing w:line="360" w:lineRule="auto"/>
        <w:ind w:firstLine="622"/>
        <w:outlineLvl w:val="9"/>
        <w:rPr>
          <w:rFonts w:hint="eastAsia" w:ascii="仿宋" w:hAnsi="仿宋" w:eastAsia="仿宋" w:cs="仿宋"/>
          <w:color w:val="auto"/>
          <w:sz w:val="31"/>
          <w:highlight w:val="none"/>
        </w:rPr>
        <w:sectPr>
          <w:footerReference r:id="rId9" w:type="first"/>
          <w:footerReference r:id="rId8" w:type="default"/>
          <w:pgSz w:w="11906" w:h="16838"/>
          <w:pgMar w:top="1440" w:right="1080" w:bottom="1440" w:left="1080" w:header="851" w:footer="851" w:gutter="0"/>
          <w:pgNumType w:fmt="numberInDash"/>
          <w:cols w:space="720" w:num="1"/>
          <w:titlePg/>
          <w:docGrid w:type="linesAndChars" w:linePitch="312" w:charSpace="0"/>
        </w:sectPr>
      </w:pPr>
    </w:p>
    <w:p w14:paraId="3AD30BB1">
      <w:pPr>
        <w:spacing w:line="360" w:lineRule="auto"/>
        <w:jc w:val="center"/>
        <w:outlineLvl w:val="1"/>
        <w:rPr>
          <w:rFonts w:hint="eastAsia" w:ascii="仿宋" w:hAnsi="仿宋" w:eastAsia="仿宋" w:cs="仿宋"/>
          <w:color w:val="auto"/>
          <w:sz w:val="24"/>
          <w:szCs w:val="24"/>
          <w:highlight w:val="none"/>
        </w:rPr>
      </w:pPr>
      <w:bookmarkStart w:id="153" w:name="_Toc56170399"/>
      <w:bookmarkStart w:id="154" w:name="_Toc61184642"/>
      <w:bookmarkStart w:id="155" w:name="_Toc22501"/>
      <w:bookmarkStart w:id="156" w:name="_Toc16288"/>
      <w:r>
        <w:rPr>
          <w:rFonts w:hint="eastAsia" w:ascii="仿宋" w:hAnsi="仿宋" w:eastAsia="仿宋" w:cs="仿宋"/>
          <w:color w:val="auto"/>
          <w:sz w:val="28"/>
          <w:szCs w:val="28"/>
          <w:highlight w:val="none"/>
        </w:rPr>
        <w:t>附件八、开标一览表</w:t>
      </w:r>
      <w:bookmarkEnd w:id="153"/>
      <w:bookmarkEnd w:id="154"/>
      <w:bookmarkEnd w:id="155"/>
      <w:bookmarkEnd w:id="156"/>
    </w:p>
    <w:p w14:paraId="44D22475">
      <w:pPr>
        <w:spacing w:before="131" w:line="229" w:lineRule="auto"/>
        <w:ind w:left="495"/>
        <w:rPr>
          <w:rFonts w:ascii="仿宋" w:hAnsi="仿宋" w:eastAsia="仿宋" w:cs="仿宋"/>
          <w:color w:val="auto"/>
          <w:sz w:val="23"/>
          <w:szCs w:val="23"/>
        </w:rPr>
      </w:pPr>
      <w:bookmarkStart w:id="157" w:name="_Toc20340"/>
      <w:bookmarkStart w:id="158" w:name="_Toc56170400"/>
      <w:bookmarkStart w:id="159" w:name="_Toc61184643"/>
      <w:bookmarkStart w:id="160" w:name="_Toc2236"/>
      <w:r>
        <w:rPr>
          <w:rFonts w:ascii="仿宋" w:hAnsi="仿宋" w:eastAsia="仿宋" w:cs="仿宋"/>
          <w:color w:val="auto"/>
          <w:spacing w:val="-1"/>
          <w:sz w:val="23"/>
          <w:szCs w:val="23"/>
        </w:rPr>
        <w:t>项目名称：                                        项目编号/标项</w:t>
      </w:r>
      <w:r>
        <w:rPr>
          <w:rFonts w:ascii="仿宋" w:hAnsi="仿宋" w:eastAsia="仿宋" w:cs="仿宋"/>
          <w:color w:val="auto"/>
          <w:sz w:val="23"/>
          <w:szCs w:val="23"/>
        </w:rPr>
        <w:t>号：</w:t>
      </w:r>
    </w:p>
    <w:p w14:paraId="534C8A88">
      <w:pPr>
        <w:spacing w:line="70" w:lineRule="auto"/>
        <w:rPr>
          <w:rFonts w:ascii="Arial"/>
          <w:color w:val="auto"/>
          <w:sz w:val="2"/>
        </w:rPr>
      </w:pPr>
    </w:p>
    <w:tbl>
      <w:tblPr>
        <w:tblStyle w:val="31"/>
        <w:tblW w:w="9093"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8"/>
        <w:gridCol w:w="6985"/>
      </w:tblGrid>
      <w:tr w14:paraId="5C9F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108" w:type="dxa"/>
            <w:vAlign w:val="top"/>
          </w:tcPr>
          <w:p w14:paraId="2798639F">
            <w:pPr>
              <w:spacing w:before="269" w:line="229" w:lineRule="auto"/>
              <w:ind w:left="122"/>
              <w:rPr>
                <w:rFonts w:ascii="仿宋" w:hAnsi="仿宋" w:eastAsia="仿宋" w:cs="仿宋"/>
                <w:color w:val="auto"/>
                <w:sz w:val="23"/>
                <w:szCs w:val="23"/>
              </w:rPr>
            </w:pPr>
            <w:r>
              <w:rPr>
                <w:rFonts w:ascii="仿宋" w:hAnsi="仿宋" w:eastAsia="仿宋" w:cs="仿宋"/>
                <w:color w:val="auto"/>
                <w:spacing w:val="7"/>
                <w:sz w:val="23"/>
                <w:szCs w:val="23"/>
              </w:rPr>
              <w:t>投标人名</w:t>
            </w:r>
            <w:r>
              <w:rPr>
                <w:rFonts w:ascii="仿宋" w:hAnsi="仿宋" w:eastAsia="仿宋" w:cs="仿宋"/>
                <w:color w:val="auto"/>
                <w:spacing w:val="6"/>
                <w:sz w:val="23"/>
                <w:szCs w:val="23"/>
              </w:rPr>
              <w:t>称</w:t>
            </w:r>
          </w:p>
        </w:tc>
        <w:tc>
          <w:tcPr>
            <w:tcW w:w="6985" w:type="dxa"/>
            <w:vAlign w:val="top"/>
          </w:tcPr>
          <w:p w14:paraId="57FEC9F4">
            <w:pPr>
              <w:rPr>
                <w:rFonts w:ascii="Arial"/>
                <w:color w:val="auto"/>
                <w:sz w:val="21"/>
              </w:rPr>
            </w:pPr>
          </w:p>
        </w:tc>
      </w:tr>
      <w:tr w14:paraId="7BEF9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2108" w:type="dxa"/>
            <w:vAlign w:val="top"/>
          </w:tcPr>
          <w:p w14:paraId="0913BA6E">
            <w:pPr>
              <w:spacing w:line="263" w:lineRule="auto"/>
              <w:rPr>
                <w:rFonts w:ascii="Arial"/>
                <w:color w:val="auto"/>
                <w:sz w:val="21"/>
              </w:rPr>
            </w:pPr>
          </w:p>
          <w:p w14:paraId="4FEA92C1">
            <w:pPr>
              <w:spacing w:before="74" w:line="231" w:lineRule="auto"/>
              <w:ind w:left="122"/>
              <w:rPr>
                <w:rFonts w:ascii="宋体" w:hAnsi="宋体" w:eastAsia="宋体" w:cs="宋体"/>
                <w:color w:val="auto"/>
                <w:sz w:val="20"/>
                <w:szCs w:val="20"/>
              </w:rPr>
            </w:pPr>
            <w:r>
              <w:rPr>
                <w:color w:val="auto"/>
              </w:rPr>
              <w:drawing>
                <wp:anchor distT="0" distB="0" distL="0" distR="0" simplePos="0" relativeHeight="251669504" behindDoc="1" locked="0" layoutInCell="1" allowOverlap="1">
                  <wp:simplePos x="0" y="0"/>
                  <wp:positionH relativeFrom="column">
                    <wp:posOffset>1270</wp:posOffset>
                  </wp:positionH>
                  <wp:positionV relativeFrom="paragraph">
                    <wp:posOffset>-168910</wp:posOffset>
                  </wp:positionV>
                  <wp:extent cx="1333500" cy="805180"/>
                  <wp:effectExtent l="0" t="0" r="0" b="4445"/>
                  <wp:wrapNone/>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13"/>
                          <a:stretch>
                            <a:fillRect/>
                          </a:stretch>
                        </pic:blipFill>
                        <pic:spPr>
                          <a:xfrm>
                            <a:off x="0" y="0"/>
                            <a:ext cx="1333500" cy="805180"/>
                          </a:xfrm>
                          <a:prstGeom prst="rect">
                            <a:avLst/>
                          </a:prstGeom>
                        </pic:spPr>
                      </pic:pic>
                    </a:graphicData>
                  </a:graphic>
                </wp:anchor>
              </w:drawing>
            </w:r>
            <w:r>
              <w:rPr>
                <w:rFonts w:ascii="仿宋" w:hAnsi="仿宋" w:eastAsia="仿宋" w:cs="仿宋"/>
                <w:color w:val="auto"/>
                <w:spacing w:val="6"/>
                <w:sz w:val="23"/>
                <w:szCs w:val="23"/>
              </w:rPr>
              <w:t>投标</w:t>
            </w:r>
            <w:r>
              <w:rPr>
                <w:rFonts w:ascii="仿宋" w:hAnsi="仿宋" w:eastAsia="仿宋" w:cs="仿宋"/>
                <w:color w:val="auto"/>
                <w:spacing w:val="3"/>
                <w:sz w:val="23"/>
                <w:szCs w:val="23"/>
              </w:rPr>
              <w:t xml:space="preserve">总价 </w:t>
            </w:r>
            <w:r>
              <w:rPr>
                <w:rFonts w:ascii="宋体" w:hAnsi="宋体" w:eastAsia="宋体" w:cs="宋体"/>
                <w:color w:val="auto"/>
                <w:spacing w:val="3"/>
                <w:sz w:val="20"/>
                <w:szCs w:val="20"/>
              </w:rPr>
              <w:t>(元)</w:t>
            </w:r>
          </w:p>
          <w:p w14:paraId="4F5ADD54">
            <w:pPr>
              <w:spacing w:before="153" w:line="231" w:lineRule="auto"/>
              <w:ind w:left="128"/>
              <w:rPr>
                <w:rFonts w:ascii="仿宋" w:hAnsi="仿宋" w:eastAsia="仿宋" w:cs="仿宋"/>
                <w:color w:val="auto"/>
                <w:sz w:val="23"/>
                <w:szCs w:val="23"/>
              </w:rPr>
            </w:pPr>
            <w:r>
              <w:rPr>
                <w:rFonts w:ascii="仿宋" w:hAnsi="仿宋" w:eastAsia="仿宋" w:cs="仿宋"/>
                <w:color w:val="auto"/>
                <w:spacing w:val="27"/>
                <w:sz w:val="23"/>
                <w:szCs w:val="23"/>
              </w:rPr>
              <w:t>(人民币</w:t>
            </w:r>
            <w:r>
              <w:rPr>
                <w:rFonts w:ascii="仿宋" w:hAnsi="仿宋" w:eastAsia="仿宋" w:cs="仿宋"/>
                <w:color w:val="auto"/>
                <w:spacing w:val="26"/>
                <w:sz w:val="23"/>
                <w:szCs w:val="23"/>
              </w:rPr>
              <w:t>)</w:t>
            </w:r>
          </w:p>
        </w:tc>
        <w:tc>
          <w:tcPr>
            <w:tcW w:w="6985" w:type="dxa"/>
            <w:vAlign w:val="top"/>
          </w:tcPr>
          <w:p w14:paraId="10168686">
            <w:pPr>
              <w:spacing w:line="263" w:lineRule="auto"/>
              <w:rPr>
                <w:rFonts w:ascii="Arial"/>
                <w:color w:val="auto"/>
                <w:sz w:val="21"/>
              </w:rPr>
            </w:pPr>
          </w:p>
          <w:p w14:paraId="10B6A850">
            <w:pPr>
              <w:spacing w:before="75" w:line="232" w:lineRule="auto"/>
              <w:ind w:left="122"/>
              <w:rPr>
                <w:rFonts w:ascii="仿宋" w:hAnsi="仿宋" w:eastAsia="仿宋" w:cs="仿宋"/>
                <w:color w:val="auto"/>
                <w:sz w:val="23"/>
                <w:szCs w:val="23"/>
              </w:rPr>
            </w:pPr>
            <w:r>
              <w:rPr>
                <w:color w:val="auto"/>
              </w:rPr>
              <w:drawing>
                <wp:anchor distT="0" distB="0" distL="0" distR="0" simplePos="0" relativeHeight="251672576" behindDoc="1" locked="0" layoutInCell="1" allowOverlap="1">
                  <wp:simplePos x="0" y="0"/>
                  <wp:positionH relativeFrom="column">
                    <wp:posOffset>0</wp:posOffset>
                  </wp:positionH>
                  <wp:positionV relativeFrom="paragraph">
                    <wp:posOffset>-168275</wp:posOffset>
                  </wp:positionV>
                  <wp:extent cx="4431665" cy="805180"/>
                  <wp:effectExtent l="0" t="0" r="6985" b="4445"/>
                  <wp:wrapNone/>
                  <wp:docPr id="14" name="IM 3"/>
                  <wp:cNvGraphicFramePr/>
                  <a:graphic xmlns:a="http://schemas.openxmlformats.org/drawingml/2006/main">
                    <a:graphicData uri="http://schemas.openxmlformats.org/drawingml/2006/picture">
                      <pic:pic xmlns:pic="http://schemas.openxmlformats.org/drawingml/2006/picture">
                        <pic:nvPicPr>
                          <pic:cNvPr id="14" name="IM 3"/>
                          <pic:cNvPicPr/>
                        </pic:nvPicPr>
                        <pic:blipFill>
                          <a:blip r:embed="rId14"/>
                          <a:stretch>
                            <a:fillRect/>
                          </a:stretch>
                        </pic:blipFill>
                        <pic:spPr>
                          <a:xfrm>
                            <a:off x="0" y="0"/>
                            <a:ext cx="4431664" cy="805180"/>
                          </a:xfrm>
                          <a:prstGeom prst="rect">
                            <a:avLst/>
                          </a:prstGeom>
                        </pic:spPr>
                      </pic:pic>
                    </a:graphicData>
                  </a:graphic>
                </wp:anchor>
              </w:drawing>
            </w:r>
            <w:r>
              <w:rPr>
                <w:rFonts w:ascii="仿宋" w:hAnsi="仿宋" w:eastAsia="仿宋" w:cs="仿宋"/>
                <w:color w:val="auto"/>
                <w:spacing w:val="1"/>
                <w:sz w:val="23"/>
                <w:szCs w:val="23"/>
              </w:rPr>
              <w:t>大</w:t>
            </w:r>
            <w:r>
              <w:rPr>
                <w:rFonts w:ascii="仿宋" w:hAnsi="仿宋" w:eastAsia="仿宋" w:cs="仿宋"/>
                <w:color w:val="auto"/>
                <w:sz w:val="23"/>
                <w:szCs w:val="23"/>
              </w:rPr>
              <w:t>写：</w:t>
            </w:r>
            <w:r>
              <w:rPr>
                <w:rFonts w:ascii="仿宋" w:hAnsi="仿宋" w:eastAsia="仿宋" w:cs="仿宋"/>
                <w:color w:val="auto"/>
                <w:sz w:val="23"/>
                <w:szCs w:val="23"/>
                <w:u w:val="single" w:color="auto"/>
              </w:rPr>
              <w:t xml:space="preserve">         </w:t>
            </w:r>
          </w:p>
          <w:p w14:paraId="3EBF8057">
            <w:pPr>
              <w:spacing w:before="152" w:line="233" w:lineRule="auto"/>
              <w:ind w:left="119"/>
              <w:rPr>
                <w:rFonts w:ascii="仿宋" w:hAnsi="仿宋" w:eastAsia="仿宋" w:cs="仿宋"/>
                <w:color w:val="auto"/>
                <w:sz w:val="23"/>
                <w:szCs w:val="23"/>
              </w:rPr>
            </w:pPr>
            <w:r>
              <w:rPr>
                <w:rFonts w:ascii="仿宋" w:hAnsi="仿宋" w:eastAsia="仿宋" w:cs="仿宋"/>
                <w:color w:val="auto"/>
                <w:spacing w:val="2"/>
                <w:sz w:val="23"/>
                <w:szCs w:val="23"/>
              </w:rPr>
              <w:t>小</w:t>
            </w:r>
            <w:r>
              <w:rPr>
                <w:rFonts w:ascii="仿宋" w:hAnsi="仿宋" w:eastAsia="仿宋" w:cs="仿宋"/>
                <w:color w:val="auto"/>
                <w:spacing w:val="1"/>
                <w:sz w:val="23"/>
                <w:szCs w:val="23"/>
              </w:rPr>
              <w:t>写：</w:t>
            </w:r>
            <w:r>
              <w:rPr>
                <w:rFonts w:ascii="仿宋" w:hAnsi="仿宋" w:eastAsia="仿宋" w:cs="仿宋"/>
                <w:color w:val="auto"/>
                <w:sz w:val="23"/>
                <w:szCs w:val="23"/>
                <w:u w:val="single" w:color="auto"/>
              </w:rPr>
              <w:t xml:space="preserve">         </w:t>
            </w:r>
          </w:p>
        </w:tc>
      </w:tr>
      <w:tr w14:paraId="68D9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2108" w:type="dxa"/>
            <w:vAlign w:val="top"/>
          </w:tcPr>
          <w:p w14:paraId="0B32E5C3">
            <w:pPr>
              <w:spacing w:before="211" w:line="231" w:lineRule="auto"/>
              <w:ind w:left="128"/>
              <w:rPr>
                <w:rFonts w:ascii="仿宋" w:hAnsi="仿宋" w:eastAsia="仿宋" w:cs="仿宋"/>
                <w:color w:val="auto"/>
                <w:sz w:val="23"/>
                <w:szCs w:val="23"/>
              </w:rPr>
            </w:pPr>
            <w:r>
              <w:rPr>
                <w:color w:val="auto"/>
              </w:rPr>
              <w:drawing>
                <wp:anchor distT="0" distB="0" distL="0" distR="0" simplePos="0" relativeHeight="251670528" behindDoc="1" locked="0" layoutInCell="1" allowOverlap="1">
                  <wp:simplePos x="0" y="0"/>
                  <wp:positionH relativeFrom="column">
                    <wp:posOffset>1270</wp:posOffset>
                  </wp:positionH>
                  <wp:positionV relativeFrom="paragraph">
                    <wp:posOffset>635</wp:posOffset>
                  </wp:positionV>
                  <wp:extent cx="1333500" cy="359410"/>
                  <wp:effectExtent l="0" t="0" r="0" b="2540"/>
                  <wp:wrapNone/>
                  <wp:docPr id="15" name="IM 4"/>
                  <wp:cNvGraphicFramePr/>
                  <a:graphic xmlns:a="http://schemas.openxmlformats.org/drawingml/2006/main">
                    <a:graphicData uri="http://schemas.openxmlformats.org/drawingml/2006/picture">
                      <pic:pic xmlns:pic="http://schemas.openxmlformats.org/drawingml/2006/picture">
                        <pic:nvPicPr>
                          <pic:cNvPr id="15" name="IM 4"/>
                          <pic:cNvPicPr/>
                        </pic:nvPicPr>
                        <pic:blipFill>
                          <a:blip r:embed="rId15"/>
                          <a:stretch>
                            <a:fillRect/>
                          </a:stretch>
                        </pic:blipFill>
                        <pic:spPr>
                          <a:xfrm>
                            <a:off x="0" y="0"/>
                            <a:ext cx="1333500" cy="359409"/>
                          </a:xfrm>
                          <a:prstGeom prst="rect">
                            <a:avLst/>
                          </a:prstGeom>
                        </pic:spPr>
                      </pic:pic>
                    </a:graphicData>
                  </a:graphic>
                </wp:anchor>
              </w:drawing>
            </w:r>
            <w:r>
              <w:rPr>
                <w:rFonts w:ascii="仿宋" w:hAnsi="仿宋" w:eastAsia="仿宋" w:cs="仿宋"/>
                <w:color w:val="auto"/>
                <w:spacing w:val="4"/>
                <w:sz w:val="23"/>
                <w:szCs w:val="23"/>
              </w:rPr>
              <w:t>交</w:t>
            </w:r>
            <w:r>
              <w:rPr>
                <w:rFonts w:ascii="仿宋" w:hAnsi="仿宋" w:eastAsia="仿宋" w:cs="仿宋"/>
                <w:color w:val="auto"/>
                <w:spacing w:val="2"/>
                <w:sz w:val="23"/>
                <w:szCs w:val="23"/>
              </w:rPr>
              <w:t>货期</w:t>
            </w:r>
          </w:p>
        </w:tc>
        <w:tc>
          <w:tcPr>
            <w:tcW w:w="6985" w:type="dxa"/>
            <w:shd w:val="clear" w:color="auto" w:fill="FFFFFF"/>
            <w:vAlign w:val="top"/>
          </w:tcPr>
          <w:p w14:paraId="20DF4341">
            <w:pPr>
              <w:rPr>
                <w:rFonts w:ascii="Arial"/>
                <w:color w:val="auto"/>
                <w:sz w:val="21"/>
              </w:rPr>
            </w:pPr>
          </w:p>
        </w:tc>
      </w:tr>
      <w:tr w14:paraId="1658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108" w:type="dxa"/>
            <w:vAlign w:val="top"/>
          </w:tcPr>
          <w:p w14:paraId="11160AD8">
            <w:pPr>
              <w:spacing w:before="266" w:line="229" w:lineRule="auto"/>
              <w:ind w:left="128"/>
              <w:rPr>
                <w:rFonts w:ascii="仿宋" w:hAnsi="仿宋" w:eastAsia="仿宋" w:cs="仿宋"/>
                <w:color w:val="auto"/>
                <w:sz w:val="23"/>
                <w:szCs w:val="23"/>
              </w:rPr>
            </w:pPr>
            <w:r>
              <w:rPr>
                <w:color w:val="auto"/>
              </w:rPr>
              <w:drawing>
                <wp:anchor distT="0" distB="0" distL="0" distR="0" simplePos="0" relativeHeight="251671552" behindDoc="1" locked="0" layoutInCell="1" allowOverlap="1">
                  <wp:simplePos x="0" y="0"/>
                  <wp:positionH relativeFrom="column">
                    <wp:posOffset>1270</wp:posOffset>
                  </wp:positionH>
                  <wp:positionV relativeFrom="paragraph">
                    <wp:posOffset>1270</wp:posOffset>
                  </wp:positionV>
                  <wp:extent cx="1333500" cy="429895"/>
                  <wp:effectExtent l="0" t="0" r="0" b="8255"/>
                  <wp:wrapNone/>
                  <wp:docPr id="22" name="IM 5"/>
                  <wp:cNvGraphicFramePr/>
                  <a:graphic xmlns:a="http://schemas.openxmlformats.org/drawingml/2006/main">
                    <a:graphicData uri="http://schemas.openxmlformats.org/drawingml/2006/picture">
                      <pic:pic xmlns:pic="http://schemas.openxmlformats.org/drawingml/2006/picture">
                        <pic:nvPicPr>
                          <pic:cNvPr id="22" name="IM 5"/>
                          <pic:cNvPicPr/>
                        </pic:nvPicPr>
                        <pic:blipFill>
                          <a:blip r:embed="rId16"/>
                          <a:stretch>
                            <a:fillRect/>
                          </a:stretch>
                        </pic:blipFill>
                        <pic:spPr>
                          <a:xfrm>
                            <a:off x="0" y="0"/>
                            <a:ext cx="1333500" cy="429894"/>
                          </a:xfrm>
                          <a:prstGeom prst="rect">
                            <a:avLst/>
                          </a:prstGeom>
                        </pic:spPr>
                      </pic:pic>
                    </a:graphicData>
                  </a:graphic>
                </wp:anchor>
              </w:drawing>
            </w:r>
            <w:r>
              <w:rPr>
                <w:rFonts w:ascii="仿宋" w:hAnsi="仿宋" w:eastAsia="仿宋" w:cs="仿宋"/>
                <w:color w:val="auto"/>
                <w:spacing w:val="4"/>
                <w:sz w:val="23"/>
                <w:szCs w:val="23"/>
              </w:rPr>
              <w:t>质</w:t>
            </w:r>
            <w:r>
              <w:rPr>
                <w:rFonts w:ascii="仿宋" w:hAnsi="仿宋" w:eastAsia="仿宋" w:cs="仿宋"/>
                <w:color w:val="auto"/>
                <w:spacing w:val="2"/>
                <w:sz w:val="23"/>
                <w:szCs w:val="23"/>
              </w:rPr>
              <w:t>保期</w:t>
            </w:r>
          </w:p>
        </w:tc>
        <w:tc>
          <w:tcPr>
            <w:tcW w:w="6985" w:type="dxa"/>
            <w:vAlign w:val="top"/>
          </w:tcPr>
          <w:p w14:paraId="79560992">
            <w:pPr>
              <w:spacing w:before="1" w:line="677" w:lineRule="exact"/>
              <w:textAlignment w:val="center"/>
              <w:rPr>
                <w:color w:val="auto"/>
              </w:rPr>
            </w:pPr>
            <w:r>
              <w:rPr>
                <w:color w:val="auto"/>
              </w:rPr>
              <w:drawing>
                <wp:inline distT="0" distB="0" distL="0" distR="0">
                  <wp:extent cx="4431030" cy="429260"/>
                  <wp:effectExtent l="0" t="0" r="7620" b="8890"/>
                  <wp:docPr id="23" name="IM 6"/>
                  <wp:cNvGraphicFramePr/>
                  <a:graphic xmlns:a="http://schemas.openxmlformats.org/drawingml/2006/main">
                    <a:graphicData uri="http://schemas.openxmlformats.org/drawingml/2006/picture">
                      <pic:pic xmlns:pic="http://schemas.openxmlformats.org/drawingml/2006/picture">
                        <pic:nvPicPr>
                          <pic:cNvPr id="23" name="IM 6"/>
                          <pic:cNvPicPr/>
                        </pic:nvPicPr>
                        <pic:blipFill>
                          <a:blip r:embed="rId17"/>
                          <a:stretch>
                            <a:fillRect/>
                          </a:stretch>
                        </pic:blipFill>
                        <pic:spPr>
                          <a:xfrm>
                            <a:off x="0" y="0"/>
                            <a:ext cx="4431538" cy="429894"/>
                          </a:xfrm>
                          <a:prstGeom prst="rect">
                            <a:avLst/>
                          </a:prstGeom>
                        </pic:spPr>
                      </pic:pic>
                    </a:graphicData>
                  </a:graphic>
                </wp:inline>
              </w:drawing>
            </w:r>
          </w:p>
        </w:tc>
      </w:tr>
      <w:tr w14:paraId="2464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108" w:type="dxa"/>
            <w:vAlign w:val="top"/>
          </w:tcPr>
          <w:p w14:paraId="05CC8124">
            <w:pPr>
              <w:spacing w:before="268" w:line="231" w:lineRule="auto"/>
              <w:ind w:left="123"/>
              <w:rPr>
                <w:rFonts w:ascii="仿宋" w:hAnsi="仿宋" w:eastAsia="仿宋" w:cs="仿宋"/>
                <w:color w:val="auto"/>
                <w:sz w:val="23"/>
                <w:szCs w:val="23"/>
              </w:rPr>
            </w:pPr>
            <w:r>
              <w:rPr>
                <w:color w:val="auto"/>
              </w:rPr>
              <mc:AlternateContent>
                <mc:Choice Requires="wpg">
                  <w:drawing>
                    <wp:anchor distT="0" distB="0" distL="114300" distR="114300" simplePos="0" relativeHeight="251668480" behindDoc="1" locked="0" layoutInCell="1" allowOverlap="1">
                      <wp:simplePos x="0" y="0"/>
                      <wp:positionH relativeFrom="column">
                        <wp:posOffset>1270</wp:posOffset>
                      </wp:positionH>
                      <wp:positionV relativeFrom="paragraph">
                        <wp:posOffset>1270</wp:posOffset>
                      </wp:positionV>
                      <wp:extent cx="1334135" cy="431800"/>
                      <wp:effectExtent l="0" t="0" r="0" b="6350"/>
                      <wp:wrapNone/>
                      <wp:docPr id="29" name="组合 29"/>
                      <wp:cNvGraphicFramePr/>
                      <a:graphic xmlns:a="http://schemas.openxmlformats.org/drawingml/2006/main">
                        <a:graphicData uri="http://schemas.microsoft.com/office/word/2010/wordprocessingGroup">
                          <wpg:wgp>
                            <wpg:cNvGrpSpPr/>
                            <wpg:grpSpPr>
                              <a:xfrm>
                                <a:off x="0" y="0"/>
                                <a:ext cx="1334135" cy="431800"/>
                                <a:chOff x="0" y="0"/>
                                <a:chExt cx="2101" cy="680"/>
                              </a:xfrm>
                            </wpg:grpSpPr>
                            <wps:wsp>
                              <wps:cNvPr id="27" name="任意多边形 27"/>
                              <wps:cNvSpPr/>
                              <wps:spPr>
                                <a:xfrm>
                                  <a:off x="0" y="0"/>
                                  <a:ext cx="2101" cy="680"/>
                                </a:xfrm>
                                <a:custGeom>
                                  <a:avLst/>
                                  <a:gdLst/>
                                  <a:ahLst/>
                                  <a:cxnLst/>
                                  <a:pathLst>
                                    <a:path w="2101" h="680">
                                      <a:moveTo>
                                        <a:pt x="0" y="0"/>
                                      </a:moveTo>
                                      <a:lnTo>
                                        <a:pt x="2100" y="0"/>
                                      </a:lnTo>
                                      <a:lnTo>
                                        <a:pt x="2100" y="680"/>
                                      </a:lnTo>
                                      <a:lnTo>
                                        <a:pt x="0" y="680"/>
                                      </a:lnTo>
                                      <a:lnTo>
                                        <a:pt x="0" y="0"/>
                                      </a:lnTo>
                                      <a:close/>
                                    </a:path>
                                  </a:pathLst>
                                </a:custGeom>
                                <a:solidFill>
                                  <a:srgbClr val="F3F3F3"/>
                                </a:solidFill>
                                <a:ln>
                                  <a:noFill/>
                                </a:ln>
                              </wps:spPr>
                              <wps:bodyPr upright="1"/>
                            </wps:wsp>
                            <wps:wsp>
                              <wps:cNvPr id="28" name="任意多边形 28"/>
                              <wps:cNvSpPr/>
                              <wps:spPr>
                                <a:xfrm>
                                  <a:off x="105" y="118"/>
                                  <a:ext cx="1890" cy="440"/>
                                </a:xfrm>
                                <a:custGeom>
                                  <a:avLst/>
                                  <a:gdLst/>
                                  <a:ahLst/>
                                  <a:cxnLst/>
                                  <a:pathLst>
                                    <a:path w="1890" h="440">
                                      <a:moveTo>
                                        <a:pt x="0" y="0"/>
                                      </a:moveTo>
                                      <a:lnTo>
                                        <a:pt x="1889" y="0"/>
                                      </a:lnTo>
                                      <a:lnTo>
                                        <a:pt x="1889" y="440"/>
                                      </a:lnTo>
                                      <a:lnTo>
                                        <a:pt x="0" y="440"/>
                                      </a:lnTo>
                                      <a:lnTo>
                                        <a:pt x="0" y="0"/>
                                      </a:lnTo>
                                      <a:close/>
                                    </a:path>
                                  </a:pathLst>
                                </a:custGeom>
                                <a:solidFill>
                                  <a:srgbClr val="FFFFFF"/>
                                </a:solidFill>
                                <a:ln>
                                  <a:noFill/>
                                </a:ln>
                              </wps:spPr>
                              <wps:bodyPr upright="1"/>
                            </wps:wsp>
                          </wpg:wgp>
                        </a:graphicData>
                      </a:graphic>
                    </wp:anchor>
                  </w:drawing>
                </mc:Choice>
                <mc:Fallback>
                  <w:pict>
                    <v:group id="_x0000_s1026" o:spid="_x0000_s1026" o:spt="203" style="position:absolute;left:0pt;margin-left:0.1pt;margin-top:0.1pt;height:34pt;width:105.05pt;z-index:-251648000;mso-width-relative:page;mso-height-relative:page;" coordsize="2101,680" o:gfxdata="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A9n+3jUAAAABAEAAA8A&#10;AAAAAAAAAQAgAAAAIgAAAGRycy9kb3ducmV2LnhtbFBLAQIUABQAAAAIAIdO4kCGCbRhxgIAAEkI&#10;AAAOAAAAAAAAAAEAIAAAACMBAABkcnMvZTJvRG9jLnhtbFBLBQYAAAAABgAGAFkBAABbBgAAAAA=&#10;">
                      <o:lock v:ext="edit" aspectratio="f"/>
                      <v:shape id="_x0000_s1026" o:spid="_x0000_s1026" o:spt="100" style="position:absolute;left:0;top:0;height:680;width:2101;" fillcolor="#F3F3F3" filled="t" stroked="f" coordsize="2101,680" o:gfxdata="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1eK8AAAA&#10;2wAAAA8AAAAAAAAAAQAgAAAAIgAAAGRycy9kb3ducmV2LnhtbFBLAQIUABQAAAAIAIdO4kAzLwWe&#10;OwAAADkAAAAQAAAAAAAAAAEAIAAAAAsBAABkcnMvc2hhcGV4bWwueG1sUEsFBgAAAAAGAAYAWwEA&#10;ALUDAAAAAA==&#10;" path="m0,0l2100,0,2100,680,0,680,0,0xe">
                        <v:fill on="t" focussize="0,0"/>
                        <v:stroke on="f"/>
                        <v:imagedata o:title=""/>
                        <o:lock v:ext="edit" aspectratio="f"/>
                      </v:shape>
                      <v:shape id="_x0000_s1026" o:spid="_x0000_s1026" o:spt="100" style="position:absolute;left:105;top:118;height:440;width:1890;" fillcolor="#FFFFFF" filled="t" stroked="f" coordsize="1890,440" o:gfxdata="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mZp5ugAAANsA&#10;AAAPAAAAAAAAAAEAIAAAACIAAABkcnMvZG93bnJldi54bWxQSwECFAAUAAAACACHTuJAMy8FnjsA&#10;AAA5AAAAEAAAAAAAAAABACAAAAAJAQAAZHJzL3NoYXBleG1sLnhtbFBLBQYAAAAABgAGAFsBAACz&#10;AwAAAAA=&#10;" path="m0,0l1889,0,1889,440,0,440,0,0xe">
                        <v:fill on="t" focussize="0,0"/>
                        <v:stroke on="f"/>
                        <v:imagedata o:title=""/>
                        <o:lock v:ext="edit" aspectratio="f"/>
                      </v:shape>
                    </v:group>
                  </w:pict>
                </mc:Fallback>
              </mc:AlternateContent>
            </w:r>
            <w:r>
              <w:rPr>
                <w:rFonts w:ascii="仿宋" w:hAnsi="仿宋" w:eastAsia="仿宋" w:cs="仿宋"/>
                <w:color w:val="auto"/>
                <w:spacing w:val="6"/>
                <w:sz w:val="23"/>
                <w:szCs w:val="23"/>
              </w:rPr>
              <w:t>报价说明</w:t>
            </w:r>
          </w:p>
        </w:tc>
        <w:tc>
          <w:tcPr>
            <w:tcW w:w="6985" w:type="dxa"/>
            <w:vAlign w:val="top"/>
          </w:tcPr>
          <w:p w14:paraId="2A676452">
            <w:pPr>
              <w:spacing w:before="2" w:line="680" w:lineRule="exact"/>
              <w:textAlignment w:val="center"/>
              <w:rPr>
                <w:color w:val="auto"/>
              </w:rPr>
            </w:pPr>
            <w:r>
              <w:rPr>
                <w:color w:val="auto"/>
              </w:rPr>
              <mc:AlternateContent>
                <mc:Choice Requires="wpg">
                  <w:drawing>
                    <wp:inline distT="0" distB="0" distL="114300" distR="114300">
                      <wp:extent cx="4431665" cy="431800"/>
                      <wp:effectExtent l="0" t="0" r="6985" b="6350"/>
                      <wp:docPr id="26" name="组合 26"/>
                      <wp:cNvGraphicFramePr/>
                      <a:graphic xmlns:a="http://schemas.openxmlformats.org/drawingml/2006/main">
                        <a:graphicData uri="http://schemas.microsoft.com/office/word/2010/wordprocessingGroup">
                          <wpg:wgp>
                            <wpg:cNvGrpSpPr/>
                            <wpg:grpSpPr>
                              <a:xfrm>
                                <a:off x="0" y="0"/>
                                <a:ext cx="4431665" cy="431800"/>
                                <a:chOff x="0" y="0"/>
                                <a:chExt cx="6979" cy="680"/>
                              </a:xfrm>
                            </wpg:grpSpPr>
                            <wps:wsp>
                              <wps:cNvPr id="24" name="任意多边形 24"/>
                              <wps:cNvSpPr/>
                              <wps:spPr>
                                <a:xfrm>
                                  <a:off x="0" y="0"/>
                                  <a:ext cx="6979" cy="680"/>
                                </a:xfrm>
                                <a:custGeom>
                                  <a:avLst/>
                                  <a:gdLst/>
                                  <a:ahLst/>
                                  <a:cxnLst/>
                                  <a:pathLst>
                                    <a:path w="6979" h="680">
                                      <a:moveTo>
                                        <a:pt x="0" y="0"/>
                                      </a:moveTo>
                                      <a:lnTo>
                                        <a:pt x="6978" y="0"/>
                                      </a:lnTo>
                                      <a:lnTo>
                                        <a:pt x="6978" y="680"/>
                                      </a:lnTo>
                                      <a:lnTo>
                                        <a:pt x="0" y="680"/>
                                      </a:lnTo>
                                      <a:lnTo>
                                        <a:pt x="0" y="0"/>
                                      </a:lnTo>
                                      <a:close/>
                                    </a:path>
                                  </a:pathLst>
                                </a:custGeom>
                                <a:solidFill>
                                  <a:srgbClr val="F3F3F3"/>
                                </a:solidFill>
                                <a:ln>
                                  <a:noFill/>
                                </a:ln>
                              </wps:spPr>
                              <wps:bodyPr upright="1"/>
                            </wps:wsp>
                            <wps:wsp>
                              <wps:cNvPr id="25" name="任意多边形 25"/>
                              <wps:cNvSpPr/>
                              <wps:spPr>
                                <a:xfrm>
                                  <a:off x="105" y="118"/>
                                  <a:ext cx="6767" cy="440"/>
                                </a:xfrm>
                                <a:custGeom>
                                  <a:avLst/>
                                  <a:gdLst/>
                                  <a:ahLst/>
                                  <a:cxnLst/>
                                  <a:pathLst>
                                    <a:path w="6767" h="440">
                                      <a:moveTo>
                                        <a:pt x="0" y="0"/>
                                      </a:moveTo>
                                      <a:lnTo>
                                        <a:pt x="6767" y="0"/>
                                      </a:lnTo>
                                      <a:lnTo>
                                        <a:pt x="6767" y="440"/>
                                      </a:lnTo>
                                      <a:lnTo>
                                        <a:pt x="0" y="440"/>
                                      </a:lnTo>
                                      <a:lnTo>
                                        <a:pt x="0" y="0"/>
                                      </a:lnTo>
                                      <a:close/>
                                    </a:path>
                                  </a:pathLst>
                                </a:custGeom>
                                <a:solidFill>
                                  <a:srgbClr val="FFFFFF"/>
                                </a:solidFill>
                                <a:ln>
                                  <a:noFill/>
                                </a:ln>
                              </wps:spPr>
                              <wps:bodyPr upright="1"/>
                            </wps:wsp>
                          </wpg:wgp>
                        </a:graphicData>
                      </a:graphic>
                    </wp:inline>
                  </w:drawing>
                </mc:Choice>
                <mc:Fallback>
                  <w:pict>
                    <v:group id="_x0000_s1026" o:spid="_x0000_s1026" o:spt="203" style="height:34pt;width:348.95pt;" coordsize="6979,680" o:gfxdata="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NGb&#10;ESDVAAAABAEAAA8AAAAAAAAAAQAgAAAAIgAAAGRycy9kb3ducmV2LnhtbFBLAQIUABQAAAAIAIdO&#10;4kCH9Qd10QIAAEkIAAAOAAAAAAAAAAEAIAAAACQBAABkcnMvZTJvRG9jLnhtbFBLBQYAAAAABgAG&#10;AFkBAABnBgAAAAA=&#10;">
                      <o:lock v:ext="edit" aspectratio="f"/>
                      <v:shape id="_x0000_s1026" o:spid="_x0000_s1026" o:spt="100" style="position:absolute;left:0;top:0;height:680;width:6979;" fillcolor="#F3F3F3" filled="t" stroked="f" coordsize="6979,680" o:gfxdata="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xz0tvQAA&#10;ANsAAAAPAAAAAAAAAAEAIAAAACIAAABkcnMvZG93bnJldi54bWxQSwECFAAUAAAACACHTuJAMy8F&#10;njsAAAA5AAAAEAAAAAAAAAABACAAAAAMAQAAZHJzL3NoYXBleG1sLnhtbFBLBQYAAAAABgAGAFsB&#10;AAC2AwAAAAA=&#10;" path="m0,0l6978,0,6978,680,0,680,0,0xe">
                        <v:fill on="t" focussize="0,0"/>
                        <v:stroke on="f"/>
                        <v:imagedata o:title=""/>
                        <o:lock v:ext="edit" aspectratio="f"/>
                      </v:shape>
                      <v:shape id="_x0000_s1026" o:spid="_x0000_s1026" o:spt="100" style="position:absolute;left:105;top:118;height:440;width:6767;" fillcolor="#FFFFFF" filled="t" stroked="f" coordsize="6767,440" o:gfxdata="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Ey44LsAAADb&#10;AAAADwAAAAAAAAABACAAAAAiAAAAZHJzL2Rvd25yZXYueG1sUEsBAhQAFAAAAAgAh07iQDMvBZ47&#10;AAAAOQAAABAAAAAAAAAAAQAgAAAACgEAAGRycy9zaGFwZXhtbC54bWxQSwUGAAAAAAYABgBbAQAA&#10;tAMAAAAA&#10;" path="m0,0l6767,0,6767,440,0,440,0,0xe">
                        <v:fill on="t" focussize="0,0"/>
                        <v:stroke on="f"/>
                        <v:imagedata o:title=""/>
                        <o:lock v:ext="edit" aspectratio="f"/>
                      </v:shape>
                      <w10:wrap type="none"/>
                      <w10:anchorlock/>
                    </v:group>
                  </w:pict>
                </mc:Fallback>
              </mc:AlternateContent>
            </w:r>
          </w:p>
        </w:tc>
      </w:tr>
    </w:tbl>
    <w:p w14:paraId="0EFDE624">
      <w:pPr>
        <w:spacing w:before="147" w:line="233" w:lineRule="auto"/>
        <w:ind w:left="16"/>
        <w:rPr>
          <w:rFonts w:ascii="仿宋" w:hAnsi="仿宋" w:eastAsia="仿宋" w:cs="仿宋"/>
          <w:color w:val="auto"/>
          <w:sz w:val="23"/>
          <w:szCs w:val="23"/>
        </w:rPr>
      </w:pPr>
      <w:r>
        <w:rPr>
          <w:rFonts w:ascii="仿宋" w:hAnsi="仿宋" w:eastAsia="仿宋" w:cs="仿宋"/>
          <w:color w:val="auto"/>
          <w:spacing w:val="1"/>
          <w:sz w:val="23"/>
          <w:szCs w:val="23"/>
        </w:rPr>
        <w:t>备注</w:t>
      </w:r>
      <w:r>
        <w:rPr>
          <w:rFonts w:ascii="仿宋" w:hAnsi="仿宋" w:eastAsia="仿宋" w:cs="仿宋"/>
          <w:color w:val="auto"/>
          <w:sz w:val="23"/>
          <w:szCs w:val="23"/>
        </w:rPr>
        <w:t>：</w:t>
      </w:r>
    </w:p>
    <w:p w14:paraId="15C3DC65">
      <w:pPr>
        <w:spacing w:before="149" w:line="229" w:lineRule="auto"/>
        <w:ind w:left="23"/>
        <w:rPr>
          <w:rFonts w:ascii="仿宋" w:hAnsi="仿宋" w:eastAsia="仿宋" w:cs="仿宋"/>
          <w:color w:val="auto"/>
          <w:sz w:val="23"/>
          <w:szCs w:val="23"/>
        </w:rPr>
      </w:pPr>
      <w:r>
        <w:rPr>
          <w:rFonts w:ascii="Times New Roman" w:hAnsi="Times New Roman" w:eastAsia="Times New Roman" w:cs="Times New Roman"/>
          <w:color w:val="auto"/>
          <w:spacing w:val="1"/>
          <w:sz w:val="20"/>
          <w:szCs w:val="20"/>
        </w:rPr>
        <w:t xml:space="preserve">1 </w:t>
      </w:r>
      <w:r>
        <w:rPr>
          <w:rFonts w:ascii="宋体" w:hAnsi="宋体" w:eastAsia="宋体" w:cs="宋体"/>
          <w:color w:val="auto"/>
          <w:spacing w:val="1"/>
          <w:sz w:val="20"/>
          <w:szCs w:val="20"/>
        </w:rPr>
        <w:t>、</w:t>
      </w:r>
      <w:r>
        <w:rPr>
          <w:rFonts w:ascii="仿宋" w:hAnsi="仿宋" w:eastAsia="仿宋" w:cs="仿宋"/>
          <w:color w:val="auto"/>
          <w:spacing w:val="1"/>
          <w:sz w:val="23"/>
          <w:szCs w:val="23"/>
        </w:rPr>
        <w:t>投标总报价以元为单位，小数点</w:t>
      </w:r>
      <w:r>
        <w:rPr>
          <w:rFonts w:ascii="仿宋" w:hAnsi="仿宋" w:eastAsia="仿宋" w:cs="仿宋"/>
          <w:color w:val="auto"/>
          <w:sz w:val="23"/>
          <w:szCs w:val="23"/>
        </w:rPr>
        <w:t>后保留 2 位。</w:t>
      </w:r>
    </w:p>
    <w:p w14:paraId="7A83047F">
      <w:pPr>
        <w:spacing w:before="153" w:line="313" w:lineRule="exact"/>
        <w:ind w:left="10"/>
        <w:rPr>
          <w:rFonts w:ascii="仿宋" w:hAnsi="仿宋" w:eastAsia="仿宋" w:cs="仿宋"/>
          <w:color w:val="auto"/>
          <w:sz w:val="23"/>
          <w:szCs w:val="23"/>
        </w:rPr>
      </w:pPr>
      <w:r>
        <w:rPr>
          <w:rFonts w:ascii="仿宋" w:hAnsi="仿宋" w:eastAsia="仿宋" w:cs="仿宋"/>
          <w:color w:val="auto"/>
          <w:spacing w:val="13"/>
          <w:position w:val="2"/>
          <w:sz w:val="23"/>
          <w:szCs w:val="23"/>
        </w:rPr>
        <w:t>2</w:t>
      </w:r>
      <w:r>
        <w:rPr>
          <w:rFonts w:ascii="仿宋" w:hAnsi="仿宋" w:eastAsia="仿宋" w:cs="仿宋"/>
          <w:color w:val="auto"/>
          <w:spacing w:val="8"/>
          <w:position w:val="2"/>
          <w:sz w:val="23"/>
          <w:szCs w:val="23"/>
        </w:rPr>
        <w:t>、合计金额应为各分项价格之和。</w:t>
      </w:r>
    </w:p>
    <w:p w14:paraId="178F57D3">
      <w:pPr>
        <w:spacing w:before="128" w:line="291" w:lineRule="auto"/>
        <w:ind w:left="27" w:hanging="15"/>
        <w:rPr>
          <w:rFonts w:ascii="仿宋" w:hAnsi="仿宋" w:eastAsia="仿宋" w:cs="仿宋"/>
          <w:color w:val="auto"/>
          <w:sz w:val="23"/>
          <w:szCs w:val="23"/>
        </w:rPr>
      </w:pPr>
      <w:r>
        <w:rPr>
          <w:rFonts w:ascii="仿宋" w:hAnsi="仿宋" w:eastAsia="仿宋" w:cs="仿宋"/>
          <w:color w:val="auto"/>
          <w:spacing w:val="5"/>
          <w:sz w:val="23"/>
          <w:szCs w:val="23"/>
        </w:rPr>
        <w:t>3、综合单价报价应包含货物的采购、包装、运输、装卸、保险、技术支持、验收、检</w:t>
      </w:r>
      <w:r>
        <w:rPr>
          <w:rFonts w:ascii="仿宋" w:hAnsi="仿宋" w:eastAsia="仿宋" w:cs="仿宋"/>
          <w:color w:val="auto"/>
          <w:spacing w:val="2"/>
          <w:sz w:val="23"/>
          <w:szCs w:val="23"/>
        </w:rPr>
        <w:t>验</w:t>
      </w:r>
      <w:r>
        <w:rPr>
          <w:rFonts w:ascii="仿宋" w:hAnsi="仿宋" w:eastAsia="仿宋" w:cs="仿宋"/>
          <w:color w:val="auto"/>
          <w:sz w:val="23"/>
          <w:szCs w:val="23"/>
        </w:rPr>
        <w:t xml:space="preserve">、 </w:t>
      </w:r>
      <w:r>
        <w:rPr>
          <w:rFonts w:ascii="仿宋" w:hAnsi="仿宋" w:eastAsia="仿宋" w:cs="仿宋"/>
          <w:color w:val="auto"/>
          <w:spacing w:val="7"/>
          <w:sz w:val="23"/>
          <w:szCs w:val="23"/>
        </w:rPr>
        <w:t>售后服务、培训等一切费用</w:t>
      </w:r>
      <w:r>
        <w:rPr>
          <w:rFonts w:ascii="仿宋" w:hAnsi="仿宋" w:eastAsia="仿宋" w:cs="仿宋"/>
          <w:color w:val="auto"/>
          <w:spacing w:val="6"/>
          <w:sz w:val="23"/>
          <w:szCs w:val="23"/>
        </w:rPr>
        <w:t>。</w:t>
      </w:r>
    </w:p>
    <w:p w14:paraId="624C49CA">
      <w:pPr>
        <w:spacing w:before="154" w:line="292" w:lineRule="auto"/>
        <w:ind w:left="13" w:right="104" w:hanging="7"/>
        <w:rPr>
          <w:rFonts w:ascii="仿宋" w:hAnsi="仿宋" w:eastAsia="仿宋" w:cs="仿宋"/>
          <w:color w:val="auto"/>
          <w:sz w:val="23"/>
          <w:szCs w:val="23"/>
        </w:rPr>
      </w:pPr>
      <w:r>
        <w:rPr>
          <w:rFonts w:ascii="仿宋" w:hAnsi="仿宋" w:eastAsia="仿宋" w:cs="仿宋"/>
          <w:color w:val="auto"/>
          <w:spacing w:val="16"/>
          <w:sz w:val="23"/>
          <w:szCs w:val="23"/>
        </w:rPr>
        <w:t>4</w:t>
      </w:r>
      <w:r>
        <w:rPr>
          <w:rFonts w:ascii="仿宋" w:hAnsi="仿宋" w:eastAsia="仿宋" w:cs="仿宋"/>
          <w:color w:val="auto"/>
          <w:spacing w:val="10"/>
          <w:sz w:val="23"/>
          <w:szCs w:val="23"/>
        </w:rPr>
        <w:t>、</w:t>
      </w:r>
      <w:r>
        <w:rPr>
          <w:rFonts w:ascii="仿宋" w:hAnsi="仿宋" w:eastAsia="仿宋" w:cs="仿宋"/>
          <w:color w:val="auto"/>
          <w:spacing w:val="8"/>
          <w:sz w:val="23"/>
          <w:szCs w:val="23"/>
        </w:rPr>
        <w:t>投标人必须自行考虑本项目在实施期间的一切可能产生的费用。在合同执行过程中，</w:t>
      </w:r>
      <w:r>
        <w:rPr>
          <w:rFonts w:ascii="仿宋" w:hAnsi="仿宋" w:eastAsia="仿宋" w:cs="仿宋"/>
          <w:color w:val="auto"/>
          <w:sz w:val="23"/>
          <w:szCs w:val="23"/>
        </w:rPr>
        <w:t xml:space="preserve"> </w:t>
      </w:r>
      <w:r>
        <w:rPr>
          <w:rFonts w:ascii="仿宋" w:hAnsi="仿宋" w:eastAsia="仿宋" w:cs="仿宋"/>
          <w:color w:val="auto"/>
          <w:spacing w:val="9"/>
          <w:sz w:val="23"/>
          <w:szCs w:val="23"/>
        </w:rPr>
        <w:t xml:space="preserve">招标人将不再另行支付与本项目相关的任何费用 (非本项目要求的其它内容除外) </w:t>
      </w:r>
      <w:r>
        <w:rPr>
          <w:rFonts w:ascii="仿宋" w:hAnsi="仿宋" w:eastAsia="仿宋" w:cs="仿宋"/>
          <w:color w:val="auto"/>
          <w:spacing w:val="4"/>
          <w:sz w:val="23"/>
          <w:szCs w:val="23"/>
        </w:rPr>
        <w:t>。</w:t>
      </w:r>
    </w:p>
    <w:p w14:paraId="3BD3AF27">
      <w:pPr>
        <w:pStyle w:val="17"/>
        <w:rPr>
          <w:rFonts w:hint="eastAsia" w:ascii="仿宋" w:hAnsi="仿宋" w:eastAsia="仿宋" w:cs="仿宋"/>
          <w:color w:val="auto"/>
          <w:kern w:val="2"/>
          <w:sz w:val="24"/>
          <w:szCs w:val="22"/>
          <w:highlight w:val="none"/>
          <w:lang w:val="en-US" w:eastAsia="zh-CN" w:bidi="ar-SA"/>
        </w:rPr>
      </w:pPr>
    </w:p>
    <w:p w14:paraId="4CDB9A27">
      <w:pPr>
        <w:pStyle w:val="17"/>
        <w:rPr>
          <w:rFonts w:hint="eastAsia" w:ascii="仿宋" w:hAnsi="仿宋" w:eastAsia="仿宋" w:cs="仿宋"/>
          <w:color w:val="auto"/>
          <w:kern w:val="2"/>
          <w:sz w:val="24"/>
          <w:szCs w:val="22"/>
          <w:highlight w:val="none"/>
          <w:lang w:val="en-US" w:eastAsia="zh-CN" w:bidi="ar-SA"/>
        </w:rPr>
      </w:pPr>
    </w:p>
    <w:p w14:paraId="6D420C1A">
      <w:pPr>
        <w:pStyle w:val="17"/>
        <w:ind w:firstLine="480" w:firstLineChars="2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投标单位名称：（公章）</w:t>
      </w:r>
    </w:p>
    <w:p w14:paraId="76AB419D">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法定代表人、法定代表授权委托人：（签字或盖章）</w:t>
      </w:r>
    </w:p>
    <w:p w14:paraId="19F9CA1A">
      <w:pPr>
        <w:pStyle w:val="17"/>
        <w:ind w:firstLine="720" w:firstLineChars="3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年      月     日</w:t>
      </w:r>
    </w:p>
    <w:p w14:paraId="56204F12">
      <w:pPr>
        <w:jc w:val="both"/>
        <w:outlineLvl w:val="9"/>
        <w:rPr>
          <w:rFonts w:hint="eastAsia" w:ascii="仿宋" w:hAnsi="仿宋" w:eastAsia="仿宋" w:cs="仿宋"/>
          <w:color w:val="auto"/>
          <w:sz w:val="24"/>
          <w:szCs w:val="24"/>
          <w:highlight w:val="none"/>
        </w:rPr>
      </w:pPr>
    </w:p>
    <w:p w14:paraId="1B9A59CD">
      <w:pPr>
        <w:jc w:val="center"/>
        <w:outlineLvl w:val="9"/>
        <w:rPr>
          <w:rFonts w:hint="eastAsia" w:ascii="仿宋" w:hAnsi="仿宋" w:eastAsia="仿宋" w:cs="仿宋"/>
          <w:color w:val="auto"/>
          <w:sz w:val="28"/>
          <w:szCs w:val="28"/>
          <w:highlight w:val="none"/>
        </w:rPr>
      </w:pPr>
    </w:p>
    <w:p w14:paraId="2A0624A8">
      <w:pPr>
        <w:jc w:val="both"/>
        <w:outlineLvl w:val="9"/>
        <w:rPr>
          <w:rFonts w:hint="eastAsia" w:ascii="仿宋" w:hAnsi="仿宋" w:eastAsia="仿宋" w:cs="仿宋"/>
          <w:color w:val="auto"/>
          <w:sz w:val="28"/>
          <w:szCs w:val="28"/>
          <w:highlight w:val="none"/>
        </w:rPr>
      </w:pPr>
    </w:p>
    <w:p w14:paraId="2A26280D">
      <w:pPr>
        <w:jc w:val="both"/>
        <w:outlineLvl w:val="9"/>
        <w:rPr>
          <w:rFonts w:hint="eastAsia" w:ascii="仿宋" w:hAnsi="仿宋" w:eastAsia="仿宋" w:cs="仿宋"/>
          <w:color w:val="auto"/>
          <w:sz w:val="28"/>
          <w:szCs w:val="28"/>
          <w:highlight w:val="none"/>
        </w:rPr>
      </w:pPr>
    </w:p>
    <w:p w14:paraId="4E5B49EA">
      <w:pPr>
        <w:jc w:val="both"/>
        <w:outlineLvl w:val="9"/>
        <w:rPr>
          <w:rFonts w:hint="eastAsia" w:ascii="仿宋" w:hAnsi="仿宋" w:eastAsia="仿宋" w:cs="仿宋"/>
          <w:color w:val="auto"/>
          <w:sz w:val="28"/>
          <w:szCs w:val="28"/>
          <w:highlight w:val="none"/>
        </w:rPr>
      </w:pPr>
    </w:p>
    <w:p w14:paraId="58824B65">
      <w:pPr>
        <w:jc w:val="both"/>
        <w:outlineLvl w:val="9"/>
        <w:rPr>
          <w:rFonts w:hint="eastAsia" w:ascii="仿宋" w:hAnsi="仿宋" w:eastAsia="仿宋" w:cs="仿宋"/>
          <w:color w:val="auto"/>
          <w:sz w:val="28"/>
          <w:szCs w:val="28"/>
          <w:highlight w:val="none"/>
        </w:rPr>
      </w:pPr>
    </w:p>
    <w:p w14:paraId="41C7D82C">
      <w:pPr>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附件九、投标产品名称、数量、规格分项报价表</w:t>
      </w:r>
      <w:bookmarkEnd w:id="157"/>
      <w:bookmarkEnd w:id="158"/>
      <w:bookmarkEnd w:id="159"/>
      <w:bookmarkEnd w:id="160"/>
    </w:p>
    <w:p w14:paraId="0D46F6D9">
      <w:pPr>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val="en-US" w:eastAsia="zh-CN"/>
        </w:rPr>
        <w:t xml:space="preserve">               </w:t>
      </w:r>
    </w:p>
    <w:tbl>
      <w:tblPr>
        <w:tblStyle w:val="19"/>
        <w:tblW w:w="9767"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161"/>
        <w:gridCol w:w="669"/>
        <w:gridCol w:w="1080"/>
        <w:gridCol w:w="908"/>
        <w:gridCol w:w="754"/>
        <w:gridCol w:w="996"/>
        <w:gridCol w:w="924"/>
        <w:gridCol w:w="924"/>
        <w:gridCol w:w="924"/>
      </w:tblGrid>
      <w:tr w14:paraId="5DEB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427" w:type="dxa"/>
            <w:noWrap w:val="0"/>
            <w:vAlign w:val="center"/>
          </w:tcPr>
          <w:p w14:paraId="43FB2FB5">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auto"/>
                <w:kern w:val="0"/>
                <w:sz w:val="22"/>
                <w:szCs w:val="22"/>
                <w:highlight w:val="none"/>
                <w:u w:val="none"/>
                <w:lang w:val="en-US" w:eastAsia="zh-CN" w:bidi="ar"/>
              </w:rPr>
              <w:t>商品名称</w:t>
            </w:r>
          </w:p>
        </w:tc>
        <w:tc>
          <w:tcPr>
            <w:tcW w:w="1161" w:type="dxa"/>
            <w:noWrap w:val="0"/>
            <w:vAlign w:val="center"/>
          </w:tcPr>
          <w:p w14:paraId="05FB8DE4">
            <w:pPr>
              <w:keepNext w:val="0"/>
              <w:keepLines w:val="0"/>
              <w:widowControl/>
              <w:suppressLineNumbers w:val="0"/>
              <w:jc w:val="center"/>
              <w:textAlignment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型号</w:t>
            </w:r>
          </w:p>
        </w:tc>
        <w:tc>
          <w:tcPr>
            <w:tcW w:w="669" w:type="dxa"/>
            <w:noWrap w:val="0"/>
            <w:vAlign w:val="center"/>
          </w:tcPr>
          <w:p w14:paraId="564A86E7">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auto"/>
                <w:kern w:val="0"/>
                <w:sz w:val="22"/>
                <w:szCs w:val="22"/>
                <w:highlight w:val="none"/>
                <w:u w:val="none"/>
                <w:lang w:val="en-US" w:eastAsia="zh-CN" w:bidi="ar"/>
              </w:rPr>
              <w:t>规格</w:t>
            </w:r>
          </w:p>
        </w:tc>
        <w:tc>
          <w:tcPr>
            <w:tcW w:w="1080" w:type="dxa"/>
            <w:noWrap w:val="0"/>
            <w:vAlign w:val="center"/>
          </w:tcPr>
          <w:p w14:paraId="143CEE50">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auto"/>
                <w:kern w:val="0"/>
                <w:sz w:val="20"/>
                <w:szCs w:val="20"/>
                <w:highlight w:val="none"/>
                <w:u w:val="none"/>
                <w:lang w:val="en-US" w:eastAsia="zh-CN" w:bidi="ar"/>
              </w:rPr>
              <w:t>产品注册证名称</w:t>
            </w:r>
          </w:p>
        </w:tc>
        <w:tc>
          <w:tcPr>
            <w:tcW w:w="908" w:type="dxa"/>
            <w:noWrap w:val="0"/>
            <w:vAlign w:val="center"/>
          </w:tcPr>
          <w:p w14:paraId="25330D6D">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auto"/>
                <w:kern w:val="0"/>
                <w:sz w:val="20"/>
                <w:szCs w:val="20"/>
                <w:highlight w:val="none"/>
                <w:u w:val="none"/>
                <w:lang w:val="en-US" w:eastAsia="zh-CN" w:bidi="ar"/>
              </w:rPr>
              <w:t>产品注册证号</w:t>
            </w:r>
          </w:p>
        </w:tc>
        <w:tc>
          <w:tcPr>
            <w:tcW w:w="754" w:type="dxa"/>
            <w:noWrap w:val="0"/>
            <w:vAlign w:val="center"/>
          </w:tcPr>
          <w:p w14:paraId="6196233B">
            <w:pPr>
              <w:keepNext w:val="0"/>
              <w:keepLines w:val="0"/>
              <w:widowControl/>
              <w:suppressLineNumbers w:val="0"/>
              <w:jc w:val="center"/>
              <w:textAlignment w:val="center"/>
              <w:rPr>
                <w:rFonts w:hint="eastAsia" w:ascii="仿宋" w:hAnsi="仿宋" w:eastAsia="仿宋" w:cs="仿宋"/>
                <w:color w:val="auto"/>
                <w:highlight w:val="none"/>
                <w:vertAlign w:val="baseline"/>
              </w:rPr>
            </w:pPr>
            <w:r>
              <w:rPr>
                <w:rFonts w:hint="eastAsia" w:ascii="仿宋" w:hAnsi="仿宋" w:eastAsia="仿宋" w:cs="仿宋"/>
                <w:i w:val="0"/>
                <w:iCs w:val="0"/>
                <w:color w:val="auto"/>
                <w:kern w:val="0"/>
                <w:sz w:val="20"/>
                <w:szCs w:val="20"/>
                <w:highlight w:val="none"/>
                <w:u w:val="none"/>
                <w:lang w:val="en-US" w:eastAsia="zh-CN" w:bidi="ar"/>
              </w:rPr>
              <w:t>生产厂家</w:t>
            </w:r>
          </w:p>
        </w:tc>
        <w:tc>
          <w:tcPr>
            <w:tcW w:w="996" w:type="dxa"/>
            <w:noWrap w:val="0"/>
            <w:vAlign w:val="center"/>
          </w:tcPr>
          <w:p w14:paraId="038A857E">
            <w:pPr>
              <w:keepNext w:val="0"/>
              <w:keepLines w:val="0"/>
              <w:widowControl/>
              <w:suppressLineNumbers w:val="0"/>
              <w:jc w:val="center"/>
              <w:textAlignment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数量</w:t>
            </w:r>
          </w:p>
        </w:tc>
        <w:tc>
          <w:tcPr>
            <w:tcW w:w="924" w:type="dxa"/>
            <w:noWrap w:val="0"/>
            <w:vAlign w:val="center"/>
          </w:tcPr>
          <w:p w14:paraId="6651D95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单位</w:t>
            </w:r>
          </w:p>
        </w:tc>
        <w:tc>
          <w:tcPr>
            <w:tcW w:w="924" w:type="dxa"/>
            <w:noWrap w:val="0"/>
            <w:vAlign w:val="center"/>
          </w:tcPr>
          <w:p w14:paraId="3A5E196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单价/元</w:t>
            </w:r>
          </w:p>
        </w:tc>
        <w:tc>
          <w:tcPr>
            <w:tcW w:w="924" w:type="dxa"/>
            <w:noWrap w:val="0"/>
            <w:vAlign w:val="center"/>
          </w:tcPr>
          <w:p w14:paraId="16FA25FE">
            <w:pPr>
              <w:keepNext w:val="0"/>
              <w:keepLines w:val="0"/>
              <w:widowControl/>
              <w:suppressLineNumbers w:val="0"/>
              <w:jc w:val="center"/>
              <w:textAlignment w:val="center"/>
              <w:rPr>
                <w:rFonts w:hint="default"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金额</w:t>
            </w:r>
          </w:p>
        </w:tc>
      </w:tr>
      <w:tr w14:paraId="12BF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27" w:type="dxa"/>
            <w:noWrap w:val="0"/>
            <w:vAlign w:val="center"/>
          </w:tcPr>
          <w:p w14:paraId="5A3E4450">
            <w:pPr>
              <w:keepNext w:val="0"/>
              <w:keepLines w:val="0"/>
              <w:widowControl/>
              <w:suppressLineNumbers w:val="0"/>
              <w:jc w:val="center"/>
              <w:textAlignment w:val="center"/>
              <w:rPr>
                <w:rFonts w:hint="eastAsia"/>
                <w:color w:val="auto"/>
                <w:highlight w:val="none"/>
                <w:vertAlign w:val="baseline"/>
              </w:rPr>
            </w:pPr>
          </w:p>
        </w:tc>
        <w:tc>
          <w:tcPr>
            <w:tcW w:w="1161" w:type="dxa"/>
            <w:noWrap w:val="0"/>
            <w:vAlign w:val="center"/>
          </w:tcPr>
          <w:p w14:paraId="180EC1B8">
            <w:pPr>
              <w:keepNext w:val="0"/>
              <w:keepLines w:val="0"/>
              <w:widowControl/>
              <w:suppressLineNumbers w:val="0"/>
              <w:jc w:val="center"/>
              <w:textAlignment w:val="center"/>
              <w:rPr>
                <w:rFonts w:hint="eastAsia"/>
                <w:color w:val="auto"/>
                <w:highlight w:val="none"/>
                <w:vertAlign w:val="baseline"/>
              </w:rPr>
            </w:pPr>
          </w:p>
        </w:tc>
        <w:tc>
          <w:tcPr>
            <w:tcW w:w="669" w:type="dxa"/>
            <w:noWrap w:val="0"/>
            <w:vAlign w:val="center"/>
          </w:tcPr>
          <w:p w14:paraId="1027FC88">
            <w:pPr>
              <w:keepNext w:val="0"/>
              <w:keepLines w:val="0"/>
              <w:widowControl/>
              <w:suppressLineNumbers w:val="0"/>
              <w:jc w:val="center"/>
              <w:textAlignment w:val="center"/>
              <w:rPr>
                <w:rFonts w:hint="eastAsia"/>
                <w:color w:val="auto"/>
                <w:highlight w:val="none"/>
                <w:vertAlign w:val="baseline"/>
              </w:rPr>
            </w:pPr>
          </w:p>
        </w:tc>
        <w:tc>
          <w:tcPr>
            <w:tcW w:w="1080" w:type="dxa"/>
            <w:noWrap w:val="0"/>
            <w:vAlign w:val="center"/>
          </w:tcPr>
          <w:p w14:paraId="67A29C81">
            <w:pPr>
              <w:keepNext w:val="0"/>
              <w:keepLines w:val="0"/>
              <w:widowControl/>
              <w:suppressLineNumbers w:val="0"/>
              <w:jc w:val="center"/>
              <w:textAlignment w:val="center"/>
              <w:rPr>
                <w:rFonts w:hint="eastAsia"/>
                <w:color w:val="auto"/>
                <w:highlight w:val="none"/>
                <w:vertAlign w:val="baseline"/>
              </w:rPr>
            </w:pPr>
          </w:p>
        </w:tc>
        <w:tc>
          <w:tcPr>
            <w:tcW w:w="908" w:type="dxa"/>
            <w:noWrap w:val="0"/>
            <w:vAlign w:val="center"/>
          </w:tcPr>
          <w:p w14:paraId="141CD0CF">
            <w:pPr>
              <w:keepNext w:val="0"/>
              <w:keepLines w:val="0"/>
              <w:widowControl/>
              <w:suppressLineNumbers w:val="0"/>
              <w:jc w:val="center"/>
              <w:textAlignment w:val="center"/>
              <w:rPr>
                <w:rFonts w:hint="eastAsia"/>
                <w:color w:val="auto"/>
                <w:highlight w:val="none"/>
                <w:vertAlign w:val="baseline"/>
              </w:rPr>
            </w:pPr>
          </w:p>
        </w:tc>
        <w:tc>
          <w:tcPr>
            <w:tcW w:w="754" w:type="dxa"/>
            <w:noWrap w:val="0"/>
            <w:vAlign w:val="center"/>
          </w:tcPr>
          <w:p w14:paraId="1CC7E8EB">
            <w:pPr>
              <w:keepNext w:val="0"/>
              <w:keepLines w:val="0"/>
              <w:widowControl/>
              <w:suppressLineNumbers w:val="0"/>
              <w:jc w:val="center"/>
              <w:textAlignment w:val="center"/>
              <w:rPr>
                <w:rFonts w:hint="eastAsia"/>
                <w:color w:val="auto"/>
                <w:highlight w:val="none"/>
                <w:vertAlign w:val="baseline"/>
              </w:rPr>
            </w:pPr>
          </w:p>
        </w:tc>
        <w:tc>
          <w:tcPr>
            <w:tcW w:w="996" w:type="dxa"/>
            <w:noWrap w:val="0"/>
            <w:vAlign w:val="center"/>
          </w:tcPr>
          <w:p w14:paraId="2502C3BC">
            <w:pPr>
              <w:keepNext w:val="0"/>
              <w:keepLines w:val="0"/>
              <w:widowControl/>
              <w:suppressLineNumbers w:val="0"/>
              <w:jc w:val="center"/>
              <w:textAlignment w:val="center"/>
              <w:rPr>
                <w:rFonts w:hint="eastAsia"/>
                <w:color w:val="auto"/>
                <w:highlight w:val="none"/>
                <w:vertAlign w:val="baseline"/>
              </w:rPr>
            </w:pPr>
          </w:p>
        </w:tc>
        <w:tc>
          <w:tcPr>
            <w:tcW w:w="924" w:type="dxa"/>
            <w:noWrap w:val="0"/>
            <w:vAlign w:val="center"/>
          </w:tcPr>
          <w:p w14:paraId="6F13127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46570BF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59B7947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0E63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27" w:type="dxa"/>
            <w:noWrap w:val="0"/>
            <w:vAlign w:val="center"/>
          </w:tcPr>
          <w:p w14:paraId="089F881D">
            <w:pPr>
              <w:keepNext w:val="0"/>
              <w:keepLines w:val="0"/>
              <w:widowControl/>
              <w:suppressLineNumbers w:val="0"/>
              <w:jc w:val="center"/>
              <w:textAlignment w:val="center"/>
              <w:rPr>
                <w:rFonts w:hint="eastAsia"/>
                <w:color w:val="auto"/>
                <w:highlight w:val="none"/>
                <w:vertAlign w:val="baseline"/>
              </w:rPr>
            </w:pPr>
          </w:p>
        </w:tc>
        <w:tc>
          <w:tcPr>
            <w:tcW w:w="1161" w:type="dxa"/>
            <w:noWrap w:val="0"/>
            <w:vAlign w:val="center"/>
          </w:tcPr>
          <w:p w14:paraId="66F155C1">
            <w:pPr>
              <w:keepNext w:val="0"/>
              <w:keepLines w:val="0"/>
              <w:widowControl/>
              <w:suppressLineNumbers w:val="0"/>
              <w:jc w:val="center"/>
              <w:textAlignment w:val="center"/>
              <w:rPr>
                <w:rFonts w:hint="eastAsia"/>
                <w:color w:val="auto"/>
                <w:highlight w:val="none"/>
                <w:vertAlign w:val="baseline"/>
              </w:rPr>
            </w:pPr>
          </w:p>
        </w:tc>
        <w:tc>
          <w:tcPr>
            <w:tcW w:w="669" w:type="dxa"/>
            <w:noWrap w:val="0"/>
            <w:vAlign w:val="center"/>
          </w:tcPr>
          <w:p w14:paraId="0A9B9299">
            <w:pPr>
              <w:keepNext w:val="0"/>
              <w:keepLines w:val="0"/>
              <w:widowControl/>
              <w:suppressLineNumbers w:val="0"/>
              <w:jc w:val="center"/>
              <w:textAlignment w:val="center"/>
              <w:rPr>
                <w:rFonts w:hint="eastAsia"/>
                <w:color w:val="auto"/>
                <w:highlight w:val="none"/>
                <w:vertAlign w:val="baseline"/>
              </w:rPr>
            </w:pPr>
          </w:p>
        </w:tc>
        <w:tc>
          <w:tcPr>
            <w:tcW w:w="1080" w:type="dxa"/>
            <w:noWrap w:val="0"/>
            <w:vAlign w:val="center"/>
          </w:tcPr>
          <w:p w14:paraId="5C7723CC">
            <w:pPr>
              <w:keepNext w:val="0"/>
              <w:keepLines w:val="0"/>
              <w:widowControl/>
              <w:suppressLineNumbers w:val="0"/>
              <w:jc w:val="center"/>
              <w:textAlignment w:val="center"/>
              <w:rPr>
                <w:rFonts w:hint="eastAsia"/>
                <w:color w:val="auto"/>
                <w:highlight w:val="none"/>
                <w:vertAlign w:val="baseline"/>
              </w:rPr>
            </w:pPr>
          </w:p>
        </w:tc>
        <w:tc>
          <w:tcPr>
            <w:tcW w:w="908" w:type="dxa"/>
            <w:noWrap w:val="0"/>
            <w:vAlign w:val="center"/>
          </w:tcPr>
          <w:p w14:paraId="4F4E1122">
            <w:pPr>
              <w:jc w:val="center"/>
              <w:rPr>
                <w:rFonts w:hint="eastAsia"/>
                <w:color w:val="auto"/>
                <w:highlight w:val="none"/>
                <w:vertAlign w:val="baseline"/>
              </w:rPr>
            </w:pPr>
          </w:p>
        </w:tc>
        <w:tc>
          <w:tcPr>
            <w:tcW w:w="754" w:type="dxa"/>
            <w:noWrap w:val="0"/>
            <w:vAlign w:val="center"/>
          </w:tcPr>
          <w:p w14:paraId="11FC3E1F">
            <w:pPr>
              <w:keepNext w:val="0"/>
              <w:keepLines w:val="0"/>
              <w:widowControl/>
              <w:suppressLineNumbers w:val="0"/>
              <w:jc w:val="center"/>
              <w:textAlignment w:val="center"/>
              <w:rPr>
                <w:rFonts w:hint="eastAsia"/>
                <w:color w:val="auto"/>
                <w:highlight w:val="none"/>
                <w:vertAlign w:val="baseline"/>
              </w:rPr>
            </w:pPr>
          </w:p>
        </w:tc>
        <w:tc>
          <w:tcPr>
            <w:tcW w:w="996" w:type="dxa"/>
            <w:noWrap w:val="0"/>
            <w:vAlign w:val="center"/>
          </w:tcPr>
          <w:p w14:paraId="5362C4D7">
            <w:pPr>
              <w:keepNext w:val="0"/>
              <w:keepLines w:val="0"/>
              <w:widowControl/>
              <w:suppressLineNumbers w:val="0"/>
              <w:jc w:val="center"/>
              <w:textAlignment w:val="center"/>
              <w:rPr>
                <w:rFonts w:hint="eastAsia"/>
                <w:color w:val="auto"/>
                <w:highlight w:val="none"/>
                <w:vertAlign w:val="baseline"/>
              </w:rPr>
            </w:pPr>
          </w:p>
        </w:tc>
        <w:tc>
          <w:tcPr>
            <w:tcW w:w="924" w:type="dxa"/>
            <w:noWrap w:val="0"/>
            <w:vAlign w:val="center"/>
          </w:tcPr>
          <w:p w14:paraId="0BDC23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047DE27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18457F4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607A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27" w:type="dxa"/>
            <w:noWrap w:val="0"/>
            <w:vAlign w:val="center"/>
          </w:tcPr>
          <w:p w14:paraId="5A2CB5A2">
            <w:pPr>
              <w:keepNext w:val="0"/>
              <w:keepLines w:val="0"/>
              <w:widowControl/>
              <w:suppressLineNumbers w:val="0"/>
              <w:jc w:val="center"/>
              <w:textAlignment w:val="center"/>
              <w:rPr>
                <w:rFonts w:hint="eastAsia"/>
                <w:color w:val="auto"/>
                <w:highlight w:val="none"/>
                <w:vertAlign w:val="baseline"/>
              </w:rPr>
            </w:pPr>
          </w:p>
        </w:tc>
        <w:tc>
          <w:tcPr>
            <w:tcW w:w="1161" w:type="dxa"/>
            <w:noWrap w:val="0"/>
            <w:vAlign w:val="center"/>
          </w:tcPr>
          <w:p w14:paraId="2C4C4A9D">
            <w:pPr>
              <w:keepNext w:val="0"/>
              <w:keepLines w:val="0"/>
              <w:widowControl/>
              <w:suppressLineNumbers w:val="0"/>
              <w:jc w:val="center"/>
              <w:textAlignment w:val="center"/>
              <w:rPr>
                <w:rFonts w:hint="eastAsia"/>
                <w:color w:val="auto"/>
                <w:highlight w:val="none"/>
                <w:vertAlign w:val="baseline"/>
              </w:rPr>
            </w:pPr>
          </w:p>
        </w:tc>
        <w:tc>
          <w:tcPr>
            <w:tcW w:w="669" w:type="dxa"/>
            <w:noWrap w:val="0"/>
            <w:vAlign w:val="center"/>
          </w:tcPr>
          <w:p w14:paraId="1DE14141">
            <w:pPr>
              <w:keepNext w:val="0"/>
              <w:keepLines w:val="0"/>
              <w:widowControl/>
              <w:suppressLineNumbers w:val="0"/>
              <w:jc w:val="center"/>
              <w:textAlignment w:val="center"/>
              <w:rPr>
                <w:rFonts w:hint="eastAsia"/>
                <w:color w:val="auto"/>
                <w:highlight w:val="none"/>
                <w:vertAlign w:val="baseline"/>
              </w:rPr>
            </w:pPr>
          </w:p>
        </w:tc>
        <w:tc>
          <w:tcPr>
            <w:tcW w:w="1080" w:type="dxa"/>
            <w:noWrap w:val="0"/>
            <w:vAlign w:val="center"/>
          </w:tcPr>
          <w:p w14:paraId="13709110">
            <w:pPr>
              <w:keepNext w:val="0"/>
              <w:keepLines w:val="0"/>
              <w:widowControl/>
              <w:suppressLineNumbers w:val="0"/>
              <w:jc w:val="center"/>
              <w:textAlignment w:val="center"/>
              <w:rPr>
                <w:rFonts w:hint="eastAsia"/>
                <w:color w:val="auto"/>
                <w:highlight w:val="none"/>
                <w:vertAlign w:val="baseline"/>
              </w:rPr>
            </w:pPr>
          </w:p>
        </w:tc>
        <w:tc>
          <w:tcPr>
            <w:tcW w:w="908" w:type="dxa"/>
            <w:noWrap w:val="0"/>
            <w:vAlign w:val="center"/>
          </w:tcPr>
          <w:p w14:paraId="2C992505">
            <w:pPr>
              <w:jc w:val="center"/>
              <w:rPr>
                <w:rFonts w:hint="eastAsia"/>
                <w:color w:val="auto"/>
                <w:highlight w:val="none"/>
                <w:vertAlign w:val="baseline"/>
              </w:rPr>
            </w:pPr>
          </w:p>
        </w:tc>
        <w:tc>
          <w:tcPr>
            <w:tcW w:w="754" w:type="dxa"/>
            <w:noWrap w:val="0"/>
            <w:vAlign w:val="center"/>
          </w:tcPr>
          <w:p w14:paraId="339D47BF">
            <w:pPr>
              <w:keepNext w:val="0"/>
              <w:keepLines w:val="0"/>
              <w:widowControl/>
              <w:suppressLineNumbers w:val="0"/>
              <w:jc w:val="center"/>
              <w:textAlignment w:val="center"/>
              <w:rPr>
                <w:rFonts w:hint="eastAsia"/>
                <w:color w:val="auto"/>
                <w:highlight w:val="none"/>
                <w:vertAlign w:val="baseline"/>
              </w:rPr>
            </w:pPr>
          </w:p>
        </w:tc>
        <w:tc>
          <w:tcPr>
            <w:tcW w:w="996" w:type="dxa"/>
            <w:noWrap w:val="0"/>
            <w:vAlign w:val="center"/>
          </w:tcPr>
          <w:p w14:paraId="1F591020">
            <w:pPr>
              <w:keepNext w:val="0"/>
              <w:keepLines w:val="0"/>
              <w:widowControl/>
              <w:suppressLineNumbers w:val="0"/>
              <w:jc w:val="center"/>
              <w:textAlignment w:val="center"/>
              <w:rPr>
                <w:rFonts w:hint="eastAsia"/>
                <w:color w:val="auto"/>
                <w:highlight w:val="none"/>
                <w:vertAlign w:val="baseline"/>
              </w:rPr>
            </w:pPr>
          </w:p>
        </w:tc>
        <w:tc>
          <w:tcPr>
            <w:tcW w:w="924" w:type="dxa"/>
            <w:noWrap w:val="0"/>
            <w:vAlign w:val="center"/>
          </w:tcPr>
          <w:p w14:paraId="34721F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214662D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225D066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774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27" w:type="dxa"/>
            <w:noWrap w:val="0"/>
            <w:vAlign w:val="center"/>
          </w:tcPr>
          <w:p w14:paraId="21019587">
            <w:pPr>
              <w:keepNext w:val="0"/>
              <w:keepLines w:val="0"/>
              <w:widowControl/>
              <w:suppressLineNumbers w:val="0"/>
              <w:jc w:val="center"/>
              <w:textAlignment w:val="center"/>
              <w:rPr>
                <w:rFonts w:hint="eastAsia"/>
                <w:color w:val="auto"/>
                <w:highlight w:val="none"/>
                <w:vertAlign w:val="baseline"/>
              </w:rPr>
            </w:pPr>
          </w:p>
        </w:tc>
        <w:tc>
          <w:tcPr>
            <w:tcW w:w="1161" w:type="dxa"/>
            <w:noWrap w:val="0"/>
            <w:vAlign w:val="center"/>
          </w:tcPr>
          <w:p w14:paraId="6DE96385">
            <w:pPr>
              <w:keepNext w:val="0"/>
              <w:keepLines w:val="0"/>
              <w:widowControl/>
              <w:suppressLineNumbers w:val="0"/>
              <w:jc w:val="center"/>
              <w:textAlignment w:val="center"/>
              <w:rPr>
                <w:rFonts w:hint="eastAsia"/>
                <w:color w:val="auto"/>
                <w:highlight w:val="none"/>
                <w:vertAlign w:val="baseline"/>
              </w:rPr>
            </w:pPr>
          </w:p>
        </w:tc>
        <w:tc>
          <w:tcPr>
            <w:tcW w:w="669" w:type="dxa"/>
            <w:noWrap w:val="0"/>
            <w:vAlign w:val="center"/>
          </w:tcPr>
          <w:p w14:paraId="34476022">
            <w:pPr>
              <w:keepNext w:val="0"/>
              <w:keepLines w:val="0"/>
              <w:widowControl/>
              <w:suppressLineNumbers w:val="0"/>
              <w:jc w:val="center"/>
              <w:textAlignment w:val="center"/>
              <w:rPr>
                <w:rFonts w:hint="eastAsia"/>
                <w:color w:val="auto"/>
                <w:highlight w:val="none"/>
                <w:vertAlign w:val="baseline"/>
              </w:rPr>
            </w:pPr>
          </w:p>
        </w:tc>
        <w:tc>
          <w:tcPr>
            <w:tcW w:w="1080" w:type="dxa"/>
            <w:noWrap w:val="0"/>
            <w:vAlign w:val="center"/>
          </w:tcPr>
          <w:p w14:paraId="1CCF0D94">
            <w:pPr>
              <w:keepNext w:val="0"/>
              <w:keepLines w:val="0"/>
              <w:widowControl/>
              <w:suppressLineNumbers w:val="0"/>
              <w:jc w:val="center"/>
              <w:textAlignment w:val="center"/>
              <w:rPr>
                <w:rFonts w:hint="eastAsia"/>
                <w:color w:val="auto"/>
                <w:highlight w:val="none"/>
                <w:vertAlign w:val="baseline"/>
              </w:rPr>
            </w:pPr>
          </w:p>
        </w:tc>
        <w:tc>
          <w:tcPr>
            <w:tcW w:w="908" w:type="dxa"/>
            <w:noWrap w:val="0"/>
            <w:vAlign w:val="center"/>
          </w:tcPr>
          <w:p w14:paraId="5AC6A6F7">
            <w:pPr>
              <w:jc w:val="center"/>
              <w:rPr>
                <w:rFonts w:hint="eastAsia"/>
                <w:color w:val="auto"/>
                <w:highlight w:val="none"/>
                <w:vertAlign w:val="baseline"/>
              </w:rPr>
            </w:pPr>
          </w:p>
        </w:tc>
        <w:tc>
          <w:tcPr>
            <w:tcW w:w="754" w:type="dxa"/>
            <w:noWrap w:val="0"/>
            <w:vAlign w:val="center"/>
          </w:tcPr>
          <w:p w14:paraId="6B2235DD">
            <w:pPr>
              <w:keepNext w:val="0"/>
              <w:keepLines w:val="0"/>
              <w:widowControl/>
              <w:suppressLineNumbers w:val="0"/>
              <w:jc w:val="center"/>
              <w:textAlignment w:val="center"/>
              <w:rPr>
                <w:rFonts w:hint="eastAsia"/>
                <w:color w:val="auto"/>
                <w:highlight w:val="none"/>
                <w:vertAlign w:val="baseline"/>
              </w:rPr>
            </w:pPr>
          </w:p>
        </w:tc>
        <w:tc>
          <w:tcPr>
            <w:tcW w:w="996" w:type="dxa"/>
            <w:noWrap w:val="0"/>
            <w:vAlign w:val="center"/>
          </w:tcPr>
          <w:p w14:paraId="019BCE47">
            <w:pPr>
              <w:keepNext w:val="0"/>
              <w:keepLines w:val="0"/>
              <w:widowControl/>
              <w:suppressLineNumbers w:val="0"/>
              <w:jc w:val="center"/>
              <w:textAlignment w:val="center"/>
              <w:rPr>
                <w:rFonts w:hint="eastAsia"/>
                <w:color w:val="auto"/>
                <w:highlight w:val="none"/>
                <w:vertAlign w:val="baseline"/>
              </w:rPr>
            </w:pPr>
          </w:p>
        </w:tc>
        <w:tc>
          <w:tcPr>
            <w:tcW w:w="924" w:type="dxa"/>
            <w:noWrap w:val="0"/>
            <w:vAlign w:val="center"/>
          </w:tcPr>
          <w:p w14:paraId="0CCFD83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2BBE3F5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4F34529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128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27" w:type="dxa"/>
            <w:noWrap w:val="0"/>
            <w:vAlign w:val="center"/>
          </w:tcPr>
          <w:p w14:paraId="22E013F2">
            <w:pPr>
              <w:keepNext w:val="0"/>
              <w:keepLines w:val="0"/>
              <w:widowControl/>
              <w:suppressLineNumbers w:val="0"/>
              <w:jc w:val="center"/>
              <w:textAlignment w:val="center"/>
              <w:rPr>
                <w:rFonts w:hint="eastAsia"/>
                <w:color w:val="auto"/>
                <w:highlight w:val="none"/>
                <w:vertAlign w:val="baseline"/>
              </w:rPr>
            </w:pPr>
          </w:p>
        </w:tc>
        <w:tc>
          <w:tcPr>
            <w:tcW w:w="1161" w:type="dxa"/>
            <w:noWrap w:val="0"/>
            <w:vAlign w:val="center"/>
          </w:tcPr>
          <w:p w14:paraId="568DE21C">
            <w:pPr>
              <w:keepNext w:val="0"/>
              <w:keepLines w:val="0"/>
              <w:widowControl/>
              <w:suppressLineNumbers w:val="0"/>
              <w:jc w:val="center"/>
              <w:textAlignment w:val="center"/>
              <w:rPr>
                <w:rFonts w:hint="eastAsia"/>
                <w:color w:val="auto"/>
                <w:highlight w:val="none"/>
                <w:vertAlign w:val="baseline"/>
              </w:rPr>
            </w:pPr>
          </w:p>
        </w:tc>
        <w:tc>
          <w:tcPr>
            <w:tcW w:w="669" w:type="dxa"/>
            <w:noWrap w:val="0"/>
            <w:vAlign w:val="center"/>
          </w:tcPr>
          <w:p w14:paraId="371741F6">
            <w:pPr>
              <w:keepNext w:val="0"/>
              <w:keepLines w:val="0"/>
              <w:widowControl/>
              <w:suppressLineNumbers w:val="0"/>
              <w:jc w:val="center"/>
              <w:textAlignment w:val="center"/>
              <w:rPr>
                <w:rFonts w:hint="eastAsia"/>
                <w:color w:val="auto"/>
                <w:highlight w:val="none"/>
                <w:vertAlign w:val="baseline"/>
              </w:rPr>
            </w:pPr>
          </w:p>
        </w:tc>
        <w:tc>
          <w:tcPr>
            <w:tcW w:w="1080" w:type="dxa"/>
            <w:noWrap w:val="0"/>
            <w:vAlign w:val="center"/>
          </w:tcPr>
          <w:p w14:paraId="7790D240">
            <w:pPr>
              <w:keepNext w:val="0"/>
              <w:keepLines w:val="0"/>
              <w:widowControl/>
              <w:suppressLineNumbers w:val="0"/>
              <w:jc w:val="center"/>
              <w:textAlignment w:val="center"/>
              <w:rPr>
                <w:rFonts w:hint="eastAsia"/>
                <w:color w:val="auto"/>
                <w:highlight w:val="none"/>
                <w:vertAlign w:val="baseline"/>
              </w:rPr>
            </w:pPr>
          </w:p>
        </w:tc>
        <w:tc>
          <w:tcPr>
            <w:tcW w:w="908" w:type="dxa"/>
            <w:noWrap w:val="0"/>
            <w:vAlign w:val="center"/>
          </w:tcPr>
          <w:p w14:paraId="16C7BC55">
            <w:pPr>
              <w:jc w:val="center"/>
              <w:rPr>
                <w:rFonts w:hint="eastAsia"/>
                <w:color w:val="auto"/>
                <w:highlight w:val="none"/>
                <w:vertAlign w:val="baseline"/>
              </w:rPr>
            </w:pPr>
          </w:p>
        </w:tc>
        <w:tc>
          <w:tcPr>
            <w:tcW w:w="754" w:type="dxa"/>
            <w:noWrap w:val="0"/>
            <w:vAlign w:val="center"/>
          </w:tcPr>
          <w:p w14:paraId="5FF29412">
            <w:pPr>
              <w:keepNext w:val="0"/>
              <w:keepLines w:val="0"/>
              <w:widowControl/>
              <w:suppressLineNumbers w:val="0"/>
              <w:jc w:val="center"/>
              <w:textAlignment w:val="center"/>
              <w:rPr>
                <w:rFonts w:hint="eastAsia"/>
                <w:color w:val="auto"/>
                <w:highlight w:val="none"/>
                <w:vertAlign w:val="baseline"/>
              </w:rPr>
            </w:pPr>
          </w:p>
        </w:tc>
        <w:tc>
          <w:tcPr>
            <w:tcW w:w="996" w:type="dxa"/>
            <w:noWrap w:val="0"/>
            <w:vAlign w:val="center"/>
          </w:tcPr>
          <w:p w14:paraId="4A094C94">
            <w:pPr>
              <w:keepNext w:val="0"/>
              <w:keepLines w:val="0"/>
              <w:widowControl/>
              <w:suppressLineNumbers w:val="0"/>
              <w:jc w:val="center"/>
              <w:textAlignment w:val="center"/>
              <w:rPr>
                <w:rFonts w:hint="eastAsia"/>
                <w:color w:val="auto"/>
                <w:highlight w:val="none"/>
                <w:vertAlign w:val="baseline"/>
              </w:rPr>
            </w:pPr>
          </w:p>
        </w:tc>
        <w:tc>
          <w:tcPr>
            <w:tcW w:w="924" w:type="dxa"/>
            <w:noWrap w:val="0"/>
            <w:vAlign w:val="center"/>
          </w:tcPr>
          <w:p w14:paraId="2F70080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67EE666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05DA5E4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614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27" w:type="dxa"/>
            <w:noWrap w:val="0"/>
            <w:vAlign w:val="center"/>
          </w:tcPr>
          <w:p w14:paraId="0F248DE1">
            <w:pPr>
              <w:keepNext w:val="0"/>
              <w:keepLines w:val="0"/>
              <w:widowControl/>
              <w:suppressLineNumbers w:val="0"/>
              <w:jc w:val="center"/>
              <w:textAlignment w:val="center"/>
              <w:rPr>
                <w:rFonts w:hint="eastAsia"/>
                <w:color w:val="auto"/>
                <w:highlight w:val="none"/>
                <w:vertAlign w:val="baseline"/>
              </w:rPr>
            </w:pPr>
          </w:p>
        </w:tc>
        <w:tc>
          <w:tcPr>
            <w:tcW w:w="1161" w:type="dxa"/>
            <w:noWrap w:val="0"/>
            <w:vAlign w:val="center"/>
          </w:tcPr>
          <w:p w14:paraId="1746E8A4">
            <w:pPr>
              <w:keepNext w:val="0"/>
              <w:keepLines w:val="0"/>
              <w:widowControl/>
              <w:suppressLineNumbers w:val="0"/>
              <w:jc w:val="center"/>
              <w:textAlignment w:val="center"/>
              <w:rPr>
                <w:rFonts w:hint="eastAsia"/>
                <w:color w:val="auto"/>
                <w:highlight w:val="none"/>
                <w:vertAlign w:val="baseline"/>
              </w:rPr>
            </w:pPr>
          </w:p>
        </w:tc>
        <w:tc>
          <w:tcPr>
            <w:tcW w:w="669" w:type="dxa"/>
            <w:noWrap w:val="0"/>
            <w:vAlign w:val="center"/>
          </w:tcPr>
          <w:p w14:paraId="385B758B">
            <w:pPr>
              <w:keepNext w:val="0"/>
              <w:keepLines w:val="0"/>
              <w:widowControl/>
              <w:suppressLineNumbers w:val="0"/>
              <w:jc w:val="center"/>
              <w:textAlignment w:val="center"/>
              <w:rPr>
                <w:rFonts w:hint="eastAsia"/>
                <w:color w:val="auto"/>
                <w:highlight w:val="none"/>
                <w:vertAlign w:val="baseline"/>
              </w:rPr>
            </w:pPr>
          </w:p>
        </w:tc>
        <w:tc>
          <w:tcPr>
            <w:tcW w:w="1080" w:type="dxa"/>
            <w:noWrap w:val="0"/>
            <w:vAlign w:val="center"/>
          </w:tcPr>
          <w:p w14:paraId="47557CEB">
            <w:pPr>
              <w:keepNext w:val="0"/>
              <w:keepLines w:val="0"/>
              <w:widowControl/>
              <w:suppressLineNumbers w:val="0"/>
              <w:jc w:val="center"/>
              <w:textAlignment w:val="center"/>
              <w:rPr>
                <w:rFonts w:hint="eastAsia"/>
                <w:color w:val="auto"/>
                <w:highlight w:val="none"/>
                <w:vertAlign w:val="baseline"/>
              </w:rPr>
            </w:pPr>
          </w:p>
        </w:tc>
        <w:tc>
          <w:tcPr>
            <w:tcW w:w="908" w:type="dxa"/>
            <w:noWrap w:val="0"/>
            <w:vAlign w:val="center"/>
          </w:tcPr>
          <w:p w14:paraId="7AFBD0A7">
            <w:pPr>
              <w:jc w:val="center"/>
              <w:rPr>
                <w:rFonts w:hint="eastAsia"/>
                <w:color w:val="auto"/>
                <w:highlight w:val="none"/>
                <w:vertAlign w:val="baseline"/>
              </w:rPr>
            </w:pPr>
          </w:p>
        </w:tc>
        <w:tc>
          <w:tcPr>
            <w:tcW w:w="754" w:type="dxa"/>
            <w:noWrap w:val="0"/>
            <w:vAlign w:val="center"/>
          </w:tcPr>
          <w:p w14:paraId="21C07DC3">
            <w:pPr>
              <w:keepNext w:val="0"/>
              <w:keepLines w:val="0"/>
              <w:widowControl/>
              <w:suppressLineNumbers w:val="0"/>
              <w:jc w:val="center"/>
              <w:textAlignment w:val="center"/>
              <w:rPr>
                <w:rFonts w:hint="eastAsia"/>
                <w:color w:val="auto"/>
                <w:highlight w:val="none"/>
                <w:vertAlign w:val="baseline"/>
              </w:rPr>
            </w:pPr>
          </w:p>
        </w:tc>
        <w:tc>
          <w:tcPr>
            <w:tcW w:w="996" w:type="dxa"/>
            <w:noWrap w:val="0"/>
            <w:vAlign w:val="center"/>
          </w:tcPr>
          <w:p w14:paraId="153FF081">
            <w:pPr>
              <w:keepNext w:val="0"/>
              <w:keepLines w:val="0"/>
              <w:widowControl/>
              <w:suppressLineNumbers w:val="0"/>
              <w:jc w:val="center"/>
              <w:textAlignment w:val="center"/>
              <w:rPr>
                <w:rFonts w:hint="eastAsia"/>
                <w:color w:val="auto"/>
                <w:highlight w:val="none"/>
                <w:vertAlign w:val="baseline"/>
              </w:rPr>
            </w:pPr>
          </w:p>
        </w:tc>
        <w:tc>
          <w:tcPr>
            <w:tcW w:w="924" w:type="dxa"/>
            <w:noWrap w:val="0"/>
            <w:vAlign w:val="center"/>
          </w:tcPr>
          <w:p w14:paraId="0DE9887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5F35B3F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39810A1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45A5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27" w:type="dxa"/>
            <w:noWrap w:val="0"/>
            <w:vAlign w:val="center"/>
          </w:tcPr>
          <w:p w14:paraId="0D625152">
            <w:pPr>
              <w:keepNext w:val="0"/>
              <w:keepLines w:val="0"/>
              <w:widowControl/>
              <w:suppressLineNumbers w:val="0"/>
              <w:jc w:val="center"/>
              <w:textAlignment w:val="center"/>
              <w:rPr>
                <w:rFonts w:hint="eastAsia"/>
                <w:color w:val="auto"/>
                <w:highlight w:val="none"/>
                <w:vertAlign w:val="baseline"/>
              </w:rPr>
            </w:pPr>
          </w:p>
        </w:tc>
        <w:tc>
          <w:tcPr>
            <w:tcW w:w="1161" w:type="dxa"/>
            <w:noWrap w:val="0"/>
            <w:vAlign w:val="center"/>
          </w:tcPr>
          <w:p w14:paraId="49A48445">
            <w:pPr>
              <w:keepNext w:val="0"/>
              <w:keepLines w:val="0"/>
              <w:widowControl/>
              <w:suppressLineNumbers w:val="0"/>
              <w:jc w:val="center"/>
              <w:textAlignment w:val="center"/>
              <w:rPr>
                <w:rFonts w:hint="eastAsia"/>
                <w:color w:val="auto"/>
                <w:highlight w:val="none"/>
                <w:vertAlign w:val="baseline"/>
              </w:rPr>
            </w:pPr>
          </w:p>
        </w:tc>
        <w:tc>
          <w:tcPr>
            <w:tcW w:w="669" w:type="dxa"/>
            <w:noWrap w:val="0"/>
            <w:vAlign w:val="center"/>
          </w:tcPr>
          <w:p w14:paraId="1C3B97D0">
            <w:pPr>
              <w:keepNext w:val="0"/>
              <w:keepLines w:val="0"/>
              <w:widowControl/>
              <w:suppressLineNumbers w:val="0"/>
              <w:jc w:val="center"/>
              <w:textAlignment w:val="center"/>
              <w:rPr>
                <w:rFonts w:hint="eastAsia"/>
                <w:color w:val="auto"/>
                <w:highlight w:val="none"/>
                <w:vertAlign w:val="baseline"/>
              </w:rPr>
            </w:pPr>
          </w:p>
        </w:tc>
        <w:tc>
          <w:tcPr>
            <w:tcW w:w="1080" w:type="dxa"/>
            <w:noWrap w:val="0"/>
            <w:vAlign w:val="center"/>
          </w:tcPr>
          <w:p w14:paraId="5BE777A0">
            <w:pPr>
              <w:keepNext w:val="0"/>
              <w:keepLines w:val="0"/>
              <w:widowControl/>
              <w:suppressLineNumbers w:val="0"/>
              <w:jc w:val="center"/>
              <w:textAlignment w:val="center"/>
              <w:rPr>
                <w:rFonts w:hint="eastAsia"/>
                <w:color w:val="auto"/>
                <w:highlight w:val="none"/>
                <w:vertAlign w:val="baseline"/>
              </w:rPr>
            </w:pPr>
          </w:p>
        </w:tc>
        <w:tc>
          <w:tcPr>
            <w:tcW w:w="908" w:type="dxa"/>
            <w:noWrap w:val="0"/>
            <w:vAlign w:val="center"/>
          </w:tcPr>
          <w:p w14:paraId="29C03B4D">
            <w:pPr>
              <w:jc w:val="center"/>
              <w:rPr>
                <w:rFonts w:hint="eastAsia"/>
                <w:color w:val="auto"/>
                <w:highlight w:val="none"/>
                <w:vertAlign w:val="baseline"/>
              </w:rPr>
            </w:pPr>
          </w:p>
        </w:tc>
        <w:tc>
          <w:tcPr>
            <w:tcW w:w="754" w:type="dxa"/>
            <w:noWrap w:val="0"/>
            <w:vAlign w:val="center"/>
          </w:tcPr>
          <w:p w14:paraId="5B249D43">
            <w:pPr>
              <w:keepNext w:val="0"/>
              <w:keepLines w:val="0"/>
              <w:widowControl/>
              <w:suppressLineNumbers w:val="0"/>
              <w:jc w:val="center"/>
              <w:textAlignment w:val="center"/>
              <w:rPr>
                <w:rFonts w:hint="eastAsia"/>
                <w:color w:val="auto"/>
                <w:highlight w:val="none"/>
                <w:vertAlign w:val="baseline"/>
              </w:rPr>
            </w:pPr>
          </w:p>
        </w:tc>
        <w:tc>
          <w:tcPr>
            <w:tcW w:w="996" w:type="dxa"/>
            <w:noWrap w:val="0"/>
            <w:vAlign w:val="center"/>
          </w:tcPr>
          <w:p w14:paraId="7F26142F">
            <w:pPr>
              <w:keepNext w:val="0"/>
              <w:keepLines w:val="0"/>
              <w:widowControl/>
              <w:suppressLineNumbers w:val="0"/>
              <w:jc w:val="center"/>
              <w:textAlignment w:val="center"/>
              <w:rPr>
                <w:rFonts w:hint="eastAsia"/>
                <w:color w:val="auto"/>
                <w:highlight w:val="none"/>
                <w:vertAlign w:val="baseline"/>
              </w:rPr>
            </w:pPr>
          </w:p>
        </w:tc>
        <w:tc>
          <w:tcPr>
            <w:tcW w:w="924" w:type="dxa"/>
            <w:noWrap w:val="0"/>
            <w:vAlign w:val="center"/>
          </w:tcPr>
          <w:p w14:paraId="769194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0267AA5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924" w:type="dxa"/>
            <w:noWrap w:val="0"/>
            <w:vAlign w:val="center"/>
          </w:tcPr>
          <w:p w14:paraId="673E986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7268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588" w:type="dxa"/>
            <w:gridSpan w:val="2"/>
            <w:noWrap w:val="0"/>
            <w:vAlign w:val="center"/>
          </w:tcPr>
          <w:p w14:paraId="415D9FA2">
            <w:pPr>
              <w:keepNext w:val="0"/>
              <w:keepLines w:val="0"/>
              <w:widowControl/>
              <w:suppressLineNumbers w:val="0"/>
              <w:jc w:val="center"/>
              <w:textAlignment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合计</w:t>
            </w:r>
          </w:p>
        </w:tc>
        <w:tc>
          <w:tcPr>
            <w:tcW w:w="7179" w:type="dxa"/>
            <w:gridSpan w:val="8"/>
            <w:noWrap w:val="0"/>
            <w:vAlign w:val="center"/>
          </w:tcPr>
          <w:p w14:paraId="2BE4CEFC">
            <w:pPr>
              <w:keepNext w:val="0"/>
              <w:keepLines w:val="0"/>
              <w:widowControl/>
              <w:suppressLineNumbers w:val="0"/>
              <w:jc w:val="both"/>
              <w:textAlignment w:val="center"/>
              <w:rPr>
                <w:rFonts w:hint="default" w:ascii="仿宋" w:hAnsi="仿宋" w:eastAsia="仿宋" w:cs="仿宋"/>
                <w:i w:val="0"/>
                <w:iCs w:val="0"/>
                <w:color w:val="auto"/>
                <w:kern w:val="0"/>
                <w:sz w:val="22"/>
                <w:szCs w:val="22"/>
                <w:highlight w:val="none"/>
                <w:u w:val="single"/>
                <w:lang w:val="en-US" w:eastAsia="zh-CN" w:bidi="ar"/>
              </w:rPr>
            </w:pPr>
            <w:r>
              <w:rPr>
                <w:rFonts w:hint="eastAsia" w:ascii="仿宋" w:hAnsi="仿宋" w:eastAsia="仿宋" w:cs="仿宋"/>
                <w:i w:val="0"/>
                <w:iCs w:val="0"/>
                <w:color w:val="auto"/>
                <w:kern w:val="0"/>
                <w:sz w:val="22"/>
                <w:szCs w:val="22"/>
                <w:highlight w:val="none"/>
                <w:u w:val="none"/>
                <w:lang w:val="en-US" w:eastAsia="zh-CN" w:bidi="ar"/>
              </w:rPr>
              <w:t>小写：</w:t>
            </w:r>
            <w:r>
              <w:rPr>
                <w:rFonts w:hint="eastAsia" w:ascii="仿宋" w:hAnsi="仿宋" w:eastAsia="仿宋" w:cs="仿宋"/>
                <w:i w:val="0"/>
                <w:iCs w:val="0"/>
                <w:color w:val="auto"/>
                <w:kern w:val="0"/>
                <w:sz w:val="22"/>
                <w:szCs w:val="22"/>
                <w:highlight w:val="none"/>
                <w:u w:val="single"/>
                <w:lang w:val="en-US" w:eastAsia="zh-CN" w:bidi="ar"/>
              </w:rPr>
              <w:t xml:space="preserve">                      </w:t>
            </w:r>
            <w:r>
              <w:rPr>
                <w:rFonts w:hint="eastAsia" w:ascii="仿宋" w:hAnsi="仿宋" w:eastAsia="仿宋" w:cs="仿宋"/>
                <w:i w:val="0"/>
                <w:iCs w:val="0"/>
                <w:color w:val="auto"/>
                <w:kern w:val="0"/>
                <w:sz w:val="22"/>
                <w:szCs w:val="22"/>
                <w:highlight w:val="none"/>
                <w:u w:val="none"/>
                <w:lang w:val="en-US" w:eastAsia="zh-CN" w:bidi="ar"/>
              </w:rPr>
              <w:t>元  大写：</w:t>
            </w:r>
          </w:p>
        </w:tc>
      </w:tr>
    </w:tbl>
    <w:p w14:paraId="07525847">
      <w:pPr>
        <w:spacing w:beforeLines="50" w:line="360" w:lineRule="auto"/>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注：1、如果按单价计算的结果与总价不一致，以单价为准修正总价。</w:t>
      </w:r>
    </w:p>
    <w:p w14:paraId="3A2441F5">
      <w:pPr>
        <w:pStyle w:val="23"/>
        <w:numPr>
          <w:ilvl w:val="0"/>
          <w:numId w:val="11"/>
        </w:numPr>
        <w:spacing w:line="360" w:lineRule="auto"/>
        <w:ind w:firstLine="560"/>
        <w:outlineLvl w:val="9"/>
        <w:rPr>
          <w:rFonts w:hint="eastAsia" w:ascii="仿宋" w:hAnsi="仿宋" w:eastAsia="仿宋" w:cs="仿宋"/>
          <w:color w:val="auto"/>
          <w:kern w:val="2"/>
          <w:sz w:val="24"/>
          <w:szCs w:val="18"/>
          <w:highlight w:val="none"/>
          <w:lang w:val="en-US" w:eastAsia="zh-CN" w:bidi="ar-SA"/>
        </w:rPr>
      </w:pPr>
      <w:r>
        <w:rPr>
          <w:rFonts w:hint="eastAsia" w:ascii="仿宋" w:hAnsi="仿宋" w:eastAsia="仿宋" w:cs="仿宋"/>
          <w:color w:val="auto"/>
          <w:sz w:val="24"/>
          <w:szCs w:val="18"/>
          <w:highlight w:val="none"/>
        </w:rPr>
        <w:t>供应商须参照第</w:t>
      </w:r>
      <w:r>
        <w:rPr>
          <w:rFonts w:hint="eastAsia" w:ascii="仿宋" w:hAnsi="仿宋" w:eastAsia="仿宋" w:cs="仿宋"/>
          <w:color w:val="auto"/>
          <w:sz w:val="24"/>
          <w:szCs w:val="18"/>
          <w:highlight w:val="none"/>
          <w:lang w:val="en-US" w:eastAsia="zh-CN"/>
        </w:rPr>
        <w:t>四</w:t>
      </w:r>
      <w:r>
        <w:rPr>
          <w:rFonts w:hint="eastAsia" w:ascii="仿宋" w:hAnsi="仿宋" w:eastAsia="仿宋" w:cs="仿宋"/>
          <w:color w:val="auto"/>
          <w:sz w:val="24"/>
          <w:szCs w:val="18"/>
          <w:highlight w:val="none"/>
        </w:rPr>
        <w:t>章各包所列明的内容全部报价。如果不提供详细分项报价视为未实质性响应招标</w:t>
      </w:r>
      <w:r>
        <w:rPr>
          <w:rFonts w:hint="eastAsia" w:ascii="仿宋" w:hAnsi="仿宋" w:eastAsia="仿宋" w:cs="仿宋"/>
          <w:color w:val="auto"/>
          <w:kern w:val="2"/>
          <w:sz w:val="24"/>
          <w:szCs w:val="18"/>
          <w:highlight w:val="none"/>
          <w:lang w:val="en-US" w:eastAsia="zh-CN" w:bidi="ar-SA"/>
        </w:rPr>
        <w:t>文件。</w:t>
      </w:r>
    </w:p>
    <w:p w14:paraId="4A47BD09">
      <w:pPr>
        <w:pStyle w:val="23"/>
        <w:numPr>
          <w:ilvl w:val="0"/>
          <w:numId w:val="0"/>
        </w:numPr>
        <w:spacing w:line="360" w:lineRule="auto"/>
        <w:ind w:firstLine="480" w:firstLineChars="200"/>
        <w:outlineLvl w:val="9"/>
        <w:rPr>
          <w:rFonts w:hint="eastAsia" w:eastAsia="宋体"/>
          <w:color w:val="auto"/>
          <w:sz w:val="24"/>
          <w:szCs w:val="18"/>
          <w:highlight w:val="none"/>
          <w:lang w:val="en-US" w:eastAsia="zh-CN"/>
        </w:rPr>
      </w:pPr>
      <w:r>
        <w:rPr>
          <w:rFonts w:hint="eastAsia" w:ascii="仿宋" w:hAnsi="仿宋" w:eastAsia="仿宋" w:cs="仿宋"/>
          <w:color w:val="auto"/>
          <w:kern w:val="2"/>
          <w:sz w:val="24"/>
          <w:szCs w:val="18"/>
          <w:highlight w:val="none"/>
          <w:lang w:val="en-US" w:eastAsia="zh-CN" w:bidi="ar-SA"/>
        </w:rPr>
        <w:t>3、不得缺项漏项。</w:t>
      </w:r>
    </w:p>
    <w:p w14:paraId="36A5E7A3">
      <w:pPr>
        <w:pStyle w:val="17"/>
        <w:rPr>
          <w:rFonts w:hint="eastAsia" w:ascii="仿宋" w:hAnsi="仿宋" w:eastAsia="仿宋" w:cs="仿宋"/>
          <w:color w:val="auto"/>
          <w:kern w:val="2"/>
          <w:sz w:val="24"/>
          <w:szCs w:val="22"/>
          <w:highlight w:val="none"/>
          <w:lang w:val="en-US" w:eastAsia="zh-CN" w:bidi="ar-SA"/>
        </w:rPr>
      </w:pPr>
    </w:p>
    <w:p w14:paraId="5EEB28EE">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投标单位名称：（公章）</w:t>
      </w:r>
    </w:p>
    <w:p w14:paraId="4B9CFCFF">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法定代表人、法定代表授权委托人：（签字或盖章）</w:t>
      </w:r>
    </w:p>
    <w:p w14:paraId="67569980">
      <w:pPr>
        <w:pStyle w:val="17"/>
        <w:ind w:left="0" w:leftChars="0" w:firstLine="960" w:firstLineChars="400"/>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4"/>
          <w:szCs w:val="22"/>
          <w:highlight w:val="none"/>
          <w:lang w:val="en-US" w:eastAsia="zh-CN" w:bidi="ar-SA"/>
        </w:rPr>
        <w:t>年      月     日</w:t>
      </w:r>
      <w:bookmarkStart w:id="161" w:name="_Toc27579"/>
      <w:bookmarkStart w:id="162" w:name="_Toc25169"/>
      <w:bookmarkStart w:id="163" w:name="_Toc56170401"/>
      <w:bookmarkStart w:id="164" w:name="_Toc61184644"/>
    </w:p>
    <w:p w14:paraId="7E7CBEBD">
      <w:pPr>
        <w:pStyle w:val="17"/>
        <w:jc w:val="both"/>
        <w:rPr>
          <w:rFonts w:hint="eastAsia" w:ascii="仿宋" w:hAnsi="仿宋" w:eastAsia="仿宋" w:cs="仿宋"/>
          <w:color w:val="auto"/>
          <w:sz w:val="28"/>
          <w:szCs w:val="28"/>
          <w:highlight w:val="none"/>
        </w:rPr>
      </w:pPr>
    </w:p>
    <w:p w14:paraId="118DE0B6">
      <w:pPr>
        <w:pStyle w:val="17"/>
        <w:ind w:left="0" w:leftChars="0" w:firstLine="0" w:firstLineChars="0"/>
        <w:jc w:val="both"/>
        <w:rPr>
          <w:rFonts w:hint="eastAsia" w:ascii="仿宋" w:hAnsi="仿宋" w:eastAsia="仿宋" w:cs="仿宋"/>
          <w:color w:val="auto"/>
          <w:sz w:val="28"/>
          <w:szCs w:val="28"/>
          <w:highlight w:val="none"/>
        </w:rPr>
      </w:pPr>
    </w:p>
    <w:p w14:paraId="325A5863">
      <w:pPr>
        <w:pStyle w:val="17"/>
        <w:ind w:left="0" w:leftChars="0" w:firstLine="0" w:firstLineChars="0"/>
        <w:jc w:val="both"/>
        <w:rPr>
          <w:rFonts w:hint="eastAsia" w:ascii="仿宋" w:hAnsi="仿宋" w:eastAsia="仿宋" w:cs="仿宋"/>
          <w:color w:val="auto"/>
          <w:sz w:val="28"/>
          <w:szCs w:val="28"/>
          <w:highlight w:val="none"/>
        </w:rPr>
      </w:pPr>
    </w:p>
    <w:p w14:paraId="2A559F11">
      <w:pPr>
        <w:pStyle w:val="17"/>
        <w:ind w:left="0" w:leftChars="0" w:firstLine="0" w:firstLineChars="0"/>
        <w:jc w:val="cente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附件十、技术规格偏离表</w:t>
      </w:r>
    </w:p>
    <w:p w14:paraId="49395736">
      <w:pPr>
        <w:pStyle w:val="17"/>
        <w:ind w:left="0" w:leftChars="0" w:firstLine="0" w:firstLineChars="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项目名称：                  </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eastAsia="zh-CN"/>
        </w:rPr>
        <w:t>编号：</w:t>
      </w:r>
      <w:r>
        <w:rPr>
          <w:rFonts w:hint="eastAsia" w:ascii="仿宋" w:hAnsi="仿宋" w:eastAsia="仿宋" w:cs="仿宋"/>
          <w:color w:val="auto"/>
          <w:sz w:val="28"/>
          <w:szCs w:val="28"/>
          <w:highlight w:val="none"/>
          <w:lang w:val="en-US" w:eastAsia="zh-CN"/>
        </w:rPr>
        <w:t xml:space="preserve">               </w:t>
      </w:r>
    </w:p>
    <w:tbl>
      <w:tblPr>
        <w:tblStyle w:val="18"/>
        <w:tblpPr w:leftFromText="180" w:rightFromText="180" w:vertAnchor="text" w:horzAnchor="page" w:tblpX="1227" w:tblpY="732"/>
        <w:tblOverlap w:val="never"/>
        <w:tblW w:w="9651" w:type="dxa"/>
        <w:tblInd w:w="0" w:type="dxa"/>
        <w:tblLayout w:type="fixed"/>
        <w:tblCellMar>
          <w:top w:w="0" w:type="dxa"/>
          <w:left w:w="108" w:type="dxa"/>
          <w:bottom w:w="0" w:type="dxa"/>
          <w:right w:w="108" w:type="dxa"/>
        </w:tblCellMar>
      </w:tblPr>
      <w:tblGrid>
        <w:gridCol w:w="1561"/>
        <w:gridCol w:w="1803"/>
        <w:gridCol w:w="1405"/>
        <w:gridCol w:w="2795"/>
        <w:gridCol w:w="2087"/>
      </w:tblGrid>
      <w:tr w14:paraId="4B892FA1">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251610FC">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38BF329">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招标规格</w:t>
            </w:r>
          </w:p>
        </w:tc>
        <w:tc>
          <w:tcPr>
            <w:tcW w:w="1405" w:type="dxa"/>
            <w:tcBorders>
              <w:top w:val="single" w:color="auto" w:sz="6" w:space="0"/>
              <w:left w:val="single" w:color="auto" w:sz="6" w:space="0"/>
              <w:bottom w:val="single" w:color="auto" w:sz="6" w:space="0"/>
              <w:right w:val="single" w:color="auto" w:sz="6" w:space="0"/>
            </w:tcBorders>
            <w:noWrap w:val="0"/>
            <w:vAlign w:val="center"/>
          </w:tcPr>
          <w:p w14:paraId="1B1AAC28">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投标规格</w:t>
            </w:r>
          </w:p>
        </w:tc>
        <w:tc>
          <w:tcPr>
            <w:tcW w:w="2795" w:type="dxa"/>
            <w:tcBorders>
              <w:top w:val="single" w:color="auto" w:sz="6" w:space="0"/>
              <w:left w:val="single" w:color="auto" w:sz="6" w:space="0"/>
              <w:bottom w:val="single" w:color="auto" w:sz="6" w:space="0"/>
              <w:right w:val="single" w:color="auto" w:sz="4" w:space="0"/>
            </w:tcBorders>
            <w:noWrap w:val="0"/>
            <w:vAlign w:val="center"/>
          </w:tcPr>
          <w:p w14:paraId="2788FF4B">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c>
          <w:tcPr>
            <w:tcW w:w="2087" w:type="dxa"/>
            <w:tcBorders>
              <w:top w:val="single" w:color="auto" w:sz="6" w:space="0"/>
              <w:left w:val="single" w:color="auto" w:sz="4" w:space="0"/>
              <w:bottom w:val="single" w:color="auto" w:sz="6" w:space="0"/>
              <w:right w:val="single" w:color="auto" w:sz="6" w:space="0"/>
            </w:tcBorders>
            <w:noWrap w:val="0"/>
            <w:vAlign w:val="center"/>
          </w:tcPr>
          <w:p w14:paraId="00BEB1F9">
            <w:pPr>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w:t>
            </w:r>
          </w:p>
        </w:tc>
      </w:tr>
      <w:tr w14:paraId="743A8B68">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77536387">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32ABA6EB">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1B128807">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5B0491D">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60D2512E">
            <w:pPr>
              <w:spacing w:line="360" w:lineRule="auto"/>
              <w:ind w:firstLine="420"/>
              <w:jc w:val="center"/>
              <w:outlineLvl w:val="9"/>
              <w:rPr>
                <w:rFonts w:hint="eastAsia" w:ascii="仿宋" w:hAnsi="仿宋" w:eastAsia="仿宋" w:cs="仿宋"/>
                <w:color w:val="auto"/>
                <w:sz w:val="24"/>
                <w:szCs w:val="24"/>
                <w:highlight w:val="none"/>
              </w:rPr>
            </w:pPr>
          </w:p>
        </w:tc>
      </w:tr>
      <w:tr w14:paraId="74A134BB">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2CBD8DEA">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55ACE27D">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6FB2A33B">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403F2DC2">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54952B1D">
            <w:pPr>
              <w:spacing w:line="360" w:lineRule="auto"/>
              <w:ind w:firstLine="420"/>
              <w:jc w:val="center"/>
              <w:outlineLvl w:val="9"/>
              <w:rPr>
                <w:rFonts w:hint="eastAsia" w:ascii="仿宋" w:hAnsi="仿宋" w:eastAsia="仿宋" w:cs="仿宋"/>
                <w:color w:val="auto"/>
                <w:sz w:val="24"/>
                <w:szCs w:val="24"/>
                <w:highlight w:val="none"/>
              </w:rPr>
            </w:pPr>
          </w:p>
        </w:tc>
      </w:tr>
      <w:tr w14:paraId="4EB1DC3E">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3E0BB865">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522CA08E">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552467DF">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FB625A3">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28DCF119">
            <w:pPr>
              <w:spacing w:line="360" w:lineRule="auto"/>
              <w:ind w:firstLine="420"/>
              <w:jc w:val="center"/>
              <w:outlineLvl w:val="9"/>
              <w:rPr>
                <w:rFonts w:hint="eastAsia" w:ascii="仿宋" w:hAnsi="仿宋" w:eastAsia="仿宋" w:cs="仿宋"/>
                <w:color w:val="auto"/>
                <w:sz w:val="24"/>
                <w:szCs w:val="24"/>
                <w:highlight w:val="none"/>
              </w:rPr>
            </w:pPr>
          </w:p>
        </w:tc>
      </w:tr>
      <w:tr w14:paraId="1419BDA6">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7323F764">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40ED7827">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28D6C7E1">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51341EFF">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06CE6A1C">
            <w:pPr>
              <w:spacing w:line="360" w:lineRule="auto"/>
              <w:ind w:firstLine="420"/>
              <w:jc w:val="center"/>
              <w:outlineLvl w:val="9"/>
              <w:rPr>
                <w:rFonts w:hint="eastAsia" w:ascii="仿宋" w:hAnsi="仿宋" w:eastAsia="仿宋" w:cs="仿宋"/>
                <w:color w:val="auto"/>
                <w:sz w:val="24"/>
                <w:szCs w:val="24"/>
                <w:highlight w:val="none"/>
              </w:rPr>
            </w:pPr>
          </w:p>
        </w:tc>
      </w:tr>
      <w:tr w14:paraId="50B6FD18">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1C049B00">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5C45DC09">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6BC27B73">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40177438">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451889C0">
            <w:pPr>
              <w:spacing w:line="360" w:lineRule="auto"/>
              <w:ind w:firstLine="420"/>
              <w:jc w:val="center"/>
              <w:outlineLvl w:val="9"/>
              <w:rPr>
                <w:rFonts w:hint="eastAsia" w:ascii="仿宋" w:hAnsi="仿宋" w:eastAsia="仿宋" w:cs="仿宋"/>
                <w:color w:val="auto"/>
                <w:sz w:val="24"/>
                <w:szCs w:val="24"/>
                <w:highlight w:val="none"/>
              </w:rPr>
            </w:pPr>
          </w:p>
        </w:tc>
      </w:tr>
      <w:tr w14:paraId="3BBCB1D3">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64319FC7">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2753B682">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384B6B99">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0A88B5EE">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5955AFFE">
            <w:pPr>
              <w:spacing w:line="360" w:lineRule="auto"/>
              <w:ind w:firstLine="420"/>
              <w:jc w:val="center"/>
              <w:outlineLvl w:val="9"/>
              <w:rPr>
                <w:rFonts w:hint="eastAsia" w:ascii="仿宋" w:hAnsi="仿宋" w:eastAsia="仿宋" w:cs="仿宋"/>
                <w:color w:val="auto"/>
                <w:sz w:val="24"/>
                <w:szCs w:val="24"/>
                <w:highlight w:val="none"/>
              </w:rPr>
            </w:pPr>
          </w:p>
        </w:tc>
      </w:tr>
      <w:tr w14:paraId="52E575AE">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7C88EFF9">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1015C6CE">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79563621">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37322129">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186B4680">
            <w:pPr>
              <w:spacing w:line="360" w:lineRule="auto"/>
              <w:ind w:firstLine="420"/>
              <w:jc w:val="center"/>
              <w:outlineLvl w:val="9"/>
              <w:rPr>
                <w:rFonts w:hint="eastAsia" w:ascii="仿宋" w:hAnsi="仿宋" w:eastAsia="仿宋" w:cs="仿宋"/>
                <w:color w:val="auto"/>
                <w:sz w:val="24"/>
                <w:szCs w:val="24"/>
                <w:highlight w:val="none"/>
              </w:rPr>
            </w:pPr>
          </w:p>
        </w:tc>
      </w:tr>
      <w:tr w14:paraId="4CB6D0C0">
        <w:tblPrEx>
          <w:tblCellMar>
            <w:top w:w="0" w:type="dxa"/>
            <w:left w:w="108" w:type="dxa"/>
            <w:bottom w:w="0" w:type="dxa"/>
            <w:right w:w="108" w:type="dxa"/>
          </w:tblCellMar>
        </w:tblPrEx>
        <w:trPr>
          <w:trHeight w:val="576" w:hRule="atLeast"/>
        </w:trPr>
        <w:tc>
          <w:tcPr>
            <w:tcW w:w="1561" w:type="dxa"/>
            <w:tcBorders>
              <w:top w:val="single" w:color="auto" w:sz="6" w:space="0"/>
              <w:left w:val="single" w:color="auto" w:sz="6" w:space="0"/>
              <w:bottom w:val="single" w:color="auto" w:sz="6" w:space="0"/>
              <w:right w:val="single" w:color="auto" w:sz="6" w:space="0"/>
            </w:tcBorders>
            <w:noWrap w:val="0"/>
            <w:vAlign w:val="center"/>
          </w:tcPr>
          <w:p w14:paraId="44F4CB28">
            <w:pPr>
              <w:spacing w:line="360" w:lineRule="auto"/>
              <w:ind w:firstLine="420"/>
              <w:jc w:val="center"/>
              <w:outlineLvl w:val="9"/>
              <w:rPr>
                <w:rFonts w:hint="eastAsia" w:ascii="仿宋" w:hAnsi="仿宋" w:eastAsia="仿宋" w:cs="仿宋"/>
                <w:color w:val="auto"/>
                <w:sz w:val="24"/>
                <w:szCs w:val="24"/>
                <w:highlight w:val="none"/>
              </w:rPr>
            </w:pPr>
          </w:p>
        </w:tc>
        <w:tc>
          <w:tcPr>
            <w:tcW w:w="1803" w:type="dxa"/>
            <w:tcBorders>
              <w:top w:val="single" w:color="auto" w:sz="6" w:space="0"/>
              <w:left w:val="single" w:color="auto" w:sz="6" w:space="0"/>
              <w:bottom w:val="single" w:color="auto" w:sz="6" w:space="0"/>
              <w:right w:val="single" w:color="auto" w:sz="6" w:space="0"/>
            </w:tcBorders>
            <w:noWrap w:val="0"/>
            <w:vAlign w:val="center"/>
          </w:tcPr>
          <w:p w14:paraId="2B746C96">
            <w:pPr>
              <w:spacing w:line="360" w:lineRule="auto"/>
              <w:ind w:firstLine="420"/>
              <w:jc w:val="center"/>
              <w:outlineLvl w:val="9"/>
              <w:rPr>
                <w:rFonts w:hint="eastAsia" w:ascii="仿宋" w:hAnsi="仿宋" w:eastAsia="仿宋" w:cs="仿宋"/>
                <w:color w:val="auto"/>
                <w:sz w:val="24"/>
                <w:szCs w:val="24"/>
                <w:highlight w:val="none"/>
              </w:rPr>
            </w:pPr>
          </w:p>
        </w:tc>
        <w:tc>
          <w:tcPr>
            <w:tcW w:w="1405" w:type="dxa"/>
            <w:tcBorders>
              <w:top w:val="single" w:color="auto" w:sz="6" w:space="0"/>
              <w:left w:val="single" w:color="auto" w:sz="6" w:space="0"/>
              <w:bottom w:val="single" w:color="auto" w:sz="6" w:space="0"/>
              <w:right w:val="single" w:color="auto" w:sz="6" w:space="0"/>
            </w:tcBorders>
            <w:noWrap w:val="0"/>
            <w:vAlign w:val="center"/>
          </w:tcPr>
          <w:p w14:paraId="424D6C60">
            <w:pPr>
              <w:spacing w:line="360" w:lineRule="auto"/>
              <w:ind w:firstLine="420"/>
              <w:jc w:val="center"/>
              <w:outlineLvl w:val="9"/>
              <w:rPr>
                <w:rFonts w:hint="eastAsia" w:ascii="仿宋" w:hAnsi="仿宋" w:eastAsia="仿宋" w:cs="仿宋"/>
                <w:color w:val="auto"/>
                <w:sz w:val="24"/>
                <w:szCs w:val="24"/>
                <w:highlight w:val="none"/>
              </w:rPr>
            </w:pPr>
          </w:p>
        </w:tc>
        <w:tc>
          <w:tcPr>
            <w:tcW w:w="2795" w:type="dxa"/>
            <w:tcBorders>
              <w:top w:val="single" w:color="auto" w:sz="6" w:space="0"/>
              <w:left w:val="single" w:color="auto" w:sz="6" w:space="0"/>
              <w:bottom w:val="single" w:color="auto" w:sz="6" w:space="0"/>
              <w:right w:val="single" w:color="auto" w:sz="4" w:space="0"/>
            </w:tcBorders>
            <w:noWrap w:val="0"/>
            <w:vAlign w:val="center"/>
          </w:tcPr>
          <w:p w14:paraId="29CF45CE">
            <w:pPr>
              <w:spacing w:line="360" w:lineRule="auto"/>
              <w:ind w:firstLine="420"/>
              <w:jc w:val="center"/>
              <w:outlineLvl w:val="9"/>
              <w:rPr>
                <w:rFonts w:hint="eastAsia" w:ascii="仿宋" w:hAnsi="仿宋" w:eastAsia="仿宋" w:cs="仿宋"/>
                <w:color w:val="auto"/>
                <w:sz w:val="24"/>
                <w:szCs w:val="24"/>
                <w:highlight w:val="none"/>
              </w:rPr>
            </w:pPr>
          </w:p>
        </w:tc>
        <w:tc>
          <w:tcPr>
            <w:tcW w:w="2087" w:type="dxa"/>
            <w:tcBorders>
              <w:top w:val="single" w:color="auto" w:sz="6" w:space="0"/>
              <w:left w:val="single" w:color="auto" w:sz="4" w:space="0"/>
              <w:bottom w:val="single" w:color="auto" w:sz="6" w:space="0"/>
              <w:right w:val="single" w:color="auto" w:sz="6" w:space="0"/>
            </w:tcBorders>
            <w:noWrap w:val="0"/>
            <w:vAlign w:val="center"/>
          </w:tcPr>
          <w:p w14:paraId="1A526C32">
            <w:pPr>
              <w:spacing w:line="360" w:lineRule="auto"/>
              <w:ind w:firstLine="420"/>
              <w:jc w:val="center"/>
              <w:outlineLvl w:val="9"/>
              <w:rPr>
                <w:rFonts w:hint="eastAsia" w:ascii="仿宋" w:hAnsi="仿宋" w:eastAsia="仿宋" w:cs="仿宋"/>
                <w:color w:val="auto"/>
                <w:sz w:val="24"/>
                <w:szCs w:val="24"/>
                <w:highlight w:val="none"/>
              </w:rPr>
            </w:pPr>
          </w:p>
        </w:tc>
      </w:tr>
    </w:tbl>
    <w:p w14:paraId="6DA4F927">
      <w:pPr>
        <w:pStyle w:val="17"/>
        <w:ind w:left="0" w:leftChars="0" w:firstLine="0" w:firstLineChars="0"/>
        <w:jc w:val="both"/>
        <w:rPr>
          <w:rFonts w:hint="eastAsia" w:ascii="仿宋" w:hAnsi="仿宋" w:eastAsia="仿宋" w:cs="仿宋"/>
          <w:color w:val="auto"/>
          <w:sz w:val="28"/>
          <w:szCs w:val="28"/>
          <w:highlight w:val="none"/>
        </w:rPr>
      </w:pPr>
    </w:p>
    <w:bookmarkEnd w:id="161"/>
    <w:bookmarkEnd w:id="162"/>
    <w:bookmarkEnd w:id="163"/>
    <w:bookmarkEnd w:id="164"/>
    <w:p w14:paraId="4A60A5E5">
      <w:pPr>
        <w:spacing w:line="360" w:lineRule="auto"/>
        <w:outlineLvl w:val="9"/>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（供应商须对第四章所有技术参数条款逐条列明是否响应，如有偏离，须一一列明。供应商所投产品必须提供国家权威部门出具的检验报告</w:t>
      </w:r>
      <w:r>
        <w:rPr>
          <w:rFonts w:hint="eastAsia" w:ascii="仿宋" w:hAnsi="仿宋" w:eastAsia="仿宋" w:cs="仿宋"/>
          <w:color w:val="auto"/>
          <w:sz w:val="24"/>
          <w:szCs w:val="18"/>
          <w:highlight w:val="none"/>
          <w:lang w:val="en-US" w:eastAsia="zh-CN"/>
        </w:rPr>
        <w:t>等</w:t>
      </w:r>
      <w:r>
        <w:rPr>
          <w:rFonts w:hint="eastAsia" w:ascii="仿宋" w:hAnsi="仿宋" w:eastAsia="仿宋" w:cs="仿宋"/>
          <w:color w:val="auto"/>
          <w:sz w:val="24"/>
          <w:szCs w:val="18"/>
          <w:highlight w:val="none"/>
        </w:rPr>
        <w:t>作为其技术指标的支持资料（国家无需检测的设备可以不提供检验报告）。对未提供技术支持资料的，或参数与其提供的技术支持资料不一致的，均视为偏离。）</w:t>
      </w:r>
    </w:p>
    <w:p w14:paraId="3F05978B">
      <w:pPr>
        <w:pStyle w:val="17"/>
        <w:rPr>
          <w:rFonts w:hint="eastAsia" w:ascii="仿宋" w:hAnsi="仿宋" w:eastAsia="仿宋" w:cs="仿宋"/>
          <w:color w:val="auto"/>
          <w:kern w:val="2"/>
          <w:sz w:val="24"/>
          <w:szCs w:val="22"/>
          <w:highlight w:val="none"/>
          <w:lang w:val="en-US" w:eastAsia="zh-CN" w:bidi="ar-SA"/>
        </w:rPr>
      </w:pPr>
      <w:bookmarkStart w:id="165" w:name="_Toc61184645"/>
      <w:bookmarkStart w:id="166" w:name="_Toc11172"/>
      <w:bookmarkStart w:id="167" w:name="_Toc56170402"/>
    </w:p>
    <w:p w14:paraId="250F412A">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投标单位名称：（公章）</w:t>
      </w:r>
    </w:p>
    <w:p w14:paraId="57BD1905">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法定代表人、法定代表授权委托人：（签字或盖章）</w:t>
      </w:r>
    </w:p>
    <w:p w14:paraId="75BBF9F5">
      <w:pPr>
        <w:pStyle w:val="17"/>
        <w:ind w:firstLine="960" w:firstLineChars="4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年      月     日</w:t>
      </w:r>
    </w:p>
    <w:p w14:paraId="3347D4A6">
      <w:pPr>
        <w:outlineLvl w:val="9"/>
        <w:rPr>
          <w:rFonts w:hint="eastAsia" w:ascii="仿宋" w:hAnsi="仿宋" w:eastAsia="仿宋" w:cs="仿宋"/>
          <w:color w:val="auto"/>
          <w:highlight w:val="none"/>
        </w:rPr>
      </w:pPr>
    </w:p>
    <w:p w14:paraId="659FAEA6">
      <w:pPr>
        <w:outlineLvl w:val="9"/>
        <w:rPr>
          <w:rFonts w:hint="eastAsia" w:ascii="仿宋" w:hAnsi="仿宋" w:eastAsia="仿宋" w:cs="仿宋"/>
          <w:color w:val="auto"/>
          <w:highlight w:val="none"/>
        </w:rPr>
      </w:pPr>
    </w:p>
    <w:p w14:paraId="2D7ED53B">
      <w:pPr>
        <w:outlineLvl w:val="9"/>
        <w:rPr>
          <w:rFonts w:hint="eastAsia" w:ascii="仿宋" w:hAnsi="仿宋" w:eastAsia="仿宋" w:cs="仿宋"/>
          <w:color w:val="auto"/>
          <w:highlight w:val="none"/>
        </w:rPr>
      </w:pPr>
    </w:p>
    <w:p w14:paraId="4DA5FB09">
      <w:pPr>
        <w:outlineLvl w:val="9"/>
        <w:rPr>
          <w:rFonts w:hint="eastAsia" w:ascii="仿宋" w:hAnsi="仿宋" w:eastAsia="仿宋" w:cs="仿宋"/>
          <w:color w:val="auto"/>
          <w:highlight w:val="none"/>
        </w:rPr>
      </w:pPr>
    </w:p>
    <w:p w14:paraId="53B51033">
      <w:pPr>
        <w:outlineLvl w:val="9"/>
        <w:rPr>
          <w:rFonts w:hint="eastAsia" w:ascii="仿宋" w:hAnsi="仿宋" w:eastAsia="仿宋" w:cs="仿宋"/>
          <w:color w:val="auto"/>
          <w:highlight w:val="none"/>
        </w:rPr>
      </w:pPr>
    </w:p>
    <w:p w14:paraId="11B196EF">
      <w:pPr>
        <w:outlineLvl w:val="9"/>
        <w:rPr>
          <w:rFonts w:hint="eastAsia" w:ascii="仿宋" w:hAnsi="仿宋" w:eastAsia="仿宋" w:cs="仿宋"/>
          <w:color w:val="auto"/>
          <w:highlight w:val="none"/>
        </w:rPr>
      </w:pPr>
    </w:p>
    <w:p w14:paraId="4D824E5D">
      <w:pPr>
        <w:jc w:val="center"/>
        <w:outlineLvl w:val="1"/>
        <w:rPr>
          <w:rFonts w:hint="eastAsia" w:ascii="仿宋" w:hAnsi="仿宋" w:eastAsia="仿宋" w:cs="仿宋"/>
          <w:color w:val="auto"/>
          <w:sz w:val="28"/>
          <w:szCs w:val="28"/>
          <w:highlight w:val="none"/>
        </w:rPr>
      </w:pPr>
      <w:bookmarkStart w:id="168" w:name="_Toc7951"/>
      <w:bookmarkStart w:id="169" w:name="_Toc23133"/>
      <w:r>
        <w:rPr>
          <w:rFonts w:hint="eastAsia" w:ascii="仿宋" w:hAnsi="仿宋" w:eastAsia="仿宋" w:cs="仿宋"/>
          <w:color w:val="auto"/>
          <w:sz w:val="28"/>
          <w:szCs w:val="28"/>
          <w:highlight w:val="none"/>
        </w:rPr>
        <w:t>附件十一、商务条款偏离表</w:t>
      </w:r>
      <w:bookmarkEnd w:id="165"/>
      <w:bookmarkEnd w:id="166"/>
      <w:bookmarkEnd w:id="167"/>
      <w:bookmarkEnd w:id="168"/>
      <w:bookmarkEnd w:id="169"/>
    </w:p>
    <w:p w14:paraId="20911140">
      <w:pPr>
        <w:jc w:val="both"/>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项目名称：                  </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val="en-US" w:eastAsia="zh-CN"/>
        </w:rPr>
        <w:t xml:space="preserve">               </w:t>
      </w:r>
    </w:p>
    <w:tbl>
      <w:tblPr>
        <w:tblStyle w:val="18"/>
        <w:tblW w:w="9614" w:type="dxa"/>
        <w:jc w:val="center"/>
        <w:tblLayout w:type="fixed"/>
        <w:tblCellMar>
          <w:top w:w="0" w:type="dxa"/>
          <w:left w:w="108" w:type="dxa"/>
          <w:bottom w:w="0" w:type="dxa"/>
          <w:right w:w="108" w:type="dxa"/>
        </w:tblCellMar>
      </w:tblPr>
      <w:tblGrid>
        <w:gridCol w:w="1316"/>
        <w:gridCol w:w="1975"/>
        <w:gridCol w:w="1722"/>
        <w:gridCol w:w="2030"/>
        <w:gridCol w:w="2571"/>
      </w:tblGrid>
      <w:tr w14:paraId="6D8D689F">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1DBFED4E">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975" w:type="dxa"/>
            <w:tcBorders>
              <w:top w:val="single" w:color="auto" w:sz="6" w:space="0"/>
              <w:left w:val="single" w:color="auto" w:sz="6" w:space="0"/>
              <w:bottom w:val="single" w:color="auto" w:sz="6" w:space="0"/>
              <w:right w:val="single" w:color="auto" w:sz="6" w:space="0"/>
            </w:tcBorders>
            <w:noWrap w:val="0"/>
            <w:vAlign w:val="center"/>
          </w:tcPr>
          <w:p w14:paraId="5833A6E4">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条款序号</w:t>
            </w:r>
          </w:p>
        </w:tc>
        <w:tc>
          <w:tcPr>
            <w:tcW w:w="1722" w:type="dxa"/>
            <w:tcBorders>
              <w:top w:val="single" w:color="auto" w:sz="6" w:space="0"/>
              <w:left w:val="single" w:color="auto" w:sz="6" w:space="0"/>
              <w:bottom w:val="single" w:color="auto" w:sz="6" w:space="0"/>
              <w:right w:val="single" w:color="auto" w:sz="6" w:space="0"/>
            </w:tcBorders>
            <w:noWrap w:val="0"/>
            <w:vAlign w:val="center"/>
          </w:tcPr>
          <w:p w14:paraId="3F24B6EF">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招标条款</w:t>
            </w: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CCB8055">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投标条款</w:t>
            </w:r>
          </w:p>
        </w:tc>
        <w:tc>
          <w:tcPr>
            <w:tcW w:w="2571" w:type="dxa"/>
            <w:tcBorders>
              <w:top w:val="single" w:color="auto" w:sz="6" w:space="0"/>
              <w:left w:val="single" w:color="auto" w:sz="6" w:space="0"/>
              <w:bottom w:val="single" w:color="auto" w:sz="6" w:space="0"/>
              <w:right w:val="single" w:color="auto" w:sz="6" w:space="0"/>
            </w:tcBorders>
            <w:noWrap w:val="0"/>
            <w:vAlign w:val="center"/>
          </w:tcPr>
          <w:p w14:paraId="7A54C4A5">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响应/偏离</w:t>
            </w:r>
          </w:p>
        </w:tc>
      </w:tr>
      <w:tr w14:paraId="50C7A39C">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19F3BB8D">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2B0A7113">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17213EFD">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A991978">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7572FA9B">
            <w:pPr>
              <w:spacing w:line="360" w:lineRule="auto"/>
              <w:ind w:firstLine="420"/>
              <w:jc w:val="center"/>
              <w:outlineLvl w:val="9"/>
              <w:rPr>
                <w:rFonts w:hint="eastAsia" w:ascii="仿宋" w:hAnsi="仿宋" w:eastAsia="仿宋" w:cs="仿宋"/>
                <w:color w:val="auto"/>
                <w:sz w:val="24"/>
                <w:szCs w:val="24"/>
                <w:highlight w:val="none"/>
              </w:rPr>
            </w:pPr>
          </w:p>
        </w:tc>
      </w:tr>
      <w:tr w14:paraId="49BEC596">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494B345A">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0BF775C1">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3E6E17AC">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6D29CB16">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353A8EEB">
            <w:pPr>
              <w:spacing w:line="360" w:lineRule="auto"/>
              <w:ind w:firstLine="420"/>
              <w:jc w:val="center"/>
              <w:outlineLvl w:val="9"/>
              <w:rPr>
                <w:rFonts w:hint="eastAsia" w:ascii="仿宋" w:hAnsi="仿宋" w:eastAsia="仿宋" w:cs="仿宋"/>
                <w:color w:val="auto"/>
                <w:sz w:val="24"/>
                <w:szCs w:val="24"/>
                <w:highlight w:val="none"/>
              </w:rPr>
            </w:pPr>
          </w:p>
        </w:tc>
      </w:tr>
      <w:tr w14:paraId="55E20CE8">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261B4E1E">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3C86883A">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3001F7D0">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000C1D87">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044E6D0F">
            <w:pPr>
              <w:spacing w:line="360" w:lineRule="auto"/>
              <w:ind w:firstLine="420"/>
              <w:jc w:val="center"/>
              <w:outlineLvl w:val="9"/>
              <w:rPr>
                <w:rFonts w:hint="eastAsia" w:ascii="仿宋" w:hAnsi="仿宋" w:eastAsia="仿宋" w:cs="仿宋"/>
                <w:color w:val="auto"/>
                <w:sz w:val="24"/>
                <w:szCs w:val="24"/>
                <w:highlight w:val="none"/>
              </w:rPr>
            </w:pPr>
          </w:p>
        </w:tc>
      </w:tr>
      <w:tr w14:paraId="526522E5">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6F056FCA">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3025057C">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14706907">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7F166AB4">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0A65DC3E">
            <w:pPr>
              <w:spacing w:line="360" w:lineRule="auto"/>
              <w:ind w:firstLine="420"/>
              <w:jc w:val="center"/>
              <w:outlineLvl w:val="9"/>
              <w:rPr>
                <w:rFonts w:hint="eastAsia" w:ascii="仿宋" w:hAnsi="仿宋" w:eastAsia="仿宋" w:cs="仿宋"/>
                <w:color w:val="auto"/>
                <w:sz w:val="24"/>
                <w:szCs w:val="24"/>
                <w:highlight w:val="none"/>
              </w:rPr>
            </w:pPr>
          </w:p>
        </w:tc>
      </w:tr>
      <w:tr w14:paraId="5F90EBDF">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73B5AC4C">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138484E5">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70109B55">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28BCAA99">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4A47350F">
            <w:pPr>
              <w:spacing w:line="360" w:lineRule="auto"/>
              <w:ind w:firstLine="420"/>
              <w:jc w:val="center"/>
              <w:outlineLvl w:val="9"/>
              <w:rPr>
                <w:rFonts w:hint="eastAsia" w:ascii="仿宋" w:hAnsi="仿宋" w:eastAsia="仿宋" w:cs="仿宋"/>
                <w:color w:val="auto"/>
                <w:sz w:val="24"/>
                <w:szCs w:val="24"/>
                <w:highlight w:val="none"/>
              </w:rPr>
            </w:pPr>
          </w:p>
        </w:tc>
      </w:tr>
      <w:tr w14:paraId="6CF95A02">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84973CB">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568DCA01">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6EFED4F9">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3787AA8A">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00F6C88A">
            <w:pPr>
              <w:spacing w:line="360" w:lineRule="auto"/>
              <w:ind w:firstLine="420"/>
              <w:jc w:val="center"/>
              <w:outlineLvl w:val="9"/>
              <w:rPr>
                <w:rFonts w:hint="eastAsia" w:ascii="仿宋" w:hAnsi="仿宋" w:eastAsia="仿宋" w:cs="仿宋"/>
                <w:color w:val="auto"/>
                <w:sz w:val="24"/>
                <w:szCs w:val="24"/>
                <w:highlight w:val="none"/>
              </w:rPr>
            </w:pPr>
          </w:p>
        </w:tc>
      </w:tr>
      <w:tr w14:paraId="2EB7F4A1">
        <w:tblPrEx>
          <w:tblCellMar>
            <w:top w:w="0" w:type="dxa"/>
            <w:left w:w="108" w:type="dxa"/>
            <w:bottom w:w="0" w:type="dxa"/>
            <w:right w:w="108" w:type="dxa"/>
          </w:tblCellMar>
        </w:tblPrEx>
        <w:trPr>
          <w:trHeight w:val="624"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39C1062F">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550AD8CD">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392760CE">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288B8454">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7C8B8DBA">
            <w:pPr>
              <w:spacing w:line="360" w:lineRule="auto"/>
              <w:ind w:firstLine="420"/>
              <w:jc w:val="center"/>
              <w:outlineLvl w:val="9"/>
              <w:rPr>
                <w:rFonts w:hint="eastAsia" w:ascii="仿宋" w:hAnsi="仿宋" w:eastAsia="仿宋" w:cs="仿宋"/>
                <w:color w:val="auto"/>
                <w:sz w:val="24"/>
                <w:szCs w:val="24"/>
                <w:highlight w:val="none"/>
              </w:rPr>
            </w:pPr>
          </w:p>
        </w:tc>
      </w:tr>
      <w:tr w14:paraId="432BED24">
        <w:tblPrEx>
          <w:tblCellMar>
            <w:top w:w="0" w:type="dxa"/>
            <w:left w:w="108" w:type="dxa"/>
            <w:bottom w:w="0" w:type="dxa"/>
            <w:right w:w="108" w:type="dxa"/>
          </w:tblCellMar>
        </w:tblPrEx>
        <w:trPr>
          <w:trHeight w:val="476" w:hRule="atLeast"/>
          <w:jc w:val="center"/>
        </w:trPr>
        <w:tc>
          <w:tcPr>
            <w:tcW w:w="1316" w:type="dxa"/>
            <w:tcBorders>
              <w:top w:val="single" w:color="auto" w:sz="6" w:space="0"/>
              <w:left w:val="single" w:color="auto" w:sz="6" w:space="0"/>
              <w:bottom w:val="single" w:color="auto" w:sz="6" w:space="0"/>
              <w:right w:val="single" w:color="auto" w:sz="6" w:space="0"/>
            </w:tcBorders>
            <w:noWrap w:val="0"/>
            <w:vAlign w:val="center"/>
          </w:tcPr>
          <w:p w14:paraId="4C17816A">
            <w:pPr>
              <w:spacing w:line="360" w:lineRule="auto"/>
              <w:ind w:firstLine="420"/>
              <w:jc w:val="center"/>
              <w:outlineLvl w:val="9"/>
              <w:rPr>
                <w:rFonts w:hint="eastAsia" w:ascii="仿宋" w:hAnsi="仿宋" w:eastAsia="仿宋" w:cs="仿宋"/>
                <w:color w:val="auto"/>
                <w:sz w:val="24"/>
                <w:szCs w:val="24"/>
                <w:highlight w:val="none"/>
              </w:rPr>
            </w:pPr>
          </w:p>
        </w:tc>
        <w:tc>
          <w:tcPr>
            <w:tcW w:w="1975" w:type="dxa"/>
            <w:tcBorders>
              <w:top w:val="single" w:color="auto" w:sz="6" w:space="0"/>
              <w:left w:val="single" w:color="auto" w:sz="6" w:space="0"/>
              <w:bottom w:val="single" w:color="auto" w:sz="6" w:space="0"/>
              <w:right w:val="single" w:color="auto" w:sz="6" w:space="0"/>
            </w:tcBorders>
            <w:noWrap w:val="0"/>
            <w:vAlign w:val="center"/>
          </w:tcPr>
          <w:p w14:paraId="5E3109E7">
            <w:pPr>
              <w:spacing w:line="360" w:lineRule="auto"/>
              <w:ind w:firstLine="420"/>
              <w:jc w:val="center"/>
              <w:outlineLvl w:val="9"/>
              <w:rPr>
                <w:rFonts w:hint="eastAsia" w:ascii="仿宋" w:hAnsi="仿宋" w:eastAsia="仿宋" w:cs="仿宋"/>
                <w:color w:val="auto"/>
                <w:sz w:val="24"/>
                <w:szCs w:val="24"/>
                <w:highlight w:val="none"/>
              </w:rPr>
            </w:pPr>
          </w:p>
        </w:tc>
        <w:tc>
          <w:tcPr>
            <w:tcW w:w="1722" w:type="dxa"/>
            <w:tcBorders>
              <w:top w:val="single" w:color="auto" w:sz="6" w:space="0"/>
              <w:left w:val="single" w:color="auto" w:sz="6" w:space="0"/>
              <w:bottom w:val="single" w:color="auto" w:sz="6" w:space="0"/>
              <w:right w:val="single" w:color="auto" w:sz="6" w:space="0"/>
            </w:tcBorders>
            <w:noWrap w:val="0"/>
            <w:vAlign w:val="center"/>
          </w:tcPr>
          <w:p w14:paraId="763330B6">
            <w:pPr>
              <w:spacing w:line="360" w:lineRule="auto"/>
              <w:ind w:firstLine="420"/>
              <w:jc w:val="center"/>
              <w:outlineLvl w:val="9"/>
              <w:rPr>
                <w:rFonts w:hint="eastAsia" w:ascii="仿宋" w:hAnsi="仿宋" w:eastAsia="仿宋" w:cs="仿宋"/>
                <w:color w:val="auto"/>
                <w:sz w:val="24"/>
                <w:szCs w:val="24"/>
                <w:highlight w:val="none"/>
              </w:rPr>
            </w:pPr>
          </w:p>
        </w:tc>
        <w:tc>
          <w:tcPr>
            <w:tcW w:w="2030" w:type="dxa"/>
            <w:tcBorders>
              <w:top w:val="single" w:color="auto" w:sz="6" w:space="0"/>
              <w:left w:val="single" w:color="auto" w:sz="6" w:space="0"/>
              <w:bottom w:val="single" w:color="auto" w:sz="6" w:space="0"/>
              <w:right w:val="single" w:color="auto" w:sz="6" w:space="0"/>
            </w:tcBorders>
            <w:noWrap w:val="0"/>
            <w:vAlign w:val="center"/>
          </w:tcPr>
          <w:p w14:paraId="5964E4ED">
            <w:pPr>
              <w:spacing w:line="360" w:lineRule="auto"/>
              <w:ind w:firstLine="420"/>
              <w:jc w:val="center"/>
              <w:outlineLvl w:val="9"/>
              <w:rPr>
                <w:rFonts w:hint="eastAsia" w:ascii="仿宋" w:hAnsi="仿宋" w:eastAsia="仿宋" w:cs="仿宋"/>
                <w:color w:val="auto"/>
                <w:sz w:val="24"/>
                <w:szCs w:val="24"/>
                <w:highlight w:val="none"/>
              </w:rPr>
            </w:pPr>
          </w:p>
        </w:tc>
        <w:tc>
          <w:tcPr>
            <w:tcW w:w="2571" w:type="dxa"/>
            <w:tcBorders>
              <w:top w:val="single" w:color="auto" w:sz="6" w:space="0"/>
              <w:left w:val="single" w:color="auto" w:sz="6" w:space="0"/>
              <w:bottom w:val="single" w:color="auto" w:sz="6" w:space="0"/>
              <w:right w:val="single" w:color="auto" w:sz="6" w:space="0"/>
            </w:tcBorders>
            <w:noWrap w:val="0"/>
            <w:vAlign w:val="center"/>
          </w:tcPr>
          <w:p w14:paraId="500BB456">
            <w:pPr>
              <w:spacing w:line="360" w:lineRule="auto"/>
              <w:ind w:firstLine="420"/>
              <w:jc w:val="center"/>
              <w:outlineLvl w:val="9"/>
              <w:rPr>
                <w:rFonts w:hint="eastAsia" w:ascii="仿宋" w:hAnsi="仿宋" w:eastAsia="仿宋" w:cs="仿宋"/>
                <w:color w:val="auto"/>
                <w:sz w:val="24"/>
                <w:szCs w:val="24"/>
                <w:highlight w:val="none"/>
              </w:rPr>
            </w:pPr>
          </w:p>
        </w:tc>
      </w:tr>
    </w:tbl>
    <w:p w14:paraId="5A17D266">
      <w:pPr>
        <w:spacing w:line="360" w:lineRule="auto"/>
        <w:outlineLvl w:val="9"/>
        <w:rPr>
          <w:rFonts w:hint="eastAsia" w:ascii="仿宋" w:hAnsi="仿宋" w:eastAsia="仿宋" w:cs="仿宋"/>
          <w:color w:val="auto"/>
          <w:sz w:val="28"/>
          <w:highlight w:val="none"/>
        </w:rPr>
      </w:pPr>
    </w:p>
    <w:p w14:paraId="51D1DE48">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投标单位名称：（公章）</w:t>
      </w:r>
    </w:p>
    <w:p w14:paraId="558FB182">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法定代表人、法定代表授权委托人：（签字或盖章）</w:t>
      </w:r>
    </w:p>
    <w:p w14:paraId="5E558D28">
      <w:pPr>
        <w:pStyle w:val="17"/>
        <w:ind w:firstLine="960" w:firstLineChars="4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年      月     日</w:t>
      </w:r>
    </w:p>
    <w:p w14:paraId="1D295F96">
      <w:pPr>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70" w:name="_Toc14660"/>
      <w:bookmarkStart w:id="171" w:name="_Toc5469"/>
      <w:bookmarkStart w:id="172" w:name="_Toc61184646"/>
      <w:bookmarkStart w:id="173" w:name="_Toc56170403"/>
      <w:bookmarkStart w:id="174" w:name="_Toc5354"/>
      <w:r>
        <w:rPr>
          <w:rFonts w:hint="eastAsia" w:ascii="仿宋" w:hAnsi="仿宋" w:eastAsia="仿宋" w:cs="仿宋"/>
          <w:color w:val="auto"/>
          <w:sz w:val="28"/>
          <w:szCs w:val="28"/>
          <w:highlight w:val="none"/>
        </w:rPr>
        <w:t>附件十二、投标产品近三年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2023年5月至投标截止日，业绩时间以合同签订日期中标通知书发出日期为准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同类产品销售业绩表</w:t>
      </w:r>
      <w:bookmarkEnd w:id="170"/>
      <w:bookmarkEnd w:id="171"/>
      <w:bookmarkEnd w:id="172"/>
      <w:bookmarkEnd w:id="173"/>
      <w:bookmarkEnd w:id="174"/>
    </w:p>
    <w:tbl>
      <w:tblPr>
        <w:tblStyle w:val="18"/>
        <w:tblW w:w="9551" w:type="dxa"/>
        <w:jc w:val="center"/>
        <w:tblLayout w:type="fixed"/>
        <w:tblCellMar>
          <w:top w:w="0" w:type="dxa"/>
          <w:left w:w="108" w:type="dxa"/>
          <w:bottom w:w="0" w:type="dxa"/>
          <w:right w:w="108" w:type="dxa"/>
        </w:tblCellMar>
      </w:tblPr>
      <w:tblGrid>
        <w:gridCol w:w="2417"/>
        <w:gridCol w:w="2643"/>
        <w:gridCol w:w="1680"/>
        <w:gridCol w:w="1457"/>
        <w:gridCol w:w="1354"/>
      </w:tblGrid>
      <w:tr w14:paraId="0CB811E1">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2D325848">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地区</w:t>
            </w:r>
          </w:p>
        </w:tc>
        <w:tc>
          <w:tcPr>
            <w:tcW w:w="2643" w:type="dxa"/>
            <w:tcBorders>
              <w:top w:val="single" w:color="auto" w:sz="6" w:space="0"/>
              <w:left w:val="single" w:color="auto" w:sz="6" w:space="0"/>
              <w:bottom w:val="single" w:color="auto" w:sz="6" w:space="0"/>
              <w:right w:val="single" w:color="auto" w:sz="6" w:space="0"/>
            </w:tcBorders>
            <w:noWrap w:val="0"/>
            <w:vAlign w:val="center"/>
          </w:tcPr>
          <w:p w14:paraId="5FEC6916">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680" w:type="dxa"/>
            <w:tcBorders>
              <w:top w:val="single" w:color="auto" w:sz="6" w:space="0"/>
              <w:left w:val="single" w:color="auto" w:sz="6" w:space="0"/>
              <w:bottom w:val="single" w:color="auto" w:sz="6" w:space="0"/>
              <w:right w:val="single" w:color="auto" w:sz="6" w:space="0"/>
            </w:tcBorders>
            <w:noWrap w:val="0"/>
            <w:vAlign w:val="center"/>
          </w:tcPr>
          <w:p w14:paraId="735A2CBC">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中标内容</w:t>
            </w: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AC426B2">
            <w:pP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中标金额</w:t>
            </w:r>
          </w:p>
        </w:tc>
        <w:tc>
          <w:tcPr>
            <w:tcW w:w="1354" w:type="dxa"/>
            <w:tcBorders>
              <w:top w:val="single" w:color="auto" w:sz="6" w:space="0"/>
              <w:left w:val="single" w:color="auto" w:sz="6" w:space="0"/>
              <w:bottom w:val="single" w:color="auto" w:sz="6" w:space="0"/>
              <w:right w:val="single" w:color="auto" w:sz="6" w:space="0"/>
            </w:tcBorders>
            <w:noWrap w:val="0"/>
            <w:vAlign w:val="center"/>
          </w:tcPr>
          <w:p w14:paraId="2AC01221">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r>
      <w:tr w14:paraId="39D63E27">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0464B1A8">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508BB37B">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4E8E708A">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61A00F53">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74D11822">
            <w:pPr>
              <w:spacing w:line="360" w:lineRule="auto"/>
              <w:ind w:firstLine="420"/>
              <w:jc w:val="center"/>
              <w:outlineLvl w:val="9"/>
              <w:rPr>
                <w:rFonts w:hint="eastAsia" w:ascii="仿宋" w:hAnsi="仿宋" w:eastAsia="仿宋" w:cs="仿宋"/>
                <w:color w:val="auto"/>
                <w:sz w:val="24"/>
                <w:szCs w:val="24"/>
                <w:highlight w:val="none"/>
              </w:rPr>
            </w:pPr>
          </w:p>
        </w:tc>
      </w:tr>
      <w:tr w14:paraId="0175C0E0">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10DF1B46">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2D14B96C">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AA5C4D7">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FB60D51">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3104DCB9">
            <w:pPr>
              <w:spacing w:line="360" w:lineRule="auto"/>
              <w:ind w:firstLine="420"/>
              <w:jc w:val="center"/>
              <w:outlineLvl w:val="9"/>
              <w:rPr>
                <w:rFonts w:hint="eastAsia" w:ascii="仿宋" w:hAnsi="仿宋" w:eastAsia="仿宋" w:cs="仿宋"/>
                <w:color w:val="auto"/>
                <w:sz w:val="24"/>
                <w:szCs w:val="24"/>
                <w:highlight w:val="none"/>
              </w:rPr>
            </w:pPr>
          </w:p>
        </w:tc>
      </w:tr>
      <w:tr w14:paraId="40ED8793">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41FD530C">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257C48FA">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41E29D4">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6CA757A7">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53EE7B08">
            <w:pPr>
              <w:spacing w:line="360" w:lineRule="auto"/>
              <w:ind w:firstLine="420"/>
              <w:jc w:val="center"/>
              <w:outlineLvl w:val="9"/>
              <w:rPr>
                <w:rFonts w:hint="eastAsia" w:ascii="仿宋" w:hAnsi="仿宋" w:eastAsia="仿宋" w:cs="仿宋"/>
                <w:color w:val="auto"/>
                <w:sz w:val="24"/>
                <w:szCs w:val="24"/>
                <w:highlight w:val="none"/>
              </w:rPr>
            </w:pPr>
          </w:p>
        </w:tc>
      </w:tr>
      <w:tr w14:paraId="317CF62E">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5F8105F2">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8558163">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29427585">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4C36FBD4">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18854DF0">
            <w:pPr>
              <w:spacing w:line="360" w:lineRule="auto"/>
              <w:ind w:firstLine="420"/>
              <w:jc w:val="center"/>
              <w:outlineLvl w:val="9"/>
              <w:rPr>
                <w:rFonts w:hint="eastAsia" w:ascii="仿宋" w:hAnsi="仿宋" w:eastAsia="仿宋" w:cs="仿宋"/>
                <w:color w:val="auto"/>
                <w:sz w:val="24"/>
                <w:szCs w:val="24"/>
                <w:highlight w:val="none"/>
              </w:rPr>
            </w:pPr>
          </w:p>
        </w:tc>
      </w:tr>
      <w:tr w14:paraId="345F746E">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418BC14D">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70DA446B">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56D11669">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57A107C7">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454EAFA1">
            <w:pPr>
              <w:spacing w:line="360" w:lineRule="auto"/>
              <w:ind w:firstLine="420"/>
              <w:jc w:val="center"/>
              <w:outlineLvl w:val="9"/>
              <w:rPr>
                <w:rFonts w:hint="eastAsia" w:ascii="仿宋" w:hAnsi="仿宋" w:eastAsia="仿宋" w:cs="仿宋"/>
                <w:color w:val="auto"/>
                <w:sz w:val="24"/>
                <w:szCs w:val="24"/>
                <w:highlight w:val="none"/>
              </w:rPr>
            </w:pPr>
          </w:p>
        </w:tc>
      </w:tr>
      <w:tr w14:paraId="59C66001">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120BFD5D">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09E5383A">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0E92C008">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25D1F87E">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3F7391CE">
            <w:pPr>
              <w:spacing w:line="360" w:lineRule="auto"/>
              <w:ind w:firstLine="420"/>
              <w:jc w:val="center"/>
              <w:outlineLvl w:val="9"/>
              <w:rPr>
                <w:rFonts w:hint="eastAsia" w:ascii="仿宋" w:hAnsi="仿宋" w:eastAsia="仿宋" w:cs="仿宋"/>
                <w:color w:val="auto"/>
                <w:sz w:val="24"/>
                <w:szCs w:val="24"/>
                <w:highlight w:val="none"/>
              </w:rPr>
            </w:pPr>
          </w:p>
        </w:tc>
      </w:tr>
      <w:tr w14:paraId="2BBA5811">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7889457">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4E7359F2">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6A283EC7">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1A854BA9">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1A5D52DC">
            <w:pPr>
              <w:spacing w:line="360" w:lineRule="auto"/>
              <w:ind w:firstLine="420"/>
              <w:jc w:val="center"/>
              <w:outlineLvl w:val="9"/>
              <w:rPr>
                <w:rFonts w:hint="eastAsia" w:ascii="仿宋" w:hAnsi="仿宋" w:eastAsia="仿宋" w:cs="仿宋"/>
                <w:color w:val="auto"/>
                <w:sz w:val="24"/>
                <w:szCs w:val="24"/>
                <w:highlight w:val="none"/>
              </w:rPr>
            </w:pPr>
          </w:p>
        </w:tc>
      </w:tr>
      <w:tr w14:paraId="6DE2E28A">
        <w:tblPrEx>
          <w:tblCellMar>
            <w:top w:w="0" w:type="dxa"/>
            <w:left w:w="108" w:type="dxa"/>
            <w:bottom w:w="0" w:type="dxa"/>
            <w:right w:w="108" w:type="dxa"/>
          </w:tblCellMar>
        </w:tblPrEx>
        <w:trPr>
          <w:trHeight w:val="528" w:hRule="atLeast"/>
          <w:jc w:val="center"/>
        </w:trPr>
        <w:tc>
          <w:tcPr>
            <w:tcW w:w="2417" w:type="dxa"/>
            <w:tcBorders>
              <w:top w:val="single" w:color="auto" w:sz="6" w:space="0"/>
              <w:left w:val="single" w:color="auto" w:sz="6" w:space="0"/>
              <w:bottom w:val="single" w:color="auto" w:sz="6" w:space="0"/>
              <w:right w:val="single" w:color="auto" w:sz="6" w:space="0"/>
            </w:tcBorders>
            <w:noWrap w:val="0"/>
            <w:vAlign w:val="center"/>
          </w:tcPr>
          <w:p w14:paraId="31C0FF45">
            <w:pPr>
              <w:spacing w:line="360" w:lineRule="auto"/>
              <w:ind w:firstLine="420"/>
              <w:jc w:val="center"/>
              <w:outlineLvl w:val="9"/>
              <w:rPr>
                <w:rFonts w:hint="eastAsia" w:ascii="仿宋" w:hAnsi="仿宋" w:eastAsia="仿宋" w:cs="仿宋"/>
                <w:color w:val="auto"/>
                <w:sz w:val="24"/>
                <w:szCs w:val="24"/>
                <w:highlight w:val="none"/>
              </w:rPr>
            </w:pPr>
          </w:p>
        </w:tc>
        <w:tc>
          <w:tcPr>
            <w:tcW w:w="2643" w:type="dxa"/>
            <w:tcBorders>
              <w:top w:val="single" w:color="auto" w:sz="6" w:space="0"/>
              <w:left w:val="single" w:color="auto" w:sz="6" w:space="0"/>
              <w:bottom w:val="single" w:color="auto" w:sz="6" w:space="0"/>
              <w:right w:val="single" w:color="auto" w:sz="6" w:space="0"/>
            </w:tcBorders>
            <w:noWrap w:val="0"/>
            <w:vAlign w:val="center"/>
          </w:tcPr>
          <w:p w14:paraId="1B68FF6D">
            <w:pPr>
              <w:spacing w:line="360" w:lineRule="auto"/>
              <w:ind w:firstLine="420"/>
              <w:jc w:val="center"/>
              <w:outlineLvl w:val="9"/>
              <w:rPr>
                <w:rFonts w:hint="eastAsia" w:ascii="仿宋" w:hAnsi="仿宋" w:eastAsia="仿宋" w:cs="仿宋"/>
                <w:color w:val="auto"/>
                <w:sz w:val="24"/>
                <w:szCs w:val="24"/>
                <w:highlight w:val="none"/>
              </w:rPr>
            </w:pPr>
          </w:p>
        </w:tc>
        <w:tc>
          <w:tcPr>
            <w:tcW w:w="1680" w:type="dxa"/>
            <w:tcBorders>
              <w:top w:val="single" w:color="auto" w:sz="6" w:space="0"/>
              <w:left w:val="single" w:color="auto" w:sz="6" w:space="0"/>
              <w:bottom w:val="single" w:color="auto" w:sz="6" w:space="0"/>
              <w:right w:val="single" w:color="auto" w:sz="6" w:space="0"/>
            </w:tcBorders>
            <w:noWrap w:val="0"/>
            <w:vAlign w:val="center"/>
          </w:tcPr>
          <w:p w14:paraId="1BB13F22">
            <w:pPr>
              <w:spacing w:line="360" w:lineRule="auto"/>
              <w:ind w:firstLine="420"/>
              <w:jc w:val="center"/>
              <w:outlineLvl w:val="9"/>
              <w:rPr>
                <w:rFonts w:hint="eastAsia" w:ascii="仿宋" w:hAnsi="仿宋" w:eastAsia="仿宋" w:cs="仿宋"/>
                <w:color w:val="auto"/>
                <w:sz w:val="24"/>
                <w:szCs w:val="24"/>
                <w:highlight w:val="none"/>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14:paraId="093B4473">
            <w:pPr>
              <w:spacing w:line="360" w:lineRule="auto"/>
              <w:ind w:firstLine="420"/>
              <w:jc w:val="center"/>
              <w:outlineLvl w:val="9"/>
              <w:rPr>
                <w:rFonts w:hint="eastAsia" w:ascii="仿宋" w:hAnsi="仿宋" w:eastAsia="仿宋" w:cs="仿宋"/>
                <w:color w:val="auto"/>
                <w:sz w:val="24"/>
                <w:szCs w:val="24"/>
                <w:highlight w:val="none"/>
              </w:rPr>
            </w:pPr>
          </w:p>
        </w:tc>
        <w:tc>
          <w:tcPr>
            <w:tcW w:w="1354" w:type="dxa"/>
            <w:tcBorders>
              <w:top w:val="single" w:color="auto" w:sz="6" w:space="0"/>
              <w:left w:val="single" w:color="auto" w:sz="6" w:space="0"/>
              <w:bottom w:val="single" w:color="auto" w:sz="6" w:space="0"/>
              <w:right w:val="single" w:color="auto" w:sz="6" w:space="0"/>
            </w:tcBorders>
            <w:noWrap w:val="0"/>
            <w:vAlign w:val="center"/>
          </w:tcPr>
          <w:p w14:paraId="1FE96207">
            <w:pPr>
              <w:spacing w:line="360" w:lineRule="auto"/>
              <w:ind w:firstLine="420"/>
              <w:jc w:val="center"/>
              <w:outlineLvl w:val="9"/>
              <w:rPr>
                <w:rFonts w:hint="eastAsia" w:ascii="仿宋" w:hAnsi="仿宋" w:eastAsia="仿宋" w:cs="仿宋"/>
                <w:color w:val="auto"/>
                <w:sz w:val="24"/>
                <w:szCs w:val="24"/>
                <w:highlight w:val="none"/>
              </w:rPr>
            </w:pPr>
          </w:p>
        </w:tc>
      </w:tr>
    </w:tbl>
    <w:p w14:paraId="5FC9466E">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应随此表附上相关的业绩证明（以提供的</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业绩证明资料如合同</w:t>
      </w:r>
      <w:r>
        <w:rPr>
          <w:rFonts w:hint="eastAsia" w:ascii="仿宋" w:hAnsi="仿宋" w:eastAsia="仿宋" w:cs="仿宋"/>
          <w:color w:val="auto"/>
          <w:sz w:val="24"/>
          <w:szCs w:val="24"/>
          <w:highlight w:val="none"/>
          <w:lang w:val="en-US" w:eastAsia="zh-CN"/>
        </w:rPr>
        <w:t>和中标（</w:t>
      </w:r>
      <w:r>
        <w:rPr>
          <w:rFonts w:hint="eastAsia" w:ascii="仿宋" w:hAnsi="仿宋" w:eastAsia="仿宋" w:cs="仿宋"/>
          <w:color w:val="auto"/>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通知书复印件为准）。</w:t>
      </w:r>
    </w:p>
    <w:p w14:paraId="15355068">
      <w:pPr>
        <w:pStyle w:val="17"/>
        <w:rPr>
          <w:rFonts w:hint="eastAsia" w:ascii="仿宋" w:hAnsi="仿宋" w:eastAsia="仿宋" w:cs="仿宋"/>
          <w:color w:val="auto"/>
          <w:kern w:val="2"/>
          <w:sz w:val="24"/>
          <w:szCs w:val="22"/>
          <w:highlight w:val="none"/>
          <w:lang w:val="en-US" w:eastAsia="zh-CN" w:bidi="ar-SA"/>
        </w:rPr>
      </w:pPr>
    </w:p>
    <w:p w14:paraId="107E87BC">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投标单位名称：（公章）</w:t>
      </w:r>
    </w:p>
    <w:p w14:paraId="6ED81A3C">
      <w:pPr>
        <w:pStyle w:val="17"/>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法定代表人、法定代表授权委托人：（签字或盖章）</w:t>
      </w:r>
    </w:p>
    <w:p w14:paraId="4625AE92">
      <w:pPr>
        <w:pStyle w:val="17"/>
        <w:ind w:firstLine="960" w:firstLineChars="400"/>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年      月     日</w:t>
      </w:r>
    </w:p>
    <w:p w14:paraId="633E0F9F">
      <w:pPr>
        <w:rPr>
          <w:rFonts w:hint="eastAsia"/>
          <w:color w:val="auto"/>
          <w:sz w:val="20"/>
          <w:szCs w:val="18"/>
        </w:rPr>
      </w:pPr>
    </w:p>
    <w:p w14:paraId="7FEE5968">
      <w:pPr>
        <w:rPr>
          <w:rFonts w:hint="eastAsia"/>
          <w:color w:val="auto"/>
          <w:sz w:val="20"/>
          <w:szCs w:val="18"/>
        </w:rPr>
      </w:pPr>
    </w:p>
    <w:p w14:paraId="042C41E0">
      <w:pPr>
        <w:rPr>
          <w:rFonts w:hint="eastAsia"/>
          <w:color w:val="auto"/>
        </w:rPr>
      </w:pPr>
    </w:p>
    <w:p w14:paraId="03BC236D">
      <w:pPr>
        <w:rPr>
          <w:rFonts w:hint="eastAsia"/>
          <w:color w:val="auto"/>
        </w:rPr>
      </w:pPr>
    </w:p>
    <w:p w14:paraId="7D6C3B2F">
      <w:pPr>
        <w:rPr>
          <w:rFonts w:hint="eastAsia"/>
          <w:color w:val="auto"/>
        </w:rPr>
      </w:pPr>
    </w:p>
    <w:p w14:paraId="7A4CFF2A">
      <w:pPr>
        <w:rPr>
          <w:rFonts w:hint="eastAsia"/>
          <w:color w:val="auto"/>
        </w:rPr>
      </w:pPr>
    </w:p>
    <w:p w14:paraId="61902D22">
      <w:pPr>
        <w:rPr>
          <w:rFonts w:hint="eastAsia"/>
          <w:color w:val="auto"/>
        </w:rPr>
      </w:pPr>
    </w:p>
    <w:p w14:paraId="2F808187">
      <w:pPr>
        <w:rPr>
          <w:rFonts w:hint="eastAsia"/>
          <w:color w:val="auto"/>
        </w:rPr>
      </w:pPr>
    </w:p>
    <w:p w14:paraId="2AA16F8F">
      <w:pPr>
        <w:rPr>
          <w:rFonts w:hint="eastAsia"/>
          <w:color w:val="auto"/>
        </w:rPr>
      </w:pPr>
    </w:p>
    <w:p w14:paraId="25CC5A13">
      <w:pPr>
        <w:rPr>
          <w:rFonts w:hint="eastAsia"/>
          <w:color w:val="auto"/>
        </w:rPr>
      </w:pPr>
    </w:p>
    <w:p w14:paraId="2AEF645B">
      <w:pPr>
        <w:rPr>
          <w:rFonts w:hint="eastAsia"/>
          <w:color w:val="auto"/>
        </w:rPr>
      </w:pPr>
    </w:p>
    <w:p w14:paraId="2F087192">
      <w:pPr>
        <w:rPr>
          <w:rFonts w:hint="eastAsia"/>
          <w:color w:val="auto"/>
        </w:rPr>
      </w:pPr>
    </w:p>
    <w:p w14:paraId="5BD2A2DA">
      <w:pPr>
        <w:rPr>
          <w:rFonts w:hint="eastAsia"/>
          <w:color w:val="auto"/>
        </w:rPr>
      </w:pPr>
    </w:p>
    <w:p w14:paraId="4E4B599C">
      <w:pPr>
        <w:rPr>
          <w:rFonts w:hint="eastAsia"/>
          <w:color w:val="auto"/>
        </w:rPr>
      </w:pPr>
    </w:p>
    <w:p w14:paraId="3FD6007F">
      <w:pPr>
        <w:rPr>
          <w:rFonts w:hint="eastAsia"/>
          <w:color w:val="auto"/>
        </w:rPr>
      </w:pPr>
    </w:p>
    <w:p w14:paraId="7187E551">
      <w:pPr>
        <w:rPr>
          <w:rFonts w:hint="eastAsia"/>
          <w:color w:val="auto"/>
        </w:rPr>
      </w:pPr>
    </w:p>
    <w:p w14:paraId="1754594A">
      <w:pPr>
        <w:jc w:val="center"/>
        <w:outlineLvl w:val="1"/>
        <w:rPr>
          <w:rFonts w:hint="eastAsia" w:ascii="仿宋" w:hAnsi="仿宋" w:eastAsia="仿宋" w:cs="仿宋"/>
          <w:color w:val="auto"/>
          <w:sz w:val="28"/>
          <w:szCs w:val="21"/>
        </w:rPr>
      </w:pPr>
      <w:bookmarkStart w:id="175" w:name="_Toc15499"/>
      <w:bookmarkStart w:id="176" w:name="_Toc5331"/>
      <w:r>
        <w:rPr>
          <w:rFonts w:hint="eastAsia" w:ascii="仿宋" w:hAnsi="仿宋" w:eastAsia="仿宋" w:cs="仿宋"/>
          <w:color w:val="auto"/>
          <w:sz w:val="28"/>
          <w:szCs w:val="21"/>
          <w:lang w:val="en-US" w:eastAsia="zh-CN"/>
        </w:rPr>
        <w:t>附件十三、</w:t>
      </w:r>
      <w:r>
        <w:rPr>
          <w:rFonts w:hint="eastAsia" w:ascii="仿宋" w:hAnsi="仿宋" w:eastAsia="仿宋" w:cs="仿宋"/>
          <w:color w:val="auto"/>
          <w:sz w:val="28"/>
          <w:szCs w:val="21"/>
        </w:rPr>
        <w:t>招标文件要求的或投标</w:t>
      </w:r>
      <w:r>
        <w:rPr>
          <w:rFonts w:hint="eastAsia" w:ascii="仿宋" w:hAnsi="仿宋" w:eastAsia="仿宋" w:cs="仿宋"/>
          <w:color w:val="auto"/>
          <w:sz w:val="28"/>
          <w:szCs w:val="21"/>
          <w:lang w:eastAsia="zh-CN"/>
        </w:rPr>
        <w:t>供应商</w:t>
      </w:r>
      <w:r>
        <w:rPr>
          <w:rFonts w:hint="eastAsia" w:ascii="仿宋" w:hAnsi="仿宋" w:eastAsia="仿宋" w:cs="仿宋"/>
          <w:color w:val="auto"/>
          <w:sz w:val="28"/>
          <w:szCs w:val="21"/>
        </w:rPr>
        <w:t>认为有必要提供的其他文件</w:t>
      </w:r>
    </w:p>
    <w:p w14:paraId="15F7852B">
      <w:pPr>
        <w:rPr>
          <w:rFonts w:hint="eastAsia" w:ascii="宋体" w:hAnsi="宋体" w:cs="仿宋"/>
          <w:color w:val="auto"/>
          <w:sz w:val="24"/>
        </w:rPr>
      </w:pPr>
      <w:r>
        <w:rPr>
          <w:rFonts w:hint="eastAsia" w:ascii="宋体" w:hAnsi="宋体" w:cs="仿宋"/>
          <w:color w:val="auto"/>
          <w:sz w:val="24"/>
        </w:rPr>
        <w:br w:type="page"/>
      </w:r>
    </w:p>
    <w:p w14:paraId="5864BB1E">
      <w:pPr>
        <w:outlineLvl w:val="1"/>
        <w:rPr>
          <w:rFonts w:hint="eastAsia" w:ascii="仿宋" w:hAnsi="仿宋" w:eastAsia="仿宋" w:cs="仿宋"/>
          <w:b/>
          <w:color w:val="auto"/>
          <w:sz w:val="28"/>
          <w:szCs w:val="28"/>
          <w:highlight w:val="none"/>
        </w:rPr>
      </w:pPr>
      <w:r>
        <w:rPr>
          <w:rStyle w:val="32"/>
          <w:rFonts w:hint="eastAsia" w:ascii="仿宋" w:hAnsi="仿宋" w:eastAsia="仿宋" w:cs="仿宋"/>
          <w:color w:val="auto"/>
        </w:rPr>
        <w:t>附表：退保证金的函</w:t>
      </w:r>
      <w:bookmarkEnd w:id="175"/>
      <w:bookmarkEnd w:id="176"/>
      <w:r>
        <w:rPr>
          <w:rFonts w:hint="eastAsia" w:ascii="仿宋" w:hAnsi="仿宋" w:eastAsia="仿宋" w:cs="仿宋"/>
          <w:b/>
          <w:color w:val="auto"/>
          <w:sz w:val="28"/>
          <w:szCs w:val="28"/>
          <w:highlight w:val="none"/>
        </w:rPr>
        <w:t xml:space="preserve"> </w:t>
      </w:r>
    </w:p>
    <w:p w14:paraId="00C9C2DF">
      <w:pPr>
        <w:spacing w:line="360" w:lineRule="auto"/>
        <w:outlineLvl w:val="9"/>
        <w:rPr>
          <w:rFonts w:hint="eastAsia" w:ascii="仿宋" w:hAnsi="仿宋" w:eastAsia="仿宋" w:cs="仿宋"/>
          <w:color w:val="auto"/>
          <w:sz w:val="24"/>
          <w:szCs w:val="24"/>
          <w:highlight w:val="none"/>
          <w:u w:val="single"/>
          <w:lang w:eastAsia="zh-CN"/>
        </w:rPr>
      </w:pPr>
      <w:bookmarkStart w:id="177" w:name="_Toc9090"/>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 xml:space="preserve"> 新疆浩瑞兴建设工程项目管理咨询有限公司</w:t>
      </w:r>
      <w:bookmarkEnd w:id="177"/>
    </w:p>
    <w:p w14:paraId="533747F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单位名称：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参加贵方组织的，</w:t>
      </w:r>
      <w:r>
        <w:rPr>
          <w:rFonts w:hint="eastAsia" w:ascii="仿宋" w:hAnsi="仿宋" w:eastAsia="仿宋" w:cs="仿宋"/>
          <w:color w:val="auto"/>
          <w:sz w:val="24"/>
          <w:szCs w:val="24"/>
          <w:highlight w:val="none"/>
          <w:u w:val="none"/>
          <w:lang w:val="en-US" w:eastAsia="zh-CN"/>
        </w:rPr>
        <w:t>项目名称：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采购活动。按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文件的规定，已通过</w:t>
      </w:r>
      <w:r>
        <w:rPr>
          <w:rFonts w:hint="eastAsia" w:ascii="仿宋" w:hAnsi="仿宋" w:eastAsia="仿宋" w:cs="仿宋"/>
          <w:color w:val="auto"/>
          <w:sz w:val="24"/>
          <w:szCs w:val="24"/>
          <w:highlight w:val="none"/>
          <w:u w:val="single"/>
        </w:rPr>
        <w:t>银行转帐/银行汇款</w:t>
      </w:r>
      <w:r>
        <w:rPr>
          <w:rFonts w:hint="eastAsia" w:ascii="仿宋" w:hAnsi="仿宋" w:eastAsia="仿宋" w:cs="仿宋"/>
          <w:color w:val="auto"/>
          <w:sz w:val="24"/>
          <w:szCs w:val="24"/>
          <w:highlight w:val="none"/>
        </w:rPr>
        <w:t>形式缴纳人民币</w:t>
      </w:r>
    </w:p>
    <w:p w14:paraId="58EC78E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大写</w:t>
      </w:r>
      <w:r>
        <w:rPr>
          <w:rFonts w:hint="eastAsia" w:ascii="仿宋" w:hAnsi="仿宋" w:eastAsia="仿宋" w:cs="仿宋"/>
          <w:color w:val="auto"/>
          <w:sz w:val="24"/>
          <w:szCs w:val="24"/>
          <w:highlight w:val="none"/>
        </w:rPr>
        <w:t>的保证金。</w:t>
      </w:r>
    </w:p>
    <w:p w14:paraId="05DB8203">
      <w:pPr>
        <w:autoSpaceDE w:val="0"/>
        <w:autoSpaceDN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退还保证金时请按以下内容划入我方帐户。若因内容不全、错误、字迹潦草模糊导致该项目保证金未能及时退还或退还过程中发生错误，我方将承担全部责任和损失。</w:t>
      </w:r>
    </w:p>
    <w:p w14:paraId="5682FB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 xml:space="preserve">名称： </w:t>
      </w:r>
    </w:p>
    <w:p w14:paraId="55A864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开户银行：</w:t>
      </w:r>
    </w:p>
    <w:p w14:paraId="76D60E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开户银行行号：</w:t>
      </w:r>
    </w:p>
    <w:p w14:paraId="5092A3C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投标人银行帐号：                         </w:t>
      </w:r>
    </w:p>
    <w:p w14:paraId="45285A0F">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投标人姓名：</w:t>
      </w:r>
    </w:p>
    <w:p w14:paraId="438D141A">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投标人电话：</w:t>
      </w:r>
    </w:p>
    <w:p w14:paraId="3651A62B">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法定代表人（或法定代表人授权代表）签字：</w:t>
      </w:r>
    </w:p>
    <w:p w14:paraId="6AED2A00">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名称（加盖公章）：</w:t>
      </w:r>
    </w:p>
    <w:p w14:paraId="13E6CC1E">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日期：   年   月   日</w:t>
      </w:r>
    </w:p>
    <w:tbl>
      <w:tblPr>
        <w:tblStyle w:val="18"/>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6"/>
      </w:tblGrid>
      <w:tr w14:paraId="1D71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9596" w:type="dxa"/>
            <w:noWrap w:val="0"/>
            <w:vAlign w:val="center"/>
          </w:tcPr>
          <w:p w14:paraId="1041334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（粘贴转帐或汇款的银行凭证复印件）</w:t>
            </w:r>
          </w:p>
        </w:tc>
      </w:tr>
    </w:tbl>
    <w:p w14:paraId="14150DAB">
      <w:pPr>
        <w:rPr>
          <w:rFonts w:hint="eastAsia" w:ascii="仿宋" w:hAnsi="仿宋" w:eastAsia="仿宋" w:cs="仿宋"/>
          <w:b/>
          <w:color w:val="auto"/>
          <w:sz w:val="24"/>
          <w:szCs w:val="24"/>
          <w:highlight w:val="none"/>
        </w:rPr>
      </w:pPr>
      <w:bookmarkStart w:id="178" w:name="_Toc8922"/>
      <w:bookmarkStart w:id="179" w:name="_Toc30101"/>
      <w:r>
        <w:rPr>
          <w:rFonts w:hint="eastAsia" w:ascii="仿宋" w:hAnsi="仿宋" w:eastAsia="仿宋" w:cs="仿宋"/>
          <w:b/>
          <w:bCs/>
          <w:color w:val="auto"/>
          <w:sz w:val="24"/>
          <w:szCs w:val="24"/>
          <w:highlight w:val="none"/>
          <w:lang w:val="en-US" w:eastAsia="zh-CN"/>
        </w:rPr>
        <w:t>注：1、</w:t>
      </w:r>
      <w:r>
        <w:rPr>
          <w:rFonts w:hint="eastAsia" w:ascii="仿宋" w:hAnsi="仿宋" w:eastAsia="仿宋" w:cs="仿宋"/>
          <w:b/>
          <w:color w:val="auto"/>
          <w:sz w:val="24"/>
          <w:szCs w:val="24"/>
          <w:highlight w:val="none"/>
        </w:rPr>
        <w:t>为方便代理机构后续退款事宜，请</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认真填写此函信息，并后附转帐或汇款的银行凭证复印件。</w:t>
      </w:r>
    </w:p>
    <w:p w14:paraId="1218E75B">
      <w:pPr>
        <w:rPr>
          <w:rFonts w:hint="default"/>
          <w:color w:val="auto"/>
          <w:lang w:val="en-US"/>
        </w:rPr>
      </w:pPr>
      <w:r>
        <w:rPr>
          <w:rFonts w:hint="eastAsia" w:ascii="仿宋" w:hAnsi="仿宋" w:eastAsia="仿宋" w:cs="仿宋"/>
          <w:b/>
          <w:bCs/>
          <w:color w:val="auto"/>
          <w:sz w:val="24"/>
          <w:szCs w:val="24"/>
          <w:highlight w:val="none"/>
          <w:lang w:val="en-US" w:eastAsia="zh-CN"/>
        </w:rPr>
        <w:t>2、此申请函无需在投标文件中提供，于开标结束后填写完整附上银行转账或汇款凭证并加盖企业公章，将扫描件发送至代理公司邮箱</w:t>
      </w:r>
      <w:bookmarkEnd w:id="178"/>
      <w:bookmarkEnd w:id="179"/>
      <w:r>
        <w:rPr>
          <w:rFonts w:hint="eastAsia" w:ascii="仿宋" w:hAnsi="仿宋" w:eastAsia="仿宋" w:cs="仿宋"/>
          <w:b/>
          <w:bCs/>
          <w:color w:val="auto"/>
          <w:sz w:val="24"/>
          <w:szCs w:val="24"/>
          <w:highlight w:val="none"/>
          <w:lang w:val="en-US" w:eastAsia="zh-CN"/>
        </w:rPr>
        <w:t>3958774434@qq.com，退保证金事宜联系公司财务：陈会计13899909398.</w:t>
      </w:r>
    </w:p>
    <w:p w14:paraId="59B8A8C8">
      <w:pPr>
        <w:rPr>
          <w:rFonts w:hint="eastAsia"/>
          <w:color w:val="auto"/>
        </w:rPr>
      </w:pPr>
    </w:p>
    <w:p w14:paraId="2832EDB2">
      <w:pPr>
        <w:rPr>
          <w:rFonts w:hint="eastAsia"/>
          <w:color w:val="auto"/>
        </w:rPr>
      </w:pPr>
    </w:p>
    <w:p w14:paraId="1212ECAF">
      <w:pPr>
        <w:rPr>
          <w:rFonts w:hint="eastAsia"/>
          <w:color w:val="auto"/>
        </w:rPr>
      </w:pPr>
    </w:p>
    <w:p w14:paraId="0D390DE0">
      <w:pPr>
        <w:rPr>
          <w:rFonts w:hint="eastAsia"/>
          <w:color w:val="auto"/>
        </w:rPr>
      </w:pPr>
    </w:p>
    <w:p w14:paraId="1D068631">
      <w:pPr>
        <w:rPr>
          <w:color w:val="auto"/>
        </w:rPr>
      </w:pPr>
    </w:p>
    <w:sectPr>
      <w:headerReference r:id="rId10" w:type="default"/>
      <w:footerReference r:id="rId11" w:type="default"/>
      <w:pgSz w:w="11906" w:h="16838"/>
      <w:pgMar w:top="1440" w:right="1077" w:bottom="1440"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EDFA">
    <w:pPr>
      <w:pStyle w:val="10"/>
      <w:tabs>
        <w:tab w:val="center" w:pos="481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D5D91D1">
                          <w:pPr>
                            <w:pStyle w:val="1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dOgTY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29DVkhLLDN74+dfP8++/&#10;5z8/CMZQoN5DjXX3Hivj8NENuDZzHDCYeA8ymPRHRgTzKO/pIq8YIuHpULWqqhJTHHOzg/jF43Ef&#10;IN4JZ0gyGhrw/rKs7PgZ4lg6l6Ru1t0qrfMdakt6RL2u3l/nE5cUomubikVehwkncRpnT1YcdsNE&#10;dOfaE/LscSUaavEFUKI/WVQ8bc9shNnYzcbBB7Xv8nqlXuA/HCIOl2dOHUZY5JocvMvMetq7tCxP&#10;/Vz1+NY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Z06BNgBAACzAwAADgAAAAAAAAAB&#10;ACAAAAAiAQAAZHJzL2Uyb0RvYy54bWxQSwUGAAAAAAYABgBZAQAAbAUAAAAA&#10;">
              <v:fill on="f" focussize="0,0"/>
              <v:stroke on="f" weight="1.25pt"/>
              <v:imagedata o:title=""/>
              <o:lock v:ext="edit" aspectratio="f"/>
              <v:textbox inset="0mm,0mm,0mm,0mm" style="mso-fit-shape-to-text:t;">
                <w:txbxContent>
                  <w:p w14:paraId="6D5D91D1">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FCAB">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604BD8">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4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8Sqm51AEAAKYDAAAOAAAAAAAAAAEAIAAA&#10;ACIBAABkcnMvZTJvRG9jLnhtbFBLBQYAAAAABgAGAFkBAABoBQAAAAA=&#10;">
              <v:fill on="f" focussize="0,0"/>
              <v:stroke on="f" weight="1.25pt"/>
              <v:imagedata o:title=""/>
              <o:lock v:ext="edit" aspectratio="f"/>
              <v:textbox inset="0mm,0mm,0mm,0mm" style="mso-fit-shape-to-text:t;">
                <w:txbxContent>
                  <w:p w14:paraId="1C604BD8">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D9B">
    <w:pPr>
      <w:pStyle w:val="10"/>
      <w:tabs>
        <w:tab w:val="center" w:pos="4819"/>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7C1087">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&#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q2k+dIBAACmAwAADgAAAAAAAAABACAAAAAi&#10;AQAAZHJzL2Uyb0RvYy54bWxQSwUGAAAAAAYABgBZAQAAZgUAAAAA&#10;">
              <v:fill on="f" focussize="0,0"/>
              <v:stroke on="f" weight="1.25pt"/>
              <v:imagedata o:title=""/>
              <o:lock v:ext="edit" aspectratio="f"/>
              <v:textbox inset="0mm,0mm,0mm,0mm" style="mso-fit-shape-to-text:t;">
                <w:txbxContent>
                  <w:p w14:paraId="047C1087">
                    <w:pPr>
                      <w:pStyle w:val="10"/>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702A4B6">
                          <w:pPr>
                            <w:pStyle w:val="10"/>
                          </w:pP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mUDlg1wEAALIDAAAOAAAAAAAAAAEA&#10;IAAAACIBAABkcnMvZTJvRG9jLnhtbFBLBQYAAAAABgAGAFkBAABrBQAAAAA=&#10;">
              <v:fill on="f" focussize="0,0"/>
              <v:stroke on="f" weight="1.25pt"/>
              <v:imagedata o:title=""/>
              <o:lock v:ext="edit" aspectratio="f"/>
              <v:textbox inset="0mm,0mm,0mm,0mm" style="mso-fit-shape-to-text:t;">
                <w:txbxContent>
                  <w:p w14:paraId="5702A4B6">
                    <w:pPr>
                      <w:pStyle w:val="1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0F62">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BD3831">
                          <w:pPr>
                            <w:pStyle w:val="10"/>
                          </w:pPr>
                          <w:r>
                            <w:fldChar w:fldCharType="begin"/>
                          </w:r>
                          <w:r>
                            <w:instrText xml:space="preserve"> PAGE  \* MERGEFORMAT </w:instrText>
                          </w:r>
                          <w:r>
                            <w:fldChar w:fldCharType="separate"/>
                          </w:r>
                          <w:r>
                            <w:t>- 39 -</w:t>
                          </w:r>
                          <w:r>
                            <w:fldChar w:fldCharType="end"/>
                          </w:r>
                        </w:p>
                      </w:txbxContent>
                    </wps:txbx>
                    <wps:bodyPr wrap="none" lIns="0" tIns="0" rIns="0" bIns="0" upright="0">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QGOVbUAQAApg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izXy6RQ76HGxHuPqXF47wbcm/ke8DIRH2Qw6YuUCMZR3/NVXzFEwtOjalVVJYY4xmYH8YvH&#10;5z5A/CCcIcloaMABZl3Z6RPEMXVOSdWsu1Na5yFqS3pEXVfv1vnFNYTo2mKRxGLsNllx2A8Ttb1r&#10;z8isxy1oqMWlp0R/tChyWpjZCLOxn42jD+rQ5Y1KrYC/PUZsJ3eZKoywU2EcX+Y5rVraj3/9nPX4&#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0BjlW1AEAAKYDAAAOAAAAAAAAAAEAIAAA&#10;ACIBAABkcnMvZTJvRG9jLnhtbFBLBQYAAAAABgAGAFkBAABoBQAAAAA=&#10;">
              <v:fill on="f" focussize="0,0"/>
              <v:stroke on="f" weight="1.25pt"/>
              <v:imagedata o:title=""/>
              <o:lock v:ext="edit" aspectratio="f"/>
              <v:textbox inset="0mm,0mm,0mm,0mm" style="mso-fit-shape-to-text:t;">
                <w:txbxContent>
                  <w:p w14:paraId="6BBD3831">
                    <w:pPr>
                      <w:pStyle w:val="10"/>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8970C">
    <w:pPr>
      <w:pStyle w:val="10"/>
      <w:tabs>
        <w:tab w:val="center" w:pos="4819"/>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89B0A5">
                          <w:pPr>
                            <w:pStyle w:val="10"/>
                          </w:pPr>
                          <w:r>
                            <w:fldChar w:fldCharType="begin"/>
                          </w:r>
                          <w:r>
                            <w:instrText xml:space="preserve"> PAGE  \* MERGEFORMAT </w:instrText>
                          </w:r>
                          <w:r>
                            <w:fldChar w:fldCharType="separate"/>
                          </w:r>
                          <w:r>
                            <w:t>- 38 -</w:t>
                          </w:r>
                          <w:r>
                            <w:fldChar w:fldCharType="end"/>
                          </w:r>
                        </w:p>
                      </w:txbxContent>
                    </wps:txbx>
                    <wps:bodyPr wrap="none" lIns="0" tIns="0" rIns="0" bIns="0" upright="0">
                      <a:spAutoFit/>
                    </wps:bodyPr>
                  </wps:wsp>
                </a:graphicData>
              </a:graphic>
            </wp:anchor>
          </w:drawing>
        </mc:Choice>
        <mc:Fallback>
          <w:pict>
            <v:shape id="文本框 105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WR8QX1AEAAKYDAAAOAAAAAAAAAAEAIAAA&#10;ACIBAABkcnMvZTJvRG9jLnhtbFBLBQYAAAAABgAGAFkBAABoBQAAAAA=&#10;">
              <v:fill on="f" focussize="0,0"/>
              <v:stroke on="f" weight="1.25pt"/>
              <v:imagedata o:title=""/>
              <o:lock v:ext="edit" aspectratio="f"/>
              <v:textbox inset="0mm,0mm,0mm,0mm" style="mso-fit-shape-to-text:t;">
                <w:txbxContent>
                  <w:p w14:paraId="5189B0A5">
                    <w:pPr>
                      <w:pStyle w:val="10"/>
                    </w:pPr>
                    <w:r>
                      <w:fldChar w:fldCharType="begin"/>
                    </w:r>
                    <w:r>
                      <w:instrText xml:space="preserve"> PAGE  \* MERGEFORMAT </w:instrText>
                    </w:r>
                    <w:r>
                      <w:fldChar w:fldCharType="separate"/>
                    </w:r>
                    <w:r>
                      <w:t>- 38 -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9D820D5">
                          <w:pPr>
                            <w:pStyle w:val="10"/>
                          </w:pP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5YB7XAQAAsg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i5tAiWUGL/z86+f599/z&#10;nx9ktUz69B5qLLv3WBiHj25ItVMcMJhoDzKY9EdCBPOo7umirhgi4elQtaqqElMcc7ODOMXjcR8g&#10;3glnSDIaGvD6sqrs+BniWDqXpG7W3SqtMc5qbUmPqNfV++t84pJCdG1ThcjbMOEkTuPsyYrDbpgI&#10;7Vx7Qp49bkRDLT4ASvQni4Kn5ZmNMBu72Tj4oPZd3q7UC/yHQ8Th8sypwwiLXJODV5lZT2uXduWp&#10;n6sen9rm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juWAe1wEAALIDAAAOAAAAAAAAAAEA&#10;IAAAACIBAABkcnMvZTJvRG9jLnhtbFBLBQYAAAAABgAGAFkBAABrBQAAAAA=&#10;">
              <v:fill on="f" focussize="0,0"/>
              <v:stroke on="f" weight="1.25pt"/>
              <v:imagedata o:title=""/>
              <o:lock v:ext="edit" aspectratio="f"/>
              <v:textbox inset="0mm,0mm,0mm,0mm" style="mso-fit-shape-to-text:t;">
                <w:txbxContent>
                  <w:p w14:paraId="39D820D5">
                    <w:pPr>
                      <w:pStyle w:val="10"/>
                    </w:pPr>
                  </w:p>
                </w:txbxContent>
              </v:textbox>
            </v:shape>
          </w:pict>
        </mc:Fallback>
      </mc:AlternateConten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4F70">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FE2163C">
                          <w:pPr>
                            <w:pStyle w:val="10"/>
                          </w:pPr>
                          <w:r>
                            <w:fldChar w:fldCharType="begin"/>
                          </w:r>
                          <w:r>
                            <w:instrText xml:space="preserve"> PAGE  \* MERGEFORMAT </w:instrText>
                          </w:r>
                          <w:r>
                            <w:fldChar w:fldCharType="separate"/>
                          </w:r>
                          <w:r>
                            <w:t>- 59 -</w:t>
                          </w:r>
                          <w:r>
                            <w:fldChar w:fldCharType="end"/>
                          </w:r>
                        </w:p>
                      </w:txbxContent>
                    </wps:txbx>
                    <wps:bodyPr wrap="none" lIns="0" tIns="0" rIns="0" bIns="0" upright="0">
                      <a:spAutoFit/>
                    </wps:bodyPr>
                  </wps:wsp>
                </a:graphicData>
              </a:graphic>
            </wp:anchor>
          </w:drawing>
        </mc:Choice>
        <mc:Fallback>
          <w:pict>
            <v:shape id="文本框 105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oYPjTAQAApgMAAA4AAABkcnMvZTJvRG9jLnhtbK1TzY7TMBC+&#10;I/EOlu80aVE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3FsVtmcOCXnz8uv/5c&#10;fn8ny3L9OinUe6gx8d5jahzeuQH3Zr4HvEzEBxlM+iIlgnHU93zVVwyR8PSoWlVViSGOsdlB/OLh&#10;uQ8Q3wtnSDIaGnCAWVd2+ghxTJ1TUjXr7pTWeYjakh5R19XbdX5xDSG6tlgksRi7TVYc9sNEbe/a&#10;MzLrcQsaanHpKdEfLIqcFmY2wmzsZ+Pogzp0eaNSK+BvjxHbyV2mCiPsVBjHl3lOq5b2418/Zz38&#10;Xt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GoYPjTAQAApgMAAA4AAAAAAAAAAQAgAAAA&#10;IgEAAGRycy9lMm9Eb2MueG1sUEsFBgAAAAAGAAYAWQEAAGcFAAAAAA==&#10;">
              <v:fill on="f" focussize="0,0"/>
              <v:stroke on="f" weight="1.25pt"/>
              <v:imagedata o:title=""/>
              <o:lock v:ext="edit" aspectratio="f"/>
              <v:textbox inset="0mm,0mm,0mm,0mm" style="mso-fit-shape-to-text:t;">
                <w:txbxContent>
                  <w:p w14:paraId="0FE2163C">
                    <w:pPr>
                      <w:pStyle w:val="10"/>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EB38">
    <w:pPr>
      <w:widowControl/>
      <w:pBdr>
        <w:bottom w:val="single" w:color="auto" w:sz="4" w:space="0"/>
      </w:pBdr>
      <w:snapToGrid w:val="0"/>
      <w:jc w:val="both"/>
    </w:pPr>
    <w:r>
      <w:rPr>
        <w:rFonts w:hint="eastAsia" w:ascii="Calibri" w:hAnsi="Calibri" w:eastAsia="宋体"/>
        <w:sz w:val="18"/>
        <w:lang w:eastAsia="zh-CN"/>
      </w:rPr>
      <w:drawing>
        <wp:inline distT="0" distB="0" distL="114300" distR="114300">
          <wp:extent cx="218440" cy="266065"/>
          <wp:effectExtent l="0" t="0" r="635" b="635"/>
          <wp:docPr id="10" name="图片 2"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B0A8">
    <w:pPr>
      <w:widowControl/>
      <w:pBdr>
        <w:bottom w:val="single" w:color="auto" w:sz="4" w:space="0"/>
      </w:pBdr>
      <w:snapToGrid w:val="0"/>
      <w:jc w:val="both"/>
      <w:rPr>
        <w:rFonts w:hint="eastAsia" w:eastAsia="仿宋_GB2312"/>
        <w:lang w:eastAsia="zh-CN"/>
      </w:rPr>
    </w:pPr>
    <w:r>
      <w:rPr>
        <w:rFonts w:hint="eastAsia" w:ascii="Calibri" w:hAnsi="Calibri" w:eastAsia="宋体"/>
        <w:sz w:val="18"/>
        <w:lang w:eastAsia="zh-CN"/>
      </w:rPr>
      <w:drawing>
        <wp:inline distT="0" distB="0" distL="114300" distR="114300">
          <wp:extent cx="218440" cy="266065"/>
          <wp:effectExtent l="0" t="0" r="635" b="635"/>
          <wp:docPr id="9" name="图片 1"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E1D3">
    <w:pPr>
      <w:widowControl/>
      <w:pBdr>
        <w:bottom w:val="single" w:color="auto" w:sz="4" w:space="0"/>
      </w:pBdr>
      <w:snapToGrid w:val="0"/>
      <w:jc w:val="both"/>
      <w:rPr>
        <w:rFonts w:ascii="仿宋_GB2312"/>
        <w:b/>
        <w:i/>
        <w:sz w:val="18"/>
        <w:szCs w:val="18"/>
      </w:rPr>
    </w:pPr>
    <w:r>
      <w:rPr>
        <w:rFonts w:hint="eastAsia" w:ascii="Calibri" w:hAnsi="Calibri" w:eastAsia="宋体"/>
        <w:sz w:val="18"/>
        <w:lang w:eastAsia="zh-CN"/>
      </w:rPr>
      <w:drawing>
        <wp:inline distT="0" distB="0" distL="114300" distR="114300">
          <wp:extent cx="218440" cy="266065"/>
          <wp:effectExtent l="0" t="0" r="635" b="635"/>
          <wp:docPr id="11" name="图片 3"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0FA59"/>
    <w:multiLevelType w:val="singleLevel"/>
    <w:tmpl w:val="8BE0FA59"/>
    <w:lvl w:ilvl="0" w:tentative="0">
      <w:start w:val="1"/>
      <w:numFmt w:val="decimal"/>
      <w:suff w:val="nothing"/>
      <w:lvlText w:val="%1、"/>
      <w:lvlJc w:val="left"/>
    </w:lvl>
  </w:abstractNum>
  <w:abstractNum w:abstractNumId="1">
    <w:nsid w:val="C36539EC"/>
    <w:multiLevelType w:val="singleLevel"/>
    <w:tmpl w:val="C36539EC"/>
    <w:lvl w:ilvl="0" w:tentative="0">
      <w:start w:val="2"/>
      <w:numFmt w:val="decimal"/>
      <w:suff w:val="nothing"/>
      <w:lvlText w:val="%1、"/>
      <w:lvlJc w:val="left"/>
    </w:lvl>
  </w:abstractNum>
  <w:abstractNum w:abstractNumId="2">
    <w:nsid w:val="CFC82053"/>
    <w:multiLevelType w:val="singleLevel"/>
    <w:tmpl w:val="CFC82053"/>
    <w:lvl w:ilvl="0" w:tentative="0">
      <w:start w:val="5"/>
      <w:numFmt w:val="chineseCounting"/>
      <w:suff w:val="space"/>
      <w:lvlText w:val="第%1章"/>
      <w:lvlJc w:val="left"/>
      <w:rPr>
        <w:rFonts w:hint="eastAsia"/>
      </w:rPr>
    </w:lvl>
  </w:abstractNum>
  <w:abstractNum w:abstractNumId="3">
    <w:nsid w:val="DA9F9F3C"/>
    <w:multiLevelType w:val="multilevel"/>
    <w:tmpl w:val="DA9F9F3C"/>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4">
    <w:nsid w:val="F70A2693"/>
    <w:multiLevelType w:val="singleLevel"/>
    <w:tmpl w:val="F70A2693"/>
    <w:lvl w:ilvl="0" w:tentative="0">
      <w:start w:val="1"/>
      <w:numFmt w:val="decimal"/>
      <w:lvlText w:val="%1"/>
      <w:lvlJc w:val="left"/>
      <w:pPr>
        <w:tabs>
          <w:tab w:val="left" w:pos="420"/>
        </w:tabs>
        <w:ind w:left="425" w:leftChars="0" w:hanging="425" w:firstLineChars="0"/>
      </w:pPr>
      <w:rPr>
        <w:rFonts w:hint="default"/>
      </w:rPr>
    </w:lvl>
  </w:abstractNum>
  <w:abstractNum w:abstractNumId="5">
    <w:nsid w:val="00000008"/>
    <w:multiLevelType w:val="multilevel"/>
    <w:tmpl w:val="00000008"/>
    <w:lvl w:ilvl="0" w:tentative="0">
      <w:start w:val="1"/>
      <w:numFmt w:val="decimal"/>
      <w:pStyle w:val="2"/>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150130C9"/>
    <w:multiLevelType w:val="singleLevel"/>
    <w:tmpl w:val="150130C9"/>
    <w:lvl w:ilvl="0" w:tentative="0">
      <w:start w:val="1"/>
      <w:numFmt w:val="decimal"/>
      <w:suff w:val="nothing"/>
      <w:lvlText w:val="%1、"/>
      <w:lvlJc w:val="left"/>
    </w:lvl>
  </w:abstractNum>
  <w:abstractNum w:abstractNumId="8">
    <w:nsid w:val="3C133B21"/>
    <w:multiLevelType w:val="singleLevel"/>
    <w:tmpl w:val="3C133B21"/>
    <w:lvl w:ilvl="0" w:tentative="0">
      <w:start w:val="4"/>
      <w:numFmt w:val="chineseCounting"/>
      <w:suff w:val="space"/>
      <w:lvlText w:val="第%1章"/>
      <w:lvlJc w:val="left"/>
      <w:rPr>
        <w:rFonts w:hint="eastAsia"/>
      </w:rPr>
    </w:lvl>
  </w:abstractNum>
  <w:abstractNum w:abstractNumId="9">
    <w:nsid w:val="3E94E053"/>
    <w:multiLevelType w:val="singleLevel"/>
    <w:tmpl w:val="3E94E053"/>
    <w:lvl w:ilvl="0" w:tentative="0">
      <w:start w:val="2"/>
      <w:numFmt w:val="chineseCounting"/>
      <w:suff w:val="nothing"/>
      <w:lvlText w:val="%1、"/>
      <w:lvlJc w:val="left"/>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9"/>
  </w:num>
  <w:num w:numId="3">
    <w:abstractNumId w:val="6"/>
  </w:num>
  <w:num w:numId="4">
    <w:abstractNumId w:val="10"/>
  </w:num>
  <w:num w:numId="5">
    <w:abstractNumId w:val="8"/>
  </w:num>
  <w:num w:numId="6">
    <w:abstractNumId w:val="3"/>
  </w:num>
  <w:num w:numId="7">
    <w:abstractNumId w:val="7"/>
  </w:num>
  <w:num w:numId="8">
    <w:abstractNumId w:val="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B0398"/>
    <w:rsid w:val="00832603"/>
    <w:rsid w:val="05AB7EC6"/>
    <w:rsid w:val="05F70E9D"/>
    <w:rsid w:val="090D69E6"/>
    <w:rsid w:val="09442E0F"/>
    <w:rsid w:val="0E256168"/>
    <w:rsid w:val="175A739C"/>
    <w:rsid w:val="17D475CC"/>
    <w:rsid w:val="18273CAB"/>
    <w:rsid w:val="1D324F27"/>
    <w:rsid w:val="22A83DD7"/>
    <w:rsid w:val="2D1B0398"/>
    <w:rsid w:val="2E3317E7"/>
    <w:rsid w:val="35FA7498"/>
    <w:rsid w:val="3C8965E1"/>
    <w:rsid w:val="40192C11"/>
    <w:rsid w:val="45741C7E"/>
    <w:rsid w:val="4E311085"/>
    <w:rsid w:val="4FE0099B"/>
    <w:rsid w:val="5AF276C4"/>
    <w:rsid w:val="5B1F38D2"/>
    <w:rsid w:val="69676537"/>
    <w:rsid w:val="69BD0C05"/>
    <w:rsid w:val="6CC509FF"/>
    <w:rsid w:val="6DF7303C"/>
    <w:rsid w:val="6EA2762C"/>
    <w:rsid w:val="6F750C91"/>
    <w:rsid w:val="7963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numPr>
        <w:ilvl w:val="0"/>
        <w:numId w:val="1"/>
      </w:numPr>
      <w:tabs>
        <w:tab w:val="left" w:pos="720"/>
      </w:tabs>
      <w:adjustRightInd w:val="0"/>
      <w:spacing w:before="340" w:after="330" w:line="578" w:lineRule="atLeast"/>
      <w:jc w:val="left"/>
      <w:textAlignment w:val="baseline"/>
      <w:outlineLvl w:val="0"/>
    </w:pPr>
    <w:rPr>
      <w:b/>
      <w:kern w:val="44"/>
      <w:sz w:val="30"/>
    </w:rPr>
  </w:style>
  <w:style w:type="paragraph" w:styleId="3">
    <w:name w:val="heading 2"/>
    <w:basedOn w:val="4"/>
    <w:next w:val="1"/>
    <w:link w:val="34"/>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kern w:val="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4">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styleId="5">
    <w:name w:val="Normal Indent"/>
    <w:basedOn w:val="1"/>
    <w:next w:val="1"/>
    <w:qFormat/>
    <w:uiPriority w:val="0"/>
    <w:pPr>
      <w:ind w:firstLine="420"/>
    </w:pPr>
    <w:rPr>
      <w:sz w:val="24"/>
    </w:rPr>
  </w:style>
  <w:style w:type="paragraph" w:styleId="6">
    <w:name w:val="Body Text"/>
    <w:basedOn w:val="1"/>
    <w:qFormat/>
    <w:uiPriority w:val="0"/>
    <w:rPr>
      <w:sz w:val="24"/>
      <w:szCs w:val="24"/>
    </w:rPr>
  </w:style>
  <w:style w:type="paragraph" w:styleId="7">
    <w:name w:val="Body Text Indent"/>
    <w:basedOn w:val="1"/>
    <w:next w:val="6"/>
    <w:qFormat/>
    <w:uiPriority w:val="0"/>
    <w:pPr>
      <w:spacing w:line="360" w:lineRule="auto"/>
      <w:ind w:firstLine="480" w:firstLineChars="200"/>
    </w:pPr>
    <w:rPr>
      <w:rFonts w:ascii="宋体" w:hAnsi="宋体"/>
      <w:sz w:val="24"/>
      <w:szCs w:val="24"/>
    </w:rPr>
  </w:style>
  <w:style w:type="paragraph" w:styleId="8">
    <w:name w:val="Plain Text"/>
    <w:basedOn w:val="1"/>
    <w:qFormat/>
    <w:uiPriority w:val="0"/>
    <w:rPr>
      <w:rFonts w:ascii="宋体" w:hAnsi="Courier New"/>
      <w:sz w:val="11"/>
    </w:rPr>
  </w:style>
  <w:style w:type="paragraph" w:styleId="9">
    <w:name w:val="Date"/>
    <w:basedOn w:val="1"/>
    <w:next w:val="1"/>
    <w:qFormat/>
    <w:uiPriority w:val="0"/>
    <w:rPr>
      <w:color w:val="000000"/>
      <w:kern w:val="0"/>
      <w:sz w:val="30"/>
    </w:r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1"/>
    <w:basedOn w:val="1"/>
    <w:next w:val="1"/>
    <w:qFormat/>
    <w:uiPriority w:val="39"/>
    <w:pPr>
      <w:spacing w:before="120" w:after="120" w:line="360" w:lineRule="auto"/>
      <w:ind w:firstLine="200" w:firstLineChars="200"/>
      <w:jc w:val="left"/>
    </w:pPr>
    <w:rPr>
      <w:b/>
      <w:bCs/>
      <w:caps/>
      <w:sz w:val="20"/>
    </w:rPr>
  </w:style>
  <w:style w:type="paragraph" w:styleId="12">
    <w:name w:val="footnote text"/>
    <w:basedOn w:val="1"/>
    <w:unhideWhenUsed/>
    <w:qFormat/>
    <w:uiPriority w:val="99"/>
    <w:pPr>
      <w:snapToGrid w:val="0"/>
      <w:jc w:val="left"/>
    </w:pPr>
    <w:rPr>
      <w:sz w:val="18"/>
      <w:szCs w:val="18"/>
    </w:rPr>
  </w:style>
  <w:style w:type="paragraph" w:styleId="13">
    <w:name w:val="index 7"/>
    <w:basedOn w:val="1"/>
    <w:next w:val="1"/>
    <w:qFormat/>
    <w:uiPriority w:val="0"/>
    <w:pPr>
      <w:autoSpaceDE/>
      <w:autoSpaceDN/>
      <w:adjustRightInd/>
      <w:ind w:left="1200" w:leftChars="1200"/>
    </w:pPr>
    <w:rPr>
      <w:color w:val="auto"/>
      <w:kern w:val="2"/>
      <w:szCs w:val="24"/>
    </w:rPr>
  </w:style>
  <w:style w:type="paragraph" w:styleId="14">
    <w:name w:val="toc 2"/>
    <w:basedOn w:val="1"/>
    <w:next w:val="1"/>
    <w:qFormat/>
    <w:uiPriority w:val="0"/>
    <w:pPr>
      <w:ind w:left="100" w:leftChars="100"/>
      <w:jc w:val="left"/>
    </w:pPr>
    <w:rPr>
      <w:rFonts w:ascii="Arial" w:hAnsi="Arial"/>
    </w:rPr>
  </w:style>
  <w:style w:type="paragraph" w:styleId="15">
    <w:name w:val="Normal (Web)"/>
    <w:basedOn w:val="1"/>
    <w:qFormat/>
    <w:uiPriority w:val="99"/>
    <w:pPr>
      <w:spacing w:beforeAutospacing="1" w:afterAutospacing="1"/>
      <w:jc w:val="left"/>
    </w:pPr>
    <w:rPr>
      <w:kern w:val="0"/>
      <w:sz w:val="24"/>
    </w:rPr>
  </w:style>
  <w:style w:type="paragraph" w:styleId="16">
    <w:name w:val="Title"/>
    <w:basedOn w:val="1"/>
    <w:qFormat/>
    <w:uiPriority w:val="0"/>
    <w:pPr>
      <w:spacing w:before="240" w:after="60"/>
      <w:ind w:left="425" w:hanging="425"/>
      <w:jc w:val="center"/>
      <w:outlineLvl w:val="0"/>
    </w:pPr>
    <w:rPr>
      <w:rFonts w:ascii="Arial" w:hAnsi="Arial" w:cs="Arial"/>
      <w:b/>
      <w:bCs/>
      <w:sz w:val="32"/>
      <w:szCs w:val="32"/>
    </w:rPr>
  </w:style>
  <w:style w:type="paragraph" w:styleId="17">
    <w:name w:val="Body Text First Indent"/>
    <w:basedOn w:val="6"/>
    <w:qFormat/>
    <w:uiPriority w:val="99"/>
    <w:pPr>
      <w:spacing w:after="120"/>
      <w:ind w:firstLine="420" w:firstLineChars="100"/>
      <w:jc w:val="both"/>
    </w:pPr>
    <w:rPr>
      <w:sz w:val="21"/>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qFormat/>
    <w:uiPriority w:val="99"/>
    <w:rPr>
      <w:color w:val="0000FF"/>
      <w:u w:val="single"/>
    </w:rPr>
  </w:style>
  <w:style w:type="paragraph" w:customStyle="1" w:styleId="2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4">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5">
    <w:name w:val="Table Text"/>
    <w:basedOn w:val="1"/>
    <w:semiHidden/>
    <w:qFormat/>
    <w:uiPriority w:val="0"/>
    <w:rPr>
      <w:rFonts w:ascii="仿宋" w:hAnsi="仿宋" w:eastAsia="仿宋" w:cs="仿宋"/>
      <w:sz w:val="23"/>
      <w:szCs w:val="23"/>
      <w:lang w:val="en-US" w:eastAsia="en-US" w:bidi="ar-SA"/>
    </w:rPr>
  </w:style>
  <w:style w:type="paragraph" w:customStyle="1" w:styleId="26">
    <w:name w:val="black1"/>
    <w:basedOn w:val="1"/>
    <w:autoRedefine/>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27">
    <w:name w:val="正"/>
    <w:basedOn w:val="28"/>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28">
    <w:name w:val="正文_1"/>
    <w:next w:val="27"/>
    <w:qFormat/>
    <w:uiPriority w:val="0"/>
    <w:pPr>
      <w:widowControl w:val="0"/>
      <w:suppressAutoHyphens/>
      <w:jc w:val="both"/>
    </w:pPr>
    <w:rPr>
      <w:rFonts w:ascii="Calibri" w:hAnsi="Calibri" w:eastAsia="宋体;SimSun" w:cs="Calibri"/>
      <w:kern w:val="2"/>
      <w:sz w:val="21"/>
      <w:szCs w:val="21"/>
      <w:lang w:val="en-US" w:eastAsia="zh-CN" w:bidi="ar-SA"/>
    </w:rPr>
  </w:style>
  <w:style w:type="paragraph" w:styleId="29">
    <w:name w:val="List Paragraph"/>
    <w:basedOn w:val="1"/>
    <w:qFormat/>
    <w:uiPriority w:val="99"/>
    <w:pPr>
      <w:ind w:firstLine="420" w:firstLineChars="200"/>
    </w:p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标题 1 Char"/>
    <w:link w:val="2"/>
    <w:qFormat/>
    <w:uiPriority w:val="9"/>
    <w:rPr>
      <w:b/>
      <w:kern w:val="44"/>
      <w:sz w:val="30"/>
    </w:rPr>
  </w:style>
  <w:style w:type="paragraph" w:customStyle="1" w:styleId="33">
    <w:name w:val="题目"/>
    <w:basedOn w:val="1"/>
    <w:next w:val="1"/>
    <w:qFormat/>
    <w:uiPriority w:val="0"/>
    <w:pPr>
      <w:keepNext/>
      <w:keepLines/>
      <w:spacing w:beforeLines="0" w:after="50" w:afterLines="50" w:line="600" w:lineRule="exact"/>
      <w:ind w:firstLine="0" w:firstLineChars="0"/>
      <w:jc w:val="center"/>
      <w:outlineLvl w:val="0"/>
    </w:pPr>
    <w:rPr>
      <w:rFonts w:eastAsia="方正小标宋简体"/>
      <w:kern w:val="44"/>
      <w:sz w:val="44"/>
    </w:rPr>
  </w:style>
  <w:style w:type="character" w:customStyle="1" w:styleId="34">
    <w:name w:val="标题 2 Char1"/>
    <w:link w:val="3"/>
    <w:qFormat/>
    <w:uiPriority w:val="0"/>
    <w:rPr>
      <w:rFonts w:ascii="宋体" w:hAnsi="Arial" w:eastAsia="黑体"/>
      <w:kern w:val="0"/>
      <w:sz w:val="28"/>
    </w:rPr>
  </w:style>
  <w:style w:type="character" w:customStyle="1" w:styleId="35">
    <w:name w:val="font101"/>
    <w:basedOn w:val="20"/>
    <w:qFormat/>
    <w:uiPriority w:val="0"/>
    <w:rPr>
      <w:rFonts w:hint="default" w:ascii="Times New Roman" w:hAnsi="Times New Roman" w:cs="Times New Roman"/>
      <w:color w:val="000000"/>
      <w:sz w:val="22"/>
      <w:szCs w:val="22"/>
      <w:u w:val="none"/>
    </w:rPr>
  </w:style>
  <w:style w:type="character" w:customStyle="1" w:styleId="36">
    <w:name w:val="font11"/>
    <w:basedOn w:val="20"/>
    <w:qFormat/>
    <w:uiPriority w:val="0"/>
    <w:rPr>
      <w:rFonts w:hint="eastAsia" w:ascii="宋体" w:hAnsi="宋体" w:eastAsia="宋体" w:cs="宋体"/>
      <w:color w:val="000000"/>
      <w:sz w:val="22"/>
      <w:szCs w:val="22"/>
      <w:u w:val="none"/>
    </w:rPr>
  </w:style>
  <w:style w:type="paragraph" w:styleId="37">
    <w:name w:val="No Spacing"/>
    <w:basedOn w:val="1"/>
    <w:qFormat/>
    <w:uiPriority w:val="1"/>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12353</Words>
  <Characters>13842</Characters>
  <Lines>0</Lines>
  <Paragraphs>0</Paragraphs>
  <TotalTime>6</TotalTime>
  <ScaleCrop>false</ScaleCrop>
  <LinksUpToDate>false</LinksUpToDate>
  <CharactersWithSpaces>14138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2025-08-28T04:13:00Z</dcterms:created>
  <dc:creator>贺</dc:creator>
  <cp:lastModifiedBy>贺</cp:lastModifiedBy>
  <dcterms:modified xsi:type="dcterms:W3CDTF">2026-05-08T08:30:24Z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740986C994124D8781842B8F38FCE568_13</vt:lpwstr>
  </property>
  <property fmtid="{D5CDD505-2E9C-101B-9397-08002B2CF9AE}" pid="4" name="KSOTemplateDocerSaveRecord">
    <vt:lpwstr>eyJoZGlkIjoiMjQyMTFjZDM5MTZhYjExNGQ5NmNiNmZiZDg1NmIzNmUiLCJ1c2VySWQiOiIyODk0MzY2MjUifQ==</vt:lpwstr>
  </property>
</Properties>
</file>