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99F9D">
      <w:pPr>
        <w:tabs>
          <w:tab w:val="left" w:pos="1134"/>
          <w:tab w:val="left" w:pos="5481"/>
          <w:tab w:val="left" w:pos="5859"/>
        </w:tabs>
        <w:rPr>
          <w:rFonts w:hint="eastAsia" w:ascii="黑体" w:hAnsi="黑体" w:eastAsia="黑体"/>
          <w:color w:val="auto"/>
          <w:sz w:val="10"/>
          <w:szCs w:val="10"/>
          <w:highlight w:val="none"/>
        </w:rPr>
      </w:pPr>
      <w:r>
        <w:rPr>
          <w:rFonts w:hint="eastAsia" w:ascii="黑体" w:hAnsi="黑体" w:eastAsia="黑体"/>
          <w:color w:val="auto"/>
          <w:sz w:val="10"/>
          <w:szCs w:val="10"/>
          <w:highlight w:val="none"/>
        </w:rPr>
        <w:t xml:space="preserve"> </w:t>
      </w:r>
    </w:p>
    <w:p w14:paraId="7B0D3F1F">
      <w:pPr>
        <w:tabs>
          <w:tab w:val="left" w:pos="1134"/>
          <w:tab w:val="left" w:pos="5481"/>
          <w:tab w:val="left" w:pos="5859"/>
        </w:tabs>
        <w:rPr>
          <w:rFonts w:hint="eastAsia" w:ascii="黑体" w:hAnsi="黑体" w:eastAsia="黑体"/>
          <w:color w:val="auto"/>
          <w:sz w:val="10"/>
          <w:szCs w:val="10"/>
          <w:highlight w:val="none"/>
        </w:rPr>
      </w:pPr>
    </w:p>
    <w:p w14:paraId="04329687">
      <w:pPr>
        <w:jc w:val="center"/>
        <w:rPr>
          <w:rFonts w:hint="eastAsia"/>
          <w:color w:val="auto"/>
          <w:sz w:val="20"/>
          <w:highlight w:val="none"/>
        </w:rPr>
      </w:pPr>
      <w:bookmarkStart w:id="0" w:name="EB776d769663d74e4699cd72d93f05cc45"/>
      <w:bookmarkEnd w:id="0"/>
    </w:p>
    <w:p w14:paraId="465B70F0">
      <w:pPr>
        <w:widowControl/>
        <w:shd w:val="clear" w:color="auto" w:fill="FFFFFF"/>
        <w:jc w:val="center"/>
        <w:rPr>
          <w:rFonts w:hint="default" w:ascii="宋体" w:hAnsi="宋体" w:eastAsia="宋体" w:cs="宋体"/>
          <w:b/>
          <w:color w:val="auto"/>
          <w:sz w:val="36"/>
          <w:szCs w:val="21"/>
          <w:highlight w:val="none"/>
          <w:lang w:val="en-US" w:eastAsia="zh-CN"/>
        </w:rPr>
      </w:pPr>
      <w:bookmarkStart w:id="1" w:name="EBd1f1f1cbc738430f98f264ab6212c64a"/>
      <w:bookmarkEnd w:id="1"/>
      <w:r>
        <w:rPr>
          <w:rFonts w:hint="eastAsia" w:ascii="宋体" w:hAnsi="宋体" w:eastAsia="宋体" w:cs="宋体"/>
          <w:b/>
          <w:color w:val="auto"/>
          <w:sz w:val="36"/>
          <w:szCs w:val="21"/>
          <w:highlight w:val="none"/>
          <w:lang w:eastAsia="zh-CN"/>
        </w:rPr>
        <w:t>中国（新疆）国际贸易“单一”窗口功能拓展（自治区边民互市贸易综合服务）提升优化</w:t>
      </w:r>
      <w:r>
        <w:rPr>
          <w:rFonts w:hint="eastAsia" w:ascii="宋体" w:hAnsi="宋体" w:eastAsia="宋体" w:cs="宋体"/>
          <w:b/>
          <w:color w:val="auto"/>
          <w:sz w:val="36"/>
          <w:szCs w:val="21"/>
          <w:highlight w:val="none"/>
          <w:lang w:val="en-US" w:eastAsia="zh-CN"/>
        </w:rPr>
        <w:t>项目</w:t>
      </w:r>
      <w:r>
        <w:rPr>
          <w:rFonts w:hint="eastAsia" w:ascii="宋体" w:hAnsi="宋体" w:eastAsia="宋体" w:cs="宋体"/>
          <w:b/>
          <w:color w:val="auto"/>
          <w:sz w:val="36"/>
          <w:szCs w:val="21"/>
          <w:highlight w:val="none"/>
          <w:lang w:eastAsia="zh-CN"/>
        </w:rPr>
        <w:t>可行性研究报告编制项目</w:t>
      </w:r>
      <w:r>
        <w:rPr>
          <w:rFonts w:hint="eastAsia" w:ascii="宋体" w:hAnsi="宋体" w:eastAsia="宋体" w:cs="宋体"/>
          <w:b/>
          <w:color w:val="auto"/>
          <w:sz w:val="36"/>
          <w:szCs w:val="21"/>
          <w:highlight w:val="none"/>
          <w:lang w:val="en-US" w:eastAsia="zh-CN"/>
        </w:rPr>
        <w:t>(二次)</w:t>
      </w:r>
    </w:p>
    <w:p w14:paraId="21A333B5">
      <w:pPr>
        <w:widowControl/>
        <w:shd w:val="clear" w:color="auto" w:fill="FFFFFF"/>
        <w:jc w:val="center"/>
        <w:rPr>
          <w:rFonts w:hint="eastAsia" w:ascii="宋体" w:hAnsi="宋体" w:cs="宋体"/>
          <w:b/>
          <w:bCs/>
          <w:color w:val="auto"/>
          <w:kern w:val="0"/>
          <w:sz w:val="32"/>
          <w:szCs w:val="32"/>
          <w:highlight w:val="none"/>
          <w:shd w:val="clear" w:color="auto" w:fill="FFFFFF"/>
        </w:rPr>
      </w:pPr>
      <w:r>
        <w:rPr>
          <w:rFonts w:hint="eastAsia" w:ascii="宋体" w:hAnsi="宋体" w:cs="宋体"/>
          <w:b/>
          <w:bCs/>
          <w:color w:val="auto"/>
          <w:kern w:val="0"/>
          <w:sz w:val="32"/>
          <w:szCs w:val="32"/>
          <w:highlight w:val="none"/>
          <w:shd w:val="clear" w:color="auto" w:fill="FFFFFF"/>
        </w:rPr>
        <w:t>（</w:t>
      </w:r>
      <w:r>
        <w:rPr>
          <w:rFonts w:hint="eastAsia" w:ascii="宋体" w:hAnsi="宋体" w:cs="宋体"/>
          <w:b/>
          <w:bCs/>
          <w:color w:val="auto"/>
          <w:kern w:val="0"/>
          <w:sz w:val="32"/>
          <w:szCs w:val="32"/>
          <w:highlight w:val="none"/>
          <w:shd w:val="clear" w:color="auto" w:fill="FFFFFF"/>
          <w:lang w:eastAsia="zh-CN"/>
        </w:rPr>
        <w:t>磋商文件</w:t>
      </w:r>
      <w:r>
        <w:rPr>
          <w:rFonts w:hint="eastAsia" w:ascii="宋体" w:hAnsi="宋体" w:cs="宋体"/>
          <w:b/>
          <w:bCs/>
          <w:color w:val="auto"/>
          <w:kern w:val="0"/>
          <w:sz w:val="32"/>
          <w:szCs w:val="32"/>
          <w:highlight w:val="none"/>
          <w:shd w:val="clear" w:color="auto" w:fill="FFFFFF"/>
        </w:rPr>
        <w:t>编号：</w:t>
      </w:r>
      <w:r>
        <w:rPr>
          <w:rFonts w:hint="eastAsia" w:ascii="宋体" w:hAnsi="宋体" w:cs="宋体"/>
          <w:b/>
          <w:bCs/>
          <w:color w:val="auto"/>
          <w:kern w:val="0"/>
          <w:sz w:val="32"/>
          <w:szCs w:val="32"/>
          <w:highlight w:val="none"/>
          <w:shd w:val="clear" w:color="auto" w:fill="FFFFFF"/>
          <w:lang w:eastAsia="zh-CN"/>
        </w:rPr>
        <w:t>XJYHZB2026-096</w:t>
      </w:r>
      <w:r>
        <w:rPr>
          <w:rFonts w:hint="eastAsia" w:ascii="宋体" w:hAnsi="宋体" w:cs="宋体"/>
          <w:b/>
          <w:bCs/>
          <w:color w:val="auto"/>
          <w:kern w:val="0"/>
          <w:sz w:val="32"/>
          <w:szCs w:val="32"/>
          <w:highlight w:val="none"/>
          <w:shd w:val="clear" w:color="auto" w:fill="FFFFFF"/>
          <w:lang w:val="en-US" w:eastAsia="zh-CN"/>
        </w:rPr>
        <w:t>-1</w:t>
      </w:r>
      <w:r>
        <w:rPr>
          <w:rFonts w:hint="eastAsia" w:ascii="宋体" w:hAnsi="宋体" w:cs="宋体"/>
          <w:b/>
          <w:bCs/>
          <w:color w:val="auto"/>
          <w:kern w:val="0"/>
          <w:sz w:val="32"/>
          <w:szCs w:val="32"/>
          <w:highlight w:val="none"/>
          <w:shd w:val="clear" w:color="auto" w:fill="FFFFFF"/>
        </w:rPr>
        <w:t>）</w:t>
      </w:r>
    </w:p>
    <w:p w14:paraId="1D33487B">
      <w:pPr>
        <w:pStyle w:val="18"/>
        <w:spacing w:line="360" w:lineRule="auto"/>
        <w:ind w:left="0" w:leftChars="0" w:firstLine="0" w:firstLineChars="0"/>
        <w:jc w:val="center"/>
        <w:rPr>
          <w:rFonts w:hint="eastAsia" w:ascii="宋体" w:hAnsi="宋体" w:eastAsia="宋体" w:cs="宋体"/>
          <w:b/>
          <w:color w:val="auto"/>
          <w:sz w:val="36"/>
          <w:szCs w:val="21"/>
          <w:highlight w:val="none"/>
          <w:lang w:eastAsia="zh-CN"/>
        </w:rPr>
      </w:pPr>
    </w:p>
    <w:p w14:paraId="0831BC77">
      <w:pPr>
        <w:rPr>
          <w:rFonts w:hint="eastAsia"/>
          <w:color w:val="auto"/>
          <w:sz w:val="20"/>
          <w:highlight w:val="none"/>
        </w:rPr>
      </w:pPr>
    </w:p>
    <w:p w14:paraId="34E13F1B">
      <w:pPr>
        <w:rPr>
          <w:rFonts w:hint="eastAsia"/>
          <w:color w:val="auto"/>
          <w:sz w:val="20"/>
          <w:highlight w:val="none"/>
        </w:rPr>
      </w:pPr>
    </w:p>
    <w:p w14:paraId="5DFD4014">
      <w:pPr>
        <w:rPr>
          <w:color w:val="auto"/>
          <w:highlight w:val="none"/>
        </w:rPr>
      </w:pPr>
    </w:p>
    <w:p w14:paraId="322B227A">
      <w:pPr>
        <w:pStyle w:val="162"/>
        <w:rPr>
          <w:rFonts w:hint="eastAsia"/>
          <w:color w:val="auto"/>
          <w:sz w:val="72"/>
          <w:szCs w:val="72"/>
          <w:highlight w:val="none"/>
        </w:rPr>
      </w:pPr>
    </w:p>
    <w:p w14:paraId="02D33382">
      <w:pPr>
        <w:tabs>
          <w:tab w:val="left" w:pos="1134"/>
          <w:tab w:val="left" w:pos="5160"/>
        </w:tabs>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w:t>
      </w:r>
    </w:p>
    <w:p w14:paraId="164C3BD9">
      <w:pPr>
        <w:tabs>
          <w:tab w:val="left" w:pos="1134"/>
          <w:tab w:val="left" w:pos="5160"/>
        </w:tabs>
        <w:jc w:val="center"/>
        <w:rPr>
          <w:rFonts w:hint="eastAsia" w:ascii="宋体" w:hAnsi="宋体" w:eastAsia="宋体" w:cs="宋体"/>
          <w:b w:val="0"/>
          <w:bCs/>
          <w:color w:val="auto"/>
          <w:sz w:val="72"/>
          <w:szCs w:val="72"/>
          <w:highlight w:val="none"/>
        </w:rPr>
      </w:pPr>
      <w:r>
        <w:rPr>
          <w:rFonts w:hint="eastAsia" w:ascii="宋体" w:hAnsi="宋体" w:eastAsia="宋体" w:cs="宋体"/>
          <w:b w:val="0"/>
          <w:bCs/>
          <w:color w:val="auto"/>
          <w:sz w:val="72"/>
          <w:szCs w:val="72"/>
          <w:highlight w:val="none"/>
        </w:rPr>
        <w:t>（服务类）</w:t>
      </w:r>
    </w:p>
    <w:p w14:paraId="7E3A105F">
      <w:pPr>
        <w:tabs>
          <w:tab w:val="left" w:pos="1134"/>
          <w:tab w:val="left" w:pos="5481"/>
          <w:tab w:val="left" w:pos="5859"/>
        </w:tabs>
        <w:jc w:val="center"/>
        <w:rPr>
          <w:rFonts w:eastAsia="黑体"/>
          <w:b/>
          <w:color w:val="auto"/>
          <w:sz w:val="32"/>
          <w:highlight w:val="none"/>
        </w:rPr>
      </w:pPr>
    </w:p>
    <w:p w14:paraId="1F39506D">
      <w:pPr>
        <w:tabs>
          <w:tab w:val="left" w:pos="1134"/>
          <w:tab w:val="left" w:pos="5481"/>
          <w:tab w:val="left" w:pos="5859"/>
        </w:tabs>
        <w:jc w:val="center"/>
        <w:rPr>
          <w:rFonts w:eastAsia="黑体"/>
          <w:b/>
          <w:color w:val="auto"/>
          <w:sz w:val="32"/>
          <w:highlight w:val="none"/>
        </w:rPr>
      </w:pPr>
    </w:p>
    <w:p w14:paraId="3A9A4354">
      <w:pPr>
        <w:tabs>
          <w:tab w:val="left" w:pos="1134"/>
          <w:tab w:val="left" w:pos="5481"/>
          <w:tab w:val="left" w:pos="5859"/>
        </w:tabs>
        <w:jc w:val="both"/>
        <w:rPr>
          <w:rFonts w:eastAsia="黑体"/>
          <w:b/>
          <w:color w:val="auto"/>
          <w:sz w:val="32"/>
          <w:highlight w:val="none"/>
        </w:rPr>
      </w:pPr>
    </w:p>
    <w:p w14:paraId="134EE3CC">
      <w:pPr>
        <w:tabs>
          <w:tab w:val="left" w:pos="1134"/>
          <w:tab w:val="left" w:pos="5481"/>
          <w:tab w:val="left" w:pos="5859"/>
        </w:tabs>
        <w:jc w:val="both"/>
        <w:rPr>
          <w:rFonts w:eastAsia="黑体"/>
          <w:b/>
          <w:color w:val="auto"/>
          <w:sz w:val="32"/>
          <w:highlight w:val="none"/>
        </w:rPr>
      </w:pPr>
    </w:p>
    <w:p w14:paraId="641020D4">
      <w:pPr>
        <w:tabs>
          <w:tab w:val="left" w:pos="1134"/>
          <w:tab w:val="left" w:pos="5481"/>
          <w:tab w:val="left" w:pos="5859"/>
        </w:tabs>
        <w:jc w:val="center"/>
        <w:rPr>
          <w:rFonts w:eastAsia="黑体"/>
          <w:b/>
          <w:color w:val="auto"/>
          <w:sz w:val="32"/>
          <w:highlight w:val="none"/>
        </w:rPr>
      </w:pPr>
    </w:p>
    <w:p w14:paraId="4650A09C">
      <w:pPr>
        <w:autoSpaceDE w:val="0"/>
        <w:autoSpaceDN w:val="0"/>
        <w:adjustRightInd w:val="0"/>
        <w:spacing w:line="360" w:lineRule="auto"/>
        <w:rPr>
          <w:rFonts w:hint="eastAsia" w:ascii="宋体" w:hAnsi="宋体"/>
          <w:b/>
          <w:color w:val="auto"/>
          <w:sz w:val="32"/>
          <w:szCs w:val="32"/>
          <w:highlight w:val="none"/>
          <w:lang w:val="zh-CN"/>
        </w:rPr>
      </w:pPr>
      <w:r>
        <w:rPr>
          <w:rFonts w:hint="eastAsia" w:ascii="宋体" w:hAnsi="宋体"/>
          <w:b/>
          <w:color w:val="auto"/>
          <w:sz w:val="32"/>
          <w:szCs w:val="32"/>
          <w:highlight w:val="none"/>
          <w:lang w:eastAsia="zh-CN"/>
        </w:rPr>
        <w:t>采</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lang w:eastAsia="zh-CN"/>
        </w:rPr>
        <w:t>购</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lang w:eastAsia="zh-CN"/>
        </w:rPr>
        <w:t>人</w:t>
      </w:r>
      <w:r>
        <w:rPr>
          <w:rFonts w:hint="eastAsia" w:ascii="宋体" w:hAnsi="宋体"/>
          <w:b/>
          <w:color w:val="auto"/>
          <w:sz w:val="32"/>
          <w:szCs w:val="32"/>
          <w:highlight w:val="none"/>
        </w:rPr>
        <w:t>：</w:t>
      </w:r>
      <w:r>
        <w:rPr>
          <w:rFonts w:hint="eastAsia" w:ascii="宋体" w:hAnsi="宋体"/>
          <w:b/>
          <w:color w:val="auto"/>
          <w:sz w:val="32"/>
          <w:szCs w:val="32"/>
          <w:highlight w:val="none"/>
          <w:lang w:eastAsia="zh-CN"/>
        </w:rPr>
        <w:t>新疆维吾尔自治区商务厅</w:t>
      </w:r>
      <w:r>
        <w:rPr>
          <w:rFonts w:hint="eastAsia" w:ascii="宋体" w:hAnsi="宋体"/>
          <w:b/>
          <w:color w:val="auto"/>
          <w:sz w:val="32"/>
          <w:szCs w:val="32"/>
          <w:highlight w:val="none"/>
        </w:rPr>
        <w:t>（盖章）</w:t>
      </w:r>
    </w:p>
    <w:p w14:paraId="732725BA">
      <w:pPr>
        <w:autoSpaceDE w:val="0"/>
        <w:autoSpaceDN w:val="0"/>
        <w:adjustRightInd w:val="0"/>
        <w:spacing w:line="360" w:lineRule="auto"/>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联</w:t>
      </w:r>
      <w:r>
        <w:rPr>
          <w:rFonts w:hint="eastAsia" w:ascii="宋体" w:hAnsi="宋体" w:eastAsia="宋体" w:cs="Times New Roman"/>
          <w:b/>
          <w:color w:val="auto"/>
          <w:sz w:val="32"/>
          <w:szCs w:val="32"/>
          <w:highlight w:val="none"/>
          <w:lang w:val="en-US" w:eastAsia="zh-CN"/>
        </w:rPr>
        <w:t xml:space="preserve"> </w:t>
      </w:r>
      <w:r>
        <w:rPr>
          <w:rFonts w:hint="eastAsia" w:ascii="宋体" w:hAnsi="宋体" w:eastAsia="宋体" w:cs="Times New Roman"/>
          <w:b/>
          <w:color w:val="auto"/>
          <w:sz w:val="32"/>
          <w:szCs w:val="32"/>
          <w:highlight w:val="none"/>
        </w:rPr>
        <w:t>系</w:t>
      </w:r>
      <w:r>
        <w:rPr>
          <w:rFonts w:hint="eastAsia" w:ascii="宋体" w:hAnsi="宋体" w:eastAsia="宋体" w:cs="Times New Roman"/>
          <w:b/>
          <w:color w:val="auto"/>
          <w:sz w:val="32"/>
          <w:szCs w:val="32"/>
          <w:highlight w:val="none"/>
          <w:lang w:val="en-US" w:eastAsia="zh-CN"/>
        </w:rPr>
        <w:t xml:space="preserve"> </w:t>
      </w:r>
      <w:r>
        <w:rPr>
          <w:rFonts w:hint="eastAsia" w:ascii="宋体" w:hAnsi="宋体" w:eastAsia="宋体" w:cs="Times New Roman"/>
          <w:b/>
          <w:color w:val="auto"/>
          <w:sz w:val="32"/>
          <w:szCs w:val="32"/>
          <w:highlight w:val="none"/>
        </w:rPr>
        <w:t>人</w:t>
      </w:r>
      <w:r>
        <w:rPr>
          <w:rFonts w:hint="eastAsia" w:ascii="宋体" w:hAnsi="宋体" w:eastAsia="宋体" w:cs="Times New Roman"/>
          <w:b/>
          <w:color w:val="auto"/>
          <w:sz w:val="32"/>
          <w:szCs w:val="32"/>
          <w:highlight w:val="none"/>
          <w:lang w:eastAsia="zh-CN"/>
        </w:rPr>
        <w:t>：热艾卡</w:t>
      </w:r>
    </w:p>
    <w:p w14:paraId="357E87D0">
      <w:pPr>
        <w:autoSpaceDE w:val="0"/>
        <w:autoSpaceDN w:val="0"/>
        <w:adjustRightInd w:val="0"/>
        <w:spacing w:line="360" w:lineRule="auto"/>
        <w:rPr>
          <w:rFonts w:hint="eastAsia" w:ascii="宋体" w:hAnsi="宋体"/>
          <w:b/>
          <w:color w:val="auto"/>
          <w:sz w:val="32"/>
          <w:szCs w:val="32"/>
          <w:highlight w:val="none"/>
        </w:rPr>
      </w:pPr>
      <w:r>
        <w:rPr>
          <w:rFonts w:hint="eastAsia" w:ascii="宋体" w:hAnsi="宋体"/>
          <w:b/>
          <w:color w:val="auto"/>
          <w:sz w:val="32"/>
          <w:szCs w:val="32"/>
          <w:highlight w:val="none"/>
        </w:rPr>
        <w:t>联系电话：</w:t>
      </w:r>
      <w:r>
        <w:rPr>
          <w:rFonts w:hint="eastAsia" w:ascii="宋体" w:hAnsi="宋体"/>
          <w:b/>
          <w:color w:val="auto"/>
          <w:sz w:val="32"/>
          <w:szCs w:val="32"/>
          <w:highlight w:val="none"/>
          <w:lang w:val="en-US" w:eastAsia="zh-CN"/>
        </w:rPr>
        <w:t>0991-2858287</w:t>
      </w:r>
    </w:p>
    <w:p w14:paraId="2977B8A4">
      <w:pPr>
        <w:autoSpaceDE w:val="0"/>
        <w:autoSpaceDN w:val="0"/>
        <w:adjustRightInd w:val="0"/>
        <w:spacing w:line="360" w:lineRule="auto"/>
        <w:rPr>
          <w:rFonts w:hint="eastAsia" w:ascii="宋体" w:hAnsi="宋体"/>
          <w:b/>
          <w:color w:val="auto"/>
          <w:sz w:val="32"/>
          <w:szCs w:val="32"/>
          <w:highlight w:val="none"/>
        </w:rPr>
      </w:pPr>
    </w:p>
    <w:p w14:paraId="636B3EA9">
      <w:pPr>
        <w:autoSpaceDE w:val="0"/>
        <w:autoSpaceDN w:val="0"/>
        <w:adjustRightInd w:val="0"/>
        <w:spacing w:line="360" w:lineRule="auto"/>
        <w:rPr>
          <w:rFonts w:hint="eastAsia" w:ascii="宋体" w:hAnsi="宋体" w:eastAsia="宋体"/>
          <w:b/>
          <w:color w:val="auto"/>
          <w:sz w:val="32"/>
          <w:szCs w:val="32"/>
          <w:highlight w:val="none"/>
          <w:lang w:val="en-US" w:eastAsia="zh-CN"/>
        </w:rPr>
      </w:pP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代理机构：</w:t>
      </w:r>
      <w:r>
        <w:rPr>
          <w:rFonts w:hint="eastAsia" w:ascii="宋体" w:hAnsi="宋体" w:cs="宋体"/>
          <w:b/>
          <w:color w:val="auto"/>
          <w:kern w:val="0"/>
          <w:sz w:val="32"/>
          <w:szCs w:val="32"/>
          <w:highlight w:val="none"/>
        </w:rPr>
        <w:t>新疆元泓工程项目管理咨询有限公司</w:t>
      </w:r>
      <w:r>
        <w:rPr>
          <w:rFonts w:hint="eastAsia" w:ascii="宋体" w:hAnsi="宋体"/>
          <w:b/>
          <w:color w:val="auto"/>
          <w:sz w:val="32"/>
          <w:szCs w:val="32"/>
          <w:highlight w:val="none"/>
        </w:rPr>
        <w:t>（盖章)联系人：</w:t>
      </w:r>
      <w:r>
        <w:rPr>
          <w:rFonts w:hint="eastAsia" w:ascii="宋体" w:hAnsi="宋体"/>
          <w:b/>
          <w:color w:val="auto"/>
          <w:sz w:val="32"/>
          <w:szCs w:val="32"/>
          <w:highlight w:val="none"/>
          <w:lang w:val="en-US" w:eastAsia="zh-CN"/>
        </w:rPr>
        <w:t>蒋伟伦、汤新龙、高娟</w:t>
      </w:r>
    </w:p>
    <w:p w14:paraId="23396D1F">
      <w:pPr>
        <w:spacing w:line="360" w:lineRule="auto"/>
        <w:rPr>
          <w:rFonts w:hint="eastAsia" w:ascii="宋体" w:hAnsi="宋体"/>
          <w:b/>
          <w:color w:val="auto"/>
          <w:sz w:val="32"/>
          <w:szCs w:val="32"/>
          <w:highlight w:val="none"/>
          <w:lang w:eastAsia="zh-CN"/>
        </w:rPr>
      </w:pPr>
      <w:r>
        <w:rPr>
          <w:rFonts w:hint="eastAsia" w:ascii="宋体" w:hAnsi="宋体" w:cs="宋体"/>
          <w:b/>
          <w:color w:val="auto"/>
          <w:kern w:val="0"/>
          <w:sz w:val="32"/>
          <w:szCs w:val="32"/>
          <w:highlight w:val="none"/>
        </w:rPr>
        <w:t>联系电</w:t>
      </w:r>
      <w:r>
        <w:rPr>
          <w:rFonts w:hint="eastAsia" w:ascii="宋体" w:hAnsi="宋体"/>
          <w:b/>
          <w:color w:val="auto"/>
          <w:sz w:val="32"/>
          <w:szCs w:val="32"/>
          <w:highlight w:val="none"/>
        </w:rPr>
        <w:t>话：</w:t>
      </w:r>
      <w:r>
        <w:rPr>
          <w:rFonts w:hint="eastAsia" w:ascii="宋体" w:hAnsi="宋体"/>
          <w:b/>
          <w:color w:val="auto"/>
          <w:sz w:val="32"/>
          <w:szCs w:val="32"/>
          <w:highlight w:val="none"/>
          <w:lang w:eastAsia="zh-CN"/>
        </w:rPr>
        <w:t>19990911014</w:t>
      </w:r>
    </w:p>
    <w:p w14:paraId="78861252">
      <w:pPr>
        <w:pStyle w:val="18"/>
        <w:spacing w:line="360" w:lineRule="auto"/>
        <w:ind w:firstLine="964" w:firstLineChars="300"/>
        <w:rPr>
          <w:rFonts w:hint="eastAsia" w:ascii="宋体" w:hAnsi="宋体" w:eastAsia="宋体" w:cs="宋体"/>
          <w:b/>
          <w:color w:val="auto"/>
          <w:highlight w:val="none"/>
        </w:rPr>
      </w:pPr>
    </w:p>
    <w:p w14:paraId="5C2119A6">
      <w:pPr>
        <w:pStyle w:val="18"/>
        <w:spacing w:line="360" w:lineRule="auto"/>
        <w:ind w:left="0" w:leftChars="0" w:firstLine="0" w:firstLineChars="0"/>
        <w:jc w:val="center"/>
        <w:rPr>
          <w:rFonts w:ascii="宋体" w:hAnsi="宋体"/>
          <w:b/>
          <w:color w:val="auto"/>
          <w:sz w:val="44"/>
          <w:highlight w:val="none"/>
          <w:lang w:val="zh-CN"/>
        </w:rPr>
        <w:sectPr>
          <w:pgSz w:w="11906" w:h="16838"/>
          <w:pgMar w:top="1440" w:right="1797" w:bottom="1440" w:left="1797" w:header="851" w:footer="992" w:gutter="0"/>
          <w:pgNumType w:start="1"/>
          <w:cols w:space="720" w:num="1"/>
          <w:docGrid w:linePitch="312" w:charSpace="0"/>
        </w:sectPr>
      </w:pPr>
      <w:r>
        <w:rPr>
          <w:rFonts w:hint="eastAsia" w:ascii="宋体" w:hAnsi="宋体" w:eastAsia="宋体" w:cs="宋体"/>
          <w:b/>
          <w:color w:val="auto"/>
          <w:highlight w:val="none"/>
        </w:rPr>
        <w:t>日期：</w:t>
      </w:r>
      <w:bookmarkStart w:id="2" w:name="EBad5fb9b79797401bae5ba8a0a3b3cb20"/>
      <w:bookmarkEnd w:id="2"/>
      <w:r>
        <w:rPr>
          <w:rFonts w:hint="eastAsia" w:ascii="宋体" w:hAnsi="宋体" w:eastAsia="宋体" w:cs="宋体"/>
          <w:b/>
          <w:color w:val="auto"/>
          <w:highlight w:val="none"/>
        </w:rPr>
        <w:t>202</w:t>
      </w:r>
      <w:r>
        <w:rPr>
          <w:rFonts w:hint="eastAsia" w:ascii="宋体" w:hAnsi="宋体" w:eastAsia="宋体" w:cs="宋体"/>
          <w:b/>
          <w:color w:val="auto"/>
          <w:highlight w:val="none"/>
          <w:lang w:val="en-US" w:eastAsia="zh-CN"/>
        </w:rPr>
        <w:t>6</w:t>
      </w:r>
      <w:r>
        <w:rPr>
          <w:rFonts w:hint="eastAsia" w:ascii="宋体" w:hAnsi="宋体" w:eastAsia="宋体" w:cs="宋体"/>
          <w:b/>
          <w:color w:val="auto"/>
          <w:highlight w:val="none"/>
        </w:rPr>
        <w:t>年</w:t>
      </w:r>
      <w:r>
        <w:rPr>
          <w:rFonts w:hint="eastAsia" w:ascii="宋体" w:hAnsi="宋体" w:eastAsia="宋体" w:cs="宋体"/>
          <w:b/>
          <w:color w:val="auto"/>
          <w:highlight w:val="none"/>
          <w:lang w:val="en-US" w:eastAsia="zh-CN"/>
        </w:rPr>
        <w:t>5</w:t>
      </w:r>
      <w:r>
        <w:rPr>
          <w:rFonts w:hint="eastAsia" w:ascii="宋体" w:hAnsi="宋体" w:eastAsia="宋体" w:cs="宋体"/>
          <w:b/>
          <w:color w:val="auto"/>
          <w:highlight w:val="none"/>
        </w:rPr>
        <w:t>月</w:t>
      </w:r>
    </w:p>
    <w:p w14:paraId="445A2715">
      <w:pPr>
        <w:spacing w:line="500" w:lineRule="exact"/>
        <w:ind w:left="853" w:hanging="853" w:hangingChars="193"/>
        <w:jc w:val="center"/>
        <w:rPr>
          <w:rFonts w:ascii="宋体" w:hAnsi="宋体"/>
          <w:b/>
          <w:color w:val="auto"/>
          <w:sz w:val="44"/>
          <w:highlight w:val="none"/>
          <w:lang w:val="zh-CN"/>
        </w:rPr>
      </w:pPr>
      <w:r>
        <w:rPr>
          <w:rFonts w:ascii="宋体" w:hAnsi="宋体"/>
          <w:b/>
          <w:color w:val="auto"/>
          <w:sz w:val="44"/>
          <w:highlight w:val="none"/>
          <w:lang w:val="zh-CN"/>
        </w:rPr>
        <w:t>目</w:t>
      </w:r>
      <w:r>
        <w:rPr>
          <w:rFonts w:hint="eastAsia" w:ascii="宋体" w:hAnsi="宋体"/>
          <w:b/>
          <w:color w:val="auto"/>
          <w:sz w:val="44"/>
          <w:highlight w:val="none"/>
          <w:lang w:val="zh-CN"/>
        </w:rPr>
        <w:t xml:space="preserve">    </w:t>
      </w:r>
      <w:r>
        <w:rPr>
          <w:rFonts w:ascii="宋体" w:hAnsi="宋体"/>
          <w:b/>
          <w:color w:val="auto"/>
          <w:sz w:val="44"/>
          <w:highlight w:val="none"/>
          <w:lang w:val="zh-CN"/>
        </w:rPr>
        <w:t>录</w:t>
      </w:r>
    </w:p>
    <w:p w14:paraId="6F70A851">
      <w:pPr>
        <w:pStyle w:val="31"/>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\h \z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第一章 竞争性磋商公告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675BE6D">
      <w:pPr>
        <w:pStyle w:val="31"/>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fldChar w:fldCharType="begin"/>
      </w:r>
      <w:r>
        <w:rPr>
          <w:rFonts w:hint="eastAsia" w:ascii="宋体" w:hAnsi="宋体" w:eastAsia="宋体" w:cs="宋体"/>
          <w:color w:val="auto"/>
          <w:sz w:val="24"/>
          <w:szCs w:val="24"/>
          <w:highlight w:val="none"/>
          <w:lang w:val="zh-CN"/>
        </w:rPr>
        <w:instrText xml:space="preserve"> HYPERLINK \l _Toc13056 </w:instrText>
      </w:r>
      <w:r>
        <w:rPr>
          <w:rFonts w:hint="eastAsia" w:ascii="宋体" w:hAnsi="宋体" w:eastAsia="宋体" w:cs="宋体"/>
          <w:color w:val="auto"/>
          <w:sz w:val="24"/>
          <w:szCs w:val="24"/>
          <w:highlight w:val="none"/>
          <w:lang w:val="zh-CN"/>
        </w:rPr>
        <w:fldChar w:fldCharType="separate"/>
      </w:r>
      <w:r>
        <w:rPr>
          <w:rFonts w:hint="eastAsia" w:ascii="宋体" w:hAnsi="宋体" w:eastAsia="宋体" w:cs="宋体"/>
          <w:color w:val="auto"/>
          <w:sz w:val="24"/>
          <w:szCs w:val="24"/>
          <w:highlight w:val="none"/>
        </w:rPr>
        <w:t>第二章 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_Toc13056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zh-CN"/>
        </w:rPr>
        <w:fldChar w:fldCharType="end"/>
      </w:r>
    </w:p>
    <w:p w14:paraId="2C6F23D7">
      <w:pPr>
        <w:pStyle w:val="31"/>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fldChar w:fldCharType="begin"/>
      </w:r>
      <w:r>
        <w:rPr>
          <w:rFonts w:hint="eastAsia" w:ascii="宋体" w:hAnsi="宋体" w:eastAsia="宋体" w:cs="宋体"/>
          <w:color w:val="auto"/>
          <w:sz w:val="24"/>
          <w:szCs w:val="24"/>
          <w:highlight w:val="none"/>
          <w:lang w:val="zh-CN"/>
        </w:rPr>
        <w:instrText xml:space="preserve"> HYPERLINK \l _Toc1441 </w:instrText>
      </w:r>
      <w:r>
        <w:rPr>
          <w:rFonts w:hint="eastAsia" w:ascii="宋体" w:hAnsi="宋体" w:eastAsia="宋体" w:cs="宋体"/>
          <w:color w:val="auto"/>
          <w:sz w:val="24"/>
          <w:szCs w:val="24"/>
          <w:highlight w:val="none"/>
          <w:lang w:val="zh-CN"/>
        </w:rPr>
        <w:fldChar w:fldCharType="separate"/>
      </w:r>
      <w:r>
        <w:rPr>
          <w:rFonts w:hint="eastAsia" w:ascii="宋体" w:hAnsi="宋体" w:eastAsia="宋体" w:cs="宋体"/>
          <w:color w:val="auto"/>
          <w:sz w:val="24"/>
          <w:szCs w:val="24"/>
          <w:highlight w:val="none"/>
        </w:rPr>
        <w:t>第三章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_Toc1441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zh-CN"/>
        </w:rPr>
        <w:fldChar w:fldCharType="end"/>
      </w:r>
    </w:p>
    <w:p w14:paraId="3E617C17">
      <w:pPr>
        <w:pStyle w:val="31"/>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fldChar w:fldCharType="begin"/>
      </w:r>
      <w:r>
        <w:rPr>
          <w:rFonts w:hint="eastAsia" w:ascii="宋体" w:hAnsi="宋体" w:eastAsia="宋体" w:cs="宋体"/>
          <w:color w:val="auto"/>
          <w:sz w:val="24"/>
          <w:szCs w:val="24"/>
          <w:highlight w:val="none"/>
          <w:lang w:val="zh-CN"/>
        </w:rPr>
        <w:instrText xml:space="preserve"> HYPERLINK \l _Toc30412 </w:instrText>
      </w:r>
      <w:r>
        <w:rPr>
          <w:rFonts w:hint="eastAsia" w:ascii="宋体" w:hAnsi="宋体" w:eastAsia="宋体" w:cs="宋体"/>
          <w:color w:val="auto"/>
          <w:sz w:val="24"/>
          <w:szCs w:val="24"/>
          <w:highlight w:val="none"/>
          <w:lang w:val="zh-CN"/>
        </w:rPr>
        <w:fldChar w:fldCharType="separate"/>
      </w:r>
      <w:r>
        <w:rPr>
          <w:rFonts w:hint="eastAsia" w:ascii="宋体" w:hAnsi="宋体" w:eastAsia="宋体" w:cs="宋体"/>
          <w:color w:val="auto"/>
          <w:sz w:val="24"/>
          <w:szCs w:val="24"/>
          <w:highlight w:val="none"/>
        </w:rPr>
        <w:t>第四章 评审方法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fldChar w:fldCharType="end"/>
      </w:r>
      <w:r>
        <w:rPr>
          <w:rFonts w:hint="eastAsia" w:ascii="宋体" w:hAnsi="宋体" w:eastAsia="宋体" w:cs="宋体"/>
          <w:color w:val="auto"/>
          <w:sz w:val="24"/>
          <w:szCs w:val="24"/>
          <w:highlight w:val="none"/>
          <w:lang w:val="en-US" w:eastAsia="zh-CN"/>
        </w:rPr>
        <w:t>9</w:t>
      </w:r>
    </w:p>
    <w:p w14:paraId="333C24FD">
      <w:pPr>
        <w:pStyle w:val="31"/>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fldChar w:fldCharType="begin"/>
      </w:r>
      <w:r>
        <w:rPr>
          <w:rFonts w:hint="eastAsia" w:ascii="宋体" w:hAnsi="宋体" w:eastAsia="宋体" w:cs="宋体"/>
          <w:color w:val="auto"/>
          <w:sz w:val="24"/>
          <w:szCs w:val="24"/>
          <w:highlight w:val="none"/>
          <w:lang w:val="zh-CN"/>
        </w:rPr>
        <w:instrText xml:space="preserve"> HYPERLINK \l _Toc4661 </w:instrText>
      </w:r>
      <w:r>
        <w:rPr>
          <w:rFonts w:hint="eastAsia" w:ascii="宋体" w:hAnsi="宋体" w:eastAsia="宋体" w:cs="宋体"/>
          <w:color w:val="auto"/>
          <w:sz w:val="24"/>
          <w:szCs w:val="24"/>
          <w:highlight w:val="none"/>
          <w:lang w:val="zh-CN"/>
        </w:rPr>
        <w:fldChar w:fldCharType="separate"/>
      </w:r>
      <w:r>
        <w:rPr>
          <w:rFonts w:hint="eastAsia" w:ascii="宋体" w:hAnsi="宋体" w:eastAsia="宋体" w:cs="宋体"/>
          <w:bCs/>
          <w:color w:val="auto"/>
          <w:sz w:val="24"/>
          <w:szCs w:val="24"/>
          <w:highlight w:val="none"/>
          <w:lang w:val="en-US" w:eastAsia="zh-CN"/>
        </w:rPr>
        <w:t xml:space="preserve">第五章 </w:t>
      </w:r>
      <w:r>
        <w:rPr>
          <w:rFonts w:hint="eastAsia" w:ascii="宋体" w:hAnsi="宋体" w:eastAsia="宋体" w:cs="宋体"/>
          <w:bCs/>
          <w:color w:val="auto"/>
          <w:sz w:val="24"/>
          <w:szCs w:val="24"/>
          <w:highlight w:val="none"/>
        </w:rPr>
        <w:t>政府采购合同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fldChar w:fldCharType="end"/>
      </w:r>
      <w:r>
        <w:rPr>
          <w:rFonts w:hint="eastAsia" w:ascii="宋体" w:hAnsi="宋体" w:eastAsia="宋体" w:cs="宋体"/>
          <w:color w:val="auto"/>
          <w:sz w:val="24"/>
          <w:szCs w:val="24"/>
          <w:highlight w:val="none"/>
          <w:lang w:val="en-US" w:eastAsia="zh-CN"/>
        </w:rPr>
        <w:t>4</w:t>
      </w:r>
    </w:p>
    <w:p w14:paraId="032761DA">
      <w:pPr>
        <w:pStyle w:val="31"/>
        <w:keepNext w:val="0"/>
        <w:keepLines w:val="0"/>
        <w:pageBreakBefore w:val="0"/>
        <w:widowControl w:val="0"/>
        <w:tabs>
          <w:tab w:val="right" w:leader="dot" w:pos="8312"/>
          <w:tab w:val="clear" w:pos="8222"/>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fldChar w:fldCharType="begin"/>
      </w:r>
      <w:r>
        <w:rPr>
          <w:rFonts w:hint="eastAsia" w:ascii="宋体" w:hAnsi="宋体" w:eastAsia="宋体" w:cs="宋体"/>
          <w:color w:val="auto"/>
          <w:sz w:val="24"/>
          <w:szCs w:val="24"/>
          <w:highlight w:val="none"/>
          <w:lang w:val="zh-CN"/>
        </w:rPr>
        <w:instrText xml:space="preserve"> HYPERLINK \l _Toc8945 </w:instrText>
      </w:r>
      <w:r>
        <w:rPr>
          <w:rFonts w:hint="eastAsia" w:ascii="宋体" w:hAnsi="宋体" w:eastAsia="宋体" w:cs="宋体"/>
          <w:color w:val="auto"/>
          <w:sz w:val="24"/>
          <w:szCs w:val="24"/>
          <w:highlight w:val="none"/>
          <w:lang w:val="zh-CN"/>
        </w:rPr>
        <w:fldChar w:fldCharType="separate"/>
      </w:r>
      <w:r>
        <w:rPr>
          <w:rFonts w:hint="eastAsia" w:ascii="宋体" w:hAnsi="宋体" w:eastAsia="宋体" w:cs="宋体"/>
          <w:bCs w:val="0"/>
          <w:color w:val="auto"/>
          <w:sz w:val="24"/>
          <w:szCs w:val="24"/>
          <w:highlight w:val="none"/>
        </w:rPr>
        <w:t>第六章 竞争性磋商响应文件格式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fldChar w:fldCharType="end"/>
      </w:r>
      <w:r>
        <w:rPr>
          <w:rFonts w:hint="eastAsia" w:ascii="宋体" w:hAnsi="宋体" w:eastAsia="宋体" w:cs="宋体"/>
          <w:color w:val="auto"/>
          <w:sz w:val="24"/>
          <w:szCs w:val="24"/>
          <w:highlight w:val="none"/>
          <w:lang w:val="en-US" w:eastAsia="zh-CN"/>
        </w:rPr>
        <w:t>5</w:t>
      </w:r>
    </w:p>
    <w:p w14:paraId="3336E1C2">
      <w:pPr>
        <w:pStyle w:val="21"/>
        <w:keepNext w:val="0"/>
        <w:keepLines w:val="0"/>
        <w:pageBreakBefore w:val="0"/>
        <w:widowControl w:val="0"/>
        <w:tabs>
          <w:tab w:val="right" w:leader="dot" w:pos="8312"/>
        </w:tabs>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p>
    <w:p w14:paraId="7F953F6C">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lang w:val="zh-CN"/>
        </w:rPr>
      </w:pPr>
      <w:r>
        <w:rPr>
          <w:rFonts w:hint="eastAsia" w:ascii="宋体" w:hAnsi="宋体" w:eastAsia="宋体" w:cs="宋体"/>
          <w:color w:val="auto"/>
          <w:sz w:val="24"/>
          <w:szCs w:val="24"/>
          <w:highlight w:val="none"/>
          <w:lang w:val="zh-CN"/>
        </w:rPr>
        <w:fldChar w:fldCharType="end"/>
      </w:r>
      <w:bookmarkStart w:id="3" w:name="_Toc531075007"/>
      <w:bookmarkStart w:id="4" w:name="_Toc456718476"/>
    </w:p>
    <w:p w14:paraId="5101CC86">
      <w:pPr>
        <w:pStyle w:val="2"/>
        <w:numPr>
          <w:ilvl w:val="0"/>
          <w:numId w:val="0"/>
        </w:numPr>
        <w:spacing w:line="240" w:lineRule="auto"/>
        <w:ind w:leftChars="0"/>
        <w:jc w:val="center"/>
        <w:rPr>
          <w:rFonts w:hint="eastAsia" w:cs="宋体"/>
          <w:color w:val="auto"/>
          <w:highlight w:val="none"/>
        </w:rPr>
      </w:pPr>
      <w:r>
        <w:rPr>
          <w:color w:val="auto"/>
          <w:szCs w:val="20"/>
          <w:highlight w:val="none"/>
        </w:rPr>
        <w:br w:type="page"/>
      </w:r>
      <w:bookmarkStart w:id="5" w:name="_Toc16976"/>
      <w:bookmarkStart w:id="6" w:name="_Toc53230264"/>
      <w:r>
        <w:rPr>
          <w:rFonts w:hint="eastAsia"/>
          <w:b/>
          <w:bCs w:val="0"/>
          <w:color w:val="auto"/>
          <w:szCs w:val="20"/>
          <w:highlight w:val="none"/>
          <w:lang w:eastAsia="zh-CN"/>
        </w:rPr>
        <w:t>第一章</w:t>
      </w:r>
      <w:r>
        <w:rPr>
          <w:rFonts w:hint="eastAsia"/>
          <w:b/>
          <w:bCs w:val="0"/>
          <w:color w:val="auto"/>
          <w:szCs w:val="20"/>
          <w:highlight w:val="none"/>
          <w:lang w:val="en-US" w:eastAsia="zh-CN"/>
        </w:rPr>
        <w:t xml:space="preserve"> </w:t>
      </w:r>
      <w:r>
        <w:rPr>
          <w:rFonts w:hint="eastAsia"/>
          <w:b/>
          <w:bCs w:val="0"/>
          <w:color w:val="auto"/>
          <w:szCs w:val="20"/>
          <w:highlight w:val="none"/>
        </w:rPr>
        <w:t>竞争性磋商</w:t>
      </w:r>
      <w:r>
        <w:rPr>
          <w:rFonts w:hint="eastAsia"/>
          <w:b/>
          <w:bCs w:val="0"/>
          <w:color w:val="auto"/>
          <w:highlight w:val="none"/>
        </w:rPr>
        <w:t>公告</w:t>
      </w:r>
      <w:bookmarkEnd w:id="5"/>
      <w:bookmarkEnd w:id="6"/>
    </w:p>
    <w:bookmarkEnd w:id="3"/>
    <w:p w14:paraId="233FFDDF">
      <w:pPr>
        <w:widowControl/>
        <w:jc w:val="left"/>
        <w:rPr>
          <w:color w:val="auto"/>
          <w:sz w:val="24"/>
          <w:szCs w:val="24"/>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049C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9662" w:type="dxa"/>
            <w:noWrap w:val="0"/>
            <w:vAlign w:val="top"/>
          </w:tcPr>
          <w:p w14:paraId="50E1E0FD">
            <w:pPr>
              <w:pStyle w:val="86"/>
              <w:widowControl/>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项目概况:</w:t>
            </w:r>
          </w:p>
          <w:p w14:paraId="5C5C5061">
            <w:pPr>
              <w:pStyle w:val="86"/>
              <w:widowControl/>
              <w:spacing w:line="360" w:lineRule="auto"/>
              <w:ind w:firstLine="480" w:firstLineChars="200"/>
              <w:rPr>
                <w:rFonts w:hint="eastAsia"/>
                <w:color w:val="auto"/>
                <w:highlight w:val="none"/>
              </w:rPr>
            </w:pPr>
            <w:r>
              <w:rPr>
                <w:rFonts w:hint="eastAsia" w:ascii="宋体" w:hAnsi="宋体" w:cs="宋体"/>
                <w:color w:val="auto"/>
                <w:kern w:val="0"/>
                <w:sz w:val="24"/>
                <w:szCs w:val="24"/>
                <w:highlight w:val="none"/>
                <w:lang w:eastAsia="zh-CN"/>
              </w:rPr>
              <w:t>中国（新疆）国际贸易“单一”窗口功能拓展（自治区边民互市贸易综合服务）提升优化项目可行性研究报告编制项目</w:t>
            </w:r>
            <w:r>
              <w:rPr>
                <w:rFonts w:hint="eastAsia" w:ascii="宋体" w:hAnsi="宋体" w:cs="宋体"/>
                <w:color w:val="auto"/>
                <w:kern w:val="0"/>
                <w:sz w:val="24"/>
                <w:szCs w:val="24"/>
                <w:highlight w:val="none"/>
                <w:lang w:val="en-US" w:eastAsia="zh-CN"/>
              </w:rPr>
              <w:t>(二次)</w:t>
            </w:r>
            <w:r>
              <w:rPr>
                <w:rFonts w:hint="eastAsia" w:ascii="宋体" w:hAnsi="宋体" w:cs="宋体"/>
                <w:color w:val="auto"/>
                <w:kern w:val="0"/>
                <w:sz w:val="24"/>
                <w:szCs w:val="24"/>
                <w:highlight w:val="none"/>
              </w:rPr>
              <w:t>的潜在供应商应在政采云平台线</w:t>
            </w:r>
            <w:r>
              <w:rPr>
                <w:rFonts w:hint="eastAsia" w:ascii="宋体" w:hAnsi="宋体" w:cs="宋体"/>
                <w:color w:val="auto"/>
                <w:kern w:val="0"/>
                <w:sz w:val="24"/>
                <w:szCs w:val="24"/>
                <w:highlight w:val="none"/>
                <w:lang w:eastAsia="zh-CN"/>
              </w:rPr>
              <w:t>上</w:t>
            </w:r>
            <w:r>
              <w:rPr>
                <w:rFonts w:hint="eastAsia" w:ascii="宋体" w:hAnsi="宋体" w:cs="宋体"/>
                <w:color w:val="auto"/>
                <w:kern w:val="0"/>
                <w:sz w:val="24"/>
                <w:szCs w:val="24"/>
                <w:highlight w:val="none"/>
              </w:rPr>
              <w:t>获取采购文件，并于</w:t>
            </w:r>
            <w:r>
              <w:rPr>
                <w:rFonts w:hint="eastAsia" w:ascii="宋体" w:hAnsi="宋体" w:cs="宋体"/>
                <w:color w:val="auto"/>
                <w:kern w:val="0"/>
                <w:sz w:val="24"/>
                <w:szCs w:val="24"/>
                <w:highlight w:val="none"/>
                <w:lang w:val="en-US" w:eastAsia="zh-CN"/>
              </w:rPr>
              <w:t>2026</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18</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lang w:val="en-US" w:eastAsia="zh-CN"/>
              </w:rPr>
              <w:t>11：00</w:t>
            </w:r>
            <w:r>
              <w:rPr>
                <w:rFonts w:hint="eastAsia" w:ascii="宋体" w:hAnsi="宋体" w:cs="宋体"/>
                <w:color w:val="auto"/>
                <w:kern w:val="0"/>
                <w:sz w:val="24"/>
                <w:szCs w:val="24"/>
                <w:highlight w:val="none"/>
              </w:rPr>
              <w:t>时（北京时间）前递交响应文件。</w:t>
            </w:r>
          </w:p>
        </w:tc>
      </w:tr>
    </w:tbl>
    <w:p w14:paraId="5C399311">
      <w:pPr>
        <w:pStyle w:val="87"/>
        <w:widowControl/>
        <w:spacing w:line="360" w:lineRule="auto"/>
        <w:jc w:val="left"/>
        <w:rPr>
          <w:rFonts w:hint="eastAsia" w:ascii="宋体" w:hAnsi="宋体" w:cs="宋体"/>
          <w:b/>
          <w:bCs/>
          <w:color w:val="auto"/>
          <w:kern w:val="0"/>
          <w:sz w:val="24"/>
          <w:szCs w:val="24"/>
          <w:highlight w:val="none"/>
        </w:rPr>
      </w:pPr>
    </w:p>
    <w:p w14:paraId="2AD08A6C">
      <w:pPr>
        <w:pStyle w:val="87"/>
        <w:widowControl/>
        <w:spacing w:line="360" w:lineRule="auto"/>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一、项目基本情况</w:t>
      </w:r>
    </w:p>
    <w:p w14:paraId="5EF17300">
      <w:pPr>
        <w:pStyle w:val="87"/>
        <w:widowControl/>
        <w:spacing w:line="360" w:lineRule="auto"/>
        <w:ind w:firstLine="480" w:firstLineChars="200"/>
        <w:jc w:val="left"/>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项目编号：</w:t>
      </w:r>
      <w:r>
        <w:rPr>
          <w:rFonts w:hint="eastAsia" w:ascii="宋体" w:hAnsi="宋体" w:cs="宋体"/>
          <w:color w:val="auto"/>
          <w:kern w:val="0"/>
          <w:sz w:val="24"/>
          <w:szCs w:val="24"/>
          <w:highlight w:val="none"/>
          <w:lang w:eastAsia="zh-CN"/>
        </w:rPr>
        <w:t>XJYHZB2026-096</w:t>
      </w:r>
      <w:r>
        <w:rPr>
          <w:rFonts w:hint="eastAsia" w:ascii="宋体" w:hAnsi="宋体" w:cs="宋体"/>
          <w:color w:val="auto"/>
          <w:kern w:val="0"/>
          <w:sz w:val="24"/>
          <w:szCs w:val="24"/>
          <w:highlight w:val="none"/>
          <w:lang w:val="en-US" w:eastAsia="zh-CN"/>
        </w:rPr>
        <w:t>-1</w:t>
      </w:r>
    </w:p>
    <w:p w14:paraId="554C960B">
      <w:pPr>
        <w:pStyle w:val="87"/>
        <w:widowControl/>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项目名称：</w:t>
      </w:r>
      <w:r>
        <w:rPr>
          <w:rFonts w:hint="eastAsia" w:ascii="宋体" w:hAnsi="宋体" w:cs="宋体"/>
          <w:color w:val="auto"/>
          <w:kern w:val="0"/>
          <w:sz w:val="24"/>
          <w:szCs w:val="24"/>
          <w:highlight w:val="none"/>
          <w:lang w:val="en-US" w:eastAsia="zh-CN"/>
        </w:rPr>
        <w:t>中国（新疆）国际贸易“单一”窗口功能拓展（自治区边民互市贸易综合服务）提升优化项目可行性研究报告编制项目(二次)</w:t>
      </w:r>
    </w:p>
    <w:p w14:paraId="5FCE0E45">
      <w:pPr>
        <w:pStyle w:val="87"/>
        <w:widowControl/>
        <w:spacing w:line="360" w:lineRule="auto"/>
        <w:ind w:firstLine="480" w:firstLineChars="200"/>
        <w:jc w:val="left"/>
        <w:rPr>
          <w:color w:val="auto"/>
          <w:highlight w:val="none"/>
        </w:rPr>
      </w:pPr>
      <w:r>
        <w:rPr>
          <w:rFonts w:hint="eastAsia" w:ascii="宋体" w:hAnsi="宋体" w:cs="宋体"/>
          <w:color w:val="auto"/>
          <w:kern w:val="0"/>
          <w:sz w:val="24"/>
          <w:szCs w:val="24"/>
          <w:highlight w:val="none"/>
          <w:lang w:val="en-US" w:eastAsia="zh-CN"/>
        </w:rPr>
        <w:t>项目</w:t>
      </w:r>
      <w:r>
        <w:rPr>
          <w:rFonts w:hint="eastAsia" w:ascii="宋体" w:hAnsi="宋体" w:cs="宋体"/>
          <w:color w:val="auto"/>
          <w:kern w:val="0"/>
          <w:sz w:val="24"/>
          <w:szCs w:val="24"/>
          <w:highlight w:val="none"/>
        </w:rPr>
        <w:t>采购方式：竞争性磋商</w:t>
      </w:r>
    </w:p>
    <w:p w14:paraId="6518E1C0">
      <w:pPr>
        <w:pStyle w:val="87"/>
        <w:widowControl/>
        <w:spacing w:line="360" w:lineRule="auto"/>
        <w:ind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预算金额（元）：</w:t>
      </w:r>
      <w:r>
        <w:rPr>
          <w:rFonts w:hint="eastAsia" w:ascii="宋体" w:hAnsi="宋体" w:cs="宋体"/>
          <w:color w:val="auto"/>
          <w:kern w:val="0"/>
          <w:sz w:val="24"/>
          <w:szCs w:val="24"/>
          <w:highlight w:val="none"/>
          <w:lang w:val="en-US" w:eastAsia="zh-CN"/>
        </w:rPr>
        <w:t>70000.00</w:t>
      </w:r>
    </w:p>
    <w:p w14:paraId="146B51B4">
      <w:pPr>
        <w:pStyle w:val="87"/>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最高限价（元）：</w:t>
      </w:r>
      <w:r>
        <w:rPr>
          <w:rFonts w:hint="eastAsia" w:ascii="宋体" w:hAnsi="宋体" w:cs="宋体"/>
          <w:color w:val="auto"/>
          <w:kern w:val="0"/>
          <w:sz w:val="24"/>
          <w:szCs w:val="24"/>
          <w:highlight w:val="none"/>
          <w:lang w:val="en-US" w:eastAsia="zh-CN"/>
        </w:rPr>
        <w:t>70000.00</w:t>
      </w:r>
      <w:r>
        <w:rPr>
          <w:rFonts w:hint="eastAsia" w:ascii="宋体" w:hAnsi="宋体" w:cs="宋体"/>
          <w:color w:val="auto"/>
          <w:kern w:val="0"/>
          <w:sz w:val="24"/>
          <w:szCs w:val="24"/>
          <w:highlight w:val="none"/>
        </w:rPr>
        <w:t xml:space="preserve"> </w:t>
      </w:r>
    </w:p>
    <w:p w14:paraId="03E0A77C">
      <w:pPr>
        <w:pStyle w:val="87"/>
        <w:widowControl/>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采购需求：</w:t>
      </w:r>
      <w:r>
        <w:rPr>
          <w:rFonts w:hint="eastAsia" w:ascii="宋体" w:hAnsi="宋体" w:eastAsia="宋体" w:cs="宋体"/>
          <w:color w:val="auto"/>
          <w:kern w:val="0"/>
          <w:sz w:val="24"/>
          <w:szCs w:val="22"/>
          <w:highlight w:val="none"/>
          <w:lang w:val="en-US" w:eastAsia="zh-CN"/>
        </w:rPr>
        <w:t>具体详见采购文件第三章“采购需求”。</w:t>
      </w:r>
    </w:p>
    <w:p w14:paraId="091C47A1">
      <w:pPr>
        <w:pStyle w:val="87"/>
        <w:widowControl/>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服务期限</w:t>
      </w:r>
      <w:r>
        <w:rPr>
          <w:rFonts w:hint="eastAsia" w:ascii="宋体" w:hAnsi="宋体" w:eastAsia="宋体" w:cs="宋体"/>
          <w:color w:val="auto"/>
          <w:kern w:val="0"/>
          <w:sz w:val="24"/>
          <w:szCs w:val="24"/>
          <w:highlight w:val="none"/>
        </w:rPr>
        <w:t>：自签订合同之日起20个工作日内，完成项目建议书、可行性研究报告和初步设计三合一方案编制工作</w:t>
      </w:r>
      <w:r>
        <w:rPr>
          <w:rFonts w:hint="eastAsia" w:ascii="宋体" w:hAnsi="宋体" w:eastAsia="宋体" w:cs="宋体"/>
          <w:color w:val="auto"/>
          <w:kern w:val="0"/>
          <w:sz w:val="24"/>
          <w:szCs w:val="24"/>
          <w:highlight w:val="none"/>
          <w:lang w:val="en-US" w:eastAsia="zh-CN"/>
        </w:rPr>
        <w:t>,最终成果报项目应满足项目立项审批需要。</w:t>
      </w:r>
    </w:p>
    <w:p w14:paraId="0AEDFAF5">
      <w:pPr>
        <w:pStyle w:val="87"/>
        <w:widowControl/>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本项目（是/否）接受联合体投标：否</w:t>
      </w:r>
    </w:p>
    <w:p w14:paraId="13E3EAD2">
      <w:pPr>
        <w:pStyle w:val="87"/>
        <w:widowControl/>
        <w:spacing w:line="420" w:lineRule="atLeast"/>
        <w:jc w:val="lef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二、申请人的资格要求</w:t>
      </w:r>
    </w:p>
    <w:p w14:paraId="77B3112A">
      <w:pPr>
        <w:pStyle w:val="87"/>
        <w:widowControl/>
        <w:spacing w:line="420" w:lineRule="atLeas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highlight w:val="none"/>
        </w:rPr>
        <w:t>满足《中华人民共和国政府采购法》第二十二条规定条件；</w:t>
      </w:r>
    </w:p>
    <w:p w14:paraId="093D4894">
      <w:pPr>
        <w:pStyle w:val="87"/>
        <w:widowControl/>
        <w:spacing w:line="420" w:lineRule="atLeas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2．落实政府采购政策需满足的资格要求：</w:t>
      </w:r>
      <w:r>
        <w:rPr>
          <w:rFonts w:hint="eastAsia" w:ascii="宋体" w:hAnsi="宋体" w:cs="宋体"/>
          <w:color w:val="auto"/>
          <w:kern w:val="0"/>
          <w:sz w:val="24"/>
          <w:szCs w:val="24"/>
          <w:highlight w:val="none"/>
          <w:lang w:val="en-US" w:eastAsia="zh-CN"/>
        </w:rPr>
        <w:t>本项目专门面向中小企业采购</w:t>
      </w:r>
      <w:r>
        <w:rPr>
          <w:rFonts w:hint="eastAsia" w:ascii="宋体" w:hAnsi="宋体" w:cs="宋体"/>
          <w:color w:val="auto"/>
          <w:kern w:val="0"/>
          <w:sz w:val="24"/>
          <w:highlight w:val="none"/>
          <w:lang w:eastAsia="zh-CN"/>
        </w:rPr>
        <w:t>；</w:t>
      </w:r>
    </w:p>
    <w:p w14:paraId="613ED4DA">
      <w:pPr>
        <w:pStyle w:val="87"/>
        <w:widowControl/>
        <w:spacing w:line="420" w:lineRule="atLeas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3．本项目的特定资格要求：</w:t>
      </w:r>
    </w:p>
    <w:p w14:paraId="519F4F74">
      <w:pPr>
        <w:pStyle w:val="87"/>
        <w:widowControl/>
        <w:spacing w:line="420" w:lineRule="atLeast"/>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凡拟参加本次磋商项目的供应商须具有良好的信誉，未在“信用中国”网站（www.creditchina.gov.cn）被列入失信被执行人、重大税收违法案件当事人名单、中国政府采购网（www.ccgp.gov.cn）被列入政府采购严重违法失信行为记录名单（尚在处罚期内的）。</w:t>
      </w:r>
    </w:p>
    <w:p w14:paraId="288DC9BC">
      <w:pPr>
        <w:pStyle w:val="38"/>
        <w:ind w:firstLine="480" w:firstLineChars="200"/>
        <w:rPr>
          <w:rFonts w:hint="eastAsia"/>
          <w:lang w:val="en-US" w:eastAsia="zh-CN"/>
        </w:rPr>
      </w:pPr>
      <w:r>
        <w:rPr>
          <w:rFonts w:hint="eastAsia" w:ascii="宋体" w:hAnsi="宋体" w:cs="宋体"/>
          <w:color w:val="auto"/>
          <w:kern w:val="0"/>
          <w:sz w:val="24"/>
          <w:szCs w:val="24"/>
          <w:highlight w:val="none"/>
          <w:lang w:val="en-US" w:eastAsia="zh-CN"/>
        </w:rPr>
        <w:t>（2）具有工程设计资质证书：电子通信广电行业(有线通信或无线通信)专业乙级及以上。</w:t>
      </w:r>
    </w:p>
    <w:p w14:paraId="39E37E0D">
      <w:pPr>
        <w:pStyle w:val="87"/>
        <w:widowControl/>
        <w:spacing w:line="420" w:lineRule="atLeast"/>
        <w:jc w:val="lef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三、获取采购文件</w:t>
      </w:r>
    </w:p>
    <w:p w14:paraId="7D420245">
      <w:pPr>
        <w:pStyle w:val="87"/>
        <w:widowControl/>
        <w:spacing w:line="420" w:lineRule="atLeas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时间:202</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年</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月</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eastAsia="zh-CN"/>
        </w:rPr>
        <w:t>日至202</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年</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月</w:t>
      </w:r>
      <w:r>
        <w:rPr>
          <w:rFonts w:hint="eastAsia" w:ascii="宋体" w:hAnsi="宋体" w:eastAsia="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lang w:eastAsia="zh-CN"/>
        </w:rPr>
        <w:t>日，每天上午</w:t>
      </w:r>
      <w:r>
        <w:rPr>
          <w:rFonts w:hint="eastAsia" w:ascii="宋体" w:hAnsi="宋体" w:eastAsia="宋体" w:cs="宋体"/>
          <w:color w:val="auto"/>
          <w:kern w:val="0"/>
          <w:sz w:val="24"/>
          <w:szCs w:val="24"/>
          <w:highlight w:val="none"/>
          <w:lang w:val="en-US" w:eastAsia="zh-CN"/>
        </w:rPr>
        <w:t>00</w:t>
      </w:r>
      <w:r>
        <w:rPr>
          <w:rFonts w:hint="eastAsia" w:ascii="宋体" w:hAnsi="宋体" w:eastAsia="宋体" w:cs="宋体"/>
          <w:color w:val="auto"/>
          <w:kern w:val="0"/>
          <w:sz w:val="24"/>
          <w:szCs w:val="24"/>
          <w:highlight w:val="none"/>
          <w:lang w:eastAsia="zh-CN"/>
        </w:rPr>
        <w:t>:00至</w:t>
      </w:r>
      <w:r>
        <w:rPr>
          <w:rFonts w:hint="eastAsia" w:ascii="宋体" w:hAnsi="宋体" w:eastAsia="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lang w:eastAsia="zh-CN"/>
        </w:rPr>
        <w:t>0，下午</w:t>
      </w:r>
      <w:r>
        <w:rPr>
          <w:rFonts w:hint="eastAsia" w:ascii="宋体" w:hAnsi="宋体" w:eastAsia="宋体" w:cs="宋体"/>
          <w:color w:val="auto"/>
          <w:kern w:val="0"/>
          <w:sz w:val="24"/>
          <w:szCs w:val="24"/>
          <w:highlight w:val="none"/>
          <w:lang w:val="en-US" w:eastAsia="zh-CN"/>
        </w:rPr>
        <w:t>12:00</w:t>
      </w:r>
      <w:r>
        <w:rPr>
          <w:rFonts w:hint="eastAsia" w:ascii="宋体" w:hAnsi="宋体" w:eastAsia="宋体" w:cs="宋体"/>
          <w:color w:val="auto"/>
          <w:kern w:val="0"/>
          <w:sz w:val="24"/>
          <w:szCs w:val="24"/>
          <w:highlight w:val="none"/>
          <w:lang w:eastAsia="zh-CN"/>
        </w:rPr>
        <w:t>至</w:t>
      </w:r>
      <w:r>
        <w:rPr>
          <w:rFonts w:hint="eastAsia" w:ascii="宋体" w:hAnsi="宋体" w:eastAsia="宋体" w:cs="宋体"/>
          <w:color w:val="auto"/>
          <w:kern w:val="0"/>
          <w:sz w:val="24"/>
          <w:szCs w:val="24"/>
          <w:highlight w:val="none"/>
          <w:lang w:val="en-US" w:eastAsia="zh-CN"/>
        </w:rPr>
        <w:t>23:59</w:t>
      </w:r>
      <w:r>
        <w:rPr>
          <w:rFonts w:hint="eastAsia" w:ascii="宋体" w:hAnsi="宋体" w:eastAsia="宋体" w:cs="宋体"/>
          <w:color w:val="auto"/>
          <w:kern w:val="0"/>
          <w:sz w:val="24"/>
          <w:szCs w:val="24"/>
          <w:highlight w:val="none"/>
          <w:lang w:eastAsia="zh-CN"/>
        </w:rPr>
        <w:t>（北京时间，法定节假日除外）</w:t>
      </w:r>
    </w:p>
    <w:p w14:paraId="05313238">
      <w:pPr>
        <w:pStyle w:val="87"/>
        <w:widowControl/>
        <w:spacing w:line="420" w:lineRule="atLeas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地点：政采云平台线上获取</w:t>
      </w:r>
    </w:p>
    <w:p w14:paraId="04A56F51">
      <w:pPr>
        <w:pStyle w:val="87"/>
        <w:widowControl/>
        <w:spacing w:line="420" w:lineRule="atLeas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方式：供应商登录政采云平台https://www.zcygov.cn/在线申请获取采购文件（进入“项目采购”应用，在获取采购文件菜单中选择项目，申请获取采购文件）</w:t>
      </w:r>
    </w:p>
    <w:p w14:paraId="6688953B">
      <w:pPr>
        <w:pStyle w:val="87"/>
        <w:widowControl/>
        <w:spacing w:line="420" w:lineRule="atLeas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售价（0元）</w:t>
      </w:r>
    </w:p>
    <w:p w14:paraId="03446153">
      <w:pPr>
        <w:pStyle w:val="87"/>
        <w:widowControl/>
        <w:spacing w:line="420" w:lineRule="atLeast"/>
        <w:jc w:val="lef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四、响应文件提交</w:t>
      </w:r>
    </w:p>
    <w:p w14:paraId="6E14C751">
      <w:pPr>
        <w:pStyle w:val="210"/>
        <w:snapToGrid w:val="0"/>
        <w:spacing w:line="44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截止时间：2026年5月18 日11:00（北京时间）</w:t>
      </w:r>
    </w:p>
    <w:p w14:paraId="47AD72AC">
      <w:pPr>
        <w:pStyle w:val="210"/>
        <w:snapToGrid w:val="0"/>
        <w:spacing w:line="44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地点：请登录政采云投标客户端投标</w:t>
      </w:r>
    </w:p>
    <w:p w14:paraId="04C4126A">
      <w:pPr>
        <w:pStyle w:val="210"/>
        <w:numPr>
          <w:ilvl w:val="0"/>
          <w:numId w:val="1"/>
        </w:numPr>
        <w:snapToGrid w:val="0"/>
        <w:spacing w:line="440" w:lineRule="exact"/>
        <w:rPr>
          <w:rFonts w:hint="eastAsia" w:ascii="宋体" w:hAnsi="宋体" w:cs="宋体"/>
          <w:b/>
          <w:bCs/>
          <w:color w:val="auto"/>
          <w:kern w:val="0"/>
          <w:sz w:val="24"/>
          <w:szCs w:val="22"/>
          <w:highlight w:val="none"/>
        </w:rPr>
      </w:pPr>
      <w:r>
        <w:rPr>
          <w:rFonts w:hint="eastAsia" w:ascii="宋体" w:hAnsi="宋体" w:cs="宋体"/>
          <w:b/>
          <w:bCs/>
          <w:color w:val="auto"/>
          <w:kern w:val="0"/>
          <w:sz w:val="24"/>
          <w:szCs w:val="22"/>
          <w:highlight w:val="none"/>
          <w:lang w:val="en-US" w:eastAsia="zh-CN"/>
        </w:rPr>
        <w:t>响应文件开启</w:t>
      </w:r>
    </w:p>
    <w:p w14:paraId="5F12BF96">
      <w:pPr>
        <w:pStyle w:val="210"/>
        <w:snapToGrid w:val="0"/>
        <w:spacing w:line="44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开启时间：2026年5月18日11:00（北京时间）</w:t>
      </w:r>
    </w:p>
    <w:p w14:paraId="393E1B42">
      <w:pPr>
        <w:pStyle w:val="210"/>
        <w:snapToGrid w:val="0"/>
        <w:spacing w:line="44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地点：政采云平台（https://www.zcygov.cn/）</w:t>
      </w:r>
    </w:p>
    <w:p w14:paraId="111DDEAB">
      <w:pPr>
        <w:pStyle w:val="210"/>
        <w:numPr>
          <w:ilvl w:val="0"/>
          <w:numId w:val="1"/>
        </w:numPr>
        <w:snapToGrid w:val="0"/>
        <w:spacing w:line="440" w:lineRule="exact"/>
        <w:rPr>
          <w:rFonts w:hint="eastAsia" w:ascii="宋体" w:hAnsi="宋体" w:cs="宋体"/>
          <w:b/>
          <w:bCs/>
          <w:color w:val="auto"/>
          <w:kern w:val="0"/>
          <w:sz w:val="24"/>
          <w:szCs w:val="22"/>
          <w:highlight w:val="none"/>
        </w:rPr>
      </w:pPr>
      <w:r>
        <w:rPr>
          <w:rFonts w:hint="eastAsia" w:ascii="宋体" w:hAnsi="宋体" w:cs="宋体"/>
          <w:b/>
          <w:bCs/>
          <w:color w:val="auto"/>
          <w:kern w:val="0"/>
          <w:sz w:val="24"/>
          <w:szCs w:val="22"/>
          <w:highlight w:val="none"/>
          <w:lang w:val="en-US" w:eastAsia="zh-CN"/>
        </w:rPr>
        <w:t>公告期限</w:t>
      </w:r>
    </w:p>
    <w:p w14:paraId="69E155FB">
      <w:pPr>
        <w:pStyle w:val="210"/>
        <w:snapToGrid w:val="0"/>
        <w:spacing w:line="440" w:lineRule="exact"/>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自本公告发布之日起5个工作日</w:t>
      </w:r>
    </w:p>
    <w:p w14:paraId="061B43EF">
      <w:pPr>
        <w:pStyle w:val="210"/>
        <w:snapToGrid w:val="0"/>
        <w:spacing w:line="440" w:lineRule="exact"/>
        <w:rPr>
          <w:rFonts w:hint="eastAsia" w:ascii="宋体" w:hAnsi="宋体" w:cs="宋体"/>
          <w:b/>
          <w:bCs/>
          <w:color w:val="auto"/>
          <w:kern w:val="0"/>
          <w:sz w:val="24"/>
          <w:szCs w:val="22"/>
          <w:highlight w:val="none"/>
        </w:rPr>
      </w:pPr>
      <w:r>
        <w:rPr>
          <w:rFonts w:hint="eastAsia" w:ascii="宋体" w:hAnsi="宋体" w:cs="宋体"/>
          <w:b/>
          <w:bCs/>
          <w:color w:val="auto"/>
          <w:kern w:val="0"/>
          <w:sz w:val="24"/>
          <w:szCs w:val="22"/>
          <w:highlight w:val="none"/>
        </w:rPr>
        <w:t>七、其他补充事宜</w:t>
      </w:r>
    </w:p>
    <w:p w14:paraId="20A5EF14">
      <w:pPr>
        <w:pStyle w:val="89"/>
        <w:keepNext w:val="0"/>
        <w:keepLines w:val="0"/>
        <w:pageBreakBefore w:val="0"/>
        <w:widowControl w:val="0"/>
        <w:kinsoku/>
        <w:wordWrap/>
        <w:overflowPunct/>
        <w:topLinePunct w:val="0"/>
        <w:autoSpaceDE/>
        <w:autoSpaceDN/>
        <w:bidi w:val="0"/>
        <w:adjustRightInd/>
        <w:snapToGrid/>
        <w:spacing w:after="0" w:line="420" w:lineRule="atLeast"/>
        <w:ind w:firstLine="480" w:firstLineChars="200"/>
        <w:textAlignment w:val="auto"/>
        <w:rPr>
          <w:rFonts w:hint="eastAsia" w:ascii="宋体" w:hAnsi="宋体" w:eastAsia="宋体" w:cs="Times New Roman"/>
          <w:color w:val="auto"/>
          <w:kern w:val="2"/>
          <w:sz w:val="24"/>
          <w:szCs w:val="21"/>
          <w:highlight w:val="none"/>
          <w:lang w:val="en-US" w:eastAsia="zh-CN" w:bidi="ar-SA"/>
        </w:rPr>
      </w:pPr>
      <w:r>
        <w:rPr>
          <w:rFonts w:hint="eastAsia" w:ascii="宋体" w:hAnsi="宋体" w:eastAsia="宋体" w:cs="Times New Roman"/>
          <w:color w:val="auto"/>
          <w:kern w:val="2"/>
          <w:sz w:val="24"/>
          <w:szCs w:val="21"/>
          <w:highlight w:val="none"/>
          <w:lang w:val="en-US" w:eastAsia="zh-CN" w:bidi="ar-SA"/>
        </w:rPr>
        <w:t>1、本项目为电子招投标项目，供应商需要使用CA加密设备，凡参加本项目供应商可自主通过新疆CA申领渠道“新疆政务通”申请政采云平台可使用的CA设备。如有操作性问题可与政采云在线客服进行咨询，咨询电话：95763。</w:t>
      </w:r>
      <w:r>
        <w:rPr>
          <w:rFonts w:hint="eastAsia" w:ascii="宋体" w:hAnsi="宋体" w:eastAsia="宋体" w:cs="Times New Roman"/>
          <w:color w:val="auto"/>
          <w:kern w:val="2"/>
          <w:sz w:val="24"/>
          <w:szCs w:val="21"/>
          <w:highlight w:val="none"/>
          <w:lang w:val="en-US" w:eastAsia="zh-CN" w:bidi="ar-SA"/>
        </w:rPr>
        <w:br w:type="textWrapping"/>
      </w:r>
      <w:r>
        <w:rPr>
          <w:rFonts w:hint="eastAsia" w:ascii="宋体" w:hAnsi="宋体" w:eastAsia="宋体" w:cs="Times New Roman"/>
          <w:color w:val="auto"/>
          <w:kern w:val="2"/>
          <w:sz w:val="24"/>
          <w:szCs w:val="21"/>
          <w:highlight w:val="none"/>
          <w:lang w:val="en-US" w:eastAsia="zh-CN" w:bidi="ar-SA"/>
        </w:rPr>
        <w:t xml:space="preserve">    2、本项目实行网上投标，采用电子投标响应文件，若供应商参与投标，需自行承担投标一切费用。</w:t>
      </w:r>
      <w:r>
        <w:rPr>
          <w:rFonts w:hint="eastAsia" w:ascii="宋体" w:hAnsi="宋体" w:eastAsia="宋体" w:cs="Times New Roman"/>
          <w:color w:val="auto"/>
          <w:kern w:val="2"/>
          <w:sz w:val="24"/>
          <w:szCs w:val="21"/>
          <w:highlight w:val="none"/>
          <w:lang w:val="en-US" w:eastAsia="zh-CN" w:bidi="ar-SA"/>
        </w:rPr>
        <w:br w:type="textWrapping"/>
      </w:r>
      <w:r>
        <w:rPr>
          <w:rFonts w:hint="eastAsia" w:ascii="宋体" w:hAnsi="宋体" w:eastAsia="宋体" w:cs="Times New Roman"/>
          <w:color w:val="auto"/>
          <w:kern w:val="2"/>
          <w:sz w:val="24"/>
          <w:szCs w:val="21"/>
          <w:highlight w:val="none"/>
          <w:lang w:val="en-US" w:eastAsia="zh-CN" w:bidi="ar-SA"/>
        </w:rPr>
        <w:t xml:space="preserve">    3、各供应商应在开标前确保成为新疆政府采购网正式注册入库供应商，并完成CA数字证书申领。因未注册入库、未办理CA数字证书等原因造成无法投标或投标失败等后果由供应商自行承担。</w:t>
      </w:r>
      <w:r>
        <w:rPr>
          <w:rFonts w:hint="eastAsia" w:ascii="宋体" w:hAnsi="宋体" w:eastAsia="宋体" w:cs="Times New Roman"/>
          <w:color w:val="auto"/>
          <w:kern w:val="2"/>
          <w:sz w:val="24"/>
          <w:szCs w:val="21"/>
          <w:highlight w:val="none"/>
          <w:lang w:val="en-US" w:eastAsia="zh-CN" w:bidi="ar-SA"/>
        </w:rPr>
        <w:br w:type="textWrapping"/>
      </w:r>
      <w:r>
        <w:rPr>
          <w:rFonts w:hint="eastAsia" w:ascii="宋体" w:hAnsi="宋体" w:eastAsia="宋体" w:cs="Times New Roman"/>
          <w:color w:val="auto"/>
          <w:kern w:val="2"/>
          <w:sz w:val="24"/>
          <w:szCs w:val="21"/>
          <w:highlight w:val="none"/>
          <w:lang w:val="en-US" w:eastAsia="zh-CN" w:bidi="ar-SA"/>
        </w:rPr>
        <w:t xml:space="preserve">    4、供应商将政采云电子交易客户端下载、安装完成后，可通过账号密码或CA登录客户端进行投标响应文件制作。在使用政采云投标客户端时，建议使用WIN7及以上操作系统。客户端请至新疆政府采购网（www.ccgp-xinjiang.gov.cn）下载专区查看，如有问题可拨打政采云客户服务热线95763进行咨询。</w:t>
      </w:r>
      <w:r>
        <w:rPr>
          <w:rFonts w:hint="eastAsia" w:ascii="宋体" w:hAnsi="宋体" w:eastAsia="宋体" w:cs="Times New Roman"/>
          <w:color w:val="auto"/>
          <w:kern w:val="2"/>
          <w:sz w:val="24"/>
          <w:szCs w:val="21"/>
          <w:highlight w:val="none"/>
          <w:lang w:val="en-US" w:eastAsia="zh-CN" w:bidi="ar-SA"/>
        </w:rPr>
        <w:br w:type="textWrapping"/>
      </w:r>
      <w:r>
        <w:rPr>
          <w:rFonts w:hint="eastAsia" w:ascii="宋体" w:hAnsi="宋体" w:eastAsia="宋体" w:cs="Times New Roman"/>
          <w:color w:val="auto"/>
          <w:kern w:val="2"/>
          <w:sz w:val="24"/>
          <w:szCs w:val="21"/>
          <w:highlight w:val="none"/>
          <w:lang w:val="en-US" w:eastAsia="zh-CN" w:bidi="ar-SA"/>
        </w:rPr>
        <w:t xml:space="preserve">    5、各供应商须在投标时间在政采云平台自行解密文件。  </w:t>
      </w:r>
    </w:p>
    <w:p w14:paraId="144F8DEE">
      <w:pPr>
        <w:pStyle w:val="89"/>
        <w:keepNext w:val="0"/>
        <w:keepLines w:val="0"/>
        <w:pageBreakBefore w:val="0"/>
        <w:widowControl w:val="0"/>
        <w:kinsoku/>
        <w:wordWrap/>
        <w:overflowPunct/>
        <w:topLinePunct w:val="0"/>
        <w:autoSpaceDE/>
        <w:autoSpaceDN/>
        <w:bidi w:val="0"/>
        <w:adjustRightInd/>
        <w:snapToGrid/>
        <w:spacing w:after="0" w:line="420" w:lineRule="atLeast"/>
        <w:ind w:firstLine="480" w:firstLineChars="200"/>
        <w:textAlignment w:val="auto"/>
        <w:rPr>
          <w:rFonts w:hint="eastAsia" w:ascii="宋体" w:hAnsi="宋体" w:eastAsia="宋体" w:cs="Times New Roman"/>
          <w:color w:val="auto"/>
          <w:kern w:val="2"/>
          <w:sz w:val="24"/>
          <w:szCs w:val="21"/>
          <w:highlight w:val="none"/>
          <w:lang w:val="en-US" w:eastAsia="zh-CN" w:bidi="ar-SA"/>
        </w:rPr>
      </w:pPr>
      <w:r>
        <w:rPr>
          <w:rFonts w:hint="eastAsia" w:ascii="宋体" w:hAnsi="宋体" w:eastAsia="宋体" w:cs="Times New Roman"/>
          <w:color w:val="auto"/>
          <w:kern w:val="2"/>
          <w:sz w:val="24"/>
          <w:szCs w:val="21"/>
          <w:highlight w:val="none"/>
          <w:lang w:val="en-US" w:eastAsia="zh-CN" w:bidi="ar-SA"/>
        </w:rPr>
        <w:t>特别提示：</w:t>
      </w:r>
    </w:p>
    <w:p w14:paraId="4936EB59">
      <w:pPr>
        <w:pStyle w:val="89"/>
        <w:keepNext w:val="0"/>
        <w:keepLines w:val="0"/>
        <w:pageBreakBefore w:val="0"/>
        <w:widowControl w:val="0"/>
        <w:kinsoku/>
        <w:wordWrap/>
        <w:overflowPunct/>
        <w:topLinePunct w:val="0"/>
        <w:autoSpaceDE/>
        <w:autoSpaceDN/>
        <w:bidi w:val="0"/>
        <w:adjustRightInd/>
        <w:snapToGrid/>
        <w:spacing w:after="0" w:line="420" w:lineRule="atLeast"/>
        <w:ind w:firstLine="480" w:firstLineChars="200"/>
        <w:textAlignment w:val="auto"/>
        <w:rPr>
          <w:rFonts w:hint="eastAsia" w:ascii="宋体" w:hAnsi="宋体" w:eastAsia="宋体" w:cs="Times New Roman"/>
          <w:color w:val="auto"/>
          <w:kern w:val="2"/>
          <w:sz w:val="24"/>
          <w:szCs w:val="21"/>
          <w:highlight w:val="none"/>
          <w:lang w:val="en-US" w:eastAsia="zh-CN" w:bidi="ar-SA"/>
        </w:rPr>
      </w:pPr>
      <w:r>
        <w:rPr>
          <w:rFonts w:hint="eastAsia" w:ascii="宋体" w:hAnsi="宋体" w:eastAsia="宋体" w:cs="Times New Roman"/>
          <w:color w:val="auto"/>
          <w:kern w:val="2"/>
          <w:sz w:val="24"/>
          <w:szCs w:val="21"/>
          <w:highlight w:val="none"/>
          <w:lang w:val="en-US" w:eastAsia="zh-CN" w:bidi="ar-SA"/>
        </w:rPr>
        <w:t>采购限额标准以上，200万元以下的货物和服务采购项目、400万元以下的工程采购项目，适宜由中小企业提供的，采购人应当专门面向中小企业采购。</w:t>
      </w:r>
      <w:r>
        <w:rPr>
          <w:rFonts w:hint="eastAsia" w:ascii="宋体" w:hAnsi="宋体" w:eastAsia="宋体" w:cs="Times New Roman"/>
          <w:color w:val="auto"/>
          <w:kern w:val="2"/>
          <w:sz w:val="24"/>
          <w:szCs w:val="21"/>
          <w:highlight w:val="none"/>
          <w:lang w:val="en-US" w:eastAsia="zh-CN" w:bidi="ar-SA"/>
        </w:rPr>
        <w:br w:type="textWrapping"/>
      </w:r>
      <w:r>
        <w:rPr>
          <w:rFonts w:hint="eastAsia" w:ascii="宋体" w:hAnsi="宋体" w:eastAsia="宋体" w:cs="Times New Roman"/>
          <w:color w:val="auto"/>
          <w:kern w:val="2"/>
          <w:sz w:val="24"/>
          <w:szCs w:val="21"/>
          <w:highlight w:val="none"/>
          <w:lang w:val="en-US" w:eastAsia="zh-CN" w:bidi="ar-SA"/>
        </w:rPr>
        <w:t xml:space="preserve">    2、超过200万元的货物和服务采购项目、超过400万元的工程采购项目中适宜由中小企业提供的，预留该部分采购项目预算总额的30%以上专门面向中小企业采购，其中预留给小微企业的比例不低于60%。</w:t>
      </w:r>
      <w:r>
        <w:rPr>
          <w:rFonts w:hint="eastAsia" w:ascii="宋体" w:hAnsi="宋体" w:eastAsia="宋体" w:cs="Times New Roman"/>
          <w:color w:val="auto"/>
          <w:kern w:val="2"/>
          <w:sz w:val="24"/>
          <w:szCs w:val="21"/>
          <w:highlight w:val="none"/>
          <w:lang w:val="en-US" w:eastAsia="zh-CN" w:bidi="ar-SA"/>
        </w:rPr>
        <w:br w:type="textWrapping"/>
      </w:r>
      <w:r>
        <w:rPr>
          <w:rFonts w:hint="eastAsia" w:ascii="宋体" w:hAnsi="宋体" w:eastAsia="宋体" w:cs="Times New Roman"/>
          <w:color w:val="auto"/>
          <w:kern w:val="2"/>
          <w:sz w:val="24"/>
          <w:szCs w:val="21"/>
          <w:highlight w:val="none"/>
          <w:lang w:val="en-US" w:eastAsia="zh-CN" w:bidi="ar-SA"/>
        </w:rPr>
        <w:t xml:space="preserve">    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ascii="宋体" w:hAnsi="宋体" w:eastAsia="宋体" w:cs="Times New Roman"/>
          <w:color w:val="auto"/>
          <w:kern w:val="2"/>
          <w:sz w:val="24"/>
          <w:szCs w:val="21"/>
          <w:highlight w:val="none"/>
          <w:lang w:val="en-US" w:eastAsia="zh-CN" w:bidi="ar-SA"/>
        </w:rPr>
        <w:br w:type="textWrapping"/>
      </w:r>
      <w:r>
        <w:rPr>
          <w:rFonts w:hint="eastAsia" w:ascii="宋体" w:hAnsi="宋体" w:eastAsia="宋体" w:cs="Times New Roman"/>
          <w:color w:val="auto"/>
          <w:kern w:val="2"/>
          <w:sz w:val="24"/>
          <w:szCs w:val="21"/>
          <w:highlight w:val="none"/>
          <w:lang w:val="en-US" w:eastAsia="zh-CN" w:bidi="ar-SA"/>
        </w:rPr>
        <w:t xml:space="preserve">    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754222C">
      <w:pPr>
        <w:pStyle w:val="210"/>
        <w:snapToGrid w:val="0"/>
        <w:spacing w:line="440" w:lineRule="exact"/>
        <w:rPr>
          <w:rFonts w:hint="eastAsia" w:ascii="宋体" w:hAnsi="宋体" w:cs="宋体"/>
          <w:b/>
          <w:bCs/>
          <w:color w:val="auto"/>
          <w:kern w:val="0"/>
          <w:sz w:val="24"/>
          <w:szCs w:val="22"/>
          <w:highlight w:val="none"/>
        </w:rPr>
      </w:pPr>
      <w:r>
        <w:rPr>
          <w:rFonts w:hint="eastAsia" w:ascii="宋体" w:hAnsi="宋体" w:cs="宋体"/>
          <w:b/>
          <w:bCs/>
          <w:color w:val="auto"/>
          <w:kern w:val="0"/>
          <w:sz w:val="24"/>
          <w:szCs w:val="22"/>
          <w:highlight w:val="none"/>
        </w:rPr>
        <w:t>八、凡对本次招标提出询问，请按以下方式联系</w:t>
      </w:r>
    </w:p>
    <w:p w14:paraId="0AAEE170">
      <w:pPr>
        <w:pStyle w:val="210"/>
        <w:snapToGrid w:val="0"/>
        <w:spacing w:line="440" w:lineRule="exact"/>
        <w:ind w:firstLine="480" w:firstLineChars="200"/>
        <w:rPr>
          <w:rFonts w:hint="eastAsia" w:ascii="宋体" w:hAnsi="宋体" w:eastAsia="宋体" w:cs="Times New Roman"/>
          <w:color w:val="auto"/>
          <w:kern w:val="2"/>
          <w:sz w:val="24"/>
          <w:szCs w:val="21"/>
          <w:highlight w:val="none"/>
          <w:lang w:val="en-US" w:eastAsia="zh-CN" w:bidi="ar-SA"/>
        </w:rPr>
      </w:pPr>
      <w:r>
        <w:rPr>
          <w:rFonts w:hint="eastAsia" w:ascii="宋体" w:hAnsi="宋体" w:eastAsia="宋体" w:cs="Times New Roman"/>
          <w:color w:val="auto"/>
          <w:kern w:val="2"/>
          <w:sz w:val="24"/>
          <w:szCs w:val="21"/>
          <w:highlight w:val="none"/>
          <w:lang w:val="en-US" w:eastAsia="zh-CN" w:bidi="ar-SA"/>
        </w:rPr>
        <w:t>1、采购人信息:</w:t>
      </w:r>
    </w:p>
    <w:p w14:paraId="5E0B290D">
      <w:pPr>
        <w:pStyle w:val="210"/>
        <w:snapToGrid w:val="0"/>
        <w:spacing w:line="440" w:lineRule="exact"/>
        <w:ind w:firstLine="480" w:firstLineChars="200"/>
        <w:rPr>
          <w:rFonts w:hint="eastAsia" w:ascii="宋体" w:hAnsi="宋体" w:eastAsia="宋体" w:cs="Times New Roman"/>
          <w:color w:val="auto"/>
          <w:kern w:val="2"/>
          <w:sz w:val="24"/>
          <w:szCs w:val="21"/>
          <w:highlight w:val="none"/>
          <w:lang w:val="en-US" w:eastAsia="zh-CN" w:bidi="ar-SA"/>
        </w:rPr>
      </w:pPr>
      <w:r>
        <w:rPr>
          <w:rFonts w:hint="eastAsia" w:ascii="宋体" w:hAnsi="宋体" w:eastAsia="宋体" w:cs="Times New Roman"/>
          <w:color w:val="auto"/>
          <w:kern w:val="2"/>
          <w:sz w:val="24"/>
          <w:szCs w:val="21"/>
          <w:highlight w:val="none"/>
          <w:lang w:val="en-US" w:eastAsia="zh-CN" w:bidi="ar-SA"/>
        </w:rPr>
        <w:t>名称：新疆维吾尔自治区商务厅</w:t>
      </w:r>
    </w:p>
    <w:p w14:paraId="0D7F97DD">
      <w:pPr>
        <w:pStyle w:val="210"/>
        <w:snapToGrid w:val="0"/>
        <w:spacing w:line="440" w:lineRule="exact"/>
        <w:ind w:firstLine="480" w:firstLineChars="200"/>
        <w:rPr>
          <w:rFonts w:hint="eastAsia" w:ascii="宋体" w:hAnsi="宋体" w:eastAsia="宋体" w:cs="Times New Roman"/>
          <w:color w:val="auto"/>
          <w:kern w:val="2"/>
          <w:sz w:val="24"/>
          <w:szCs w:val="21"/>
          <w:highlight w:val="none"/>
          <w:lang w:val="en-US" w:eastAsia="zh-CN" w:bidi="ar-SA"/>
        </w:rPr>
      </w:pPr>
      <w:r>
        <w:rPr>
          <w:rFonts w:hint="eastAsia" w:ascii="宋体" w:hAnsi="宋体" w:eastAsia="宋体" w:cs="Times New Roman"/>
          <w:color w:val="auto"/>
          <w:kern w:val="2"/>
          <w:sz w:val="24"/>
          <w:szCs w:val="21"/>
          <w:highlight w:val="none"/>
          <w:lang w:val="en-US" w:eastAsia="zh-CN" w:bidi="ar-SA"/>
        </w:rPr>
        <w:t>地址：乌鲁木齐市新华南路 1292 号</w:t>
      </w:r>
    </w:p>
    <w:p w14:paraId="372AB4F1">
      <w:pPr>
        <w:pStyle w:val="210"/>
        <w:snapToGrid w:val="0"/>
        <w:spacing w:line="440" w:lineRule="exact"/>
        <w:ind w:firstLine="480" w:firstLineChars="200"/>
        <w:rPr>
          <w:rFonts w:hint="eastAsia" w:ascii="宋体" w:hAnsi="宋体" w:eastAsia="宋体" w:cs="Times New Roman"/>
          <w:color w:val="auto"/>
          <w:kern w:val="2"/>
          <w:sz w:val="24"/>
          <w:szCs w:val="21"/>
          <w:highlight w:val="none"/>
          <w:lang w:val="en-US" w:eastAsia="zh-CN" w:bidi="ar-SA"/>
        </w:rPr>
      </w:pPr>
      <w:r>
        <w:rPr>
          <w:rFonts w:hint="eastAsia" w:ascii="宋体" w:hAnsi="宋体" w:eastAsia="宋体" w:cs="Times New Roman"/>
          <w:color w:val="auto"/>
          <w:kern w:val="2"/>
          <w:sz w:val="24"/>
          <w:szCs w:val="21"/>
          <w:highlight w:val="none"/>
          <w:lang w:val="en-US" w:eastAsia="zh-CN" w:bidi="ar-SA"/>
        </w:rPr>
        <w:t>联系人：热艾卡</w:t>
      </w:r>
    </w:p>
    <w:p w14:paraId="0E8E5CCF">
      <w:pPr>
        <w:pStyle w:val="210"/>
        <w:snapToGrid w:val="0"/>
        <w:spacing w:line="440" w:lineRule="exact"/>
        <w:ind w:firstLine="480" w:firstLineChars="200"/>
        <w:rPr>
          <w:rFonts w:hint="eastAsia" w:ascii="宋体" w:hAnsi="宋体" w:eastAsia="宋体" w:cs="Times New Roman"/>
          <w:color w:val="auto"/>
          <w:kern w:val="2"/>
          <w:sz w:val="24"/>
          <w:szCs w:val="21"/>
          <w:highlight w:val="none"/>
          <w:lang w:val="en-US" w:eastAsia="zh-CN" w:bidi="ar-SA"/>
        </w:rPr>
      </w:pPr>
      <w:r>
        <w:rPr>
          <w:rFonts w:hint="eastAsia" w:ascii="宋体" w:hAnsi="宋体" w:eastAsia="宋体" w:cs="Times New Roman"/>
          <w:color w:val="auto"/>
          <w:kern w:val="2"/>
          <w:sz w:val="24"/>
          <w:szCs w:val="21"/>
          <w:highlight w:val="none"/>
          <w:lang w:val="en-US" w:eastAsia="zh-CN" w:bidi="ar-SA"/>
        </w:rPr>
        <w:t>联系方式：0991-2858287</w:t>
      </w:r>
    </w:p>
    <w:p w14:paraId="099AF619">
      <w:pPr>
        <w:pStyle w:val="210"/>
        <w:snapToGrid w:val="0"/>
        <w:spacing w:line="440" w:lineRule="exact"/>
        <w:ind w:firstLine="480" w:firstLineChars="200"/>
        <w:rPr>
          <w:rFonts w:hint="eastAsia" w:ascii="宋体" w:hAnsi="宋体" w:eastAsia="宋体" w:cs="Times New Roman"/>
          <w:color w:val="auto"/>
          <w:kern w:val="2"/>
          <w:sz w:val="24"/>
          <w:szCs w:val="21"/>
          <w:highlight w:val="none"/>
          <w:lang w:val="en-US" w:eastAsia="zh-CN" w:bidi="ar-SA"/>
        </w:rPr>
      </w:pPr>
      <w:r>
        <w:rPr>
          <w:rFonts w:hint="eastAsia" w:ascii="宋体" w:hAnsi="宋体" w:eastAsia="宋体" w:cs="Times New Roman"/>
          <w:color w:val="auto"/>
          <w:kern w:val="2"/>
          <w:sz w:val="24"/>
          <w:szCs w:val="21"/>
          <w:highlight w:val="none"/>
          <w:lang w:val="en-US" w:eastAsia="zh-CN" w:bidi="ar-SA"/>
        </w:rPr>
        <w:t>2、采购代理机构信息:</w:t>
      </w:r>
    </w:p>
    <w:p w14:paraId="7E79EF02">
      <w:pPr>
        <w:pStyle w:val="210"/>
        <w:snapToGrid w:val="0"/>
        <w:spacing w:line="440" w:lineRule="exact"/>
        <w:ind w:firstLine="480" w:firstLineChars="200"/>
        <w:rPr>
          <w:rFonts w:hint="eastAsia" w:ascii="宋体" w:hAnsi="宋体" w:eastAsia="宋体" w:cs="Times New Roman"/>
          <w:color w:val="auto"/>
          <w:kern w:val="2"/>
          <w:sz w:val="24"/>
          <w:szCs w:val="21"/>
          <w:highlight w:val="none"/>
          <w:lang w:val="en-US" w:eastAsia="zh-CN" w:bidi="ar-SA"/>
        </w:rPr>
      </w:pPr>
      <w:r>
        <w:rPr>
          <w:rFonts w:hint="eastAsia" w:ascii="宋体" w:hAnsi="宋体" w:eastAsia="宋体" w:cs="Times New Roman"/>
          <w:color w:val="auto"/>
          <w:kern w:val="2"/>
          <w:sz w:val="24"/>
          <w:szCs w:val="21"/>
          <w:highlight w:val="none"/>
          <w:lang w:val="en-US" w:eastAsia="zh-CN" w:bidi="ar-SA"/>
        </w:rPr>
        <w:t>名称：新疆元泓工程项目管理咨询有限公司</w:t>
      </w:r>
    </w:p>
    <w:p w14:paraId="4635AFF3">
      <w:pPr>
        <w:pStyle w:val="210"/>
        <w:snapToGrid w:val="0"/>
        <w:spacing w:line="440" w:lineRule="exact"/>
        <w:ind w:firstLine="480" w:firstLineChars="200"/>
        <w:rPr>
          <w:rFonts w:hint="eastAsia" w:ascii="宋体" w:hAnsi="宋体" w:eastAsia="宋体" w:cs="Times New Roman"/>
          <w:color w:val="auto"/>
          <w:kern w:val="2"/>
          <w:sz w:val="24"/>
          <w:szCs w:val="21"/>
          <w:highlight w:val="none"/>
          <w:lang w:val="en-US" w:eastAsia="zh-CN" w:bidi="ar-SA"/>
        </w:rPr>
      </w:pPr>
      <w:r>
        <w:rPr>
          <w:rFonts w:hint="eastAsia" w:ascii="宋体" w:hAnsi="宋体" w:eastAsia="宋体" w:cs="Times New Roman"/>
          <w:color w:val="auto"/>
          <w:kern w:val="2"/>
          <w:sz w:val="24"/>
          <w:szCs w:val="21"/>
          <w:highlight w:val="none"/>
          <w:lang w:val="en-US" w:eastAsia="zh-CN" w:bidi="ar-SA"/>
        </w:rPr>
        <w:t>地址：乌鲁木齐市经济技术开发区乌昌路252号九方财富广场A座525室</w:t>
      </w:r>
    </w:p>
    <w:p w14:paraId="0323E06D">
      <w:pPr>
        <w:pStyle w:val="210"/>
        <w:snapToGrid w:val="0"/>
        <w:spacing w:line="440" w:lineRule="exact"/>
        <w:ind w:firstLine="480" w:firstLineChars="200"/>
        <w:rPr>
          <w:rFonts w:hint="default" w:ascii="宋体" w:hAnsi="宋体" w:eastAsia="宋体" w:cs="Times New Roman"/>
          <w:color w:val="auto"/>
          <w:kern w:val="2"/>
          <w:sz w:val="24"/>
          <w:szCs w:val="21"/>
          <w:highlight w:val="none"/>
          <w:lang w:val="en-US" w:eastAsia="zh-CN" w:bidi="ar-SA"/>
        </w:rPr>
      </w:pPr>
      <w:r>
        <w:rPr>
          <w:rFonts w:hint="eastAsia" w:ascii="宋体" w:hAnsi="宋体" w:eastAsia="宋体" w:cs="Times New Roman"/>
          <w:color w:val="auto"/>
          <w:kern w:val="2"/>
          <w:sz w:val="24"/>
          <w:szCs w:val="21"/>
          <w:highlight w:val="none"/>
          <w:lang w:val="en-US" w:eastAsia="zh-CN" w:bidi="ar-SA"/>
        </w:rPr>
        <w:t>项目联系人：蒋伟伦、汤新龙、高娟</w:t>
      </w:r>
    </w:p>
    <w:p w14:paraId="5FBE744C">
      <w:pPr>
        <w:pStyle w:val="210"/>
        <w:snapToGrid w:val="0"/>
        <w:spacing w:line="440" w:lineRule="exact"/>
        <w:ind w:firstLine="480" w:firstLineChars="200"/>
        <w:rPr>
          <w:rFonts w:hint="default" w:eastAsia="宋体"/>
          <w:color w:val="auto"/>
          <w:sz w:val="20"/>
          <w:highlight w:val="none"/>
          <w:lang w:val="en-US" w:eastAsia="zh-CN"/>
        </w:rPr>
      </w:pPr>
      <w:r>
        <w:rPr>
          <w:rFonts w:hint="eastAsia" w:ascii="宋体" w:hAnsi="宋体" w:eastAsia="宋体" w:cs="Times New Roman"/>
          <w:color w:val="auto"/>
          <w:kern w:val="2"/>
          <w:sz w:val="24"/>
          <w:szCs w:val="21"/>
          <w:highlight w:val="none"/>
          <w:lang w:val="en-US" w:eastAsia="zh-CN" w:bidi="ar-SA"/>
        </w:rPr>
        <w:t>联系方式：19990911014</w:t>
      </w:r>
    </w:p>
    <w:p w14:paraId="7B88F29A">
      <w:pPr>
        <w:widowControl/>
        <w:jc w:val="left"/>
        <w:rPr>
          <w:color w:val="auto"/>
          <w:sz w:val="36"/>
          <w:szCs w:val="36"/>
          <w:highlight w:val="none"/>
        </w:rPr>
        <w:sectPr>
          <w:footerReference r:id="rId3" w:type="default"/>
          <w:pgSz w:w="11906" w:h="16838"/>
          <w:pgMar w:top="1440" w:right="1797" w:bottom="1440" w:left="1797" w:header="851" w:footer="992" w:gutter="0"/>
          <w:pgNumType w:fmt="decimal" w:start="1"/>
          <w:cols w:space="720" w:num="1"/>
          <w:docGrid w:linePitch="312" w:charSpace="0"/>
        </w:sectPr>
      </w:pPr>
    </w:p>
    <w:p w14:paraId="53D8B43E">
      <w:pPr>
        <w:pStyle w:val="2"/>
        <w:spacing w:before="0" w:after="0" w:line="240" w:lineRule="auto"/>
        <w:rPr>
          <w:b/>
          <w:bCs w:val="0"/>
          <w:color w:val="auto"/>
          <w:highlight w:val="none"/>
        </w:rPr>
      </w:pPr>
      <w:bookmarkStart w:id="7" w:name="_Toc532543564"/>
      <w:bookmarkStart w:id="8" w:name="_Toc13056"/>
      <w:bookmarkStart w:id="9" w:name="_Toc10571"/>
      <w:bookmarkStart w:id="10" w:name="_Toc531075008"/>
      <w:r>
        <w:rPr>
          <w:rFonts w:hint="eastAsia"/>
          <w:b/>
          <w:bCs w:val="0"/>
          <w:color w:val="auto"/>
          <w:szCs w:val="20"/>
          <w:highlight w:val="none"/>
        </w:rPr>
        <w:t xml:space="preserve">第二章 </w:t>
      </w:r>
      <w:r>
        <w:rPr>
          <w:rFonts w:hint="eastAsia"/>
          <w:b/>
          <w:bCs w:val="0"/>
          <w:color w:val="auto"/>
          <w:highlight w:val="none"/>
        </w:rPr>
        <w:t>供应商须知</w:t>
      </w:r>
      <w:bookmarkEnd w:id="7"/>
      <w:bookmarkEnd w:id="8"/>
      <w:bookmarkEnd w:id="9"/>
      <w:bookmarkEnd w:id="10"/>
    </w:p>
    <w:p w14:paraId="253241B3">
      <w:pPr>
        <w:rPr>
          <w:color w:val="auto"/>
          <w:highlight w:val="none"/>
        </w:rPr>
      </w:pPr>
      <w:bookmarkStart w:id="11" w:name="_Toc21720"/>
      <w:bookmarkStart w:id="12" w:name="EB99f3ffc62d4744a9abed5da111a780a5"/>
    </w:p>
    <w:p w14:paraId="411A34CB">
      <w:pPr>
        <w:pStyle w:val="86"/>
        <w:rPr>
          <w:b/>
          <w:color w:val="auto"/>
          <w:sz w:val="32"/>
          <w:highlight w:val="none"/>
        </w:rPr>
      </w:pPr>
      <w:r>
        <w:rPr>
          <w:rFonts w:hint="eastAsia"/>
          <w:b/>
          <w:color w:val="auto"/>
          <w:sz w:val="32"/>
          <w:highlight w:val="none"/>
        </w:rPr>
        <w:t>供应商须知前附表</w:t>
      </w:r>
    </w:p>
    <w:tbl>
      <w:tblPr>
        <w:tblStyle w:val="40"/>
        <w:tblW w:w="968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4"/>
        <w:gridCol w:w="1860"/>
        <w:gridCol w:w="6835"/>
      </w:tblGrid>
      <w:tr w14:paraId="1F70EF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blHeader/>
          <w:jc w:val="center"/>
        </w:trPr>
        <w:tc>
          <w:tcPr>
            <w:tcW w:w="994" w:type="dxa"/>
            <w:noWrap w:val="0"/>
            <w:vAlign w:val="center"/>
          </w:tcPr>
          <w:p w14:paraId="70C5868D">
            <w:pPr>
              <w:pStyle w:val="86"/>
              <w:adjustRightInd w:val="0"/>
              <w:snapToGrid w:val="0"/>
              <w:spacing w:before="120" w:beforeLines="50"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序列号</w:t>
            </w:r>
          </w:p>
        </w:tc>
        <w:tc>
          <w:tcPr>
            <w:tcW w:w="1860" w:type="dxa"/>
            <w:noWrap w:val="0"/>
            <w:vAlign w:val="center"/>
          </w:tcPr>
          <w:p w14:paraId="67CD12A9">
            <w:pPr>
              <w:pStyle w:val="86"/>
              <w:adjustRightInd w:val="0"/>
              <w:snapToGrid w:val="0"/>
              <w:spacing w:before="120" w:beforeLines="50"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条款名称</w:t>
            </w:r>
          </w:p>
        </w:tc>
        <w:tc>
          <w:tcPr>
            <w:tcW w:w="6835" w:type="dxa"/>
            <w:noWrap w:val="0"/>
            <w:vAlign w:val="center"/>
          </w:tcPr>
          <w:p w14:paraId="1886B96A">
            <w:pPr>
              <w:pStyle w:val="86"/>
              <w:adjustRightInd w:val="0"/>
              <w:snapToGrid w:val="0"/>
              <w:spacing w:before="120" w:beforeLines="50"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编列内容规定</w:t>
            </w:r>
          </w:p>
        </w:tc>
      </w:tr>
      <w:tr w14:paraId="3331A1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994" w:type="dxa"/>
            <w:noWrap w:val="0"/>
            <w:vAlign w:val="center"/>
          </w:tcPr>
          <w:p w14:paraId="617AC45D">
            <w:pPr>
              <w:pStyle w:val="86"/>
              <w:adjustRightInd w:val="0"/>
              <w:snapToGrid w:val="0"/>
              <w:spacing w:before="120" w:beforeLines="50"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w:t>
            </w:r>
          </w:p>
        </w:tc>
        <w:tc>
          <w:tcPr>
            <w:tcW w:w="1860" w:type="dxa"/>
            <w:noWrap w:val="0"/>
            <w:vAlign w:val="center"/>
          </w:tcPr>
          <w:p w14:paraId="05B64FF1">
            <w:pPr>
              <w:pStyle w:val="86"/>
              <w:adjustRightInd w:val="0"/>
              <w:snapToGrid w:val="0"/>
              <w:spacing w:before="120" w:beforeLines="50"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标段名称</w:t>
            </w:r>
          </w:p>
        </w:tc>
        <w:tc>
          <w:tcPr>
            <w:tcW w:w="6835" w:type="dxa"/>
            <w:noWrap w:val="0"/>
            <w:vAlign w:val="center"/>
          </w:tcPr>
          <w:p w14:paraId="3345B1E4">
            <w:pPr>
              <w:pStyle w:val="86"/>
              <w:adjustRightInd w:val="0"/>
              <w:snapToGrid w:val="0"/>
              <w:spacing w:before="120" w:beforeLines="50"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Times New Roman"/>
                <w:color w:val="auto"/>
                <w:kern w:val="2"/>
                <w:sz w:val="24"/>
                <w:szCs w:val="21"/>
                <w:highlight w:val="none"/>
                <w:lang w:val="en-US" w:eastAsia="zh-CN" w:bidi="ar-SA"/>
              </w:rPr>
              <w:t>中国（新疆）国际贸易“单一”窗口功能拓展（自治区边民互市贸易综合服务）提升优化项目可行性研究报告编制项目</w:t>
            </w:r>
            <w:r>
              <w:rPr>
                <w:rFonts w:hint="eastAsia" w:ascii="宋体" w:hAnsi="宋体" w:cs="宋体"/>
                <w:color w:val="auto"/>
                <w:kern w:val="0"/>
                <w:sz w:val="24"/>
                <w:szCs w:val="24"/>
                <w:highlight w:val="none"/>
                <w:lang w:val="en-US" w:eastAsia="zh-CN"/>
              </w:rPr>
              <w:t>(二次)</w:t>
            </w:r>
          </w:p>
        </w:tc>
      </w:tr>
      <w:tr w14:paraId="16F252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26" w:hRule="atLeast"/>
          <w:jc w:val="center"/>
        </w:trPr>
        <w:tc>
          <w:tcPr>
            <w:tcW w:w="994" w:type="dxa"/>
            <w:noWrap w:val="0"/>
            <w:vAlign w:val="center"/>
          </w:tcPr>
          <w:p w14:paraId="6B0ED446">
            <w:pPr>
              <w:pStyle w:val="86"/>
              <w:adjustRightInd w:val="0"/>
              <w:snapToGrid w:val="0"/>
              <w:spacing w:before="120" w:beforeLines="50"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w:t>
            </w:r>
          </w:p>
        </w:tc>
        <w:tc>
          <w:tcPr>
            <w:tcW w:w="1860" w:type="dxa"/>
            <w:noWrap w:val="0"/>
            <w:vAlign w:val="center"/>
          </w:tcPr>
          <w:p w14:paraId="18FF4935">
            <w:pPr>
              <w:pStyle w:val="86"/>
              <w:adjustRightInd w:val="0"/>
              <w:snapToGrid w:val="0"/>
              <w:spacing w:before="120" w:beforeLines="50"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采购人</w:t>
            </w:r>
          </w:p>
        </w:tc>
        <w:tc>
          <w:tcPr>
            <w:tcW w:w="6835" w:type="dxa"/>
            <w:noWrap w:val="0"/>
            <w:vAlign w:val="center"/>
          </w:tcPr>
          <w:p w14:paraId="38BD34C7">
            <w:pPr>
              <w:pStyle w:val="86"/>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名称：新疆维吾尔自治区商务厅</w:t>
            </w:r>
          </w:p>
          <w:p w14:paraId="096C411C">
            <w:pPr>
              <w:pStyle w:val="86"/>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地址:乌鲁木齐市新华南路 1292 号</w:t>
            </w:r>
          </w:p>
          <w:p w14:paraId="0516783A">
            <w:pPr>
              <w:pStyle w:val="86"/>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联系人：热艾卡</w:t>
            </w:r>
          </w:p>
          <w:p w14:paraId="0C5DA8CF">
            <w:pPr>
              <w:pStyle w:val="86"/>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联系方式：0991-2858287</w:t>
            </w:r>
          </w:p>
        </w:tc>
      </w:tr>
      <w:tr w14:paraId="2B804F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94" w:hRule="atLeast"/>
          <w:jc w:val="center"/>
        </w:trPr>
        <w:tc>
          <w:tcPr>
            <w:tcW w:w="994" w:type="dxa"/>
            <w:noWrap w:val="0"/>
            <w:vAlign w:val="center"/>
          </w:tcPr>
          <w:p w14:paraId="557C34D4">
            <w:pPr>
              <w:pStyle w:val="86"/>
              <w:adjustRightInd w:val="0"/>
              <w:snapToGrid w:val="0"/>
              <w:spacing w:before="120" w:beforeLines="50"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w:t>
            </w:r>
          </w:p>
        </w:tc>
        <w:tc>
          <w:tcPr>
            <w:tcW w:w="1860" w:type="dxa"/>
            <w:noWrap w:val="0"/>
            <w:vAlign w:val="center"/>
          </w:tcPr>
          <w:p w14:paraId="380D37D6">
            <w:pPr>
              <w:pStyle w:val="86"/>
              <w:adjustRightInd w:val="0"/>
              <w:snapToGrid w:val="0"/>
              <w:spacing w:before="120" w:beforeLines="50"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采购代理机构</w:t>
            </w:r>
          </w:p>
        </w:tc>
        <w:tc>
          <w:tcPr>
            <w:tcW w:w="6835" w:type="dxa"/>
            <w:noWrap w:val="0"/>
            <w:vAlign w:val="center"/>
          </w:tcPr>
          <w:p w14:paraId="4D3848C7">
            <w:pPr>
              <w:pStyle w:val="86"/>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名  称：新疆元泓工程项目管理咨询有限公司  </w:t>
            </w:r>
          </w:p>
          <w:p w14:paraId="5742F105">
            <w:pPr>
              <w:pStyle w:val="86"/>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址：乌鲁木齐市经济技术开发区乌昌路252号九方财富广场A座525室 </w:t>
            </w:r>
          </w:p>
          <w:p w14:paraId="6208B521">
            <w:pPr>
              <w:pStyle w:val="86"/>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  话：19990911014</w:t>
            </w:r>
          </w:p>
          <w:p w14:paraId="6577977A">
            <w:pPr>
              <w:pStyle w:val="86"/>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联系人：蒋伟伦、汤新龙、高娟</w:t>
            </w:r>
          </w:p>
        </w:tc>
      </w:tr>
      <w:tr w14:paraId="48134E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87" w:hRule="atLeast"/>
          <w:jc w:val="center"/>
        </w:trPr>
        <w:tc>
          <w:tcPr>
            <w:tcW w:w="994" w:type="dxa"/>
            <w:noWrap w:val="0"/>
            <w:vAlign w:val="center"/>
          </w:tcPr>
          <w:p w14:paraId="049F9DEC">
            <w:pPr>
              <w:pStyle w:val="86"/>
              <w:adjustRightInd w:val="0"/>
              <w:snapToGrid w:val="0"/>
              <w:spacing w:before="120" w:beforeLines="50" w:line="360" w:lineRule="auto"/>
              <w:jc w:val="center"/>
              <w:rPr>
                <w:rFonts w:hint="eastAsia" w:ascii="宋体" w:hAnsi="宋体" w:cs="宋体"/>
                <w:b/>
                <w:bCs/>
                <w:color w:val="auto"/>
                <w:sz w:val="24"/>
                <w:szCs w:val="24"/>
                <w:highlight w:val="none"/>
              </w:rPr>
            </w:pPr>
            <w:r>
              <w:rPr>
                <w:rFonts w:ascii="宋体" w:hAnsi="宋体" w:cs="宋体"/>
                <w:b/>
                <w:bCs/>
                <w:color w:val="auto"/>
                <w:sz w:val="24"/>
                <w:szCs w:val="24"/>
                <w:highlight w:val="none"/>
              </w:rPr>
              <w:t>4</w:t>
            </w:r>
          </w:p>
        </w:tc>
        <w:tc>
          <w:tcPr>
            <w:tcW w:w="1860" w:type="dxa"/>
            <w:noWrap w:val="0"/>
            <w:vAlign w:val="center"/>
          </w:tcPr>
          <w:p w14:paraId="080E43A2">
            <w:pPr>
              <w:pStyle w:val="86"/>
              <w:adjustRightInd w:val="0"/>
              <w:snapToGrid w:val="0"/>
              <w:spacing w:before="120" w:beforeLines="50" w:line="360" w:lineRule="auto"/>
              <w:jc w:val="center"/>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rPr>
              <w:t>项目预算及</w:t>
            </w:r>
            <w:r>
              <w:rPr>
                <w:rFonts w:hint="eastAsia" w:ascii="宋体" w:hAnsi="宋体" w:cs="宋体"/>
                <w:b/>
                <w:bCs/>
                <w:color w:val="auto"/>
                <w:sz w:val="24"/>
                <w:szCs w:val="24"/>
                <w:highlight w:val="none"/>
                <w:lang w:eastAsia="zh-CN"/>
              </w:rPr>
              <w:t>最高限价</w:t>
            </w:r>
          </w:p>
        </w:tc>
        <w:tc>
          <w:tcPr>
            <w:tcW w:w="6835" w:type="dxa"/>
            <w:noWrap w:val="0"/>
            <w:vAlign w:val="center"/>
          </w:tcPr>
          <w:p w14:paraId="698D2C3D">
            <w:pPr>
              <w:pStyle w:val="86"/>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项目预算：70000.00元</w:t>
            </w:r>
          </w:p>
          <w:p w14:paraId="4C73A5C0">
            <w:pPr>
              <w:pStyle w:val="86"/>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color w:val="auto"/>
                <w:highlight w:val="none"/>
                <w:lang w:val="en-US" w:eastAsia="zh-CN"/>
              </w:rPr>
            </w:pPr>
            <w:r>
              <w:rPr>
                <w:rFonts w:hint="eastAsia" w:ascii="宋体" w:hAnsi="宋体" w:eastAsia="宋体" w:cs="宋体"/>
                <w:color w:val="auto"/>
                <w:sz w:val="24"/>
                <w:szCs w:val="24"/>
                <w:highlight w:val="none"/>
                <w:lang w:val="en-US" w:eastAsia="zh-CN"/>
              </w:rPr>
              <w:t>注：供应商的投标报价高于项目预算及最高限价的，评审小组将对该供应商按否决投标处理。</w:t>
            </w:r>
          </w:p>
        </w:tc>
      </w:tr>
      <w:tr w14:paraId="2EAAF7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87" w:hRule="atLeast"/>
          <w:jc w:val="center"/>
        </w:trPr>
        <w:tc>
          <w:tcPr>
            <w:tcW w:w="994" w:type="dxa"/>
            <w:noWrap w:val="0"/>
            <w:vAlign w:val="center"/>
          </w:tcPr>
          <w:p w14:paraId="5FCB37B3">
            <w:pPr>
              <w:pStyle w:val="86"/>
              <w:adjustRightInd w:val="0"/>
              <w:snapToGrid w:val="0"/>
              <w:spacing w:before="120" w:beforeLines="50" w:line="360" w:lineRule="auto"/>
              <w:jc w:val="center"/>
              <w:rPr>
                <w:rFonts w:hint="eastAsia" w:ascii="宋体" w:hAnsi="宋体" w:cs="宋体"/>
                <w:b/>
                <w:bCs/>
                <w:color w:val="auto"/>
                <w:sz w:val="24"/>
                <w:szCs w:val="24"/>
                <w:highlight w:val="none"/>
              </w:rPr>
            </w:pPr>
            <w:r>
              <w:rPr>
                <w:rFonts w:ascii="宋体" w:hAnsi="宋体" w:cs="宋体"/>
                <w:b/>
                <w:bCs/>
                <w:color w:val="auto"/>
                <w:sz w:val="24"/>
                <w:szCs w:val="24"/>
                <w:highlight w:val="none"/>
              </w:rPr>
              <w:t>5</w:t>
            </w:r>
          </w:p>
        </w:tc>
        <w:tc>
          <w:tcPr>
            <w:tcW w:w="1860" w:type="dxa"/>
            <w:noWrap w:val="0"/>
            <w:vAlign w:val="center"/>
          </w:tcPr>
          <w:p w14:paraId="62C22DB6">
            <w:pPr>
              <w:pStyle w:val="86"/>
              <w:adjustRightInd w:val="0"/>
              <w:snapToGrid w:val="0"/>
              <w:spacing w:before="120" w:beforeLines="50"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供应商资格条件</w:t>
            </w:r>
          </w:p>
        </w:tc>
        <w:tc>
          <w:tcPr>
            <w:tcW w:w="6835" w:type="dxa"/>
            <w:noWrap w:val="0"/>
            <w:vAlign w:val="center"/>
          </w:tcPr>
          <w:p w14:paraId="578086DE">
            <w:pPr>
              <w:pStyle w:val="86"/>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1．满足《中华人民共和国政府采购法》第二十二条规定条件；</w:t>
            </w:r>
          </w:p>
          <w:p w14:paraId="47FBC23F">
            <w:pPr>
              <w:pStyle w:val="86"/>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2．落实政府采购政策需满足的资格要求：本项目专门面向中小企业采购；</w:t>
            </w:r>
          </w:p>
          <w:p w14:paraId="311A7653">
            <w:pPr>
              <w:pStyle w:val="86"/>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3．本项目的特定资格要求：</w:t>
            </w:r>
          </w:p>
          <w:p w14:paraId="7A774A93">
            <w:pPr>
              <w:pStyle w:val="86"/>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1）凡拟参加本次磋商项目的供应商须具有良好的信誉，未在“信用中国”网站（www.creditchina.gov.cn）被列入失信被执行人、重大税收违法案件当事人名单、中国政府采购网（www.ccgp.gov.cn）被列入政府采购严重违法失信行为记录名单（尚在处罚期内的）。</w:t>
            </w:r>
          </w:p>
          <w:p w14:paraId="0224043A">
            <w:pPr>
              <w:pStyle w:val="38"/>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kern w:val="0"/>
                <w:sz w:val="24"/>
                <w:szCs w:val="24"/>
                <w:highlight w:val="none"/>
                <w:lang w:val="en-US" w:eastAsia="zh-CN"/>
              </w:rPr>
              <w:t>（2）具有工程设计资质证书：电子通信广电行业(有线通信或无线通信)专业乙级及以上。</w:t>
            </w:r>
          </w:p>
        </w:tc>
      </w:tr>
      <w:tr w14:paraId="5A6566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994" w:type="dxa"/>
            <w:noWrap w:val="0"/>
            <w:vAlign w:val="center"/>
          </w:tcPr>
          <w:p w14:paraId="61406460">
            <w:pPr>
              <w:pStyle w:val="86"/>
              <w:adjustRightInd w:val="0"/>
              <w:snapToGrid w:val="0"/>
              <w:spacing w:before="120" w:beforeLines="50" w:line="360" w:lineRule="auto"/>
              <w:jc w:val="center"/>
              <w:rPr>
                <w:rFonts w:hint="eastAsia" w:ascii="宋体" w:hAnsi="宋体" w:cs="宋体"/>
                <w:b/>
                <w:bCs/>
                <w:color w:val="auto"/>
                <w:sz w:val="24"/>
                <w:szCs w:val="24"/>
                <w:highlight w:val="none"/>
              </w:rPr>
            </w:pPr>
            <w:r>
              <w:rPr>
                <w:rFonts w:ascii="宋体" w:hAnsi="宋体" w:cs="宋体"/>
                <w:b/>
                <w:bCs/>
                <w:color w:val="auto"/>
                <w:sz w:val="24"/>
                <w:szCs w:val="24"/>
                <w:highlight w:val="none"/>
              </w:rPr>
              <w:t>6</w:t>
            </w:r>
          </w:p>
        </w:tc>
        <w:tc>
          <w:tcPr>
            <w:tcW w:w="1860" w:type="dxa"/>
            <w:noWrap w:val="0"/>
            <w:vAlign w:val="center"/>
          </w:tcPr>
          <w:p w14:paraId="3D427525">
            <w:pPr>
              <w:pStyle w:val="86"/>
              <w:adjustRightInd w:val="0"/>
              <w:snapToGrid w:val="0"/>
              <w:spacing w:before="120" w:beforeLines="50"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 xml:space="preserve">联合体投标    </w:t>
            </w:r>
          </w:p>
        </w:tc>
        <w:tc>
          <w:tcPr>
            <w:tcW w:w="6835" w:type="dxa"/>
            <w:noWrap w:val="0"/>
            <w:vAlign w:val="center"/>
          </w:tcPr>
          <w:p w14:paraId="2EE1C6F9">
            <w:pPr>
              <w:pStyle w:val="86"/>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不接受 </w:t>
            </w:r>
          </w:p>
          <w:p w14:paraId="2567B22C">
            <w:pPr>
              <w:pStyle w:val="86"/>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接受</w:t>
            </w:r>
          </w:p>
        </w:tc>
      </w:tr>
      <w:tr w14:paraId="48C6D7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994" w:type="dxa"/>
            <w:noWrap w:val="0"/>
            <w:vAlign w:val="center"/>
          </w:tcPr>
          <w:p w14:paraId="278DA243">
            <w:pPr>
              <w:pStyle w:val="86"/>
              <w:adjustRightInd w:val="0"/>
              <w:snapToGrid w:val="0"/>
              <w:spacing w:before="120" w:beforeLines="50" w:line="360" w:lineRule="auto"/>
              <w:jc w:val="center"/>
              <w:rPr>
                <w:rFonts w:hint="eastAsia" w:ascii="宋体" w:hAnsi="宋体" w:cs="宋体"/>
                <w:b/>
                <w:bCs/>
                <w:color w:val="auto"/>
                <w:sz w:val="24"/>
                <w:szCs w:val="24"/>
                <w:highlight w:val="none"/>
              </w:rPr>
            </w:pPr>
            <w:r>
              <w:rPr>
                <w:rFonts w:ascii="宋体" w:hAnsi="宋体" w:cs="宋体"/>
                <w:b/>
                <w:bCs/>
                <w:color w:val="auto"/>
                <w:sz w:val="24"/>
                <w:szCs w:val="24"/>
                <w:highlight w:val="none"/>
              </w:rPr>
              <w:t>7</w:t>
            </w:r>
          </w:p>
        </w:tc>
        <w:tc>
          <w:tcPr>
            <w:tcW w:w="1860" w:type="dxa"/>
            <w:noWrap w:val="0"/>
            <w:vAlign w:val="center"/>
          </w:tcPr>
          <w:p w14:paraId="7F207FB7">
            <w:pPr>
              <w:pStyle w:val="86"/>
              <w:adjustRightInd w:val="0"/>
              <w:snapToGrid w:val="0"/>
              <w:spacing w:before="120" w:beforeLines="50"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备选方案</w:t>
            </w:r>
          </w:p>
        </w:tc>
        <w:tc>
          <w:tcPr>
            <w:tcW w:w="6835" w:type="dxa"/>
            <w:noWrap w:val="0"/>
            <w:vAlign w:val="center"/>
          </w:tcPr>
          <w:p w14:paraId="292D271B">
            <w:pPr>
              <w:pStyle w:val="86"/>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不接受            </w:t>
            </w:r>
          </w:p>
          <w:p w14:paraId="04956DE3">
            <w:pPr>
              <w:pStyle w:val="86"/>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接受</w:t>
            </w:r>
          </w:p>
        </w:tc>
      </w:tr>
      <w:tr w14:paraId="2FBAC2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994" w:type="dxa"/>
            <w:noWrap w:val="0"/>
            <w:vAlign w:val="center"/>
          </w:tcPr>
          <w:p w14:paraId="0187CCF6">
            <w:pPr>
              <w:pStyle w:val="86"/>
              <w:adjustRightInd w:val="0"/>
              <w:snapToGrid w:val="0"/>
              <w:spacing w:before="120" w:beforeLines="50" w:line="360" w:lineRule="auto"/>
              <w:jc w:val="center"/>
              <w:rPr>
                <w:rFonts w:hint="eastAsia" w:ascii="宋体" w:hAnsi="宋体" w:cs="宋体"/>
                <w:b/>
                <w:bCs/>
                <w:color w:val="auto"/>
                <w:sz w:val="24"/>
                <w:szCs w:val="24"/>
                <w:highlight w:val="none"/>
              </w:rPr>
            </w:pPr>
            <w:r>
              <w:rPr>
                <w:rFonts w:ascii="宋体" w:hAnsi="宋体" w:cs="宋体"/>
                <w:b/>
                <w:bCs/>
                <w:color w:val="auto"/>
                <w:sz w:val="24"/>
                <w:szCs w:val="24"/>
                <w:highlight w:val="none"/>
              </w:rPr>
              <w:t>8</w:t>
            </w:r>
          </w:p>
        </w:tc>
        <w:tc>
          <w:tcPr>
            <w:tcW w:w="1860" w:type="dxa"/>
            <w:noWrap w:val="0"/>
            <w:vAlign w:val="center"/>
          </w:tcPr>
          <w:p w14:paraId="35B1D90D">
            <w:pPr>
              <w:pStyle w:val="86"/>
              <w:adjustRightInd w:val="0"/>
              <w:snapToGrid w:val="0"/>
              <w:spacing w:before="120" w:beforeLines="50"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信息公告媒体</w:t>
            </w:r>
          </w:p>
        </w:tc>
        <w:tc>
          <w:tcPr>
            <w:tcW w:w="6835" w:type="dxa"/>
            <w:noWrap w:val="0"/>
            <w:vAlign w:val="center"/>
          </w:tcPr>
          <w:p w14:paraId="0CB7FB27">
            <w:pPr>
              <w:pStyle w:val="86"/>
              <w:adjustRightInd w:val="0"/>
              <w:snapToGrid w:val="0"/>
              <w:spacing w:before="120" w:beforeLines="50" w:line="360" w:lineRule="auto"/>
              <w:jc w:val="left"/>
              <w:rPr>
                <w:rFonts w:hint="eastAsia" w:ascii="宋体" w:hAnsi="宋体" w:cs="宋体"/>
                <w:color w:val="auto"/>
                <w:sz w:val="24"/>
                <w:szCs w:val="24"/>
                <w:highlight w:val="none"/>
                <w:u w:val="single"/>
              </w:rPr>
            </w:pPr>
            <w:r>
              <w:rPr>
                <w:rFonts w:hint="eastAsia" w:ascii="宋体" w:hAnsi="宋体" w:eastAsia="宋体" w:cs="宋体"/>
                <w:color w:val="auto"/>
                <w:sz w:val="24"/>
                <w:szCs w:val="24"/>
                <w:highlight w:val="none"/>
                <w:lang w:val="en-US" w:eastAsia="zh-CN"/>
              </w:rPr>
              <w:t>新疆政府采购网</w:t>
            </w:r>
          </w:p>
        </w:tc>
      </w:tr>
      <w:tr w14:paraId="18947E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994" w:type="dxa"/>
            <w:noWrap w:val="0"/>
            <w:vAlign w:val="center"/>
          </w:tcPr>
          <w:p w14:paraId="1A6113F8">
            <w:pPr>
              <w:pStyle w:val="86"/>
              <w:adjustRightInd w:val="0"/>
              <w:snapToGrid w:val="0"/>
              <w:spacing w:before="120" w:beforeLines="50" w:line="360" w:lineRule="auto"/>
              <w:jc w:val="center"/>
              <w:rPr>
                <w:rFonts w:hint="eastAsia" w:ascii="宋体" w:hAnsi="宋体" w:cs="宋体"/>
                <w:b/>
                <w:bCs/>
                <w:color w:val="auto"/>
                <w:sz w:val="24"/>
                <w:szCs w:val="24"/>
                <w:highlight w:val="none"/>
              </w:rPr>
            </w:pPr>
            <w:r>
              <w:rPr>
                <w:rFonts w:ascii="宋体" w:hAnsi="宋体" w:cs="宋体"/>
                <w:b/>
                <w:bCs/>
                <w:color w:val="auto"/>
                <w:sz w:val="24"/>
                <w:szCs w:val="24"/>
                <w:highlight w:val="none"/>
              </w:rPr>
              <w:t>9</w:t>
            </w:r>
          </w:p>
        </w:tc>
        <w:tc>
          <w:tcPr>
            <w:tcW w:w="1860" w:type="dxa"/>
            <w:noWrap w:val="0"/>
            <w:vAlign w:val="center"/>
          </w:tcPr>
          <w:p w14:paraId="5F3D56F1">
            <w:pPr>
              <w:pStyle w:val="86"/>
              <w:adjustRightInd w:val="0"/>
              <w:snapToGrid w:val="0"/>
              <w:spacing w:before="120" w:beforeLines="50"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响应文件递交截止时间</w:t>
            </w:r>
          </w:p>
        </w:tc>
        <w:tc>
          <w:tcPr>
            <w:tcW w:w="6835" w:type="dxa"/>
            <w:noWrap w:val="0"/>
            <w:vAlign w:val="center"/>
          </w:tcPr>
          <w:p w14:paraId="7EB2976A">
            <w:pPr>
              <w:pStyle w:val="86"/>
              <w:adjustRightInd w:val="0"/>
              <w:snapToGrid w:val="0"/>
              <w:spacing w:before="120" w:beforeLines="50"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2026年5月18日11:00时（北京时间）</w:t>
            </w:r>
          </w:p>
        </w:tc>
      </w:tr>
      <w:tr w14:paraId="39A002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0" w:hRule="atLeast"/>
          <w:jc w:val="center"/>
        </w:trPr>
        <w:tc>
          <w:tcPr>
            <w:tcW w:w="994" w:type="dxa"/>
            <w:noWrap w:val="0"/>
            <w:vAlign w:val="center"/>
          </w:tcPr>
          <w:p w14:paraId="3596E291">
            <w:pPr>
              <w:pStyle w:val="86"/>
              <w:adjustRightInd w:val="0"/>
              <w:snapToGrid w:val="0"/>
              <w:spacing w:before="120" w:beforeLines="50"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w:t>
            </w:r>
            <w:r>
              <w:rPr>
                <w:rFonts w:ascii="宋体" w:hAnsi="宋体" w:cs="宋体"/>
                <w:b/>
                <w:bCs/>
                <w:color w:val="auto"/>
                <w:sz w:val="24"/>
                <w:szCs w:val="24"/>
                <w:highlight w:val="none"/>
              </w:rPr>
              <w:t>0</w:t>
            </w:r>
          </w:p>
        </w:tc>
        <w:tc>
          <w:tcPr>
            <w:tcW w:w="1860" w:type="dxa"/>
            <w:noWrap w:val="0"/>
            <w:vAlign w:val="center"/>
          </w:tcPr>
          <w:p w14:paraId="4A2419EF">
            <w:pPr>
              <w:pStyle w:val="86"/>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磋商时间、地点</w:t>
            </w:r>
          </w:p>
        </w:tc>
        <w:tc>
          <w:tcPr>
            <w:tcW w:w="6835" w:type="dxa"/>
            <w:noWrap w:val="0"/>
            <w:vAlign w:val="center"/>
          </w:tcPr>
          <w:p w14:paraId="75B22EDD">
            <w:pPr>
              <w:pStyle w:val="86"/>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磋商时间：2026年5月18日11:00时（北京时间）</w:t>
            </w:r>
          </w:p>
          <w:p w14:paraId="544D9374">
            <w:pPr>
              <w:pStyle w:val="86"/>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cs="宋体"/>
                <w:color w:val="auto"/>
                <w:sz w:val="24"/>
                <w:szCs w:val="24"/>
                <w:highlight w:val="none"/>
                <w:u w:val="single"/>
              </w:rPr>
            </w:pPr>
            <w:r>
              <w:rPr>
                <w:rFonts w:hint="eastAsia" w:ascii="宋体" w:hAnsi="宋体" w:eastAsia="宋体" w:cs="宋体"/>
                <w:color w:val="auto"/>
                <w:sz w:val="24"/>
                <w:szCs w:val="24"/>
                <w:highlight w:val="none"/>
                <w:lang w:val="en-US" w:eastAsia="zh-CN"/>
              </w:rPr>
              <w:t>磋商地点：政采云平台（https://www.zcygov.cn/）</w:t>
            </w:r>
          </w:p>
        </w:tc>
      </w:tr>
      <w:tr w14:paraId="6922BB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994" w:type="dxa"/>
            <w:noWrap w:val="0"/>
            <w:vAlign w:val="center"/>
          </w:tcPr>
          <w:p w14:paraId="33CA3558">
            <w:pPr>
              <w:pStyle w:val="86"/>
              <w:adjustRightInd w:val="0"/>
              <w:snapToGrid w:val="0"/>
              <w:spacing w:before="120" w:beforeLines="50"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w:t>
            </w:r>
            <w:r>
              <w:rPr>
                <w:rFonts w:ascii="宋体" w:hAnsi="宋体" w:cs="宋体"/>
                <w:b/>
                <w:bCs/>
                <w:color w:val="auto"/>
                <w:sz w:val="24"/>
                <w:szCs w:val="24"/>
                <w:highlight w:val="none"/>
              </w:rPr>
              <w:t>1</w:t>
            </w:r>
          </w:p>
        </w:tc>
        <w:tc>
          <w:tcPr>
            <w:tcW w:w="1860" w:type="dxa"/>
            <w:noWrap w:val="0"/>
            <w:vAlign w:val="center"/>
          </w:tcPr>
          <w:p w14:paraId="18A9E96E">
            <w:pPr>
              <w:pStyle w:val="86"/>
              <w:adjustRightInd w:val="0"/>
              <w:snapToGrid w:val="0"/>
              <w:spacing w:before="120" w:beforeLines="50"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磋商小组的组建及评审专家的确定方式</w:t>
            </w:r>
          </w:p>
        </w:tc>
        <w:tc>
          <w:tcPr>
            <w:tcW w:w="6835" w:type="dxa"/>
            <w:noWrap w:val="0"/>
            <w:vAlign w:val="center"/>
          </w:tcPr>
          <w:p w14:paraId="535CE6D1">
            <w:pPr>
              <w:pStyle w:val="86"/>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采购人依法组建磋商小组共 3 人组成，其中采购人代表</w:t>
            </w:r>
            <w:r>
              <w:rPr>
                <w:rFonts w:hint="eastAsia" w:ascii="宋体" w:hAnsi="宋体" w:eastAsia="宋体" w:cs="宋体"/>
                <w:color w:val="auto"/>
                <w:sz w:val="24"/>
                <w:szCs w:val="24"/>
                <w:highlight w:val="none"/>
                <w:u w:val="single"/>
                <w:lang w:val="en-US" w:eastAsia="zh-CN"/>
              </w:rPr>
              <w:t xml:space="preserve"> 0-1 </w:t>
            </w:r>
            <w:r>
              <w:rPr>
                <w:rFonts w:hint="eastAsia" w:ascii="宋体" w:hAnsi="宋体" w:eastAsia="宋体" w:cs="宋体"/>
                <w:color w:val="auto"/>
                <w:sz w:val="24"/>
                <w:szCs w:val="24"/>
                <w:highlight w:val="none"/>
                <w:lang w:val="en-US" w:eastAsia="zh-CN"/>
              </w:rPr>
              <w:t>人和专家评委</w:t>
            </w:r>
            <w:r>
              <w:rPr>
                <w:rFonts w:hint="eastAsia" w:ascii="宋体" w:hAnsi="宋体" w:eastAsia="宋体" w:cs="宋体"/>
                <w:color w:val="auto"/>
                <w:sz w:val="24"/>
                <w:szCs w:val="24"/>
                <w:highlight w:val="none"/>
                <w:u w:val="single"/>
                <w:lang w:val="en-US" w:eastAsia="zh-CN"/>
              </w:rPr>
              <w:t xml:space="preserve"> 2-3 </w:t>
            </w:r>
            <w:r>
              <w:rPr>
                <w:rFonts w:hint="eastAsia" w:ascii="宋体" w:hAnsi="宋体" w:eastAsia="宋体" w:cs="宋体"/>
                <w:color w:val="auto"/>
                <w:sz w:val="24"/>
                <w:szCs w:val="24"/>
                <w:highlight w:val="none"/>
                <w:lang w:val="en-US" w:eastAsia="zh-CN"/>
              </w:rPr>
              <w:t>人。</w:t>
            </w:r>
          </w:p>
          <w:p w14:paraId="70C2D26B">
            <w:pPr>
              <w:pStyle w:val="86"/>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小组确定方式：政采云平台专家库中随机抽取</w:t>
            </w:r>
          </w:p>
        </w:tc>
      </w:tr>
      <w:tr w14:paraId="6F6B8F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94" w:type="dxa"/>
            <w:noWrap w:val="0"/>
            <w:vAlign w:val="center"/>
          </w:tcPr>
          <w:p w14:paraId="2E7C097C">
            <w:pPr>
              <w:pStyle w:val="86"/>
              <w:adjustRightInd w:val="0"/>
              <w:snapToGrid w:val="0"/>
              <w:spacing w:before="120" w:beforeLines="50"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w:t>
            </w:r>
            <w:r>
              <w:rPr>
                <w:rFonts w:ascii="宋体" w:hAnsi="宋体" w:cs="宋体"/>
                <w:b/>
                <w:bCs/>
                <w:color w:val="auto"/>
                <w:sz w:val="24"/>
                <w:szCs w:val="24"/>
                <w:highlight w:val="none"/>
              </w:rPr>
              <w:t>2</w:t>
            </w:r>
          </w:p>
        </w:tc>
        <w:tc>
          <w:tcPr>
            <w:tcW w:w="1860" w:type="dxa"/>
            <w:noWrap w:val="0"/>
            <w:vAlign w:val="center"/>
          </w:tcPr>
          <w:p w14:paraId="685118AC">
            <w:pPr>
              <w:pStyle w:val="86"/>
              <w:adjustRightInd w:val="0"/>
              <w:snapToGrid w:val="0"/>
              <w:spacing w:before="120" w:beforeLines="50"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磋商保证金</w:t>
            </w:r>
          </w:p>
        </w:tc>
        <w:tc>
          <w:tcPr>
            <w:tcW w:w="6835" w:type="dxa"/>
            <w:noWrap w:val="0"/>
            <w:vAlign w:val="center"/>
          </w:tcPr>
          <w:p w14:paraId="6609D9F5">
            <w:pPr>
              <w:pStyle w:val="86"/>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1.投标保证金：1000元；大写：壹仟元整。</w:t>
            </w:r>
          </w:p>
          <w:p w14:paraId="3402BA94">
            <w:pPr>
              <w:pStyle w:val="86"/>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保证金递交截止时间：2026年5月18日11点00分(北京时间)</w:t>
            </w:r>
          </w:p>
          <w:p w14:paraId="2A7D5446">
            <w:pPr>
              <w:pStyle w:val="86"/>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2.投标保证金应当以转账的形式由投标人（供应商）的企业账户（个体供应商除外）汇出，并汇入采购人指定的开户银行及帐号如下：</w:t>
            </w:r>
          </w:p>
          <w:p w14:paraId="22D55B97">
            <w:pPr>
              <w:pStyle w:val="86"/>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收款单位：新疆元泓工程项目管理咨询有限公司</w:t>
            </w:r>
          </w:p>
          <w:p w14:paraId="32B4E4BA">
            <w:pPr>
              <w:pStyle w:val="86"/>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开户银行：交通银行青年路支行</w:t>
            </w:r>
          </w:p>
          <w:p w14:paraId="60181607">
            <w:pPr>
              <w:pStyle w:val="86"/>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行    号：301881000198</w:t>
            </w:r>
          </w:p>
          <w:p w14:paraId="618D2427">
            <w:pPr>
              <w:pStyle w:val="86"/>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银行账号：86516510350188002000466</w:t>
            </w:r>
          </w:p>
          <w:p w14:paraId="2A887325">
            <w:pPr>
              <w:pStyle w:val="86"/>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转账时务必注明项目名称/标项名称，保证金的递交以采购人指定账户到账时间为准，供应商应充分考虑保证金异地、跨行、公休日等因素影响到账时间延迟的风险，并承担相应责任。投标人可在投标截止时间3个工作日前完成保证金缴纳工作。（供应商转账后可致电查询到账情况，投标保证金递交还可以采用支票、汇票、本票形式，票据递交应考虑票据转存到账时间风险，保证金事项咨询联系人：蒋伟伦；联系电话：19990911014）</w:t>
            </w:r>
          </w:p>
          <w:p w14:paraId="51A3E039">
            <w:pPr>
              <w:pStyle w:val="86"/>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cs="宋体"/>
                <w:bCs/>
                <w:color w:val="auto"/>
                <w:sz w:val="24"/>
                <w:szCs w:val="24"/>
                <w:highlight w:val="none"/>
              </w:rPr>
            </w:pPr>
            <w:r>
              <w:rPr>
                <w:rFonts w:hint="eastAsia" w:ascii="宋体" w:hAnsi="宋体" w:eastAsia="宋体" w:cs="宋体"/>
                <w:color w:val="auto"/>
                <w:sz w:val="24"/>
                <w:szCs w:val="24"/>
                <w:highlight w:val="none"/>
                <w:lang w:val="en-US" w:eastAsia="zh-CN"/>
              </w:rPr>
              <w:t>3.投标保证金还可以采用电子保函形式按以下要求办理：（1）电子保函按照“一标项一保函”的原则。（2）电子保函须在投标截止时间前办理完成。（3）保函的有效期不得少于本项目投标有效期。（4）投标人以电子保函形式缴纳投标保证金的，应通过“新疆政府采购网电子保函”的模块申请购买。电子担保凭证需作为电子投标文件组成部分在递交投标文件时一并提交。（备注：如采用电子保函形式缴纳的，可在投标截止之日前通过“投标人工作台金融服务”中在线查看电子保函是否生效。若有任何问题，可以联系政采云金融服务专属客服，电话400-903-9583）</w:t>
            </w:r>
          </w:p>
        </w:tc>
      </w:tr>
      <w:tr w14:paraId="29ABE6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994" w:type="dxa"/>
            <w:noWrap w:val="0"/>
            <w:vAlign w:val="center"/>
          </w:tcPr>
          <w:p w14:paraId="5456F9F9">
            <w:pPr>
              <w:pStyle w:val="86"/>
              <w:adjustRightInd w:val="0"/>
              <w:snapToGrid w:val="0"/>
              <w:spacing w:before="120" w:beforeLines="50"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w:t>
            </w:r>
            <w:r>
              <w:rPr>
                <w:rFonts w:ascii="宋体" w:hAnsi="宋体" w:cs="宋体"/>
                <w:b/>
                <w:bCs/>
                <w:color w:val="auto"/>
                <w:sz w:val="24"/>
                <w:szCs w:val="24"/>
                <w:highlight w:val="none"/>
              </w:rPr>
              <w:t>3</w:t>
            </w:r>
          </w:p>
        </w:tc>
        <w:tc>
          <w:tcPr>
            <w:tcW w:w="1860" w:type="dxa"/>
            <w:noWrap w:val="0"/>
            <w:vAlign w:val="center"/>
          </w:tcPr>
          <w:p w14:paraId="604CBF04">
            <w:pPr>
              <w:pStyle w:val="86"/>
              <w:adjustRightInd w:val="0"/>
              <w:snapToGrid w:val="0"/>
              <w:spacing w:before="120" w:beforeLines="50"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评审办法</w:t>
            </w:r>
          </w:p>
        </w:tc>
        <w:tc>
          <w:tcPr>
            <w:tcW w:w="6835" w:type="dxa"/>
            <w:noWrap w:val="0"/>
            <w:vAlign w:val="center"/>
          </w:tcPr>
          <w:p w14:paraId="295B8C96">
            <w:pPr>
              <w:pStyle w:val="86"/>
              <w:spacing w:line="500" w:lineRule="exact"/>
              <w:ind w:left="520" w:leftChars="1" w:hanging="518" w:hangingChars="216"/>
              <w:rPr>
                <w:rFonts w:hint="eastAsia" w:ascii="宋体" w:hAnsi="宋体" w:cs="宋体"/>
                <w:color w:val="auto"/>
                <w:sz w:val="24"/>
                <w:szCs w:val="24"/>
                <w:highlight w:val="none"/>
              </w:rPr>
            </w:pPr>
            <w:r>
              <w:rPr>
                <w:rFonts w:hint="eastAsia" w:ascii="宋体" w:hAnsi="宋体" w:cs="宋体"/>
                <w:color w:val="auto"/>
                <w:sz w:val="24"/>
                <w:szCs w:val="24"/>
                <w:highlight w:val="none"/>
              </w:rPr>
              <w:t>综合评分法</w:t>
            </w:r>
          </w:p>
        </w:tc>
      </w:tr>
      <w:tr w14:paraId="5E68A2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994" w:type="dxa"/>
            <w:noWrap w:val="0"/>
            <w:vAlign w:val="center"/>
          </w:tcPr>
          <w:p w14:paraId="182E29E4">
            <w:pPr>
              <w:pStyle w:val="86"/>
              <w:adjustRightInd w:val="0"/>
              <w:snapToGrid w:val="0"/>
              <w:spacing w:before="120" w:beforeLines="50"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w:t>
            </w:r>
            <w:r>
              <w:rPr>
                <w:rFonts w:ascii="宋体" w:hAnsi="宋体" w:cs="宋体"/>
                <w:b/>
                <w:bCs/>
                <w:color w:val="auto"/>
                <w:sz w:val="24"/>
                <w:szCs w:val="24"/>
                <w:highlight w:val="none"/>
              </w:rPr>
              <w:t>4</w:t>
            </w:r>
          </w:p>
        </w:tc>
        <w:tc>
          <w:tcPr>
            <w:tcW w:w="1860" w:type="dxa"/>
            <w:noWrap w:val="0"/>
            <w:vAlign w:val="center"/>
          </w:tcPr>
          <w:p w14:paraId="33AD0E8D">
            <w:pPr>
              <w:pStyle w:val="86"/>
              <w:adjustRightInd w:val="0"/>
              <w:snapToGrid w:val="0"/>
              <w:spacing w:before="120" w:beforeLines="50"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磋商有效期</w:t>
            </w:r>
          </w:p>
        </w:tc>
        <w:tc>
          <w:tcPr>
            <w:tcW w:w="6835" w:type="dxa"/>
            <w:noWrap w:val="0"/>
            <w:vAlign w:val="center"/>
          </w:tcPr>
          <w:p w14:paraId="3F3D110B">
            <w:pPr>
              <w:pStyle w:val="86"/>
              <w:adjustRightInd w:val="0"/>
              <w:snapToGrid w:val="0"/>
              <w:spacing w:before="120" w:beforeLines="50" w:line="360" w:lineRule="auto"/>
              <w:rPr>
                <w:rFonts w:hint="eastAsia" w:ascii="宋体" w:hAnsi="宋体" w:cs="宋体"/>
                <w:bCs/>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60  </w:t>
            </w:r>
            <w:r>
              <w:rPr>
                <w:rFonts w:hint="eastAsia" w:ascii="宋体" w:hAnsi="宋体" w:cs="宋体"/>
                <w:color w:val="auto"/>
                <w:sz w:val="24"/>
                <w:szCs w:val="24"/>
                <w:highlight w:val="none"/>
              </w:rPr>
              <w:t>日（日历日）</w:t>
            </w:r>
          </w:p>
        </w:tc>
      </w:tr>
      <w:tr w14:paraId="46D251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994" w:type="dxa"/>
            <w:noWrap w:val="0"/>
            <w:vAlign w:val="center"/>
          </w:tcPr>
          <w:p w14:paraId="565E1D63">
            <w:pPr>
              <w:pStyle w:val="86"/>
              <w:adjustRightInd w:val="0"/>
              <w:snapToGrid w:val="0"/>
              <w:spacing w:before="120" w:beforeLines="50"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w:t>
            </w:r>
            <w:r>
              <w:rPr>
                <w:rFonts w:ascii="宋体" w:hAnsi="宋体" w:cs="宋体"/>
                <w:b/>
                <w:bCs/>
                <w:color w:val="auto"/>
                <w:sz w:val="24"/>
                <w:szCs w:val="24"/>
                <w:highlight w:val="none"/>
              </w:rPr>
              <w:t>5</w:t>
            </w:r>
          </w:p>
        </w:tc>
        <w:tc>
          <w:tcPr>
            <w:tcW w:w="1860" w:type="dxa"/>
            <w:noWrap w:val="0"/>
            <w:vAlign w:val="center"/>
          </w:tcPr>
          <w:p w14:paraId="09922448">
            <w:pPr>
              <w:pStyle w:val="86"/>
              <w:adjustRightInd w:val="0"/>
              <w:snapToGrid w:val="0"/>
              <w:spacing w:before="120" w:beforeLines="50"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投标文件份数</w:t>
            </w:r>
          </w:p>
        </w:tc>
        <w:tc>
          <w:tcPr>
            <w:tcW w:w="6835" w:type="dxa"/>
            <w:noWrap w:val="0"/>
            <w:vAlign w:val="center"/>
          </w:tcPr>
          <w:p w14:paraId="2B6588B7">
            <w:pPr>
              <w:pStyle w:val="86"/>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sym w:font="Wingdings 2" w:char="00A3"/>
            </w:r>
            <w:r>
              <w:rPr>
                <w:rFonts w:hint="eastAsia" w:ascii="宋体" w:hAnsi="宋体" w:eastAsia="宋体" w:cs="宋体"/>
                <w:color w:val="auto"/>
                <w:sz w:val="24"/>
                <w:szCs w:val="24"/>
                <w:highlight w:val="none"/>
                <w:lang w:val="en-US" w:eastAsia="zh-CN"/>
              </w:rPr>
              <w:t>采用见面开标</w:t>
            </w:r>
          </w:p>
          <w:p w14:paraId="19BB85B4">
            <w:pPr>
              <w:pStyle w:val="86"/>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采用不见面开标：</w:t>
            </w:r>
          </w:p>
          <w:p w14:paraId="7DC1C3F0">
            <w:pPr>
              <w:pStyle w:val="86"/>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1．本项目采用不见面开标、投标人需要递交电子投标文件，加密的电子投标文件（文件格式为.jmbs），在投标截止时间前通过政采云平台上传到指定位置。无需递交纸质文件。</w:t>
            </w:r>
          </w:p>
          <w:p w14:paraId="6ECB230B">
            <w:pPr>
              <w:pStyle w:val="86"/>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采用远程不见面交易的模式。开标当日，投标人无需到达开标现场，仅需在任意地点通过政采云平台完成投标截止时间前签到、开标过程中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w:t>
            </w:r>
          </w:p>
          <w:p w14:paraId="6392CDFB">
            <w:pPr>
              <w:pStyle w:val="86"/>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解密时长：30分钟。</w:t>
            </w:r>
          </w:p>
          <w:p w14:paraId="189A9A60">
            <w:pPr>
              <w:pStyle w:val="86"/>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二次报价及上传资料（最终报价上传资料）时长：30分钟。（二次报价必须填报，未填报二次报价未上传资料将造成废标，投标人自行承担未填报二次报价未上传资料所导致的一切后果。）</w:t>
            </w:r>
          </w:p>
          <w:p w14:paraId="1C8FB49C">
            <w:pPr>
              <w:pStyle w:val="86"/>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参与“不见面”开标的招标人或其委托代理机构、投标人等各交易主体，应当按照规定使用CA数字证书及电子签章。各方主体在系统中所有操作均具有法律效力，并承担法律责任。</w:t>
            </w:r>
          </w:p>
          <w:p w14:paraId="1C2754EF">
            <w:pPr>
              <w:pStyle w:val="86"/>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4.投标人（供应商）由于数字证书遗失、损坏、更换、续期等情况导致投标文件无法解密，由投标人（供应商）自行承担责任。</w:t>
            </w:r>
          </w:p>
          <w:p w14:paraId="4559DDBD">
            <w:pPr>
              <w:pStyle w:val="86"/>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各投标人（供应商）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14:paraId="09B66BA5">
            <w:pPr>
              <w:pStyle w:val="86"/>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cs="宋体"/>
                <w:color w:val="auto"/>
                <w:sz w:val="24"/>
                <w:szCs w:val="24"/>
                <w:highlight w:val="none"/>
                <w:u w:val="single"/>
              </w:rPr>
            </w:pPr>
            <w:r>
              <w:rPr>
                <w:rFonts w:hint="eastAsia" w:ascii="宋体" w:hAnsi="宋体" w:eastAsia="宋体" w:cs="宋体"/>
                <w:color w:val="auto"/>
                <w:sz w:val="24"/>
                <w:szCs w:val="24"/>
                <w:highlight w:val="none"/>
                <w:lang w:val="en-US" w:eastAsia="zh-CN"/>
              </w:rPr>
              <w:t>6.开标、评标过程中，投标人（供应商）参与远程音视频交互（以下简称“交互”）的法人代表或授权委托人应始终为同一人，中途不得更换，并保持签到的通讯畅通。投标人端口操作人员均被视为投标人法人代表或授权委托人，投标人自行承担随意更换人员所导致的一切后果。</w:t>
            </w:r>
          </w:p>
        </w:tc>
      </w:tr>
      <w:tr w14:paraId="5F9A50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994" w:type="dxa"/>
            <w:noWrap w:val="0"/>
            <w:vAlign w:val="center"/>
          </w:tcPr>
          <w:p w14:paraId="141A7F10">
            <w:pPr>
              <w:pStyle w:val="86"/>
              <w:adjustRightInd w:val="0"/>
              <w:snapToGrid w:val="0"/>
              <w:spacing w:before="120" w:beforeLines="50"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w:t>
            </w:r>
            <w:r>
              <w:rPr>
                <w:rFonts w:ascii="宋体" w:hAnsi="宋体" w:cs="宋体"/>
                <w:b/>
                <w:bCs/>
                <w:color w:val="auto"/>
                <w:sz w:val="24"/>
                <w:szCs w:val="24"/>
                <w:highlight w:val="none"/>
              </w:rPr>
              <w:t>6</w:t>
            </w:r>
          </w:p>
        </w:tc>
        <w:tc>
          <w:tcPr>
            <w:tcW w:w="1860" w:type="dxa"/>
            <w:noWrap w:val="0"/>
            <w:vAlign w:val="center"/>
          </w:tcPr>
          <w:p w14:paraId="59C36BF9">
            <w:pPr>
              <w:pStyle w:val="86"/>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是否允许投报进口产品</w:t>
            </w:r>
          </w:p>
        </w:tc>
        <w:tc>
          <w:tcPr>
            <w:tcW w:w="6835" w:type="dxa"/>
            <w:noWrap w:val="0"/>
            <w:vAlign w:val="center"/>
          </w:tcPr>
          <w:p w14:paraId="3BCFF5DE">
            <w:pPr>
              <w:pStyle w:val="86"/>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是               </w:t>
            </w:r>
          </w:p>
          <w:p w14:paraId="00402B31">
            <w:pPr>
              <w:pStyle w:val="86"/>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cs="宋体"/>
                <w:color w:val="auto"/>
                <w:kern w:val="0"/>
                <w:sz w:val="24"/>
                <w:szCs w:val="24"/>
                <w:highlight w:val="none"/>
                <w:u w:val="single"/>
              </w:rPr>
            </w:pPr>
            <w:r>
              <w:rPr>
                <w:rFonts w:hint="eastAsia" w:ascii="宋体" w:hAnsi="宋体" w:eastAsia="宋体" w:cs="宋体"/>
                <w:color w:val="auto"/>
                <w:sz w:val="24"/>
                <w:szCs w:val="24"/>
                <w:highlight w:val="none"/>
                <w:lang w:val="en-US" w:eastAsia="zh-CN"/>
              </w:rPr>
              <w:t>☑ 否</w:t>
            </w:r>
          </w:p>
        </w:tc>
      </w:tr>
      <w:tr w14:paraId="6C3B5E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994" w:type="dxa"/>
            <w:noWrap w:val="0"/>
            <w:vAlign w:val="center"/>
          </w:tcPr>
          <w:p w14:paraId="03E601A5">
            <w:pPr>
              <w:pStyle w:val="86"/>
              <w:adjustRightInd w:val="0"/>
              <w:snapToGrid w:val="0"/>
              <w:spacing w:before="120" w:beforeLines="50"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w:t>
            </w:r>
            <w:r>
              <w:rPr>
                <w:rFonts w:ascii="宋体" w:hAnsi="宋体" w:cs="宋体"/>
                <w:b/>
                <w:bCs/>
                <w:color w:val="auto"/>
                <w:sz w:val="24"/>
                <w:szCs w:val="24"/>
                <w:highlight w:val="none"/>
              </w:rPr>
              <w:t>7</w:t>
            </w:r>
          </w:p>
        </w:tc>
        <w:tc>
          <w:tcPr>
            <w:tcW w:w="1860" w:type="dxa"/>
            <w:noWrap w:val="0"/>
            <w:vAlign w:val="center"/>
          </w:tcPr>
          <w:p w14:paraId="30662A97">
            <w:pPr>
              <w:pStyle w:val="86"/>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踏勘现场</w:t>
            </w:r>
          </w:p>
        </w:tc>
        <w:tc>
          <w:tcPr>
            <w:tcW w:w="6835" w:type="dxa"/>
            <w:noWrap w:val="0"/>
            <w:vAlign w:val="center"/>
          </w:tcPr>
          <w:p w14:paraId="4CDB3231">
            <w:pPr>
              <w:pStyle w:val="86"/>
              <w:autoSpaceDE w:val="0"/>
              <w:autoSpaceDN w:val="0"/>
              <w:adjustRightInd w:val="0"/>
              <w:spacing w:line="360" w:lineRule="auto"/>
              <w:rPr>
                <w:rFonts w:hint="eastAsia" w:ascii="宋体" w:hAnsi="宋体" w:cs="宋体"/>
                <w:color w:val="auto"/>
                <w:sz w:val="24"/>
                <w:szCs w:val="24"/>
                <w:highlight w:val="none"/>
              </w:rPr>
            </w:pPr>
            <w:r>
              <w:rPr>
                <w:rFonts w:hint="eastAsia" w:ascii="宋体" w:hAnsi="宋体" w:cs="宋体"/>
                <w:color w:val="auto"/>
                <w:kern w:val="0"/>
                <w:sz w:val="24"/>
                <w:szCs w:val="24"/>
                <w:highlight w:val="none"/>
              </w:rPr>
              <w:t>/</w:t>
            </w:r>
          </w:p>
        </w:tc>
      </w:tr>
      <w:tr w14:paraId="4695A5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2" w:hRule="atLeast"/>
          <w:jc w:val="center"/>
        </w:trPr>
        <w:tc>
          <w:tcPr>
            <w:tcW w:w="994" w:type="dxa"/>
            <w:noWrap w:val="0"/>
            <w:vAlign w:val="center"/>
          </w:tcPr>
          <w:p w14:paraId="7073C80A">
            <w:pPr>
              <w:pStyle w:val="86"/>
              <w:adjustRightInd w:val="0"/>
              <w:snapToGrid w:val="0"/>
              <w:spacing w:before="120" w:beforeLines="50"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w:t>
            </w:r>
            <w:r>
              <w:rPr>
                <w:rFonts w:ascii="宋体" w:hAnsi="宋体" w:cs="宋体"/>
                <w:b/>
                <w:bCs/>
                <w:color w:val="auto"/>
                <w:sz w:val="24"/>
                <w:szCs w:val="24"/>
                <w:highlight w:val="none"/>
              </w:rPr>
              <w:t>8</w:t>
            </w:r>
          </w:p>
        </w:tc>
        <w:tc>
          <w:tcPr>
            <w:tcW w:w="1860" w:type="dxa"/>
            <w:noWrap w:val="0"/>
            <w:vAlign w:val="center"/>
          </w:tcPr>
          <w:p w14:paraId="38BB5811">
            <w:pPr>
              <w:pStyle w:val="86"/>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kern w:val="0"/>
                <w:sz w:val="24"/>
                <w:szCs w:val="24"/>
                <w:highlight w:val="none"/>
              </w:rPr>
              <w:t>节能、环保要求</w:t>
            </w:r>
          </w:p>
        </w:tc>
        <w:tc>
          <w:tcPr>
            <w:tcW w:w="6835" w:type="dxa"/>
            <w:noWrap w:val="0"/>
            <w:vAlign w:val="center"/>
          </w:tcPr>
          <w:p w14:paraId="0E7BC95C">
            <w:pPr>
              <w:pStyle w:val="86"/>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按国家有关节能环保政策执行。</w:t>
            </w:r>
          </w:p>
        </w:tc>
      </w:tr>
      <w:tr w14:paraId="21EA76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80" w:hRule="atLeast"/>
          <w:jc w:val="center"/>
        </w:trPr>
        <w:tc>
          <w:tcPr>
            <w:tcW w:w="994" w:type="dxa"/>
            <w:noWrap w:val="0"/>
            <w:vAlign w:val="center"/>
          </w:tcPr>
          <w:p w14:paraId="4C337D6A">
            <w:pPr>
              <w:pStyle w:val="86"/>
              <w:adjustRightInd w:val="0"/>
              <w:snapToGrid w:val="0"/>
              <w:spacing w:before="120" w:beforeLines="50" w:line="360" w:lineRule="auto"/>
              <w:jc w:val="center"/>
              <w:rPr>
                <w:rFonts w:hint="eastAsia" w:ascii="宋体" w:hAnsi="宋体" w:cs="宋体"/>
                <w:b/>
                <w:bCs/>
                <w:color w:val="auto"/>
                <w:sz w:val="24"/>
                <w:szCs w:val="24"/>
                <w:highlight w:val="none"/>
              </w:rPr>
            </w:pPr>
            <w:r>
              <w:rPr>
                <w:rFonts w:ascii="宋体" w:hAnsi="宋体" w:cs="宋体"/>
                <w:b/>
                <w:bCs/>
                <w:color w:val="auto"/>
                <w:sz w:val="24"/>
                <w:szCs w:val="24"/>
                <w:highlight w:val="none"/>
              </w:rPr>
              <w:t>19</w:t>
            </w:r>
          </w:p>
        </w:tc>
        <w:tc>
          <w:tcPr>
            <w:tcW w:w="1860" w:type="dxa"/>
            <w:noWrap w:val="0"/>
            <w:vAlign w:val="center"/>
          </w:tcPr>
          <w:p w14:paraId="6BF3B719">
            <w:pPr>
              <w:pStyle w:val="86"/>
              <w:adjustRightInd w:val="0"/>
              <w:snapToGrid w:val="0"/>
              <w:spacing w:before="120" w:beforeLines="50"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代理服务费</w:t>
            </w:r>
          </w:p>
        </w:tc>
        <w:tc>
          <w:tcPr>
            <w:tcW w:w="6835" w:type="dxa"/>
            <w:noWrap w:val="0"/>
            <w:vAlign w:val="center"/>
          </w:tcPr>
          <w:p w14:paraId="35B05C7B">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中标人在收到中标通知书后，须向新疆元泓工程项目管理咨询有限公司支付采购代理服务费。</w:t>
            </w:r>
          </w:p>
          <w:p w14:paraId="1F317F14">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代理服务收费标准：参考原《国家计委关于印发〈招标代理服务收费管理暂行办法〉的通知》（计价格[2002] 1980号文）和《国家发展改革委办公厅关于招标代理服务收费有关问题的通知》（发改办价格[2003] 857号文）的收费标准下浮27%计算招标代理服务费，并按收费标准额度收取费用，由中标人支付，不足1000元按1000元收取。</w:t>
            </w:r>
          </w:p>
          <w:p w14:paraId="4D8A2BF2">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缴纳中标服务费银行账户信息：</w:t>
            </w:r>
          </w:p>
          <w:p w14:paraId="62B18178">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账户名称：新疆元泓工程项目管理咨询有限公司</w:t>
            </w:r>
          </w:p>
          <w:p w14:paraId="51DE2F66">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账户号码：0000002421121900037357</w:t>
            </w:r>
          </w:p>
          <w:p w14:paraId="499F0AD3">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开户银行：乌鲁木齐银行开发支行</w:t>
            </w:r>
          </w:p>
          <w:p w14:paraId="023FC49D">
            <w:pPr>
              <w:spacing w:line="360" w:lineRule="auto"/>
              <w:rPr>
                <w:rFonts w:hint="eastAsia"/>
                <w:color w:val="auto"/>
                <w:highlight w:val="none"/>
                <w:lang w:val="en-US" w:eastAsia="zh-CN"/>
              </w:rPr>
            </w:pPr>
            <w:r>
              <w:rPr>
                <w:rFonts w:hint="eastAsia" w:ascii="宋体" w:hAnsi="宋体" w:eastAsia="宋体" w:cs="宋体"/>
                <w:color w:val="auto"/>
                <w:sz w:val="24"/>
                <w:szCs w:val="24"/>
                <w:highlight w:val="none"/>
                <w:lang w:val="en-US" w:eastAsia="zh-CN"/>
              </w:rPr>
              <w:t>银行行号：313881000504</w:t>
            </w:r>
          </w:p>
        </w:tc>
      </w:tr>
      <w:tr w14:paraId="6F2DB2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994" w:type="dxa"/>
            <w:noWrap w:val="0"/>
            <w:vAlign w:val="center"/>
          </w:tcPr>
          <w:p w14:paraId="43513F9B">
            <w:pPr>
              <w:pStyle w:val="86"/>
              <w:adjustRightInd w:val="0"/>
              <w:snapToGrid w:val="0"/>
              <w:spacing w:before="120" w:beforeLines="50"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w:t>
            </w:r>
            <w:r>
              <w:rPr>
                <w:rFonts w:ascii="宋体" w:hAnsi="宋体" w:cs="宋体"/>
                <w:b/>
                <w:bCs/>
                <w:color w:val="auto"/>
                <w:sz w:val="24"/>
                <w:szCs w:val="24"/>
                <w:highlight w:val="none"/>
              </w:rPr>
              <w:t>0</w:t>
            </w:r>
          </w:p>
        </w:tc>
        <w:tc>
          <w:tcPr>
            <w:tcW w:w="1860" w:type="dxa"/>
            <w:noWrap w:val="0"/>
            <w:vAlign w:val="center"/>
          </w:tcPr>
          <w:p w14:paraId="36F811DA">
            <w:pPr>
              <w:pStyle w:val="86"/>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中小微型企业</w:t>
            </w:r>
          </w:p>
          <w:p w14:paraId="2BC676F8">
            <w:pPr>
              <w:pStyle w:val="86"/>
              <w:adjustRightInd w:val="0"/>
              <w:snapToGrid w:val="0"/>
              <w:spacing w:before="120" w:beforeLines="50" w:line="360" w:lineRule="auto"/>
              <w:jc w:val="center"/>
              <w:rPr>
                <w:rFonts w:hint="eastAsia" w:ascii="宋体" w:hAnsi="宋体" w:cs="宋体"/>
                <w:b/>
                <w:bCs/>
                <w:color w:val="auto"/>
                <w:sz w:val="24"/>
                <w:szCs w:val="24"/>
                <w:highlight w:val="none"/>
              </w:rPr>
            </w:pPr>
            <w:r>
              <w:rPr>
                <w:rFonts w:hint="eastAsia" w:ascii="宋体" w:hAnsi="宋体" w:cs="宋体"/>
                <w:b/>
                <w:bCs/>
                <w:color w:val="auto"/>
                <w:kern w:val="0"/>
                <w:sz w:val="24"/>
                <w:szCs w:val="24"/>
                <w:highlight w:val="none"/>
              </w:rPr>
              <w:t>有关政策</w:t>
            </w:r>
          </w:p>
        </w:tc>
        <w:tc>
          <w:tcPr>
            <w:tcW w:w="6835" w:type="dxa"/>
            <w:noWrap w:val="0"/>
            <w:vAlign w:val="center"/>
          </w:tcPr>
          <w:p w14:paraId="48EBDA6C">
            <w:pPr>
              <w:pStyle w:val="127"/>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0DFEADE">
            <w:pPr>
              <w:pStyle w:val="127"/>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在政府采购活动中，供应商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51B24DB5">
            <w:pPr>
              <w:pStyle w:val="127"/>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3、在货物采购项目中，供应商提供的货物既有中小企业制造货物，也有大型企业制造货物的，不享受本办法规定的中小企业扶持政策。</w:t>
            </w:r>
          </w:p>
          <w:p w14:paraId="1B4D7154">
            <w:pPr>
              <w:pStyle w:val="127"/>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4、以联合体形式参加政府采购活动，联合体各方均为中小企业的，联合体视同中小企业。其中，联合体各方均为小微企业的，联合体视同小微企业。</w:t>
            </w:r>
          </w:p>
          <w:p w14:paraId="145C8FB0">
            <w:pPr>
              <w:pStyle w:val="127"/>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5、供应商经享受扶持政策获得政府采购合同的，小微企业不得将合同分包给大中型企业，中型企业不得将合同分包给大型企业；</w:t>
            </w:r>
          </w:p>
          <w:p w14:paraId="06955304">
            <w:pPr>
              <w:pStyle w:val="127"/>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本项目中小企业扶持政策：本项目专门面向中小企业采购，供应商为中小企业或残疾人福利性单位的须提供声明函，为监狱企业的须提供由省级以上监狱管理局、戒毒管理局（含新疆生产建设兵团）出具的属于监狱企业的证明文件；注：残疾人福利性单位和监狱企业视同小型、微型企业。</w:t>
            </w:r>
          </w:p>
          <w:p w14:paraId="79206254">
            <w:pPr>
              <w:keepNext w:val="0"/>
              <w:keepLines w:val="0"/>
              <w:widowControl/>
              <w:suppressLineNumbers w:val="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7、根据“关于印发中小企业划型标准规定的通知(工信部联企业〔2011〕300号)”等有关规定，本项目标的所属行业为</w:t>
            </w:r>
            <w:r>
              <w:rPr>
                <w:rFonts w:hint="eastAsia" w:ascii="宋体" w:hAnsi="宋体" w:eastAsia="宋体" w:cs="宋体"/>
                <w:b/>
                <w:bCs/>
                <w:color w:val="000000"/>
                <w:kern w:val="0"/>
                <w:sz w:val="24"/>
                <w:szCs w:val="24"/>
                <w:highlight w:val="none"/>
                <w:u w:val="single"/>
                <w:lang w:val="en-US" w:eastAsia="zh-CN" w:bidi="ar"/>
              </w:rPr>
              <w:t>其他未列明行业</w:t>
            </w:r>
            <w:r>
              <w:rPr>
                <w:rFonts w:hint="eastAsia" w:ascii="宋体" w:hAnsi="宋体" w:cs="宋体"/>
                <w:b/>
                <w:bCs/>
                <w:color w:val="auto"/>
                <w:kern w:val="0"/>
                <w:sz w:val="24"/>
                <w:szCs w:val="24"/>
                <w:highlight w:val="none"/>
                <w:u w:val="single"/>
              </w:rPr>
              <w:t>。</w:t>
            </w:r>
          </w:p>
        </w:tc>
      </w:tr>
      <w:tr w14:paraId="2F127D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7" w:hRule="atLeast"/>
          <w:jc w:val="center"/>
        </w:trPr>
        <w:tc>
          <w:tcPr>
            <w:tcW w:w="994" w:type="dxa"/>
            <w:noWrap w:val="0"/>
            <w:vAlign w:val="center"/>
          </w:tcPr>
          <w:p w14:paraId="3B066E49">
            <w:pPr>
              <w:pStyle w:val="86"/>
              <w:tabs>
                <w:tab w:val="left" w:pos="265"/>
              </w:tabs>
              <w:adjustRightInd w:val="0"/>
              <w:snapToGrid w:val="0"/>
              <w:spacing w:before="120" w:beforeLines="50"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w:t>
            </w:r>
            <w:r>
              <w:rPr>
                <w:rFonts w:ascii="宋体" w:hAnsi="宋体" w:cs="宋体"/>
                <w:b/>
                <w:bCs/>
                <w:color w:val="auto"/>
                <w:sz w:val="24"/>
                <w:szCs w:val="24"/>
                <w:highlight w:val="none"/>
              </w:rPr>
              <w:t>1</w:t>
            </w:r>
          </w:p>
        </w:tc>
        <w:tc>
          <w:tcPr>
            <w:tcW w:w="1860" w:type="dxa"/>
            <w:noWrap w:val="0"/>
            <w:vAlign w:val="center"/>
          </w:tcPr>
          <w:p w14:paraId="05E5EB0D">
            <w:pPr>
              <w:pStyle w:val="86"/>
              <w:adjustRightInd w:val="0"/>
              <w:snapToGrid w:val="0"/>
              <w:spacing w:before="120" w:beforeLines="50" w:line="360" w:lineRule="auto"/>
              <w:jc w:val="center"/>
              <w:rPr>
                <w:rFonts w:hint="eastAsia" w:ascii="宋体" w:hAnsi="宋体" w:cs="宋体"/>
                <w:b/>
                <w:bCs/>
                <w:color w:val="auto"/>
                <w:sz w:val="24"/>
                <w:szCs w:val="24"/>
                <w:highlight w:val="none"/>
              </w:rPr>
            </w:pPr>
            <w:r>
              <w:rPr>
                <w:rFonts w:hint="eastAsia" w:ascii="宋体" w:hAnsi="宋体" w:cs="宋体"/>
                <w:b/>
                <w:bCs/>
                <w:color w:val="auto"/>
                <w:kern w:val="0"/>
                <w:sz w:val="24"/>
                <w:szCs w:val="24"/>
                <w:highlight w:val="none"/>
              </w:rPr>
              <w:t>履约保证金</w:t>
            </w:r>
          </w:p>
        </w:tc>
        <w:tc>
          <w:tcPr>
            <w:tcW w:w="6835" w:type="dxa"/>
            <w:noWrap w:val="0"/>
            <w:vAlign w:val="center"/>
          </w:tcPr>
          <w:p w14:paraId="24852E3A">
            <w:pPr>
              <w:pStyle w:val="86"/>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r>
      <w:tr w14:paraId="5AFCF2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994" w:type="dxa"/>
            <w:noWrap w:val="0"/>
            <w:vAlign w:val="center"/>
          </w:tcPr>
          <w:p w14:paraId="07B23F9A">
            <w:pPr>
              <w:pStyle w:val="86"/>
              <w:adjustRightInd w:val="0"/>
              <w:snapToGrid w:val="0"/>
              <w:spacing w:before="120" w:beforeLines="50"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w:t>
            </w:r>
            <w:r>
              <w:rPr>
                <w:rFonts w:ascii="宋体" w:hAnsi="宋体" w:cs="宋体"/>
                <w:b/>
                <w:bCs/>
                <w:color w:val="auto"/>
                <w:sz w:val="24"/>
                <w:szCs w:val="24"/>
                <w:highlight w:val="none"/>
              </w:rPr>
              <w:t>2</w:t>
            </w:r>
          </w:p>
        </w:tc>
        <w:tc>
          <w:tcPr>
            <w:tcW w:w="1860" w:type="dxa"/>
            <w:noWrap w:val="0"/>
            <w:vAlign w:val="center"/>
          </w:tcPr>
          <w:p w14:paraId="047D8877">
            <w:pPr>
              <w:pStyle w:val="86"/>
              <w:adjustRightInd w:val="0"/>
              <w:snapToGrid w:val="0"/>
              <w:spacing w:before="120" w:beforeLines="50" w:line="360" w:lineRule="auto"/>
              <w:jc w:val="center"/>
              <w:rPr>
                <w:rFonts w:hint="eastAsia" w:ascii="宋体" w:hAnsi="宋体" w:eastAsia="宋体" w:cs="宋体"/>
                <w:b/>
                <w:bCs/>
                <w:color w:val="auto"/>
                <w:sz w:val="24"/>
                <w:szCs w:val="24"/>
                <w:highlight w:val="none"/>
                <w:lang w:eastAsia="zh-CN"/>
              </w:rPr>
            </w:pPr>
            <w:r>
              <w:rPr>
                <w:rFonts w:hint="eastAsia" w:ascii="宋体" w:hAnsi="宋体" w:cs="宋体"/>
                <w:b/>
                <w:bCs/>
                <w:color w:val="auto"/>
                <w:kern w:val="0"/>
                <w:sz w:val="24"/>
                <w:szCs w:val="24"/>
                <w:highlight w:val="none"/>
              </w:rPr>
              <w:t>服务</w:t>
            </w:r>
            <w:r>
              <w:rPr>
                <w:rFonts w:hint="eastAsia" w:ascii="宋体" w:hAnsi="宋体" w:cs="宋体"/>
                <w:b/>
                <w:bCs/>
                <w:color w:val="auto"/>
                <w:kern w:val="0"/>
                <w:sz w:val="24"/>
                <w:szCs w:val="24"/>
                <w:highlight w:val="none"/>
                <w:lang w:val="en-US" w:eastAsia="zh-CN"/>
              </w:rPr>
              <w:t>期限</w:t>
            </w:r>
          </w:p>
        </w:tc>
        <w:tc>
          <w:tcPr>
            <w:tcW w:w="6835" w:type="dxa"/>
            <w:noWrap w:val="0"/>
            <w:vAlign w:val="center"/>
          </w:tcPr>
          <w:p w14:paraId="1A2C727B">
            <w:pPr>
              <w:pStyle w:val="86"/>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自签订合同之日起20个工作日内，完成项目建议书、可行性研究报告和初步设计三合一方案编制工作</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rPr>
              <w:t>最终成果报项目应满足项目立项审批需要</w:t>
            </w:r>
            <w:r>
              <w:rPr>
                <w:rFonts w:hint="default" w:ascii="宋体" w:hAnsi="宋体" w:eastAsia="宋体" w:cs="宋体"/>
                <w:color w:val="auto"/>
                <w:sz w:val="24"/>
                <w:szCs w:val="24"/>
                <w:highlight w:val="none"/>
                <w:lang w:val="en-US" w:eastAsia="zh-CN"/>
              </w:rPr>
              <w:t>。</w:t>
            </w:r>
          </w:p>
        </w:tc>
      </w:tr>
      <w:tr w14:paraId="13F495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94" w:type="dxa"/>
            <w:noWrap w:val="0"/>
            <w:vAlign w:val="center"/>
          </w:tcPr>
          <w:p w14:paraId="1C91FF67">
            <w:pPr>
              <w:pStyle w:val="86"/>
              <w:adjustRightInd w:val="0"/>
              <w:snapToGrid w:val="0"/>
              <w:spacing w:before="120" w:beforeLines="50"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w:t>
            </w:r>
            <w:r>
              <w:rPr>
                <w:rFonts w:ascii="宋体" w:hAnsi="宋体" w:cs="宋体"/>
                <w:b/>
                <w:bCs/>
                <w:color w:val="auto"/>
                <w:sz w:val="24"/>
                <w:szCs w:val="24"/>
                <w:highlight w:val="none"/>
              </w:rPr>
              <w:t>3</w:t>
            </w:r>
          </w:p>
        </w:tc>
        <w:tc>
          <w:tcPr>
            <w:tcW w:w="1860" w:type="dxa"/>
            <w:noWrap w:val="0"/>
            <w:vAlign w:val="center"/>
          </w:tcPr>
          <w:p w14:paraId="349672C2">
            <w:pPr>
              <w:pStyle w:val="86"/>
              <w:adjustRightInd w:val="0"/>
              <w:snapToGrid w:val="0"/>
              <w:spacing w:before="120" w:beforeLines="50"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服务地点</w:t>
            </w:r>
          </w:p>
        </w:tc>
        <w:tc>
          <w:tcPr>
            <w:tcW w:w="6835" w:type="dxa"/>
            <w:noWrap w:val="0"/>
            <w:vAlign w:val="center"/>
          </w:tcPr>
          <w:p w14:paraId="713792C5">
            <w:pPr>
              <w:pStyle w:val="86"/>
              <w:jc w:val="left"/>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甲方指定地点。</w:t>
            </w:r>
          </w:p>
        </w:tc>
      </w:tr>
      <w:tr w14:paraId="6BF121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1" w:hRule="atLeast"/>
          <w:jc w:val="center"/>
        </w:trPr>
        <w:tc>
          <w:tcPr>
            <w:tcW w:w="994" w:type="dxa"/>
            <w:noWrap w:val="0"/>
            <w:vAlign w:val="center"/>
          </w:tcPr>
          <w:p w14:paraId="579D7481">
            <w:pPr>
              <w:pStyle w:val="86"/>
              <w:adjustRightInd w:val="0"/>
              <w:snapToGrid w:val="0"/>
              <w:spacing w:before="120" w:beforeLines="50" w:line="360" w:lineRule="auto"/>
              <w:jc w:val="center"/>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rPr>
              <w:t>2</w:t>
            </w:r>
            <w:r>
              <w:rPr>
                <w:rFonts w:hint="eastAsia" w:ascii="宋体" w:hAnsi="宋体" w:cs="宋体"/>
                <w:b/>
                <w:bCs/>
                <w:color w:val="auto"/>
                <w:sz w:val="24"/>
                <w:szCs w:val="24"/>
                <w:highlight w:val="none"/>
                <w:lang w:val="en-US" w:eastAsia="zh-CN"/>
              </w:rPr>
              <w:t>4</w:t>
            </w:r>
          </w:p>
        </w:tc>
        <w:tc>
          <w:tcPr>
            <w:tcW w:w="1860" w:type="dxa"/>
            <w:noWrap w:val="0"/>
            <w:vAlign w:val="center"/>
          </w:tcPr>
          <w:p w14:paraId="3FB920AE">
            <w:pPr>
              <w:pStyle w:val="86"/>
              <w:adjustRightInd w:val="0"/>
              <w:snapToGrid w:val="0"/>
              <w:spacing w:before="120" w:beforeLines="50"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付款方式</w:t>
            </w:r>
          </w:p>
        </w:tc>
        <w:tc>
          <w:tcPr>
            <w:tcW w:w="6835" w:type="dxa"/>
            <w:noWrap w:val="0"/>
            <w:vAlign w:val="center"/>
          </w:tcPr>
          <w:p w14:paraId="1C03539E">
            <w:pPr>
              <w:pStyle w:val="86"/>
              <w:adjustRightInd w:val="0"/>
              <w:snapToGrid w:val="0"/>
              <w:spacing w:before="120" w:beforeLines="50" w:line="360" w:lineRule="auto"/>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具体以签订合同为准。</w:t>
            </w:r>
          </w:p>
        </w:tc>
      </w:tr>
      <w:tr w14:paraId="535025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994" w:type="dxa"/>
            <w:noWrap w:val="0"/>
            <w:vAlign w:val="center"/>
          </w:tcPr>
          <w:p w14:paraId="73D772DE">
            <w:pPr>
              <w:pStyle w:val="86"/>
              <w:adjustRightInd w:val="0"/>
              <w:snapToGrid w:val="0"/>
              <w:spacing w:before="120" w:beforeLines="50" w:line="360" w:lineRule="auto"/>
              <w:jc w:val="center"/>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rPr>
              <w:t>2</w:t>
            </w:r>
            <w:r>
              <w:rPr>
                <w:rFonts w:hint="eastAsia" w:ascii="宋体" w:hAnsi="宋体" w:cs="宋体"/>
                <w:b/>
                <w:bCs/>
                <w:color w:val="auto"/>
                <w:sz w:val="24"/>
                <w:szCs w:val="24"/>
                <w:highlight w:val="none"/>
                <w:lang w:val="en-US" w:eastAsia="zh-CN"/>
              </w:rPr>
              <w:t>5</w:t>
            </w:r>
          </w:p>
        </w:tc>
        <w:tc>
          <w:tcPr>
            <w:tcW w:w="1860" w:type="dxa"/>
            <w:noWrap w:val="0"/>
            <w:vAlign w:val="center"/>
          </w:tcPr>
          <w:p w14:paraId="61DE5FA7">
            <w:pPr>
              <w:pStyle w:val="25"/>
              <w:adjustRightInd w:val="0"/>
              <w:snapToGrid w:val="0"/>
              <w:spacing w:before="120" w:beforeLines="50"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zh-CN"/>
              </w:rPr>
              <w:t>竞争性</w:t>
            </w:r>
            <w:r>
              <w:rPr>
                <w:rFonts w:hint="eastAsia" w:ascii="宋体" w:hAnsi="宋体" w:cs="宋体"/>
                <w:b/>
                <w:bCs/>
                <w:color w:val="auto"/>
                <w:sz w:val="24"/>
                <w:szCs w:val="24"/>
                <w:highlight w:val="none"/>
              </w:rPr>
              <w:t>磋商</w:t>
            </w:r>
            <w:r>
              <w:rPr>
                <w:rFonts w:hint="eastAsia" w:ascii="宋体" w:hAnsi="宋体" w:cs="宋体"/>
                <w:b/>
                <w:bCs/>
                <w:color w:val="auto"/>
                <w:sz w:val="24"/>
                <w:szCs w:val="24"/>
                <w:highlight w:val="none"/>
                <w:lang w:val="zh-CN"/>
              </w:rPr>
              <w:t>文件的澄清或修改</w:t>
            </w:r>
          </w:p>
        </w:tc>
        <w:tc>
          <w:tcPr>
            <w:tcW w:w="6835" w:type="dxa"/>
            <w:noWrap w:val="0"/>
            <w:vAlign w:val="center"/>
          </w:tcPr>
          <w:p w14:paraId="3FB86B53">
            <w:pPr>
              <w:pStyle w:val="161"/>
              <w:shd w:val="clear" w:color="auto" w:fill="FFFFFF"/>
              <w:spacing w:line="360" w:lineRule="auto"/>
              <w:ind w:firstLine="0" w:firstLineChars="0"/>
              <w:rPr>
                <w:rFonts w:hint="eastAsia" w:ascii="宋体" w:eastAsia="宋体" w:cs="宋体"/>
                <w:color w:val="auto"/>
                <w:sz w:val="24"/>
                <w:highlight w:val="none"/>
                <w:u w:val="single"/>
              </w:rPr>
            </w:pPr>
            <w:r>
              <w:rPr>
                <w:rFonts w:hint="eastAsia" w:ascii="宋体" w:eastAsia="宋体" w:cs="宋体"/>
                <w:color w:val="auto"/>
                <w:sz w:val="24"/>
                <w:highlight w:val="none"/>
                <w:u w:val="single"/>
              </w:rPr>
              <w:t>供应商若对竞争性磋商文件内容质疑，须按以下要求提出：</w:t>
            </w:r>
          </w:p>
          <w:p w14:paraId="3D7560FC">
            <w:pPr>
              <w:pStyle w:val="161"/>
              <w:shd w:val="clear" w:color="auto" w:fill="FFFFFF"/>
              <w:spacing w:line="360" w:lineRule="auto"/>
              <w:ind w:firstLine="0" w:firstLineChars="0"/>
              <w:rPr>
                <w:rFonts w:hint="eastAsia" w:ascii="宋体" w:eastAsia="宋体" w:cs="宋体"/>
                <w:color w:val="auto"/>
                <w:sz w:val="24"/>
                <w:highlight w:val="none"/>
                <w:u w:val="single"/>
              </w:rPr>
            </w:pPr>
            <w:r>
              <w:rPr>
                <w:rFonts w:hint="eastAsia" w:ascii="宋体" w:eastAsia="宋体" w:cs="宋体"/>
                <w:color w:val="auto"/>
                <w:sz w:val="24"/>
                <w:highlight w:val="none"/>
                <w:u w:val="single"/>
              </w:rPr>
              <w:t>①质疑函应以书面形式通知采购代理机构。采购代理机构将在收到质疑函后3个工作日内作出答复，并通知质疑供应商和其他有关供应商，供应商应留意政采云平台采购项目通知。</w:t>
            </w:r>
          </w:p>
          <w:p w14:paraId="6677AB03">
            <w:pPr>
              <w:pStyle w:val="161"/>
              <w:shd w:val="clear" w:color="auto" w:fill="FFFFFF"/>
              <w:spacing w:line="360" w:lineRule="auto"/>
              <w:ind w:firstLine="0" w:firstLineChars="0"/>
              <w:rPr>
                <w:rFonts w:hint="eastAsia" w:ascii="宋体" w:eastAsia="宋体" w:cs="宋体"/>
                <w:color w:val="auto"/>
                <w:sz w:val="24"/>
                <w:highlight w:val="none"/>
                <w:u w:val="single"/>
              </w:rPr>
            </w:pPr>
            <w:r>
              <w:rPr>
                <w:rFonts w:hint="eastAsia" w:ascii="宋体" w:eastAsia="宋体" w:cs="宋体"/>
                <w:color w:val="auto"/>
                <w:sz w:val="24"/>
                <w:highlight w:val="none"/>
                <w:u w:val="single"/>
              </w:rPr>
              <w:t>②供应商应在法定质疑期内一次性提出所有质疑内容。</w:t>
            </w:r>
          </w:p>
          <w:p w14:paraId="330FB863">
            <w:pPr>
              <w:pStyle w:val="161"/>
              <w:shd w:val="clear" w:color="auto" w:fill="FFFFFF"/>
              <w:spacing w:line="360" w:lineRule="auto"/>
              <w:ind w:firstLine="0" w:firstLineChars="0"/>
              <w:rPr>
                <w:rFonts w:hint="eastAsia" w:ascii="宋体" w:eastAsia="宋体" w:cs="宋体"/>
                <w:color w:val="auto"/>
                <w:sz w:val="24"/>
                <w:highlight w:val="none"/>
                <w:u w:val="single"/>
              </w:rPr>
            </w:pPr>
            <w:r>
              <w:rPr>
                <w:rFonts w:hint="eastAsia" w:ascii="宋体" w:eastAsia="宋体" w:cs="宋体"/>
                <w:color w:val="auto"/>
                <w:sz w:val="24"/>
                <w:highlight w:val="none"/>
                <w:u w:val="single"/>
              </w:rPr>
              <w:t>③联系部门：</w:t>
            </w:r>
            <w:r>
              <w:rPr>
                <w:rFonts w:hint="eastAsia" w:ascii="宋体" w:eastAsia="宋体" w:cs="宋体"/>
                <w:color w:val="auto"/>
                <w:sz w:val="24"/>
                <w:highlight w:val="none"/>
                <w:u w:val="single"/>
                <w:lang w:val="en-US" w:eastAsia="zh-CN"/>
              </w:rPr>
              <w:t>新疆元泓工程项目管理咨询有限公司</w:t>
            </w:r>
          </w:p>
          <w:p w14:paraId="37EB4000">
            <w:pPr>
              <w:pStyle w:val="161"/>
              <w:shd w:val="clear" w:color="auto" w:fill="FFFFFF"/>
              <w:spacing w:line="360" w:lineRule="auto"/>
              <w:ind w:firstLine="0" w:firstLineChars="0"/>
              <w:rPr>
                <w:rFonts w:hint="default" w:ascii="宋体" w:eastAsia="宋体" w:cs="宋体"/>
                <w:color w:val="auto"/>
                <w:sz w:val="24"/>
                <w:highlight w:val="none"/>
                <w:u w:val="single"/>
                <w:lang w:val="en-US" w:eastAsia="zh-CN"/>
              </w:rPr>
            </w:pPr>
            <w:r>
              <w:rPr>
                <w:rFonts w:hint="eastAsia" w:ascii="宋体" w:eastAsia="宋体" w:cs="宋体"/>
                <w:color w:val="auto"/>
                <w:sz w:val="24"/>
                <w:highlight w:val="none"/>
                <w:u w:val="single"/>
              </w:rPr>
              <w:t>④联系电话：</w:t>
            </w:r>
            <w:r>
              <w:rPr>
                <w:rFonts w:hint="eastAsia" w:ascii="宋体" w:eastAsia="宋体" w:cs="宋体"/>
                <w:color w:val="auto"/>
                <w:sz w:val="24"/>
                <w:highlight w:val="none"/>
                <w:u w:val="single"/>
                <w:lang w:val="en-US" w:eastAsia="zh-CN"/>
              </w:rPr>
              <w:t>19990911014</w:t>
            </w:r>
          </w:p>
          <w:p w14:paraId="373E6883">
            <w:pPr>
              <w:pStyle w:val="161"/>
              <w:shd w:val="clear" w:color="auto" w:fill="FFFFFF"/>
              <w:spacing w:line="360" w:lineRule="auto"/>
              <w:ind w:firstLine="0" w:firstLineChars="0"/>
              <w:rPr>
                <w:rFonts w:hint="eastAsia" w:ascii="宋体" w:eastAsia="宋体" w:cs="宋体"/>
                <w:color w:val="auto"/>
                <w:sz w:val="24"/>
                <w:highlight w:val="none"/>
                <w:u w:val="single"/>
              </w:rPr>
            </w:pPr>
            <w:r>
              <w:rPr>
                <w:rFonts w:hint="eastAsia" w:ascii="宋体" w:eastAsia="宋体" w:cs="宋体"/>
                <w:color w:val="auto"/>
                <w:sz w:val="24"/>
                <w:highlight w:val="none"/>
                <w:u w:val="single"/>
              </w:rPr>
              <w:t>在响应文件递交截止期前的任何时候，无论出于何种原因，采购人均可主动地或在解答供应商提出的澄清问题时对竞争性磋商文件进行修改。</w:t>
            </w:r>
          </w:p>
        </w:tc>
      </w:tr>
      <w:tr w14:paraId="6E399B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994" w:type="dxa"/>
            <w:noWrap w:val="0"/>
            <w:vAlign w:val="center"/>
          </w:tcPr>
          <w:p w14:paraId="59457695">
            <w:pPr>
              <w:pStyle w:val="86"/>
              <w:adjustRightInd w:val="0"/>
              <w:snapToGrid w:val="0"/>
              <w:spacing w:before="120" w:beforeLines="50" w:line="360" w:lineRule="auto"/>
              <w:jc w:val="center"/>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rPr>
              <w:t>2</w:t>
            </w:r>
            <w:r>
              <w:rPr>
                <w:rFonts w:hint="eastAsia" w:ascii="宋体" w:hAnsi="宋体" w:cs="宋体"/>
                <w:b/>
                <w:bCs/>
                <w:color w:val="auto"/>
                <w:sz w:val="24"/>
                <w:szCs w:val="24"/>
                <w:highlight w:val="none"/>
                <w:lang w:val="en-US" w:eastAsia="zh-CN"/>
              </w:rPr>
              <w:t>6</w:t>
            </w:r>
          </w:p>
        </w:tc>
        <w:tc>
          <w:tcPr>
            <w:tcW w:w="1860" w:type="dxa"/>
            <w:noWrap w:val="0"/>
            <w:vAlign w:val="center"/>
          </w:tcPr>
          <w:p w14:paraId="5ABBFB22">
            <w:pPr>
              <w:pStyle w:val="25"/>
              <w:adjustRightInd w:val="0"/>
              <w:snapToGrid w:val="0"/>
              <w:spacing w:before="120" w:beforeLines="50"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二次报价</w:t>
            </w:r>
          </w:p>
        </w:tc>
        <w:tc>
          <w:tcPr>
            <w:tcW w:w="6835" w:type="dxa"/>
            <w:noWrap w:val="0"/>
            <w:vAlign w:val="center"/>
          </w:tcPr>
          <w:p w14:paraId="04DEEB89">
            <w:pPr>
              <w:pStyle w:val="127"/>
              <w:spacing w:line="500" w:lineRule="exac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zh-CN"/>
              </w:rPr>
              <w:t>本项目采取</w:t>
            </w:r>
            <w:r>
              <w:rPr>
                <w:rFonts w:hint="eastAsia" w:ascii="宋体" w:hAnsi="宋体" w:cs="宋体"/>
                <w:color w:val="auto"/>
                <w:sz w:val="24"/>
                <w:szCs w:val="24"/>
                <w:highlight w:val="none"/>
              </w:rPr>
              <w:t>二次</w:t>
            </w:r>
            <w:r>
              <w:rPr>
                <w:rFonts w:hint="eastAsia" w:ascii="宋体" w:hAnsi="宋体" w:cs="宋体"/>
                <w:color w:val="auto"/>
                <w:sz w:val="24"/>
                <w:szCs w:val="24"/>
                <w:highlight w:val="none"/>
                <w:lang w:val="zh-CN"/>
              </w:rPr>
              <w:t>报价：</w:t>
            </w:r>
            <w:r>
              <w:rPr>
                <w:rFonts w:hint="eastAsia" w:ascii="宋体" w:hAnsi="宋体" w:cs="宋体"/>
                <w:color w:val="auto"/>
                <w:sz w:val="24"/>
                <w:szCs w:val="24"/>
                <w:highlight w:val="none"/>
                <w:u w:val="single"/>
              </w:rPr>
              <w:t>参加磋商的竞标人均须根据磋商小组的要求在规定的的时间内按本文件要求提交第二次报价。二次报价为最终报价（第二次报价不得高于其第一次报价，且该报价只允许有一个报价，任何有选择性的报价都将被拒绝）。未填报二次报价</w:t>
            </w:r>
            <w:r>
              <w:rPr>
                <w:rFonts w:hint="eastAsia" w:ascii="宋体" w:hAnsi="宋体" w:cs="宋体"/>
                <w:color w:val="auto"/>
                <w:sz w:val="24"/>
                <w:szCs w:val="24"/>
                <w:highlight w:val="none"/>
                <w:u w:val="single"/>
                <w:lang w:val="en-US" w:eastAsia="zh-CN"/>
              </w:rPr>
              <w:t>的</w:t>
            </w:r>
            <w:r>
              <w:rPr>
                <w:rFonts w:hint="eastAsia" w:ascii="宋体" w:hAnsi="宋体" w:cs="宋体"/>
                <w:color w:val="auto"/>
                <w:sz w:val="24"/>
                <w:szCs w:val="24"/>
                <w:highlight w:val="none"/>
                <w:u w:val="single"/>
              </w:rPr>
              <w:t>将造成废标，投标人自行承担未填报所导致的一切后果。</w:t>
            </w:r>
          </w:p>
        </w:tc>
      </w:tr>
      <w:tr w14:paraId="4418A8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994" w:type="dxa"/>
            <w:noWrap w:val="0"/>
            <w:vAlign w:val="center"/>
          </w:tcPr>
          <w:p w14:paraId="3DD447FE">
            <w:pPr>
              <w:pStyle w:val="86"/>
              <w:adjustRightInd w:val="0"/>
              <w:snapToGrid w:val="0"/>
              <w:spacing w:before="120" w:beforeLines="50"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27</w:t>
            </w:r>
          </w:p>
        </w:tc>
        <w:tc>
          <w:tcPr>
            <w:tcW w:w="1860" w:type="dxa"/>
            <w:noWrap w:val="0"/>
            <w:vAlign w:val="center"/>
          </w:tcPr>
          <w:p w14:paraId="7C2EE016">
            <w:pPr>
              <w:pStyle w:val="25"/>
              <w:adjustRightInd w:val="0"/>
              <w:snapToGrid w:val="0"/>
              <w:spacing w:before="120" w:beforeLines="50"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异常低价</w:t>
            </w:r>
          </w:p>
        </w:tc>
        <w:tc>
          <w:tcPr>
            <w:tcW w:w="6835" w:type="dxa"/>
            <w:noWrap w:val="0"/>
            <w:vAlign w:val="center"/>
          </w:tcPr>
          <w:p w14:paraId="63628526">
            <w:pPr>
              <w:pStyle w:val="127"/>
              <w:spacing w:line="500" w:lineRule="exac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低于成本价不正当竞争预防措施：</w:t>
            </w:r>
          </w:p>
          <w:p w14:paraId="37E56250">
            <w:pPr>
              <w:pStyle w:val="127"/>
              <w:spacing w:line="500" w:lineRule="exac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（一）政府采购评审中出现下列情形之一的，评审委员会应当启动异常低价投标（响应）审查程序：</w:t>
            </w:r>
          </w:p>
          <w:p w14:paraId="716865CF">
            <w:pPr>
              <w:pStyle w:val="127"/>
              <w:spacing w:line="500" w:lineRule="exac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1.投标（响应）报价低于全部通过符合性审查供应商投标（响应）报价平均值50%的，即投标（响应）报价&lt;全部通过符合性审查供应商投标（响应）报价平均值×50%；</w:t>
            </w:r>
          </w:p>
          <w:p w14:paraId="4B877EB7">
            <w:pPr>
              <w:pStyle w:val="127"/>
              <w:spacing w:line="500" w:lineRule="exac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2.投标（响应）报价低于通过符合性审查的次低报价供应商投标（响应）报价50%的，即投标（响应）报价&lt;通过符合性审查的次低报价供应商投标（响应）报价×50%；</w:t>
            </w:r>
          </w:p>
          <w:p w14:paraId="663B466B">
            <w:pPr>
              <w:pStyle w:val="127"/>
              <w:spacing w:line="500" w:lineRule="exac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3.投标（响应）报价低于采购项目最高限价45%的，即投标（响应）报价&lt;采购项目最高限价×45%；</w:t>
            </w:r>
          </w:p>
          <w:p w14:paraId="6DD3B172">
            <w:pPr>
              <w:pStyle w:val="127"/>
              <w:spacing w:line="500" w:lineRule="exac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4.评审委员会基于专业判断，认为供应商报价过低，有可能影响产品质量或者不能诚信履约的其他情形。</w:t>
            </w:r>
          </w:p>
          <w:p w14:paraId="047E814F">
            <w:pPr>
              <w:pStyle w:val="127"/>
              <w:spacing w:line="500" w:lineRule="exac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采购人可以结合具体项目实际情况，提高上述第1项至第3项中启动异常低价投标（响应）审查的数值标准，但是最高不得超过65%。</w:t>
            </w:r>
          </w:p>
          <w:p w14:paraId="5490F03A">
            <w:pPr>
              <w:pStyle w:val="127"/>
              <w:spacing w:line="500" w:lineRule="exac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相关法律法规对供应商报价有规定的，从其规定。</w:t>
            </w:r>
          </w:p>
          <w:p w14:paraId="5AF490C0">
            <w:pPr>
              <w:pStyle w:val="127"/>
              <w:spacing w:line="500" w:lineRule="exac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A01773E">
            <w:pPr>
              <w:pStyle w:val="127"/>
              <w:spacing w:line="500" w:lineRule="exac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667BCDF">
            <w:pPr>
              <w:pStyle w:val="127"/>
              <w:spacing w:line="500" w:lineRule="exac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9310B22">
            <w:pPr>
              <w:pStyle w:val="127"/>
              <w:spacing w:line="500" w:lineRule="exac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异常低价投标（响应）审查的启动原因、审查意见和审查结果应当在评审报告中记录，并随供应商提供的相关书面说明及证明材料，以及评审委员会有关互联网浏览、查询历史一并归档。</w:t>
            </w:r>
          </w:p>
        </w:tc>
      </w:tr>
      <w:tr w14:paraId="2DAD10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994" w:type="dxa"/>
            <w:noWrap w:val="0"/>
            <w:vAlign w:val="center"/>
          </w:tcPr>
          <w:p w14:paraId="1D37D2F2">
            <w:pPr>
              <w:pStyle w:val="86"/>
              <w:adjustRightInd w:val="0"/>
              <w:snapToGrid w:val="0"/>
              <w:spacing w:before="120" w:beforeLines="50" w:line="360" w:lineRule="auto"/>
              <w:jc w:val="center"/>
              <w:rPr>
                <w:rFonts w:hint="eastAsia" w:ascii="宋体" w:hAnsi="宋体" w:cs="宋体"/>
                <w:color w:val="auto"/>
                <w:sz w:val="24"/>
                <w:szCs w:val="24"/>
                <w:highlight w:val="none"/>
              </w:rPr>
            </w:pPr>
            <w:r>
              <w:rPr>
                <w:rFonts w:hint="eastAsia" w:ascii="宋体" w:hAnsi="宋体" w:cs="宋体"/>
                <w:b/>
                <w:bCs/>
                <w:color w:val="auto"/>
                <w:sz w:val="24"/>
                <w:szCs w:val="24"/>
                <w:highlight w:val="none"/>
              </w:rPr>
              <w:t>备注</w:t>
            </w:r>
          </w:p>
        </w:tc>
        <w:tc>
          <w:tcPr>
            <w:tcW w:w="8695" w:type="dxa"/>
            <w:gridSpan w:val="2"/>
            <w:noWrap w:val="0"/>
            <w:vAlign w:val="center"/>
          </w:tcPr>
          <w:p w14:paraId="7AF33DEE">
            <w:pPr>
              <w:pStyle w:val="25"/>
              <w:spacing w:line="360" w:lineRule="auto"/>
              <w:jc w:val="left"/>
              <w:rPr>
                <w:rFonts w:hint="eastAsia" w:ascii="宋体" w:hAnsi="宋体" w:cs="宋体"/>
                <w:color w:val="auto"/>
                <w:sz w:val="24"/>
                <w:szCs w:val="24"/>
                <w:highlight w:val="none"/>
                <w:u w:val="single"/>
              </w:rPr>
            </w:pPr>
            <w:r>
              <w:rPr>
                <w:rFonts w:hint="eastAsia" w:ascii="宋体" w:hAnsi="宋体" w:eastAsia="宋体"/>
                <w:color w:val="auto"/>
                <w:sz w:val="24"/>
                <w:szCs w:val="24"/>
                <w:highlight w:val="none"/>
              </w:rPr>
              <w:t>1．本项目实行网上投标，采用电子投标文件。若供应商参与投标，自行承担投标一切费用。2.各供应商应在开标前确保成为</w:t>
            </w:r>
            <w:r>
              <w:rPr>
                <w:rFonts w:hint="eastAsia" w:ascii="宋体" w:hAnsi="宋体" w:eastAsia="宋体"/>
                <w:color w:val="auto"/>
                <w:sz w:val="24"/>
                <w:szCs w:val="24"/>
                <w:highlight w:val="none"/>
                <w:lang w:eastAsia="zh-CN"/>
              </w:rPr>
              <w:t>政采云平台</w:t>
            </w:r>
            <w:r>
              <w:rPr>
                <w:rFonts w:hint="eastAsia" w:ascii="宋体" w:hAnsi="宋体" w:eastAsia="宋体"/>
                <w:color w:val="auto"/>
                <w:sz w:val="24"/>
                <w:szCs w:val="24"/>
                <w:highlight w:val="none"/>
              </w:rPr>
              <w:t>正式注册入库供应商，并完成CA数字证书申领。因未注册入库、未办理CA数字证书等原因造成无法投标或投标失败等后果由供应商自行承担。有意向参与</w:t>
            </w:r>
            <w:r>
              <w:rPr>
                <w:rFonts w:hint="eastAsia" w:ascii="宋体" w:hAnsi="宋体" w:eastAsia="宋体"/>
                <w:color w:val="auto"/>
                <w:sz w:val="24"/>
                <w:szCs w:val="24"/>
                <w:highlight w:val="none"/>
                <w:lang w:eastAsia="zh-CN"/>
              </w:rPr>
              <w:t>新疆</w:t>
            </w:r>
            <w:r>
              <w:rPr>
                <w:rFonts w:hint="eastAsia" w:ascii="宋体" w:hAnsi="宋体" w:eastAsia="宋体"/>
                <w:color w:val="auto"/>
                <w:sz w:val="24"/>
                <w:szCs w:val="24"/>
                <w:highlight w:val="none"/>
              </w:rPr>
              <w:t>区域电子开评标的供应商，可访问新疆数字证书认证中心官方网站（https://www.xjca.com.cn/）或下载“新疆政务通app自行进行申领。如需咨询，请联系新疆CA服务热线0991-2819290.3、供应商将政采云电子交易客户端下载、安装完成后，可通过账号密码或CA</w:t>
            </w:r>
            <w:r>
              <w:rPr>
                <w:rFonts w:hint="eastAsia" w:ascii="宋体" w:hAnsi="宋体" w:eastAsia="宋体"/>
                <w:color w:val="auto"/>
                <w:sz w:val="24"/>
                <w:szCs w:val="24"/>
                <w:highlight w:val="none"/>
                <w:lang w:eastAsia="zh-CN"/>
              </w:rPr>
              <w:t>登录</w:t>
            </w:r>
            <w:r>
              <w:rPr>
                <w:rFonts w:hint="eastAsia" w:ascii="宋体" w:hAnsi="宋体" w:eastAsia="宋体"/>
                <w:color w:val="auto"/>
                <w:sz w:val="24"/>
                <w:szCs w:val="24"/>
                <w:highlight w:val="none"/>
              </w:rPr>
              <w:t>客户端进行投标文件的制作。在使用政采云投标客户端时，建议使用WIN7及以上操作系统。客户端请至</w:t>
            </w:r>
            <w:r>
              <w:rPr>
                <w:rFonts w:hint="eastAsia" w:ascii="宋体" w:hAnsi="宋体" w:eastAsia="宋体"/>
                <w:color w:val="auto"/>
                <w:sz w:val="24"/>
                <w:szCs w:val="24"/>
                <w:highlight w:val="none"/>
                <w:lang w:eastAsia="zh-CN"/>
              </w:rPr>
              <w:t>新疆</w:t>
            </w:r>
            <w:r>
              <w:rPr>
                <w:rFonts w:hint="eastAsia" w:ascii="宋体" w:hAnsi="宋体" w:eastAsia="宋体"/>
                <w:color w:val="auto"/>
                <w:sz w:val="24"/>
                <w:szCs w:val="24"/>
                <w:highlight w:val="none"/>
              </w:rPr>
              <w:t>政府采购网（http://www.ccgp-xinjiang.gov.cn/）下载专区查看，如有问题可拨打政采云客户服务热线</w:t>
            </w:r>
            <w:r>
              <w:rPr>
                <w:rFonts w:hint="eastAsia" w:ascii="宋体" w:hAnsi="宋体" w:eastAsia="宋体"/>
                <w:color w:val="auto"/>
                <w:sz w:val="24"/>
                <w:szCs w:val="24"/>
                <w:highlight w:val="none"/>
                <w:lang w:val="en-US" w:eastAsia="zh-CN"/>
              </w:rPr>
              <w:t>95763</w:t>
            </w:r>
            <w:r>
              <w:rPr>
                <w:rFonts w:hint="eastAsia" w:ascii="宋体" w:hAnsi="宋体" w:eastAsia="宋体"/>
                <w:color w:val="auto"/>
                <w:sz w:val="24"/>
                <w:szCs w:val="24"/>
                <w:highlight w:val="none"/>
              </w:rPr>
              <w:t>进行咨询，如因供应商自身原因导致在规定时间内无法正常解密的（如：浏览器故障、未安装相关驱动、网络故障、加密CA与解密CA不一致等），采购人/采购代理机构予异常处理，视为供应商自动放弃投标资格）</w:t>
            </w:r>
          </w:p>
        </w:tc>
      </w:tr>
    </w:tbl>
    <w:p w14:paraId="43DD70A1">
      <w:pPr>
        <w:pStyle w:val="86"/>
        <w:spacing w:line="440" w:lineRule="exac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注：</w:t>
      </w:r>
      <w:r>
        <w:rPr>
          <w:rFonts w:hint="eastAsia" w:ascii="宋体" w:hAnsi="宋体" w:cs="宋体"/>
          <w:color w:val="auto"/>
          <w:sz w:val="24"/>
          <w:szCs w:val="24"/>
          <w:highlight w:val="none"/>
        </w:rPr>
        <w:t>1、本表内容与招标文件其它内容不一致的，应当以本表内容为准。</w:t>
      </w:r>
    </w:p>
    <w:p w14:paraId="433A4FB1">
      <w:pPr>
        <w:pStyle w:val="86"/>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2、本表中“</w:t>
      </w:r>
      <w:r>
        <w:rPr>
          <w:rFonts w:hint="eastAsia" w:ascii="宋体" w:hAnsi="宋体" w:cs="宋体"/>
          <w:color w:val="auto"/>
          <w:kern w:val="0"/>
          <w:sz w:val="24"/>
          <w:szCs w:val="24"/>
          <w:highlight w:val="none"/>
        </w:rPr>
        <w:fldChar w:fldCharType="begin"/>
      </w:r>
      <w:r>
        <w:rPr>
          <w:rFonts w:hint="eastAsia" w:ascii="宋体" w:hAnsi="宋体" w:cs="宋体"/>
          <w:color w:val="auto"/>
          <w:kern w:val="0"/>
          <w:sz w:val="24"/>
          <w:szCs w:val="24"/>
          <w:highlight w:val="none"/>
        </w:rPr>
        <w:instrText xml:space="preserve"> eq \o\ac(</w:instrText>
      </w:r>
      <w:r>
        <w:rPr>
          <w:rFonts w:hint="eastAsia" w:ascii="宋体" w:hAnsi="宋体" w:cs="宋体"/>
          <w:color w:val="auto"/>
          <w:kern w:val="0"/>
          <w:position w:val="-4"/>
          <w:sz w:val="36"/>
          <w:szCs w:val="24"/>
          <w:highlight w:val="none"/>
        </w:rPr>
        <w:instrText xml:space="preserve">□</w:instrText>
      </w:r>
      <w:r>
        <w:rPr>
          <w:rFonts w:hint="eastAsia" w:ascii="宋体" w:hAnsi="宋体" w:cs="宋体"/>
          <w:color w:val="auto"/>
          <w:kern w:val="0"/>
          <w:sz w:val="24"/>
          <w:szCs w:val="24"/>
          <w:highlight w:val="none"/>
        </w:rPr>
        <w:instrText xml:space="preserve">,√)</w:instrText>
      </w:r>
      <w:r>
        <w:rPr>
          <w:rFonts w:hint="eastAsia" w:ascii="宋体" w:hAnsi="宋体" w:cs="宋体"/>
          <w:color w:val="auto"/>
          <w:kern w:val="0"/>
          <w:sz w:val="24"/>
          <w:szCs w:val="24"/>
          <w:highlight w:val="none"/>
        </w:rPr>
        <w:fldChar w:fldCharType="end"/>
      </w:r>
      <w:r>
        <w:rPr>
          <w:rFonts w:hint="eastAsia" w:ascii="宋体" w:hAnsi="宋体" w:cs="宋体"/>
          <w:color w:val="auto"/>
          <w:kern w:val="0"/>
          <w:sz w:val="24"/>
          <w:szCs w:val="24"/>
          <w:highlight w:val="none"/>
        </w:rPr>
        <w:t>”标示选择使用该项</w:t>
      </w:r>
    </w:p>
    <w:p w14:paraId="2DCD58C6">
      <w:pPr>
        <w:pStyle w:val="191"/>
        <w:keepNext/>
        <w:keepLines/>
        <w:adjustRightInd w:val="0"/>
        <w:snapToGrid w:val="0"/>
        <w:spacing w:before="260" w:after="260" w:line="500" w:lineRule="exact"/>
        <w:ind w:left="-88" w:leftChars="-42"/>
        <w:contextualSpacing/>
        <w:jc w:val="center"/>
        <w:outlineLvl w:val="1"/>
        <w:rPr>
          <w:rFonts w:hint="eastAsia" w:ascii="宋体" w:hAnsi="宋体" w:cs="宋体"/>
          <w:b/>
          <w:color w:val="auto"/>
          <w:sz w:val="24"/>
          <w:szCs w:val="24"/>
          <w:highlight w:val="none"/>
        </w:rPr>
      </w:pPr>
      <w:bookmarkStart w:id="13" w:name="_Toc20759"/>
      <w:bookmarkStart w:id="14" w:name="_Toc1621"/>
      <w:bookmarkStart w:id="15" w:name="_Toc24488"/>
      <w:r>
        <w:rPr>
          <w:rFonts w:hint="eastAsia" w:ascii="宋体" w:hAnsi="宋体" w:cs="宋体"/>
          <w:b/>
          <w:color w:val="auto"/>
          <w:sz w:val="24"/>
          <w:szCs w:val="24"/>
          <w:highlight w:val="none"/>
        </w:rPr>
        <w:br w:type="page"/>
      </w:r>
      <w:r>
        <w:rPr>
          <w:rFonts w:hint="eastAsia" w:ascii="宋体" w:hAnsi="宋体" w:cs="宋体"/>
          <w:b/>
          <w:color w:val="auto"/>
          <w:sz w:val="24"/>
          <w:szCs w:val="24"/>
          <w:highlight w:val="none"/>
        </w:rPr>
        <w:t>一、 说明</w:t>
      </w:r>
      <w:bookmarkEnd w:id="13"/>
      <w:bookmarkEnd w:id="14"/>
      <w:bookmarkEnd w:id="15"/>
    </w:p>
    <w:p w14:paraId="432A78C4">
      <w:pPr>
        <w:pStyle w:val="191"/>
        <w:spacing w:line="600" w:lineRule="exact"/>
        <w:ind w:firstLine="484" w:firstLineChars="201"/>
        <w:contextualSpacing/>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1.1适用范围</w:t>
      </w:r>
    </w:p>
    <w:p w14:paraId="7A308C63">
      <w:pPr>
        <w:pStyle w:val="191"/>
        <w:spacing w:line="500" w:lineRule="exact"/>
        <w:ind w:firstLine="484" w:firstLineChars="20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1.1 .1本磋商文件仅适用于本磋商公告中所述项目的货物及相关服务的采购。</w:t>
      </w:r>
    </w:p>
    <w:p w14:paraId="2A417C11">
      <w:pPr>
        <w:pStyle w:val="191"/>
        <w:spacing w:line="600" w:lineRule="exact"/>
        <w:ind w:firstLine="484" w:firstLineChars="201"/>
        <w:contextualSpacing/>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1.2定义</w:t>
      </w:r>
    </w:p>
    <w:p w14:paraId="61E7A195">
      <w:pPr>
        <w:pStyle w:val="191"/>
        <w:spacing w:line="500" w:lineRule="exact"/>
        <w:ind w:firstLine="484" w:firstLineChars="202"/>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1.2.1“采购人”是指：详见供应商须知前附表</w:t>
      </w:r>
      <w:r>
        <w:rPr>
          <w:rFonts w:hint="eastAsia" w:ascii="宋体" w:hAnsi="宋体" w:cs="宋体"/>
          <w:color w:val="auto"/>
          <w:sz w:val="24"/>
          <w:szCs w:val="24"/>
          <w:highlight w:val="none"/>
          <w:lang w:eastAsia="zh-CN"/>
        </w:rPr>
        <w:t>。</w:t>
      </w:r>
    </w:p>
    <w:p w14:paraId="55CBFBF0">
      <w:pPr>
        <w:pStyle w:val="191"/>
        <w:spacing w:line="500" w:lineRule="exact"/>
        <w:ind w:firstLine="484" w:firstLineChars="202"/>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1.2.2“采购代理机构”是指：详见供应商须知前附表</w:t>
      </w:r>
      <w:r>
        <w:rPr>
          <w:rFonts w:hint="eastAsia" w:ascii="宋体" w:hAnsi="宋体" w:cs="宋体"/>
          <w:color w:val="auto"/>
          <w:sz w:val="24"/>
          <w:szCs w:val="24"/>
          <w:highlight w:val="none"/>
          <w:lang w:eastAsia="zh-CN"/>
        </w:rPr>
        <w:t>。</w:t>
      </w:r>
    </w:p>
    <w:p w14:paraId="780825B5">
      <w:pPr>
        <w:pStyle w:val="191"/>
        <w:spacing w:line="500" w:lineRule="exact"/>
        <w:ind w:firstLine="484" w:firstLineChars="202"/>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1.2.3“监管部门”是指：详见供应商须知前附表</w:t>
      </w:r>
      <w:r>
        <w:rPr>
          <w:rFonts w:hint="eastAsia" w:ascii="宋体" w:hAnsi="宋体" w:cs="宋体"/>
          <w:color w:val="auto"/>
          <w:sz w:val="24"/>
          <w:szCs w:val="24"/>
          <w:highlight w:val="none"/>
          <w:lang w:eastAsia="zh-CN"/>
        </w:rPr>
        <w:t>。</w:t>
      </w:r>
    </w:p>
    <w:p w14:paraId="0DE0E336">
      <w:pPr>
        <w:pStyle w:val="191"/>
        <w:spacing w:line="500" w:lineRule="exact"/>
        <w:ind w:firstLine="484" w:firstLineChars="20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1.2.4 “供应商”是指：响应磋商文件要求并且符合磋商文件规定资格条件和参加竞争性磋商的法人、其他组织或者自然人。</w:t>
      </w:r>
    </w:p>
    <w:p w14:paraId="7629DB98">
      <w:pPr>
        <w:pStyle w:val="191"/>
        <w:spacing w:line="500" w:lineRule="exact"/>
        <w:ind w:firstLine="484" w:firstLineChars="20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1.2.5“电子响应文件”是指：利用政采云平台提供的“电子投标文件制作工具”编制加密的响应文件。</w:t>
      </w:r>
    </w:p>
    <w:p w14:paraId="37B4C5A7">
      <w:pPr>
        <w:pStyle w:val="191"/>
        <w:spacing w:line="500" w:lineRule="exact"/>
        <w:ind w:firstLine="484" w:firstLineChars="20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1.2.6“成交供应商”是指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经磋商小组评审，授予合同的供应商。</w:t>
      </w:r>
    </w:p>
    <w:p w14:paraId="504A4CCB">
      <w:pPr>
        <w:pStyle w:val="191"/>
        <w:spacing w:line="500" w:lineRule="exact"/>
        <w:ind w:firstLine="484" w:firstLineChars="20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1.2.7采购人和采购代理机构统称为招标采购单位。</w:t>
      </w:r>
    </w:p>
    <w:p w14:paraId="55719AF2">
      <w:pPr>
        <w:pStyle w:val="191"/>
        <w:spacing w:line="600" w:lineRule="exact"/>
        <w:ind w:firstLine="484" w:firstLineChars="201"/>
        <w:contextualSpacing/>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1.3、货物和服务</w:t>
      </w:r>
    </w:p>
    <w:p w14:paraId="601CA6D2">
      <w:pPr>
        <w:pStyle w:val="191"/>
        <w:spacing w:line="500" w:lineRule="exact"/>
        <w:ind w:firstLine="484" w:firstLineChars="20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1.3.1“货物”是指：供应商制造或组织符合磋商文件要求的货物，包括原材料、燃料、设备、产品等。磋商文件中没有提及招标货物来源地的，根据《政府采购法》的相关规定均应是本国货物，另有规定的除外。</w:t>
      </w:r>
      <w:r>
        <w:rPr>
          <w:rFonts w:hint="eastAsia" w:ascii="宋体" w:hAnsi="宋体" w:cs="宋体"/>
          <w:snapToGrid w:val="0"/>
          <w:color w:val="auto"/>
          <w:kern w:val="0"/>
          <w:sz w:val="24"/>
          <w:szCs w:val="24"/>
          <w:highlight w:val="none"/>
        </w:rPr>
        <w:t>提供的货物必须是其合法生产的符合国家有关标准要求的货物，并能够按照合同规定的品牌、产地、质量、价格和有效期等履约。</w:t>
      </w:r>
    </w:p>
    <w:p w14:paraId="62D4C26A">
      <w:pPr>
        <w:pStyle w:val="191"/>
        <w:spacing w:line="500" w:lineRule="exact"/>
        <w:ind w:firstLine="484" w:firstLineChars="20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1.3.2“服务”是指：除货物和工程以外的其他政府采购对象。包括：政府自身需要的服务和政府向社会公众提供的公共服务。</w:t>
      </w:r>
    </w:p>
    <w:p w14:paraId="611676F3">
      <w:pPr>
        <w:pStyle w:val="191"/>
        <w:spacing w:line="600" w:lineRule="exact"/>
        <w:ind w:firstLine="484" w:firstLineChars="201"/>
        <w:contextualSpacing/>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1.4、磋商费用</w:t>
      </w:r>
    </w:p>
    <w:p w14:paraId="46C58C34">
      <w:pPr>
        <w:pStyle w:val="191"/>
        <w:spacing w:line="500" w:lineRule="exact"/>
        <w:ind w:firstLine="484" w:firstLineChars="20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1.4.1供应商应承担所有与准备和参加竞争性磋商有关的费用。不论磋商的结果如何，采购单位均无义务和责任承担这些费用。</w:t>
      </w:r>
    </w:p>
    <w:p w14:paraId="5F6A3531">
      <w:pPr>
        <w:pStyle w:val="191"/>
        <w:keepNext/>
        <w:keepLines/>
        <w:adjustRightInd w:val="0"/>
        <w:snapToGrid w:val="0"/>
        <w:spacing w:before="260" w:after="260" w:line="500" w:lineRule="exact"/>
        <w:ind w:left="-88" w:leftChars="-42"/>
        <w:contextualSpacing/>
        <w:jc w:val="center"/>
        <w:outlineLvl w:val="1"/>
        <w:rPr>
          <w:rFonts w:hint="eastAsia" w:ascii="宋体" w:hAnsi="宋体" w:cs="宋体"/>
          <w:b/>
          <w:color w:val="auto"/>
          <w:sz w:val="24"/>
          <w:szCs w:val="24"/>
          <w:highlight w:val="none"/>
        </w:rPr>
      </w:pPr>
      <w:bookmarkStart w:id="16" w:name="_Toc18317"/>
      <w:bookmarkStart w:id="17" w:name="_Toc293736011"/>
      <w:bookmarkStart w:id="18" w:name="_Toc3092"/>
      <w:bookmarkStart w:id="19" w:name="_Toc27128"/>
      <w:bookmarkStart w:id="20" w:name="_Toc293738992"/>
      <w:bookmarkStart w:id="21" w:name="_Toc446599311"/>
      <w:bookmarkStart w:id="22" w:name="_Toc293736054"/>
      <w:r>
        <w:rPr>
          <w:rFonts w:hint="eastAsia" w:ascii="宋体" w:hAnsi="宋体" w:cs="宋体"/>
          <w:b/>
          <w:color w:val="auto"/>
          <w:sz w:val="24"/>
          <w:szCs w:val="24"/>
          <w:highlight w:val="none"/>
        </w:rPr>
        <w:t>二、磋商文件</w:t>
      </w:r>
      <w:bookmarkEnd w:id="16"/>
      <w:bookmarkEnd w:id="17"/>
      <w:bookmarkEnd w:id="18"/>
      <w:bookmarkEnd w:id="19"/>
      <w:bookmarkEnd w:id="20"/>
      <w:bookmarkEnd w:id="21"/>
      <w:bookmarkEnd w:id="22"/>
    </w:p>
    <w:p w14:paraId="74C10B5A">
      <w:pPr>
        <w:pStyle w:val="191"/>
        <w:spacing w:line="600" w:lineRule="exact"/>
        <w:ind w:firstLine="484" w:firstLineChars="201"/>
        <w:contextualSpacing/>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2.1.磋商文件的构成</w:t>
      </w:r>
    </w:p>
    <w:p w14:paraId="052344E7">
      <w:pPr>
        <w:pStyle w:val="191"/>
        <w:spacing w:line="500" w:lineRule="exact"/>
        <w:ind w:firstLine="484" w:firstLineChars="20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2.1.1磋商文件由下列文件以及在采购过程中发出的修正和补充文件组成：</w:t>
      </w:r>
    </w:p>
    <w:p w14:paraId="09F38D70">
      <w:pPr>
        <w:pStyle w:val="191"/>
        <w:spacing w:line="500" w:lineRule="exact"/>
        <w:ind w:firstLine="484" w:firstLineChars="20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(1)磋商公告；</w:t>
      </w:r>
    </w:p>
    <w:p w14:paraId="35E104F2">
      <w:pPr>
        <w:pStyle w:val="191"/>
        <w:spacing w:line="500" w:lineRule="exact"/>
        <w:ind w:firstLine="484" w:firstLineChars="20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(2)供应商须知；</w:t>
      </w:r>
    </w:p>
    <w:p w14:paraId="33294C48">
      <w:pPr>
        <w:pStyle w:val="191"/>
        <w:spacing w:line="500" w:lineRule="exact"/>
        <w:ind w:firstLine="484" w:firstLineChars="20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w:t>
      </w:r>
      <w:bookmarkStart w:id="23" w:name="_Hlk103800957"/>
      <w:r>
        <w:rPr>
          <w:rFonts w:hint="eastAsia" w:ascii="宋体" w:hAnsi="宋体" w:cs="宋体"/>
          <w:color w:val="auto"/>
          <w:sz w:val="24"/>
          <w:szCs w:val="24"/>
          <w:highlight w:val="none"/>
        </w:rPr>
        <w:t>采购需求；</w:t>
      </w:r>
      <w:bookmarkEnd w:id="23"/>
    </w:p>
    <w:p w14:paraId="71B9B71B">
      <w:pPr>
        <w:pStyle w:val="191"/>
        <w:spacing w:line="500" w:lineRule="exact"/>
        <w:ind w:firstLine="484" w:firstLineChars="20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(4)评审方法；</w:t>
      </w:r>
    </w:p>
    <w:p w14:paraId="6E3396DC">
      <w:pPr>
        <w:pStyle w:val="191"/>
        <w:spacing w:line="500" w:lineRule="exact"/>
        <w:ind w:firstLine="484" w:firstLineChars="20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(5)合同格式及合同条款；</w:t>
      </w:r>
    </w:p>
    <w:p w14:paraId="1D494D8E">
      <w:pPr>
        <w:pStyle w:val="191"/>
        <w:spacing w:line="500" w:lineRule="exact"/>
        <w:ind w:firstLine="484" w:firstLineChars="20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(6)响应文件格式；</w:t>
      </w:r>
    </w:p>
    <w:p w14:paraId="1C6DD1CE">
      <w:pPr>
        <w:pStyle w:val="191"/>
        <w:spacing w:line="500" w:lineRule="exact"/>
        <w:ind w:firstLine="484" w:firstLineChars="20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(7)在磋商过程中由采购单位发出的澄清和补充文件等。</w:t>
      </w:r>
    </w:p>
    <w:p w14:paraId="33B68451">
      <w:pPr>
        <w:pStyle w:val="191"/>
        <w:spacing w:line="500" w:lineRule="exact"/>
        <w:ind w:firstLine="484" w:firstLineChars="20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14:paraId="7D73A5FB">
      <w:pPr>
        <w:pStyle w:val="191"/>
        <w:spacing w:line="600" w:lineRule="exact"/>
        <w:ind w:firstLine="484" w:firstLineChars="201"/>
        <w:contextualSpacing/>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2.2. 磋商文件的澄清</w:t>
      </w:r>
    </w:p>
    <w:p w14:paraId="47C5EFF4">
      <w:pPr>
        <w:pStyle w:val="191"/>
        <w:spacing w:line="500" w:lineRule="exact"/>
        <w:ind w:firstLine="484" w:firstLineChars="20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2.2.1供应商应仔细阅读和检查磋商文件的全部内容。供应商若对磋商文件有任何疑问，应按照磋商文件第二章“供应商须知前附表”第2</w:t>
      </w:r>
      <w:r>
        <w:rPr>
          <w:rFonts w:ascii="宋体" w:hAnsi="宋体" w:cs="宋体"/>
          <w:color w:val="auto"/>
          <w:sz w:val="24"/>
          <w:szCs w:val="24"/>
          <w:highlight w:val="none"/>
        </w:rPr>
        <w:t>5</w:t>
      </w:r>
      <w:r>
        <w:rPr>
          <w:rFonts w:hint="eastAsia" w:ascii="宋体" w:hAnsi="宋体" w:cs="宋体"/>
          <w:color w:val="auto"/>
          <w:sz w:val="24"/>
          <w:szCs w:val="24"/>
          <w:highlight w:val="none"/>
        </w:rPr>
        <w:t>项规定向采购代理机构提出。提出后，请供应商及时通过</w:t>
      </w:r>
      <w:r>
        <w:rPr>
          <w:rFonts w:hint="eastAsia" w:ascii="宋体" w:hAnsi="宋体" w:cs="宋体"/>
          <w:color w:val="auto"/>
          <w:sz w:val="24"/>
          <w:szCs w:val="24"/>
          <w:highlight w:val="none"/>
          <w:lang w:val="en-US" w:eastAsia="zh-CN"/>
        </w:rPr>
        <w:t>新疆</w:t>
      </w:r>
      <w:r>
        <w:rPr>
          <w:rFonts w:hint="eastAsia" w:ascii="宋体" w:hAnsi="宋体" w:cs="宋体"/>
          <w:color w:val="auto"/>
          <w:sz w:val="24"/>
          <w:szCs w:val="24"/>
          <w:highlight w:val="none"/>
        </w:rPr>
        <w:t>政采云平台查看答疑文件或澄清文件。必要时，采购代理机构将组织相关专家召开答疑会，如召开，答疑会安排另行通知。</w:t>
      </w:r>
    </w:p>
    <w:p w14:paraId="5FD479BC">
      <w:pPr>
        <w:pStyle w:val="191"/>
        <w:spacing w:line="500" w:lineRule="exact"/>
        <w:ind w:firstLine="484" w:firstLineChars="20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供应商在规定的时间内未对磋商文件提出疑问或要求澄清的，采购代理机构将视其为同意，对在“答疑接受时间”后就磋商文件内容提出的疑问及澄清要求将不予受理。</w:t>
      </w:r>
    </w:p>
    <w:p w14:paraId="44E96112">
      <w:pPr>
        <w:pStyle w:val="191"/>
        <w:spacing w:line="500" w:lineRule="exact"/>
        <w:ind w:firstLine="460" w:firstLineChars="202"/>
        <w:jc w:val="left"/>
        <w:rPr>
          <w:rFonts w:hint="eastAsia" w:ascii="宋体" w:hAnsi="宋体" w:cs="宋体"/>
          <w:color w:val="auto"/>
          <w:sz w:val="24"/>
          <w:szCs w:val="24"/>
          <w:highlight w:val="none"/>
        </w:rPr>
      </w:pPr>
      <w:r>
        <w:rPr>
          <w:rFonts w:hint="eastAsia" w:ascii="宋体" w:hAnsi="宋体" w:cs="宋体"/>
          <w:color w:val="auto"/>
          <w:spacing w:val="-6"/>
          <w:sz w:val="24"/>
          <w:szCs w:val="24"/>
          <w:highlight w:val="none"/>
        </w:rPr>
        <w:t>2.2.2</w:t>
      </w:r>
      <w:r>
        <w:rPr>
          <w:rFonts w:hint="eastAsia" w:ascii="宋体" w:hAnsi="宋体" w:cs="宋体"/>
          <w:color w:val="auto"/>
          <w:sz w:val="24"/>
          <w:szCs w:val="24"/>
          <w:highlight w:val="none"/>
        </w:rPr>
        <w:t>供应商在本项目采购公告期限届满之日起5个工作日内未对磋商文件提出异议的，采购单位将视其为同意。在规定的时间后就磋商文件内容提出的质疑将不予受理。</w:t>
      </w:r>
    </w:p>
    <w:p w14:paraId="79B2EF5C">
      <w:pPr>
        <w:pStyle w:val="191"/>
        <w:spacing w:line="600" w:lineRule="exact"/>
        <w:ind w:firstLine="484" w:firstLineChars="201"/>
        <w:contextualSpacing/>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2.3. 磋商文件的修改</w:t>
      </w:r>
    </w:p>
    <w:p w14:paraId="327A11F6">
      <w:pPr>
        <w:pStyle w:val="191"/>
        <w:spacing w:line="500" w:lineRule="exact"/>
        <w:ind w:firstLine="460" w:firstLineChars="202"/>
        <w:jc w:val="both"/>
        <w:rPr>
          <w:rFonts w:hint="eastAsia" w:ascii="宋体" w:hAnsi="宋体" w:cs="宋体"/>
          <w:color w:val="auto"/>
          <w:spacing w:val="-6"/>
          <w:sz w:val="24"/>
          <w:szCs w:val="24"/>
          <w:highlight w:val="none"/>
        </w:rPr>
      </w:pPr>
      <w:r>
        <w:rPr>
          <w:rFonts w:hint="eastAsia" w:ascii="宋体" w:hAnsi="宋体" w:cs="宋体"/>
          <w:color w:val="auto"/>
          <w:spacing w:val="-6"/>
          <w:sz w:val="24"/>
          <w:szCs w:val="24"/>
          <w:highlight w:val="none"/>
        </w:rPr>
        <w:t>2.3.1采购单位可以对已发出的磋商文件进行必要的澄清或者修改。</w:t>
      </w:r>
      <w:r>
        <w:rPr>
          <w:rFonts w:hint="eastAsia" w:ascii="宋体" w:hAnsi="宋体" w:cs="宋体"/>
          <w:color w:val="auto"/>
          <w:sz w:val="24"/>
          <w:szCs w:val="24"/>
          <w:highlight w:val="none"/>
        </w:rPr>
        <w:t>澄清或者修改的内容可能影响响应文件编制的，采购单位将在响应文件递交截止时间五日前在</w:t>
      </w:r>
      <w:r>
        <w:rPr>
          <w:rFonts w:hint="eastAsia" w:ascii="宋体" w:hAnsi="宋体" w:cs="宋体"/>
          <w:color w:val="auto"/>
          <w:sz w:val="24"/>
          <w:szCs w:val="24"/>
          <w:highlight w:val="none"/>
          <w:lang w:val="en-US" w:eastAsia="zh-CN"/>
        </w:rPr>
        <w:t>新疆</w:t>
      </w:r>
      <w:r>
        <w:rPr>
          <w:rFonts w:hint="eastAsia" w:ascii="宋体" w:hAnsi="宋体" w:cs="宋体"/>
          <w:color w:val="auto"/>
          <w:sz w:val="24"/>
          <w:szCs w:val="24"/>
          <w:highlight w:val="none"/>
        </w:rPr>
        <w:t xml:space="preserve">政采云平台发布更正公告。 </w:t>
      </w:r>
    </w:p>
    <w:p w14:paraId="7A3B3669">
      <w:pPr>
        <w:pStyle w:val="191"/>
        <w:spacing w:line="500" w:lineRule="exact"/>
        <w:ind w:firstLine="460" w:firstLineChars="202"/>
        <w:jc w:val="left"/>
        <w:rPr>
          <w:rFonts w:hint="eastAsia" w:ascii="宋体" w:hAnsi="宋体" w:cs="宋体"/>
          <w:color w:val="auto"/>
          <w:sz w:val="24"/>
          <w:szCs w:val="24"/>
          <w:highlight w:val="none"/>
        </w:rPr>
      </w:pPr>
      <w:r>
        <w:rPr>
          <w:rFonts w:hint="eastAsia" w:ascii="宋体" w:hAnsi="宋体" w:cs="宋体"/>
          <w:color w:val="auto"/>
          <w:spacing w:val="-6"/>
          <w:sz w:val="24"/>
          <w:szCs w:val="24"/>
          <w:highlight w:val="none"/>
        </w:rPr>
        <w:t>2.3.2澄清或者修改的内容是磋商文件的组成部分，将在</w:t>
      </w:r>
      <w:r>
        <w:rPr>
          <w:rFonts w:hint="eastAsia" w:ascii="宋体" w:hAnsi="宋体" w:cs="宋体"/>
          <w:color w:val="auto"/>
          <w:sz w:val="24"/>
          <w:szCs w:val="24"/>
          <w:highlight w:val="none"/>
        </w:rPr>
        <w:t>@网站名称上会员专区向所有供应商公布，并对供应商具有约束力。</w:t>
      </w:r>
    </w:p>
    <w:p w14:paraId="49D87D61">
      <w:pPr>
        <w:pStyle w:val="191"/>
        <w:spacing w:line="500" w:lineRule="exact"/>
        <w:ind w:firstLine="484" w:firstLineChars="20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2.3.3为使供应商有充足的时间对磋商文件的修改部分进行研究，采购单位可适当推迟响应文件截止期，并通过在</w:t>
      </w:r>
      <w:r>
        <w:rPr>
          <w:rFonts w:hint="eastAsia" w:ascii="宋体" w:hAnsi="宋体" w:cs="宋体"/>
          <w:color w:val="auto"/>
          <w:sz w:val="24"/>
          <w:szCs w:val="24"/>
          <w:highlight w:val="none"/>
          <w:lang w:val="en-US" w:eastAsia="zh-CN"/>
        </w:rPr>
        <w:t>新疆</w:t>
      </w:r>
      <w:r>
        <w:rPr>
          <w:rFonts w:hint="eastAsia" w:ascii="宋体" w:hAnsi="宋体" w:cs="宋体"/>
          <w:color w:val="auto"/>
          <w:sz w:val="24"/>
          <w:szCs w:val="24"/>
          <w:highlight w:val="none"/>
        </w:rPr>
        <w:t>政采云平台上发布公告方式通知所有下载磋商文件的供应商。</w:t>
      </w:r>
    </w:p>
    <w:p w14:paraId="7563F1A3">
      <w:pPr>
        <w:pStyle w:val="191"/>
        <w:spacing w:line="500" w:lineRule="exact"/>
        <w:ind w:firstLine="460" w:firstLineChars="202"/>
        <w:jc w:val="left"/>
        <w:rPr>
          <w:rFonts w:hint="eastAsia" w:ascii="宋体" w:hAnsi="宋体" w:cs="宋体"/>
          <w:color w:val="auto"/>
          <w:spacing w:val="-6"/>
          <w:sz w:val="24"/>
          <w:szCs w:val="24"/>
          <w:highlight w:val="none"/>
        </w:rPr>
      </w:pPr>
      <w:r>
        <w:rPr>
          <w:rFonts w:hint="eastAsia" w:ascii="宋体" w:hAnsi="宋体" w:cs="宋体"/>
          <w:color w:val="auto"/>
          <w:spacing w:val="-6"/>
          <w:sz w:val="24"/>
          <w:szCs w:val="24"/>
          <w:highlight w:val="none"/>
        </w:rPr>
        <w:t>2.3.4供应商应注意及时</w:t>
      </w:r>
      <w:r>
        <w:rPr>
          <w:rFonts w:hint="eastAsia" w:ascii="宋体" w:hAnsi="宋体" w:cs="宋体"/>
          <w:color w:val="auto"/>
          <w:spacing w:val="-6"/>
          <w:sz w:val="24"/>
          <w:szCs w:val="24"/>
          <w:highlight w:val="none"/>
          <w:lang w:val="en-US" w:eastAsia="zh-CN"/>
        </w:rPr>
        <w:t>新疆</w:t>
      </w:r>
      <w:r>
        <w:rPr>
          <w:rFonts w:hint="eastAsia" w:ascii="宋体" w:hAnsi="宋体" w:cs="宋体"/>
          <w:color w:val="auto"/>
          <w:spacing w:val="-6"/>
          <w:sz w:val="24"/>
          <w:szCs w:val="24"/>
          <w:highlight w:val="none"/>
        </w:rPr>
        <w:t>政采云发布的澄清或修改通知并下载，因供应商原因未及时获知澄清、修改或补充内容而导致的任何后果将由供应商自行承担。</w:t>
      </w:r>
    </w:p>
    <w:p w14:paraId="3A8A3CB4">
      <w:pPr>
        <w:pStyle w:val="175"/>
        <w:rPr>
          <w:rFonts w:hint="eastAsia" w:cs="宋体"/>
          <w:color w:val="auto"/>
          <w:sz w:val="24"/>
          <w:szCs w:val="24"/>
          <w:highlight w:val="none"/>
        </w:rPr>
      </w:pPr>
      <w:bookmarkStart w:id="24" w:name="_Toc13539"/>
      <w:bookmarkStart w:id="25" w:name="_Toc256000004"/>
      <w:bookmarkStart w:id="26" w:name="_Toc293738994"/>
      <w:bookmarkStart w:id="27" w:name="_Toc293736013"/>
      <w:bookmarkStart w:id="28" w:name="_Toc293736056"/>
      <w:bookmarkStart w:id="29" w:name="_Toc446599313"/>
      <w:r>
        <w:rPr>
          <w:rFonts w:hint="eastAsia" w:cs="宋体"/>
          <w:color w:val="auto"/>
          <w:sz w:val="24"/>
          <w:szCs w:val="24"/>
          <w:highlight w:val="none"/>
        </w:rPr>
        <w:t>三、响应文件的编制和数量</w:t>
      </w:r>
      <w:bookmarkEnd w:id="24"/>
      <w:bookmarkEnd w:id="25"/>
    </w:p>
    <w:p w14:paraId="429ACF63">
      <w:pPr>
        <w:pStyle w:val="199"/>
        <w:spacing w:line="600" w:lineRule="exact"/>
        <w:ind w:firstLine="484" w:firstLineChars="201"/>
        <w:contextualSpacing/>
        <w:jc w:val="left"/>
        <w:rPr>
          <w:rFonts w:hint="eastAsia" w:hAnsi="宋体" w:cs="宋体"/>
          <w:b/>
          <w:color w:val="auto"/>
          <w:sz w:val="24"/>
          <w:szCs w:val="24"/>
          <w:highlight w:val="none"/>
        </w:rPr>
      </w:pPr>
      <w:r>
        <w:rPr>
          <w:rFonts w:hint="eastAsia" w:hAnsi="宋体" w:cs="宋体"/>
          <w:b/>
          <w:color w:val="auto"/>
          <w:sz w:val="24"/>
          <w:szCs w:val="24"/>
          <w:highlight w:val="none"/>
        </w:rPr>
        <w:t>3.1．响应文件的语言</w:t>
      </w:r>
    </w:p>
    <w:p w14:paraId="427EF072">
      <w:pPr>
        <w:pStyle w:val="156"/>
        <w:spacing w:line="500" w:lineRule="exact"/>
        <w:ind w:firstLine="460" w:firstLineChars="202"/>
        <w:jc w:val="left"/>
        <w:rPr>
          <w:rFonts w:hint="eastAsia" w:ascii="宋体" w:hAnsi="宋体" w:cs="宋体"/>
          <w:color w:val="auto"/>
          <w:spacing w:val="-6"/>
          <w:sz w:val="24"/>
          <w:szCs w:val="24"/>
          <w:highlight w:val="none"/>
        </w:rPr>
      </w:pPr>
      <w:r>
        <w:rPr>
          <w:rFonts w:hint="eastAsia" w:ascii="宋体" w:hAnsi="宋体" w:cs="宋体"/>
          <w:color w:val="auto"/>
          <w:spacing w:val="-6"/>
          <w:sz w:val="24"/>
          <w:szCs w:val="24"/>
          <w:highlight w:val="none"/>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14:paraId="605E213B">
      <w:pPr>
        <w:pStyle w:val="199"/>
        <w:spacing w:line="600" w:lineRule="exact"/>
        <w:ind w:firstLine="484" w:firstLineChars="201"/>
        <w:contextualSpacing/>
        <w:jc w:val="left"/>
        <w:rPr>
          <w:rFonts w:hint="eastAsia" w:hAnsi="宋体" w:cs="宋体"/>
          <w:b/>
          <w:color w:val="auto"/>
          <w:sz w:val="24"/>
          <w:szCs w:val="24"/>
          <w:highlight w:val="none"/>
        </w:rPr>
      </w:pPr>
      <w:r>
        <w:rPr>
          <w:rFonts w:hint="eastAsia" w:hAnsi="宋体" w:cs="宋体"/>
          <w:b/>
          <w:color w:val="auto"/>
          <w:sz w:val="24"/>
          <w:szCs w:val="24"/>
          <w:highlight w:val="none"/>
        </w:rPr>
        <w:t>3.2响应文件的构成</w:t>
      </w:r>
    </w:p>
    <w:p w14:paraId="60B5E68B">
      <w:pPr>
        <w:pStyle w:val="156"/>
        <w:spacing w:line="500" w:lineRule="exact"/>
        <w:ind w:firstLine="484" w:firstLineChars="20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3.2.1供应商编制的响应文件应包括但不少于下列内容：</w:t>
      </w:r>
    </w:p>
    <w:p w14:paraId="1A6EC17C">
      <w:pPr>
        <w:pStyle w:val="156"/>
        <w:spacing w:line="500" w:lineRule="exact"/>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（1）资格文件内容（详见第六章资格文件组成）</w:t>
      </w:r>
    </w:p>
    <w:p w14:paraId="3A940771">
      <w:pPr>
        <w:pStyle w:val="156"/>
        <w:spacing w:line="500" w:lineRule="exact"/>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（2）报价文件内容（详见第六章报价文件组成）</w:t>
      </w:r>
    </w:p>
    <w:p w14:paraId="5C30218D">
      <w:pPr>
        <w:pStyle w:val="156"/>
        <w:spacing w:line="500" w:lineRule="exact"/>
        <w:ind w:firstLine="484" w:firstLineChars="20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 xml:space="preserve"> </w:t>
      </w:r>
      <w:r>
        <w:rPr>
          <w:rFonts w:hint="eastAsia" w:ascii="宋体" w:hAnsi="宋体" w:cs="宋体"/>
          <w:color w:val="auto"/>
          <w:spacing w:val="-6"/>
          <w:sz w:val="24"/>
          <w:szCs w:val="24"/>
          <w:highlight w:val="none"/>
        </w:rPr>
        <w:t>商务</w:t>
      </w:r>
      <w:r>
        <w:rPr>
          <w:rFonts w:hint="eastAsia" w:ascii="宋体" w:hAnsi="宋体" w:cs="宋体"/>
          <w:color w:val="auto"/>
          <w:sz w:val="24"/>
          <w:szCs w:val="24"/>
          <w:highlight w:val="none"/>
        </w:rPr>
        <w:t>文件内容（详见第六章商务文件组成）</w:t>
      </w:r>
    </w:p>
    <w:p w14:paraId="170BF5AA">
      <w:pPr>
        <w:pStyle w:val="156"/>
        <w:spacing w:line="500" w:lineRule="exact"/>
        <w:ind w:firstLine="484" w:firstLineChars="20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技术文件内容（详见第六章技术文件组成）</w:t>
      </w:r>
    </w:p>
    <w:p w14:paraId="08BC1383">
      <w:pPr>
        <w:pStyle w:val="199"/>
        <w:spacing w:line="600" w:lineRule="exact"/>
        <w:ind w:firstLine="484" w:firstLineChars="201"/>
        <w:contextualSpacing/>
        <w:jc w:val="left"/>
        <w:rPr>
          <w:rFonts w:hint="eastAsia" w:hAnsi="宋体" w:cs="宋体"/>
          <w:b/>
          <w:color w:val="auto"/>
          <w:sz w:val="24"/>
          <w:szCs w:val="24"/>
          <w:highlight w:val="none"/>
        </w:rPr>
      </w:pPr>
      <w:r>
        <w:rPr>
          <w:rFonts w:hint="eastAsia" w:hAnsi="宋体" w:cs="宋体"/>
          <w:b/>
          <w:color w:val="auto"/>
          <w:sz w:val="24"/>
          <w:szCs w:val="24"/>
          <w:highlight w:val="none"/>
        </w:rPr>
        <w:t>3.3响应文件编制</w:t>
      </w:r>
    </w:p>
    <w:p w14:paraId="43888CDA">
      <w:pPr>
        <w:pStyle w:val="156"/>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3.3.1</w:t>
      </w:r>
      <w:r>
        <w:rPr>
          <w:rFonts w:hint="eastAsia" w:ascii="宋体" w:hAnsi="宋体" w:cs="宋体"/>
          <w:color w:val="auto"/>
          <w:spacing w:val="-6"/>
          <w:sz w:val="24"/>
          <w:szCs w:val="24"/>
          <w:highlight w:val="none"/>
        </w:rPr>
        <w:t>电子</w:t>
      </w:r>
      <w:r>
        <w:rPr>
          <w:rFonts w:hint="eastAsia" w:ascii="宋体" w:hAnsi="宋体" w:cs="宋体"/>
          <w:color w:val="auto"/>
          <w:kern w:val="0"/>
          <w:sz w:val="24"/>
          <w:szCs w:val="24"/>
          <w:highlight w:val="none"/>
        </w:rPr>
        <w:t>响应文件制作时，应按照统一的“投标文件制作工具”和磋商文件中明确的响应文件目录和投标</w:t>
      </w:r>
      <w:r>
        <w:rPr>
          <w:rFonts w:hint="eastAsia" w:ascii="宋体" w:hAnsi="宋体" w:cs="宋体"/>
          <w:color w:val="auto"/>
          <w:sz w:val="24"/>
          <w:szCs w:val="24"/>
          <w:highlight w:val="none"/>
        </w:rPr>
        <w:t>技术规格、参数及相关要求</w:t>
      </w:r>
      <w:r>
        <w:rPr>
          <w:rFonts w:hint="eastAsia" w:ascii="宋体" w:hAnsi="宋体" w:cs="宋体"/>
          <w:color w:val="auto"/>
          <w:kern w:val="0"/>
          <w:sz w:val="24"/>
          <w:szCs w:val="24"/>
          <w:highlight w:val="none"/>
        </w:rPr>
        <w:t>格式进行编制，保证目录清晰、内容完整。</w:t>
      </w:r>
    </w:p>
    <w:p w14:paraId="3F4BC11E">
      <w:pPr>
        <w:pStyle w:val="156"/>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3.3.2供应商应按照供应商须知前附表要求的份数编制响应文件。</w:t>
      </w:r>
    </w:p>
    <w:p w14:paraId="45A4EB54">
      <w:pPr>
        <w:pStyle w:val="156"/>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3.3.</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 xml:space="preserve">供应商因自身原因导致电子响应文件无法导入电子评标系统的，该响应文件视为无效文件。 </w:t>
      </w:r>
    </w:p>
    <w:p w14:paraId="0E30590A">
      <w:pPr>
        <w:pStyle w:val="156"/>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3.3.</w:t>
      </w: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 xml:space="preserve">电子响应文件具有法律效力,与其他形式的响应文件在内容和格式上等同，若响应文件与磋商文件要求不一致，其内容影响成交结果时，责任由供应商自行承担。 </w:t>
      </w:r>
    </w:p>
    <w:p w14:paraId="7A9ED5DF">
      <w:pPr>
        <w:pStyle w:val="156"/>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3.3.</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为了保证</w:t>
      </w:r>
      <w:r>
        <w:rPr>
          <w:rFonts w:hint="eastAsia" w:ascii="宋体" w:hAnsi="宋体" w:cs="宋体"/>
          <w:color w:val="auto"/>
          <w:spacing w:val="-6"/>
          <w:sz w:val="24"/>
          <w:szCs w:val="24"/>
          <w:highlight w:val="none"/>
        </w:rPr>
        <w:t>电子</w:t>
      </w:r>
      <w:r>
        <w:rPr>
          <w:rFonts w:hint="eastAsia" w:ascii="宋体" w:hAnsi="宋体" w:cs="宋体"/>
          <w:color w:val="auto"/>
          <w:kern w:val="0"/>
          <w:sz w:val="24"/>
          <w:szCs w:val="24"/>
          <w:highlight w:val="none"/>
        </w:rPr>
        <w:t>标书的合法性、安全性和完整性，电子响应文件应在规定区域加盖单位和法定代表人CA印章。电子响应文件若无 CA电子签章，则视为无效文件。</w:t>
      </w:r>
    </w:p>
    <w:p w14:paraId="52157A5B">
      <w:pPr>
        <w:pStyle w:val="156"/>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3.3.</w:t>
      </w: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供应商应完整地</w:t>
      </w:r>
      <w:r>
        <w:rPr>
          <w:rFonts w:hint="eastAsia" w:ascii="宋体" w:hAnsi="宋体" w:cs="宋体"/>
          <w:color w:val="auto"/>
          <w:spacing w:val="-6"/>
          <w:sz w:val="24"/>
          <w:szCs w:val="24"/>
          <w:highlight w:val="none"/>
        </w:rPr>
        <w:t>填写</w:t>
      </w:r>
      <w:r>
        <w:rPr>
          <w:rFonts w:hint="eastAsia" w:ascii="宋体" w:hAnsi="宋体" w:cs="宋体"/>
          <w:color w:val="auto"/>
          <w:kern w:val="0"/>
          <w:sz w:val="24"/>
          <w:szCs w:val="24"/>
          <w:highlight w:val="none"/>
        </w:rPr>
        <w:t xml:space="preserve">磋商文件中提供的《竞争性磋商函》、《竞争性磋商报价一览表》等磋商文件中规定的所有内容。 </w:t>
      </w:r>
    </w:p>
    <w:p w14:paraId="24D97F96">
      <w:pPr>
        <w:pStyle w:val="156"/>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3.3.</w:t>
      </w: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 xml:space="preserve">供应商必须保证响应文件所提供的全部资料真实可靠，并接受采购单位对其中任何资料进一步核实的要求。 </w:t>
      </w:r>
    </w:p>
    <w:p w14:paraId="26995678">
      <w:pPr>
        <w:pStyle w:val="199"/>
        <w:spacing w:line="600" w:lineRule="exact"/>
        <w:ind w:firstLine="484" w:firstLineChars="201"/>
        <w:contextualSpacing/>
        <w:jc w:val="left"/>
        <w:rPr>
          <w:rFonts w:hint="eastAsia" w:hAnsi="宋体" w:cs="宋体"/>
          <w:b/>
          <w:color w:val="auto"/>
          <w:sz w:val="24"/>
          <w:szCs w:val="24"/>
          <w:highlight w:val="none"/>
        </w:rPr>
      </w:pPr>
      <w:r>
        <w:rPr>
          <w:rFonts w:hint="eastAsia" w:hAnsi="宋体" w:cs="宋体"/>
          <w:b/>
          <w:color w:val="auto"/>
          <w:sz w:val="24"/>
          <w:szCs w:val="24"/>
          <w:highlight w:val="none"/>
        </w:rPr>
        <w:t>3.4. 磋商报价要求</w:t>
      </w:r>
    </w:p>
    <w:p w14:paraId="0CED6084">
      <w:pPr>
        <w:pStyle w:val="156"/>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3.4.1供应商所提供的货物和服务均以人民币报价。</w:t>
      </w:r>
    </w:p>
    <w:p w14:paraId="07704978">
      <w:pPr>
        <w:pStyle w:val="156"/>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3.4.2供应商应按照“第三章 采购需求”规定的货物、服务内容、责任范围以及合同条款进行报价。并按《竞争性磋商报价一览表》确定的格式报出总价。磋商报价应为优惠后的报价，国家规定的各项税费不得优惠。磋商报价中不得包含磋商文件要求以外的内容，否则，在评审时不予核减。磋商报价中也不得缺漏磋商文件所要求的内容，否则，在评审时将被视为已包含在磋商报价中。</w:t>
      </w:r>
    </w:p>
    <w:p w14:paraId="536D1862">
      <w:pPr>
        <w:pStyle w:val="156"/>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3.4.3所有根据合同或其它原因应由供应商支付的税款和其它应交纳的费用都要包括在供应商提交的磋商总价中；</w:t>
      </w:r>
    </w:p>
    <w:p w14:paraId="2677CE54">
      <w:pPr>
        <w:pStyle w:val="156"/>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3.4.</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应包含货物运至最终目的地的运输、保险和伴随货物服务的有关费用。</w:t>
      </w:r>
    </w:p>
    <w:p w14:paraId="72870D42">
      <w:pPr>
        <w:pStyle w:val="156"/>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3.4.5每一种规格的货物、服务只允许有一个报价，否则将被视为无效投标。</w:t>
      </w:r>
    </w:p>
    <w:p w14:paraId="75700667">
      <w:pPr>
        <w:pStyle w:val="156"/>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3.4.6供应商所报的总价在合同执行过程中是固定不变的，不得以任何理由予以变更。</w:t>
      </w:r>
    </w:p>
    <w:p w14:paraId="3BD87D0E">
      <w:pPr>
        <w:pStyle w:val="156"/>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3.4.7供应商的最后磋商报价超过项目采购预算的为无效报价。</w:t>
      </w:r>
    </w:p>
    <w:p w14:paraId="448FEC2A">
      <w:pPr>
        <w:pStyle w:val="156"/>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3.5备选方案</w:t>
      </w:r>
    </w:p>
    <w:p w14:paraId="6C4282D6">
      <w:pPr>
        <w:pStyle w:val="156"/>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3.5.1供应商应按照供应商须知前附表要求编制磋商备选方案，否则将被视为无效响应文件。</w:t>
      </w:r>
    </w:p>
    <w:p w14:paraId="5FA1EA42">
      <w:pPr>
        <w:pStyle w:val="156"/>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3.6联合体投标</w:t>
      </w:r>
    </w:p>
    <w:p w14:paraId="190D4DE3">
      <w:pPr>
        <w:pStyle w:val="156"/>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3.6.1两个以上供应商可以组成一个联合体，以一个供应商的身份共同参与磋商。</w:t>
      </w:r>
    </w:p>
    <w:p w14:paraId="20CCCC9B">
      <w:pPr>
        <w:pStyle w:val="156"/>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3.6.2采取联合体形式磋商的，联合体各方均应当符合政府采购法第二十二条规定的条件。采购人根据采购项目的特殊要求规定供应商特定条件的，联合体各方中至少有一方符合磋商文件规定的特定条件。</w:t>
      </w:r>
    </w:p>
    <w:p w14:paraId="153B4F80">
      <w:pPr>
        <w:pStyle w:val="156"/>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3.6.3联合体各方之间必须签订联合磋商协议，明确约定联合体主体及各方承担的工作和相应的责任，其响应文件中必须提供联合磋商协议。</w:t>
      </w:r>
    </w:p>
    <w:p w14:paraId="6E926458">
      <w:pPr>
        <w:pStyle w:val="156"/>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3.6.4以联合体形式参加政府采购活动的，联合体各方不得再单独参加或者与其他供应商另外组成联合体参加同一合同项下的政府采购活动。</w:t>
      </w:r>
    </w:p>
    <w:p w14:paraId="549C1831">
      <w:pPr>
        <w:pStyle w:val="156"/>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3.6.5采取联合体形式投标的，其响应文件必须由联合体所有成员或其各自正式书面授权的代表签署（盖章），以便对所有成员作为整体及作为个体均具有法律约束力。</w:t>
      </w:r>
    </w:p>
    <w:p w14:paraId="075E5127">
      <w:pPr>
        <w:pStyle w:val="156"/>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3.6.6联合体成交的，联合体各方应当共同与采购人签订采购合同。</w:t>
      </w:r>
    </w:p>
    <w:p w14:paraId="2E8713D2">
      <w:pPr>
        <w:pStyle w:val="156"/>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3.6.7联合体中有同类资质的供应商按照联合体分工承担相同工作的，应当按照资质等级较低的供应商确定资质等级。</w:t>
      </w:r>
    </w:p>
    <w:p w14:paraId="0EC17971">
      <w:pPr>
        <w:pStyle w:val="156"/>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3.7. 供应商资格证明文件</w:t>
      </w:r>
    </w:p>
    <w:p w14:paraId="04262ECD">
      <w:pPr>
        <w:pStyle w:val="156"/>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3.7.1供应商应提交证明其有资格参加磋商和成交后有能力履行合同的文件，并作为其响应文件的一部分。</w:t>
      </w:r>
    </w:p>
    <w:p w14:paraId="4B7C0684">
      <w:pPr>
        <w:pStyle w:val="156"/>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3.7.2资格证明文件必须真实可靠、不得伪造。</w:t>
      </w:r>
    </w:p>
    <w:p w14:paraId="73102B84">
      <w:pPr>
        <w:pStyle w:val="156"/>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3.7.3供应商相关资格证明文件：</w:t>
      </w:r>
    </w:p>
    <w:p w14:paraId="3D01B637">
      <w:pPr>
        <w:pStyle w:val="156"/>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（1）法人或者其他组织的营业执照等证明文件，自然人的身份证明；</w:t>
      </w:r>
    </w:p>
    <w:p w14:paraId="307AE413">
      <w:pPr>
        <w:pStyle w:val="156"/>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（2）财务状况报告，依法缴纳税收和社会保障资金的相关材料；</w:t>
      </w:r>
    </w:p>
    <w:p w14:paraId="458F4F33">
      <w:pPr>
        <w:pStyle w:val="156"/>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（3）具备履行合同所必需的设备和专业技术能力的证明材料；</w:t>
      </w:r>
    </w:p>
    <w:p w14:paraId="4D8043B4">
      <w:pPr>
        <w:pStyle w:val="156"/>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（4）参加政府采购活动前3年内在经营活动中没有重大违法记录的书面声明；</w:t>
      </w:r>
    </w:p>
    <w:p w14:paraId="750F93D2">
      <w:pPr>
        <w:pStyle w:val="156"/>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（5）具备法律、行政法规规定的其他条件的证明材料；</w:t>
      </w:r>
    </w:p>
    <w:p w14:paraId="78E13221">
      <w:pPr>
        <w:pStyle w:val="156"/>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（6）采购项目有特殊要求的，供应商还应当提供其符合特殊要求的证明材料或者情况说明；</w:t>
      </w:r>
    </w:p>
    <w:p w14:paraId="1E23C0C0">
      <w:pPr>
        <w:pStyle w:val="156"/>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（7）信用信息查询记录；</w:t>
      </w:r>
    </w:p>
    <w:p w14:paraId="0E2BB3B4">
      <w:pPr>
        <w:pStyle w:val="156"/>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（8）磋商文件要求或供应商认为需提供的其它相关资格证明材料。</w:t>
      </w:r>
    </w:p>
    <w:p w14:paraId="4CD02451">
      <w:pPr>
        <w:pStyle w:val="156"/>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3.7.4 证明投标货物、服务的合格性和符合磋商文件规定的文件。</w:t>
      </w:r>
    </w:p>
    <w:p w14:paraId="11E1893C">
      <w:pPr>
        <w:pStyle w:val="156"/>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采取资格预审方式项目的投标人在递交投标文件时，其资格条件与资格预审时发生变化的，提交变化后的资料。</w:t>
      </w:r>
    </w:p>
    <w:p w14:paraId="550C8DE2">
      <w:pPr>
        <w:pStyle w:val="199"/>
        <w:spacing w:line="600" w:lineRule="exact"/>
        <w:ind w:firstLine="484" w:firstLineChars="201"/>
        <w:contextualSpacing/>
        <w:jc w:val="left"/>
        <w:rPr>
          <w:rFonts w:hint="eastAsia" w:hAnsi="宋体" w:cs="宋体"/>
          <w:b/>
          <w:color w:val="auto"/>
          <w:sz w:val="24"/>
          <w:szCs w:val="24"/>
          <w:highlight w:val="none"/>
        </w:rPr>
      </w:pPr>
      <w:r>
        <w:rPr>
          <w:rFonts w:hint="eastAsia" w:hAnsi="宋体" w:cs="宋体"/>
          <w:b/>
          <w:color w:val="auto"/>
          <w:sz w:val="24"/>
          <w:szCs w:val="24"/>
          <w:highlight w:val="none"/>
        </w:rPr>
        <w:t>3.8. 磋商保证金</w:t>
      </w:r>
    </w:p>
    <w:p w14:paraId="6191F3CF">
      <w:pPr>
        <w:pStyle w:val="156"/>
        <w:spacing w:line="500" w:lineRule="exact"/>
        <w:ind w:firstLine="484" w:firstLineChars="20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3.8.1</w:t>
      </w:r>
      <w:r>
        <w:rPr>
          <w:rFonts w:hint="eastAsia" w:ascii="宋体" w:hAnsi="宋体" w:cs="宋体"/>
          <w:color w:val="auto"/>
          <w:kern w:val="0"/>
          <w:sz w:val="24"/>
          <w:szCs w:val="24"/>
          <w:highlight w:val="none"/>
        </w:rPr>
        <w:t>供应商</w:t>
      </w:r>
      <w:r>
        <w:rPr>
          <w:rFonts w:hint="eastAsia" w:ascii="宋体" w:hAnsi="宋体" w:cs="宋体"/>
          <w:color w:val="auto"/>
          <w:sz w:val="24"/>
          <w:szCs w:val="24"/>
          <w:highlight w:val="none"/>
        </w:rPr>
        <w:t>应在响应文件截止时间之前缴纳该项目</w:t>
      </w:r>
      <w:r>
        <w:rPr>
          <w:rFonts w:hint="eastAsia" w:ascii="宋体" w:hAnsi="宋体" w:cs="宋体"/>
          <w:color w:val="auto"/>
          <w:kern w:val="0"/>
          <w:sz w:val="24"/>
          <w:szCs w:val="24"/>
          <w:highlight w:val="none"/>
        </w:rPr>
        <w:t>保证金。保证金缴纳时间以该项目所对应的保证金收取账号中显示的到账时间为准。</w:t>
      </w:r>
    </w:p>
    <w:p w14:paraId="5442D27D">
      <w:pPr>
        <w:pStyle w:val="156"/>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3.8.2对于未能按要求提交保证金的将视为未响应磋商文件的要求，其响应文件无效。</w:t>
      </w:r>
    </w:p>
    <w:p w14:paraId="23C48217">
      <w:pPr>
        <w:pStyle w:val="156"/>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3.8.3未成交的供应商，其保证金在成交公告发布后 5个工作日内，按照磋商保证金的来款渠道原路退还至供应商缴纳保证金的企业银行账户内；如有质疑或投诉，政府采购代理机构将在质疑和投诉处理完毕后5个工作日内，按照保证金的来款渠道原路退还至供应商缴纳保证金的企业银行账户内。</w:t>
      </w:r>
    </w:p>
    <w:p w14:paraId="6D2A27F6">
      <w:pPr>
        <w:pStyle w:val="156"/>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3.8.4成交供应商的磋商保证金,在供应商与采购人签订合同，并将合同原件报采购代理机构后5个工作日内，按照保证金的来款渠道原路退还至供应商缴纳保证金的企业银行账户内。</w:t>
      </w:r>
    </w:p>
    <w:p w14:paraId="62AF25A9">
      <w:pPr>
        <w:pStyle w:val="156"/>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3.8.5有下列情形之一的，保证金将被没收：</w:t>
      </w:r>
    </w:p>
    <w:p w14:paraId="57F3DB36">
      <w:pPr>
        <w:pStyle w:val="156"/>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（1）供应商在响应文件中提供虚假资料的；</w:t>
      </w:r>
    </w:p>
    <w:p w14:paraId="6B8AAFD2">
      <w:pPr>
        <w:pStyle w:val="156"/>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（2）除因不可抗力或磋商文件认可的情形以外，成交供应商不与采购人签订合同的；</w:t>
      </w:r>
    </w:p>
    <w:p w14:paraId="7E1475FE">
      <w:pPr>
        <w:pStyle w:val="156"/>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（3）供应商与采购人、其他供应商或者采购代理机构恶意串通的；</w:t>
      </w:r>
    </w:p>
    <w:p w14:paraId="43E36190">
      <w:pPr>
        <w:pStyle w:val="156"/>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（4）磋商文件规定的其他情形。</w:t>
      </w:r>
    </w:p>
    <w:p w14:paraId="4B1BAFF9">
      <w:pPr>
        <w:pStyle w:val="156"/>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3.8.6如开标时投标人对本单位投标保证金缴纳情况有疑义，投标人应在开标结束前向招标人提交书面申请核实保证金缴纳情况。由银行或保险公司核实后出具书面材料予以答复。</w:t>
      </w:r>
    </w:p>
    <w:p w14:paraId="234B6962">
      <w:pPr>
        <w:pStyle w:val="156"/>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3.8.7开标结束后，转账、支票、汇票、本票或保函形式缴纳的保证金由招标代理或招标人统一办理中标人和未中标人的保证金退还事宜。如本项目招标中遇质疑，投诉，复议等特殊情况，保证金退还时间按相关规定执行。保函形式缴纳的投标保证金按协议执行，无需办理退款手续。</w:t>
      </w:r>
    </w:p>
    <w:p w14:paraId="55C2388A">
      <w:pPr>
        <w:pStyle w:val="156"/>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3.9. 磋商的有效期</w:t>
      </w:r>
    </w:p>
    <w:p w14:paraId="08946208">
      <w:pPr>
        <w:pStyle w:val="156"/>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3.9.1磋商有效期详见供应商须知前附表。供应商响应文件中有效期不足的将被视为无效文件。</w:t>
      </w:r>
    </w:p>
    <w:p w14:paraId="27ECFBB7">
      <w:pPr>
        <w:pStyle w:val="156"/>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3.9.2 有效期内供应商未经采购结果确认谈判达成一致不得改变其磋商最后报价及承诺的全部义务。</w:t>
      </w:r>
    </w:p>
    <w:p w14:paraId="463770C6">
      <w:pPr>
        <w:pStyle w:val="191"/>
        <w:keepNext/>
        <w:keepLines/>
        <w:adjustRightInd w:val="0"/>
        <w:snapToGrid w:val="0"/>
        <w:spacing w:before="260" w:after="260" w:line="500" w:lineRule="exact"/>
        <w:ind w:left="-88" w:leftChars="-42"/>
        <w:contextualSpacing/>
        <w:jc w:val="center"/>
        <w:outlineLvl w:val="1"/>
        <w:rPr>
          <w:rFonts w:hint="eastAsia" w:ascii="宋体" w:hAnsi="宋体" w:cs="宋体"/>
          <w:b/>
          <w:color w:val="auto"/>
          <w:sz w:val="24"/>
          <w:szCs w:val="24"/>
          <w:highlight w:val="none"/>
        </w:rPr>
      </w:pPr>
      <w:bookmarkStart w:id="30" w:name="_Toc1663"/>
      <w:r>
        <w:rPr>
          <w:rFonts w:hint="eastAsia" w:ascii="宋体" w:hAnsi="宋体" w:cs="宋体"/>
          <w:b/>
          <w:color w:val="auto"/>
          <w:sz w:val="24"/>
          <w:szCs w:val="24"/>
          <w:highlight w:val="none"/>
        </w:rPr>
        <w:t>四、响应文件的递交</w:t>
      </w:r>
      <w:bookmarkEnd w:id="26"/>
      <w:bookmarkEnd w:id="27"/>
      <w:bookmarkEnd w:id="28"/>
      <w:bookmarkEnd w:id="29"/>
      <w:bookmarkEnd w:id="30"/>
    </w:p>
    <w:p w14:paraId="1DAA1852">
      <w:pPr>
        <w:pStyle w:val="191"/>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4.1响应文件的密封和标记</w:t>
      </w:r>
    </w:p>
    <w:p w14:paraId="48FDE79E">
      <w:pPr>
        <w:pStyle w:val="191"/>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4.1.1响应文件的密封和标记。电子响应文件的内容通过数字证书进行加密并签章。未按要求加密和数字证书认证的响应文件，电子评标系统将无法接受,采购单位不予受理。</w:t>
      </w:r>
    </w:p>
    <w:p w14:paraId="2BAC81DF">
      <w:pPr>
        <w:pStyle w:val="191"/>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4.1.2响应文件光盘的密封和标记。电子响应文件光盘须用信封单独密封，并在信封上注明采购标段名称、标段编号、包号、供应商名称和有“在（磋商文件中规定的开标日期和时间）之前不得启封”的字样，封口处加盖供应商印章。如果未按要求密封和标记，采购单位不予受理。</w:t>
      </w:r>
    </w:p>
    <w:p w14:paraId="670351FF">
      <w:pPr>
        <w:pStyle w:val="191"/>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4.1.3是否采用不见面开标方式详见投标人须知前附表，若本项目采用不见面开标，无需提供电子投标文件U盘、纸质投标文件。</w:t>
      </w:r>
    </w:p>
    <w:p w14:paraId="2CCB5EDE">
      <w:pPr>
        <w:pStyle w:val="191"/>
        <w:spacing w:line="600" w:lineRule="exact"/>
        <w:ind w:firstLine="484" w:firstLineChars="201"/>
        <w:contextualSpacing/>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4.2响应文件的递交</w:t>
      </w:r>
    </w:p>
    <w:p w14:paraId="4198B3A2">
      <w:pPr>
        <w:pStyle w:val="191"/>
        <w:spacing w:line="500" w:lineRule="exact"/>
        <w:ind w:firstLine="484" w:firstLineChars="202"/>
        <w:jc w:val="both"/>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4.2.1供应商应在磋商文件规定的响应文件递交截止时间前将电子响应文件上传到指定网站的指定栏目。未在响应文件递交截止时间前完成上传的电子响应文件视为逾期送达。逾期上传或未按规定方式上传的电子响应文件，采购单位不予受理。</w:t>
      </w:r>
    </w:p>
    <w:p w14:paraId="32125F47">
      <w:pPr>
        <w:pStyle w:val="191"/>
        <w:spacing w:line="600" w:lineRule="exact"/>
        <w:ind w:firstLine="484" w:firstLineChars="201"/>
        <w:contextualSpacing/>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4.3迟交的响应文件</w:t>
      </w:r>
    </w:p>
    <w:p w14:paraId="724ED9D9">
      <w:pPr>
        <w:pStyle w:val="191"/>
        <w:spacing w:line="500" w:lineRule="exact"/>
        <w:ind w:firstLine="484" w:firstLineChars="202"/>
        <w:jc w:val="both"/>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4.3</w:t>
      </w:r>
      <w:r>
        <w:rPr>
          <w:rFonts w:hint="eastAsia" w:ascii="宋体" w:hAnsi="宋体" w:cs="宋体"/>
          <w:color w:val="auto"/>
          <w:sz w:val="24"/>
          <w:szCs w:val="24"/>
          <w:highlight w:val="none"/>
        </w:rPr>
        <w:t>.1采购</w:t>
      </w:r>
      <w:r>
        <w:rPr>
          <w:rFonts w:hint="eastAsia" w:ascii="宋体" w:hAnsi="宋体" w:cs="宋体"/>
          <w:color w:val="auto"/>
          <w:kern w:val="0"/>
          <w:sz w:val="24"/>
          <w:szCs w:val="24"/>
          <w:highlight w:val="none"/>
        </w:rPr>
        <w:t>单位将拒绝并原封退回在规定的响应文件递交截止期后送达的任何响应文件。由于对网上招标操作不熟悉或自身电脑、网络的原因导致不能在响应文件递交截止时间之前上传响应文件，</w:t>
      </w:r>
      <w:r>
        <w:rPr>
          <w:rFonts w:hint="eastAsia" w:ascii="宋体" w:hAnsi="宋体" w:cs="宋体"/>
          <w:color w:val="auto"/>
          <w:kern w:val="0"/>
          <w:sz w:val="24"/>
          <w:szCs w:val="24"/>
          <w:highlight w:val="none"/>
          <w:lang w:val="en-US" w:eastAsia="zh-CN"/>
        </w:rPr>
        <w:t>新疆</w:t>
      </w:r>
      <w:r>
        <w:rPr>
          <w:rFonts w:hint="eastAsia" w:ascii="宋体" w:hAnsi="宋体" w:cs="宋体"/>
          <w:color w:val="auto"/>
          <w:kern w:val="0"/>
          <w:sz w:val="24"/>
          <w:szCs w:val="24"/>
          <w:highlight w:val="none"/>
        </w:rPr>
        <w:t>政采云平台将不负任何责任。建议于开标前1个工作日完成响应文件的制作与上传。</w:t>
      </w:r>
    </w:p>
    <w:p w14:paraId="07769D07">
      <w:pPr>
        <w:pStyle w:val="191"/>
        <w:spacing w:line="600" w:lineRule="exact"/>
        <w:ind w:firstLine="484" w:firstLineChars="201"/>
        <w:contextualSpacing/>
        <w:jc w:val="left"/>
        <w:rPr>
          <w:rFonts w:hint="eastAsia" w:ascii="宋体" w:hAnsi="宋体" w:cs="宋体"/>
          <w:color w:val="auto"/>
          <w:kern w:val="0"/>
          <w:sz w:val="24"/>
          <w:szCs w:val="24"/>
          <w:highlight w:val="none"/>
        </w:rPr>
      </w:pPr>
      <w:r>
        <w:rPr>
          <w:rFonts w:hint="eastAsia" w:ascii="宋体" w:hAnsi="宋体" w:cs="宋体"/>
          <w:b/>
          <w:color w:val="auto"/>
          <w:sz w:val="24"/>
          <w:szCs w:val="24"/>
          <w:highlight w:val="none"/>
        </w:rPr>
        <w:t>4.4响应文件的修改和撤回</w:t>
      </w:r>
    </w:p>
    <w:p w14:paraId="3C3A4D77">
      <w:pPr>
        <w:pStyle w:val="191"/>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14:paraId="510DC1D6">
      <w:pPr>
        <w:pStyle w:val="191"/>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4.4.2供应商所提交的响应文件在评审结束后，无论中标与否都不退还。</w:t>
      </w:r>
    </w:p>
    <w:p w14:paraId="6CC4AD8F">
      <w:pPr>
        <w:pStyle w:val="191"/>
        <w:keepNext/>
        <w:keepLines/>
        <w:adjustRightInd w:val="0"/>
        <w:snapToGrid w:val="0"/>
        <w:spacing w:before="260" w:after="260" w:line="500" w:lineRule="exact"/>
        <w:ind w:left="-88" w:leftChars="-42"/>
        <w:contextualSpacing/>
        <w:jc w:val="center"/>
        <w:outlineLvl w:val="1"/>
        <w:rPr>
          <w:rFonts w:hint="eastAsia" w:ascii="宋体" w:hAnsi="宋体" w:cs="宋体"/>
          <w:b/>
          <w:color w:val="auto"/>
          <w:sz w:val="24"/>
          <w:szCs w:val="24"/>
          <w:highlight w:val="none"/>
        </w:rPr>
      </w:pPr>
      <w:bookmarkStart w:id="31" w:name="_Toc446599314"/>
      <w:bookmarkStart w:id="32" w:name="_Toc293736014"/>
      <w:bookmarkStart w:id="33" w:name="_Toc293736057"/>
      <w:bookmarkStart w:id="34" w:name="_Toc293738995"/>
      <w:bookmarkStart w:id="35" w:name="_Toc27329"/>
      <w:bookmarkStart w:id="36" w:name="_Toc9220"/>
      <w:bookmarkStart w:id="37" w:name="_Toc4087"/>
      <w:r>
        <w:rPr>
          <w:rFonts w:hint="eastAsia" w:ascii="宋体" w:hAnsi="宋体" w:cs="宋体"/>
          <w:b/>
          <w:color w:val="auto"/>
          <w:sz w:val="24"/>
          <w:szCs w:val="24"/>
          <w:highlight w:val="none"/>
        </w:rPr>
        <w:t>五、</w:t>
      </w:r>
      <w:bookmarkEnd w:id="31"/>
      <w:bookmarkEnd w:id="32"/>
      <w:bookmarkEnd w:id="33"/>
      <w:bookmarkEnd w:id="34"/>
      <w:r>
        <w:rPr>
          <w:rFonts w:hint="eastAsia" w:ascii="宋体" w:hAnsi="宋体" w:cs="宋体"/>
          <w:b/>
          <w:color w:val="auto"/>
          <w:sz w:val="24"/>
          <w:szCs w:val="24"/>
          <w:highlight w:val="none"/>
        </w:rPr>
        <w:t>竞争性磋商程序</w:t>
      </w:r>
      <w:bookmarkEnd w:id="35"/>
      <w:bookmarkEnd w:id="36"/>
      <w:bookmarkEnd w:id="37"/>
    </w:p>
    <w:p w14:paraId="05BD08D2">
      <w:pPr>
        <w:pStyle w:val="191"/>
        <w:widowControl/>
        <w:spacing w:line="520" w:lineRule="atLeast"/>
        <w:ind w:firstLine="420"/>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rPr>
        <w:t>5</w:t>
      </w:r>
      <w:r>
        <w:rPr>
          <w:rFonts w:hint="eastAsia" w:ascii="宋体" w:hAnsi="宋体" w:cs="宋体"/>
          <w:b/>
          <w:color w:val="auto"/>
          <w:kern w:val="0"/>
          <w:sz w:val="24"/>
          <w:szCs w:val="24"/>
          <w:highlight w:val="none"/>
        </w:rPr>
        <w:t>.</w:t>
      </w:r>
      <w:r>
        <w:rPr>
          <w:rFonts w:hint="eastAsia" w:ascii="宋体" w:hAnsi="宋体" w:cs="宋体"/>
          <w:b/>
          <w:color w:val="auto"/>
          <w:sz w:val="24"/>
          <w:szCs w:val="24"/>
          <w:highlight w:val="none"/>
        </w:rPr>
        <w:t>1磋商小组的组成</w:t>
      </w:r>
    </w:p>
    <w:p w14:paraId="0BF89301">
      <w:pPr>
        <w:pStyle w:val="191"/>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5.1.1评审由采购单位依法组建的磋商小组负责。磋商小组由采购人代表和有关技术、经济等方面的专家组成。全面负责对响应文件的审查、评审、磋商、打分等全部评审工作。磋商小组人数以及技术、经济方面的专家组成见</w:t>
      </w:r>
      <w:r>
        <w:rPr>
          <w:rFonts w:hint="eastAsia" w:ascii="宋体" w:hAnsi="宋体" w:cs="宋体"/>
          <w:color w:val="auto"/>
          <w:kern w:val="0"/>
          <w:sz w:val="24"/>
          <w:szCs w:val="24"/>
          <w:highlight w:val="none"/>
        </w:rPr>
        <w:fldChar w:fldCharType="begin"/>
      </w:r>
      <w:r>
        <w:rPr>
          <w:rFonts w:hint="eastAsia" w:ascii="宋体" w:hAnsi="宋体" w:cs="宋体"/>
          <w:color w:val="auto"/>
          <w:kern w:val="0"/>
          <w:sz w:val="24"/>
          <w:szCs w:val="24"/>
          <w:highlight w:val="none"/>
        </w:rPr>
        <w:instrText xml:space="preserve">HYPERLINK "../../../WordForm/e944b4b1-01b6-4e42-b170-f783fcf7903a.doc" \l "_评标委员会"</w:instrText>
      </w:r>
      <w:r>
        <w:rPr>
          <w:rFonts w:hint="eastAsia" w:ascii="宋体" w:hAnsi="宋体" w:cs="宋体"/>
          <w:color w:val="auto"/>
          <w:kern w:val="0"/>
          <w:sz w:val="24"/>
          <w:szCs w:val="24"/>
          <w:highlight w:val="none"/>
        </w:rPr>
        <w:fldChar w:fldCharType="separate"/>
      </w:r>
      <w:r>
        <w:rPr>
          <w:rFonts w:hint="eastAsia" w:ascii="宋体" w:hAnsi="宋体" w:cs="宋体"/>
          <w:color w:val="auto"/>
          <w:kern w:val="0"/>
          <w:sz w:val="24"/>
          <w:szCs w:val="24"/>
          <w:highlight w:val="none"/>
        </w:rPr>
        <w:t>供应商须知前附表</w:t>
      </w:r>
      <w:r>
        <w:rPr>
          <w:rFonts w:hint="eastAsia" w:ascii="宋体" w:hAnsi="宋体" w:cs="宋体"/>
          <w:color w:val="auto"/>
          <w:kern w:val="0"/>
          <w:sz w:val="24"/>
          <w:szCs w:val="24"/>
          <w:highlight w:val="none"/>
        </w:rPr>
        <w:fldChar w:fldCharType="end"/>
      </w:r>
      <w:r>
        <w:rPr>
          <w:rFonts w:hint="eastAsia" w:ascii="宋体" w:hAnsi="宋体" w:cs="宋体"/>
          <w:color w:val="auto"/>
          <w:kern w:val="0"/>
          <w:sz w:val="24"/>
          <w:szCs w:val="24"/>
          <w:highlight w:val="none"/>
        </w:rPr>
        <w:t>。</w:t>
      </w:r>
    </w:p>
    <w:p w14:paraId="0A896BD2">
      <w:pPr>
        <w:pStyle w:val="191"/>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5.2磋商方法</w:t>
      </w:r>
    </w:p>
    <w:p w14:paraId="496EDCE0">
      <w:pPr>
        <w:pStyle w:val="191"/>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5.2.1磋商小组将按照磋商文件确定的评审方法进行评审。磋商小组对响应文件的评审分为响应文件初审、澄清有关问题、比较与评价响应文件、推荐中标候选人名单。</w:t>
      </w:r>
    </w:p>
    <w:p w14:paraId="614D8652">
      <w:pPr>
        <w:pStyle w:val="191"/>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5.2.</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项目评审方法详见磋商文件“第四章 评审方法。</w:t>
      </w:r>
    </w:p>
    <w:p w14:paraId="364BFC41">
      <w:pPr>
        <w:pStyle w:val="191"/>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5.3响应文件的初审</w:t>
      </w:r>
    </w:p>
    <w:p w14:paraId="2AC301CF">
      <w:pPr>
        <w:pStyle w:val="191"/>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初审分为资格性检查和符合性检查。</w:t>
      </w:r>
    </w:p>
    <w:p w14:paraId="35441632">
      <w:pPr>
        <w:pStyle w:val="191"/>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5.3.1资格性检查</w:t>
      </w:r>
    </w:p>
    <w:p w14:paraId="67E2E0C8">
      <w:pPr>
        <w:pStyle w:val="191"/>
        <w:spacing w:line="500" w:lineRule="exact"/>
        <w:ind w:firstLine="484" w:firstLineChars="202"/>
        <w:jc w:val="both"/>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（1）采购人、磋商小组根据评审办法前附表规定的评审因素和评审标准，对供应商的响应文件进行资格评审。资格性检查不合格的供应商的响应文件作无效文件处理。</w:t>
      </w:r>
    </w:p>
    <w:p w14:paraId="2BF510CF">
      <w:pPr>
        <w:pStyle w:val="191"/>
        <w:spacing w:line="500" w:lineRule="exact"/>
        <w:ind w:firstLine="484" w:firstLineChars="202"/>
        <w:jc w:val="both"/>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（2）采购人、磋商小组在进行资格检查时，不得改变磋商文件中已载明的资格条件、标准和办法。资格性检查不合格的供应商的响应文件作无效文件处理。</w:t>
      </w:r>
    </w:p>
    <w:p w14:paraId="33AFE5C3">
      <w:pPr>
        <w:pStyle w:val="191"/>
        <w:spacing w:line="500" w:lineRule="exact"/>
        <w:ind w:firstLine="484" w:firstLineChars="202"/>
        <w:jc w:val="both"/>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（3）采购人、磋商小组在评审中必要时可按供应商提供的联系方式就有关问题进行查询核实，或要求供应商做出书面澄清，查询及澄清结果将作为审查的依据。</w:t>
      </w:r>
    </w:p>
    <w:p w14:paraId="5494CE5D">
      <w:pPr>
        <w:pStyle w:val="191"/>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（4）通过全部资格性检查条件合格的供应商才能通过资格检查，其响应文件方可进入下一个检查阶段。</w:t>
      </w:r>
    </w:p>
    <w:p w14:paraId="396DC3B0">
      <w:pPr>
        <w:pStyle w:val="191"/>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5.3.2符合性检查</w:t>
      </w:r>
    </w:p>
    <w:p w14:paraId="39EE60CD">
      <w:pPr>
        <w:pStyle w:val="191"/>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磋商小组根据评审办法前附表规定的评审因素和评审标准，对供应商的响应文件进行符合性检查。符合性检查不合格的供应商的响应文件作无效文件处理。</w:t>
      </w:r>
    </w:p>
    <w:p w14:paraId="2DB98455">
      <w:pPr>
        <w:pStyle w:val="191"/>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5.4违法违规行为 </w:t>
      </w:r>
    </w:p>
    <w:p w14:paraId="67235803">
      <w:pPr>
        <w:pStyle w:val="191"/>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5.4.1在评审过程中，磋商小组发现供应商有下列情形之一的，作无效文件处理：</w:t>
      </w:r>
    </w:p>
    <w:p w14:paraId="0F94693F">
      <w:pPr>
        <w:pStyle w:val="191"/>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（1）属于同一集团、协会、商会等组织成员的供应商按照该组织要求协同投标；</w:t>
      </w:r>
    </w:p>
    <w:p w14:paraId="3F5FD6EC">
      <w:pPr>
        <w:pStyle w:val="191"/>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（2）不同供应商的响应文件由同一单位或者个人编制；</w:t>
      </w:r>
    </w:p>
    <w:p w14:paraId="78342D48">
      <w:pPr>
        <w:pStyle w:val="191"/>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（3）不同供应商委托同一单位或者个人办理投标事宜；</w:t>
      </w:r>
    </w:p>
    <w:p w14:paraId="08CBEB26">
      <w:pPr>
        <w:pStyle w:val="191"/>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（4）不同供应商的响应文件载明的项目管理成员为同一人；</w:t>
      </w:r>
    </w:p>
    <w:p w14:paraId="61163588">
      <w:pPr>
        <w:pStyle w:val="191"/>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（5）不同供应商的响应文件异常一致或者投标报价呈规律性差异；</w:t>
      </w:r>
    </w:p>
    <w:p w14:paraId="5B50E55D">
      <w:pPr>
        <w:pStyle w:val="191"/>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（6）不同供应商的响应文件相互混装；</w:t>
      </w:r>
    </w:p>
    <w:p w14:paraId="5D0D5D4E">
      <w:pPr>
        <w:pStyle w:val="191"/>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（7）不同供应商的投标保证金从同一单位或者个人的账户转出；</w:t>
      </w:r>
    </w:p>
    <w:p w14:paraId="6A089946">
      <w:pPr>
        <w:pStyle w:val="191"/>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（8）使用伪造、变造的行政许可证件；</w:t>
      </w:r>
    </w:p>
    <w:p w14:paraId="3FCC1391">
      <w:pPr>
        <w:pStyle w:val="191"/>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（9）提供虚假的财务状况或者业绩；</w:t>
      </w:r>
    </w:p>
    <w:p w14:paraId="24F804F4">
      <w:pPr>
        <w:pStyle w:val="191"/>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（10）提供虚假的项目负责人或者主要技术人员简历、劳动关系证明；</w:t>
      </w:r>
    </w:p>
    <w:p w14:paraId="0DC66C53">
      <w:pPr>
        <w:pStyle w:val="191"/>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（11）提供虚假的信用状况；</w:t>
      </w:r>
    </w:p>
    <w:p w14:paraId="452804A2">
      <w:pPr>
        <w:pStyle w:val="191"/>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（12）其他弄虚作假的行为。</w:t>
      </w:r>
    </w:p>
    <w:p w14:paraId="1EDEECD0">
      <w:pPr>
        <w:pStyle w:val="191"/>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5.5 磋商小组审查响应文件是否完整、有无计算上的错误等。</w:t>
      </w:r>
    </w:p>
    <w:p w14:paraId="6DBE1B13">
      <w:pPr>
        <w:pStyle w:val="191"/>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5.5.1 响应文件的修正及澄清</w:t>
      </w:r>
    </w:p>
    <w:p w14:paraId="40D41091">
      <w:pPr>
        <w:pStyle w:val="191"/>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（1）磋商小组对确定为实质上响应磋商文件要求的响应文件进行校核，看其是否有计算或表达上的错误，算术错误将按以下方法更正：</w:t>
      </w:r>
    </w:p>
    <w:p w14:paraId="394C5C7D">
      <w:pPr>
        <w:pStyle w:val="191"/>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14:paraId="786C911C">
      <w:pPr>
        <w:pStyle w:val="191"/>
        <w:spacing w:line="500" w:lineRule="exact"/>
        <w:ind w:firstLine="484" w:firstLineChars="202"/>
        <w:jc w:val="both"/>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14:paraId="499B9781">
      <w:pPr>
        <w:pStyle w:val="191"/>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5.5.3实质上没有响应磋商文件要求的响应文件将被视为无效文件。供应商不得通过修正或撤销不合要求的偏离从而使其成为实质上响应的文件。</w:t>
      </w:r>
    </w:p>
    <w:p w14:paraId="164090DC">
      <w:pPr>
        <w:pStyle w:val="191"/>
        <w:spacing w:line="600" w:lineRule="exact"/>
        <w:ind w:firstLine="482" w:firstLineChars="201"/>
        <w:contextualSpacing/>
        <w:jc w:val="both"/>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5.5.4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14:paraId="2437E46B">
      <w:pPr>
        <w:pStyle w:val="191"/>
        <w:spacing w:line="500" w:lineRule="exact"/>
        <w:ind w:firstLine="484" w:firstLineChars="202"/>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rPr>
        <w:t>5.5.5供应商的澄清文件是其响应文件</w:t>
      </w:r>
      <w:r>
        <w:rPr>
          <w:rFonts w:hint="eastAsia" w:ascii="宋体" w:hAnsi="宋体" w:cs="宋体"/>
          <w:color w:val="auto"/>
          <w:sz w:val="24"/>
          <w:szCs w:val="24"/>
          <w:highlight w:val="none"/>
        </w:rPr>
        <w:t>的组成部分。</w:t>
      </w:r>
    </w:p>
    <w:p w14:paraId="1919D0BF">
      <w:pPr>
        <w:pStyle w:val="191"/>
        <w:spacing w:line="500" w:lineRule="exact"/>
        <w:ind w:firstLine="484" w:firstLineChars="20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5.6磋商</w:t>
      </w:r>
    </w:p>
    <w:p w14:paraId="36A37273">
      <w:pPr>
        <w:pStyle w:val="191"/>
        <w:spacing w:line="500" w:lineRule="exact"/>
        <w:ind w:firstLine="484" w:firstLineChars="20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5.6.1磋商小组所有成员应当集中与单一供应商分别进行磋商，并给予所有参加磋商的供应商平等的磋商机会。</w:t>
      </w:r>
    </w:p>
    <w:p w14:paraId="219A67FA">
      <w:pPr>
        <w:pStyle w:val="191"/>
        <w:spacing w:line="500" w:lineRule="exact"/>
        <w:ind w:firstLine="484" w:firstLineChars="20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5.6.2在磋商过程中，磋商小组可以根据磋商文件和磋商情况实质性变动采购需求中的技术、服务要求以及合同草案条款，但不得变动磋商文件中的其他内容。实质性变动的内容，须经采购人代表确认。</w:t>
      </w:r>
    </w:p>
    <w:p w14:paraId="33E25A59">
      <w:pPr>
        <w:pStyle w:val="191"/>
        <w:spacing w:line="500" w:lineRule="exact"/>
        <w:ind w:firstLine="484" w:firstLineChars="20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5.6.3对磋商文件作出的实质性变动是磋商文件的有效组成部分，磋商小组应当及时以书面形式同时通知所有参加磋商的供应商。</w:t>
      </w:r>
    </w:p>
    <w:p w14:paraId="164E38D0">
      <w:pPr>
        <w:pStyle w:val="191"/>
        <w:spacing w:line="500" w:lineRule="exact"/>
        <w:ind w:firstLine="484" w:firstLineChars="202"/>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5.6.4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2DA3BA22">
      <w:pPr>
        <w:pStyle w:val="191"/>
        <w:spacing w:line="500" w:lineRule="exact"/>
        <w:ind w:firstLine="484" w:firstLineChars="202"/>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5.6.5磋商文件能够详细列明采购标的的技术、服务要求的，磋商结束后，磋商小组应当要求所有实质性响应的供应商在规定时间内提交最后报价，提交最后报价的供应商不得少于2家。</w:t>
      </w:r>
    </w:p>
    <w:p w14:paraId="75A7AAE0">
      <w:pPr>
        <w:pStyle w:val="191"/>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5.5.6磋商文件不能详细列明采购标的的技术、服务要求，需经磋商由供应商提供最终设计方案或解决方案的，磋商结束后，磋商小组应当按照少数服从多数的原则投票推荐2家以上供应商的设计方案或者解决方案，并要求其在规定时间内提交最后报价。</w:t>
      </w:r>
    </w:p>
    <w:p w14:paraId="22CA6873">
      <w:pPr>
        <w:pStyle w:val="191"/>
        <w:spacing w:line="500" w:lineRule="exact"/>
        <w:ind w:firstLine="484" w:firstLineChars="20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5.6.7已提交响应文件的供应商，在提交最后报价之前，可以根据磋商情况退出磋商。其磋商保证金将予以退还。</w:t>
      </w:r>
    </w:p>
    <w:p w14:paraId="60E96F13">
      <w:pPr>
        <w:pStyle w:val="191"/>
        <w:widowControl/>
        <w:spacing w:line="520" w:lineRule="atLeas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5.6.8最后报价是供应商响应文件的有效组成部分。符合《政府采购竞争性磋商采购方式管理暂行办法》第三条第四项情形的，提交最后报价的供应商可以为2家。</w:t>
      </w:r>
    </w:p>
    <w:p w14:paraId="592ABA91">
      <w:pPr>
        <w:pStyle w:val="191"/>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5.6.9经磋商确定最终采购需求和提交最后报价的供应商后，由磋商小组采用综合评分法对提交最后报价的供应商的响应文件和最后报价进行综合评分。</w:t>
      </w:r>
    </w:p>
    <w:p w14:paraId="427BF17C">
      <w:pPr>
        <w:pStyle w:val="191"/>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5.6.10</w:t>
      </w:r>
      <w:bookmarkStart w:id="38" w:name="_Hlk103804209"/>
      <w:r>
        <w:rPr>
          <w:rFonts w:hint="eastAsia" w:ascii="宋体" w:hAnsi="宋体" w:eastAsia="宋体" w:cs="宋体"/>
          <w:color w:val="auto"/>
          <w:sz w:val="24"/>
          <w:szCs w:val="24"/>
          <w:highlight w:val="none"/>
        </w:rPr>
        <w:t>提出成交候选供应商</w:t>
      </w:r>
      <w:bookmarkEnd w:id="38"/>
    </w:p>
    <w:p w14:paraId="767EF554">
      <w:pPr>
        <w:pStyle w:val="191"/>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14:paraId="1893E174">
      <w:pPr>
        <w:pStyle w:val="191"/>
        <w:spacing w:line="500" w:lineRule="exact"/>
        <w:ind w:firstLine="484" w:firstLineChars="20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5.7.</w:t>
      </w:r>
      <w:r>
        <w:rPr>
          <w:rFonts w:hint="eastAsia"/>
          <w:color w:val="auto"/>
          <w:highlight w:val="none"/>
        </w:rPr>
        <w:t xml:space="preserve"> </w:t>
      </w:r>
      <w:bookmarkStart w:id="39" w:name="_Hlk103804226"/>
      <w:r>
        <w:rPr>
          <w:rFonts w:hint="eastAsia" w:ascii="宋体" w:hAnsi="宋体" w:cs="宋体"/>
          <w:color w:val="auto"/>
          <w:sz w:val="24"/>
          <w:szCs w:val="24"/>
          <w:highlight w:val="none"/>
        </w:rPr>
        <w:t>确定成交单位</w:t>
      </w:r>
      <w:bookmarkEnd w:id="39"/>
    </w:p>
    <w:p w14:paraId="720AE560">
      <w:pPr>
        <w:pStyle w:val="191"/>
        <w:spacing w:line="500" w:lineRule="exact"/>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sz w:val="24"/>
          <w:szCs w:val="24"/>
          <w:highlight w:val="none"/>
        </w:rPr>
        <w:t>5.7.1成交供应商确定后，采购代理机构将在政府采购监管部门指定的媒体上发布成交公告，同时向成交供应商发出《成交通知书》。《成交通知书》是合同的组成部分,对成交供应商和采购人具有同等法律效力。</w:t>
      </w:r>
      <w:bookmarkStart w:id="40" w:name="_Toc293738996"/>
      <w:bookmarkStart w:id="41" w:name="_Toc293736058"/>
      <w:bookmarkStart w:id="42" w:name="_Toc293736015"/>
      <w:bookmarkStart w:id="43" w:name="_Toc446599315"/>
    </w:p>
    <w:p w14:paraId="7588D4B0">
      <w:pPr>
        <w:pStyle w:val="191"/>
        <w:keepNext/>
        <w:keepLines/>
        <w:adjustRightInd w:val="0"/>
        <w:snapToGrid w:val="0"/>
        <w:spacing w:before="260" w:after="260" w:line="500" w:lineRule="exact"/>
        <w:ind w:left="-88" w:leftChars="-42"/>
        <w:contextualSpacing/>
        <w:jc w:val="center"/>
        <w:outlineLvl w:val="1"/>
        <w:rPr>
          <w:rFonts w:hint="eastAsia" w:ascii="宋体" w:hAnsi="宋体" w:cs="宋体"/>
          <w:b/>
          <w:color w:val="auto"/>
          <w:sz w:val="24"/>
          <w:szCs w:val="24"/>
          <w:highlight w:val="none"/>
        </w:rPr>
      </w:pPr>
      <w:bookmarkStart w:id="44" w:name="_Toc8747"/>
      <w:bookmarkStart w:id="45" w:name="_Toc21441"/>
      <w:bookmarkStart w:id="46" w:name="_Toc10373"/>
      <w:r>
        <w:rPr>
          <w:rFonts w:hint="eastAsia" w:ascii="宋体" w:hAnsi="宋体" w:cs="宋体"/>
          <w:b/>
          <w:color w:val="auto"/>
          <w:sz w:val="24"/>
          <w:szCs w:val="24"/>
          <w:highlight w:val="none"/>
        </w:rPr>
        <w:t>六、 授予合同</w:t>
      </w:r>
      <w:bookmarkEnd w:id="40"/>
      <w:bookmarkEnd w:id="41"/>
      <w:bookmarkEnd w:id="42"/>
      <w:bookmarkEnd w:id="43"/>
      <w:bookmarkEnd w:id="44"/>
      <w:bookmarkEnd w:id="45"/>
      <w:bookmarkEnd w:id="46"/>
    </w:p>
    <w:p w14:paraId="0C22F39B">
      <w:pPr>
        <w:pStyle w:val="191"/>
        <w:adjustRightInd w:val="0"/>
        <w:snapToGrid w:val="0"/>
        <w:rPr>
          <w:rFonts w:hint="eastAsia" w:ascii="宋体" w:hAnsi="宋体" w:cs="宋体"/>
          <w:color w:val="auto"/>
          <w:sz w:val="24"/>
          <w:szCs w:val="24"/>
          <w:highlight w:val="none"/>
        </w:rPr>
      </w:pPr>
      <w:r>
        <w:rPr>
          <w:rFonts w:hint="eastAsia" w:ascii="宋体" w:hAnsi="宋体" w:cs="宋体"/>
          <w:color w:val="auto"/>
          <w:sz w:val="24"/>
          <w:szCs w:val="24"/>
          <w:highlight w:val="none"/>
        </w:rPr>
        <w:t>6.1 签订合同</w:t>
      </w:r>
    </w:p>
    <w:p w14:paraId="774BE125">
      <w:pPr>
        <w:pStyle w:val="191"/>
        <w:tabs>
          <w:tab w:val="left" w:pos="1875"/>
        </w:tabs>
        <w:adjustRightInd w:val="0"/>
        <w:snapToGrid w:val="0"/>
        <w:spacing w:line="500" w:lineRule="exact"/>
        <w:ind w:firstLine="480" w:firstLineChars="20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6.1.1采购人应在成交通知书发出后30日内，根据成交结果和磋商文件、响应文件及有关补遗文件和确认谈判备忘录拟定的合同文本与成交社会资本签订经同级人民政府审核同意的PPP项目合同，未经本级人民政府审核同意的项目合同无效。</w:t>
      </w:r>
    </w:p>
    <w:p w14:paraId="2BF853ED">
      <w:pPr>
        <w:pStyle w:val="191"/>
        <w:tabs>
          <w:tab w:val="left" w:pos="1875"/>
        </w:tabs>
        <w:adjustRightInd w:val="0"/>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6.1.2采购人应按磋商文件要求和中标人的响应文件承诺订立书面合同，不得超出磋商文件和中标人响应文件的范围，也不得再另行订立背离合同实质性内容的其他协议。</w:t>
      </w:r>
    </w:p>
    <w:p w14:paraId="12A53A8E">
      <w:pPr>
        <w:pStyle w:val="191"/>
        <w:tabs>
          <w:tab w:val="left" w:pos="1875"/>
        </w:tabs>
        <w:adjustRightInd w:val="0"/>
        <w:snapToGrid w:val="0"/>
        <w:spacing w:line="500" w:lineRule="exact"/>
        <w:ind w:firstLine="480" w:firstLineChars="200"/>
        <w:jc w:val="both"/>
        <w:rPr>
          <w:rFonts w:hint="eastAsia" w:ascii="宋体" w:hAnsi="宋体" w:cs="宋体"/>
          <w:color w:val="auto"/>
          <w:kern w:val="0"/>
          <w:sz w:val="24"/>
          <w:szCs w:val="24"/>
          <w:highlight w:val="none"/>
        </w:rPr>
      </w:pPr>
      <w:r>
        <w:rPr>
          <w:rFonts w:hint="eastAsia" w:ascii="宋体" w:hAnsi="宋体" w:cs="宋体"/>
          <w:color w:val="auto"/>
          <w:sz w:val="24"/>
          <w:szCs w:val="24"/>
          <w:highlight w:val="none"/>
        </w:rPr>
        <w:t>6.1.3采购人应在《中标通知书》发出之日起30天内与中标人签订政府采购合同。签订政府采购合同后7个工作日内，采购人应将政府采购合同副本报政府采购监管部门和政府采购代理机构备案。</w:t>
      </w:r>
    </w:p>
    <w:p w14:paraId="1A404AB0">
      <w:pPr>
        <w:pStyle w:val="191"/>
        <w:keepNext/>
        <w:keepLines/>
        <w:adjustRightInd w:val="0"/>
        <w:snapToGrid w:val="0"/>
        <w:spacing w:before="260" w:after="260" w:line="500" w:lineRule="exact"/>
        <w:ind w:left="-88" w:leftChars="-42"/>
        <w:contextualSpacing/>
        <w:jc w:val="center"/>
        <w:outlineLvl w:val="1"/>
        <w:rPr>
          <w:rFonts w:hint="eastAsia" w:ascii="宋体" w:hAnsi="宋体" w:cs="宋体"/>
          <w:b/>
          <w:color w:val="auto"/>
          <w:sz w:val="24"/>
          <w:szCs w:val="24"/>
          <w:highlight w:val="none"/>
        </w:rPr>
      </w:pPr>
      <w:bookmarkStart w:id="47" w:name="_Toc293736016"/>
      <w:bookmarkStart w:id="48" w:name="_Toc446599316"/>
      <w:bookmarkStart w:id="49" w:name="_Toc293738997"/>
      <w:bookmarkStart w:id="50" w:name="_Toc293736059"/>
      <w:bookmarkStart w:id="51" w:name="_Toc14775"/>
      <w:bookmarkStart w:id="52" w:name="_Toc3715"/>
      <w:bookmarkStart w:id="53" w:name="_Toc16650"/>
      <w:r>
        <w:rPr>
          <w:rFonts w:hint="eastAsia" w:ascii="宋体" w:hAnsi="宋体" w:cs="宋体"/>
          <w:b/>
          <w:color w:val="auto"/>
          <w:sz w:val="24"/>
          <w:szCs w:val="24"/>
          <w:highlight w:val="none"/>
        </w:rPr>
        <w:t>七、质疑</w:t>
      </w:r>
      <w:bookmarkEnd w:id="47"/>
      <w:bookmarkEnd w:id="48"/>
      <w:bookmarkEnd w:id="49"/>
      <w:bookmarkEnd w:id="50"/>
      <w:r>
        <w:rPr>
          <w:rFonts w:hint="eastAsia" w:ascii="宋体" w:hAnsi="宋体" w:cs="宋体"/>
          <w:b/>
          <w:color w:val="auto"/>
          <w:sz w:val="24"/>
          <w:szCs w:val="24"/>
          <w:highlight w:val="none"/>
        </w:rPr>
        <w:t>和投诉</w:t>
      </w:r>
      <w:bookmarkEnd w:id="51"/>
      <w:bookmarkEnd w:id="52"/>
      <w:bookmarkEnd w:id="53"/>
    </w:p>
    <w:p w14:paraId="34BB21B0">
      <w:pPr>
        <w:pStyle w:val="191"/>
        <w:tabs>
          <w:tab w:val="left" w:pos="1875"/>
        </w:tabs>
        <w:adjustRightInd w:val="0"/>
        <w:snapToGrid w:val="0"/>
        <w:spacing w:line="500" w:lineRule="exact"/>
        <w:ind w:firstLine="480" w:firstLineChars="200"/>
        <w:jc w:val="left"/>
        <w:rPr>
          <w:rFonts w:hint="eastAsia" w:ascii="宋体" w:hAnsi="宋体" w:cs="宋体"/>
          <w:color w:val="auto"/>
          <w:sz w:val="24"/>
          <w:szCs w:val="24"/>
          <w:highlight w:val="none"/>
        </w:rPr>
      </w:pPr>
      <w:bookmarkStart w:id="54" w:name="_Toc293738998"/>
      <w:bookmarkStart w:id="55" w:name="_Toc293736060"/>
      <w:bookmarkStart w:id="56" w:name="_Toc446599317"/>
      <w:bookmarkStart w:id="57" w:name="_Toc293736017"/>
      <w:bookmarkStart w:id="58" w:name="_Toc294515577"/>
      <w:r>
        <w:rPr>
          <w:rFonts w:hint="eastAsia" w:ascii="宋体" w:hAnsi="宋体" w:cs="宋体"/>
          <w:color w:val="auto"/>
          <w:sz w:val="24"/>
          <w:szCs w:val="24"/>
          <w:highlight w:val="none"/>
        </w:rPr>
        <w:t>7.1质疑</w:t>
      </w:r>
    </w:p>
    <w:p w14:paraId="75684190">
      <w:pPr>
        <w:pStyle w:val="191"/>
        <w:tabs>
          <w:tab w:val="left" w:pos="1875"/>
        </w:tabs>
        <w:adjustRightInd w:val="0"/>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7.1.1供应商提出质疑应当符合以下条件：</w:t>
      </w:r>
    </w:p>
    <w:p w14:paraId="07784243">
      <w:pPr>
        <w:pStyle w:val="191"/>
        <w:tabs>
          <w:tab w:val="left" w:pos="1875"/>
        </w:tabs>
        <w:adjustRightInd w:val="0"/>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如果供应商对此次采购活动有疑问，可依据《政府采购法》等相关规定，在规定的时间内以书面形式向采购人或代理机构提出质疑。质疑书应当包括下列主要内容：</w:t>
      </w:r>
    </w:p>
    <w:p w14:paraId="135DAF41">
      <w:pPr>
        <w:pStyle w:val="191"/>
        <w:tabs>
          <w:tab w:val="left" w:pos="1875"/>
        </w:tabs>
        <w:adjustRightInd w:val="0"/>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（1）质疑人的名称、地址、电话等；</w:t>
      </w:r>
    </w:p>
    <w:p w14:paraId="52762616">
      <w:pPr>
        <w:pStyle w:val="191"/>
        <w:tabs>
          <w:tab w:val="left" w:pos="1875"/>
        </w:tabs>
        <w:adjustRightInd w:val="0"/>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（2）质疑人法人签章和单位公章；</w:t>
      </w:r>
    </w:p>
    <w:p w14:paraId="4FC5E5A5">
      <w:pPr>
        <w:pStyle w:val="191"/>
        <w:tabs>
          <w:tab w:val="left" w:pos="1875"/>
        </w:tabs>
        <w:adjustRightInd w:val="0"/>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（3）具体的质疑事项及事实依据；</w:t>
      </w:r>
    </w:p>
    <w:p w14:paraId="45F0BD31">
      <w:pPr>
        <w:pStyle w:val="191"/>
        <w:tabs>
          <w:tab w:val="left" w:pos="1875"/>
        </w:tabs>
        <w:adjustRightInd w:val="0"/>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（4）明确的请求和必要（合法来源）的证明材料；</w:t>
      </w:r>
    </w:p>
    <w:p w14:paraId="60989C3C">
      <w:pPr>
        <w:pStyle w:val="191"/>
        <w:tabs>
          <w:tab w:val="left" w:pos="1875"/>
        </w:tabs>
        <w:adjustRightInd w:val="0"/>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（5）以联合体形式参与资格预审的，则必须联合体各方共同签署、盖章；</w:t>
      </w:r>
    </w:p>
    <w:p w14:paraId="754F3B2C">
      <w:pPr>
        <w:pStyle w:val="191"/>
        <w:tabs>
          <w:tab w:val="left" w:pos="1875"/>
        </w:tabs>
        <w:adjustRightInd w:val="0"/>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（6）提起质疑的日期。</w:t>
      </w:r>
    </w:p>
    <w:p w14:paraId="4185E378">
      <w:pPr>
        <w:pStyle w:val="191"/>
        <w:tabs>
          <w:tab w:val="left" w:pos="1875"/>
        </w:tabs>
        <w:adjustRightInd w:val="0"/>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特注：未按上述程序规定的必备内容进行质疑的，采购人或代理机构将不予以受理。</w:t>
      </w:r>
    </w:p>
    <w:p w14:paraId="50BA011A">
      <w:pPr>
        <w:pStyle w:val="191"/>
        <w:tabs>
          <w:tab w:val="left" w:pos="1875"/>
        </w:tabs>
        <w:adjustRightInd w:val="0"/>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14:paraId="16971F75">
      <w:pPr>
        <w:pStyle w:val="191"/>
        <w:tabs>
          <w:tab w:val="left" w:pos="1875"/>
        </w:tabs>
        <w:adjustRightInd w:val="0"/>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7.1.3质疑人可以委托代理人办理质疑事项，代理人办理质疑事项时，除提交质疑书外，还应当提交质疑人的授权委托书及代理人的有效身份证明，授权委托书应当载明委托代理的具体权限和事项。</w:t>
      </w:r>
    </w:p>
    <w:p w14:paraId="03625BD1">
      <w:pPr>
        <w:pStyle w:val="191"/>
        <w:tabs>
          <w:tab w:val="left" w:pos="1875"/>
        </w:tabs>
        <w:adjustRightInd w:val="0"/>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7.1.4被质疑人应当在受理质疑后7个工作日内作出答复，并以书面形式通知质疑人和其他有关供应商，答复内容仅限于供应商所质疑的内容，不得涉及国家秘密和商业秘密。</w:t>
      </w:r>
    </w:p>
    <w:p w14:paraId="48C6808A">
      <w:pPr>
        <w:pStyle w:val="191"/>
        <w:tabs>
          <w:tab w:val="left" w:pos="1875"/>
        </w:tabs>
        <w:adjustRightInd w:val="0"/>
        <w:snapToGrid w:val="0"/>
        <w:spacing w:line="500" w:lineRule="exact"/>
        <w:ind w:firstLine="480" w:firstLineChars="200"/>
        <w:jc w:val="left"/>
        <w:rPr>
          <w:rFonts w:hint="eastAsia" w:ascii="宋体" w:hAnsi="宋体" w:cs="宋体"/>
          <w:color w:val="auto"/>
          <w:sz w:val="24"/>
          <w:szCs w:val="24"/>
          <w:highlight w:val="none"/>
        </w:rPr>
      </w:pPr>
      <w:bookmarkStart w:id="59" w:name="_Toc483174929"/>
      <w:bookmarkStart w:id="60" w:name="_Toc450546725"/>
      <w:bookmarkStart w:id="61" w:name="_Toc456336161"/>
      <w:bookmarkStart w:id="62" w:name="_Toc9365"/>
      <w:r>
        <w:rPr>
          <w:rFonts w:hint="eastAsia" w:ascii="宋体" w:hAnsi="宋体" w:cs="宋体"/>
          <w:color w:val="auto"/>
          <w:sz w:val="24"/>
          <w:szCs w:val="24"/>
          <w:highlight w:val="none"/>
        </w:rPr>
        <w:t>7.2投诉</w:t>
      </w:r>
      <w:bookmarkEnd w:id="59"/>
      <w:bookmarkEnd w:id="60"/>
      <w:bookmarkEnd w:id="61"/>
      <w:bookmarkEnd w:id="62"/>
    </w:p>
    <w:p w14:paraId="728B1D95">
      <w:pPr>
        <w:pStyle w:val="191"/>
        <w:tabs>
          <w:tab w:val="left" w:pos="1875"/>
        </w:tabs>
        <w:adjustRightInd w:val="0"/>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7.2.1质疑人如对被质疑人的质疑回复不满意或在规定时间内未做出回复的，可在答复期满后15个工作日内向本项目管辖内的政府采购监督部门提起投诉。供应商投诉应当有明确的请求和必要的证明材料。</w:t>
      </w:r>
    </w:p>
    <w:p w14:paraId="057BD932">
      <w:pPr>
        <w:pStyle w:val="191"/>
        <w:tabs>
          <w:tab w:val="left" w:pos="1875"/>
        </w:tabs>
        <w:adjustRightInd w:val="0"/>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7.2.2投诉人提起投诉应符合以下条件：</w:t>
      </w:r>
    </w:p>
    <w:p w14:paraId="4EFC305C">
      <w:pPr>
        <w:pStyle w:val="191"/>
        <w:tabs>
          <w:tab w:val="left" w:pos="1875"/>
        </w:tabs>
        <w:adjustRightInd w:val="0"/>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(1)投诉人应是参与项目的供应商；</w:t>
      </w:r>
    </w:p>
    <w:p w14:paraId="3B2CCB17">
      <w:pPr>
        <w:pStyle w:val="191"/>
        <w:tabs>
          <w:tab w:val="left" w:pos="1875"/>
        </w:tabs>
        <w:adjustRightInd w:val="0"/>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(2)投诉前已依法进行质疑；</w:t>
      </w:r>
    </w:p>
    <w:p w14:paraId="243A936E">
      <w:pPr>
        <w:pStyle w:val="191"/>
        <w:tabs>
          <w:tab w:val="left" w:pos="1875"/>
        </w:tabs>
        <w:adjustRightInd w:val="0"/>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(3)投诉书内容符合中华人民共和国财政部94号令《政府采购质疑和投诉办法》的规定；</w:t>
      </w:r>
    </w:p>
    <w:p w14:paraId="09836974">
      <w:pPr>
        <w:pStyle w:val="191"/>
        <w:tabs>
          <w:tab w:val="left" w:pos="1875"/>
        </w:tabs>
        <w:adjustRightInd w:val="0"/>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(4)在投诉有效期内；</w:t>
      </w:r>
    </w:p>
    <w:p w14:paraId="58361905">
      <w:pPr>
        <w:pStyle w:val="191"/>
        <w:tabs>
          <w:tab w:val="left" w:pos="1875"/>
        </w:tabs>
        <w:adjustRightInd w:val="0"/>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(5)同一投诉事项未经处理的；</w:t>
      </w:r>
    </w:p>
    <w:p w14:paraId="053CE7EB">
      <w:pPr>
        <w:pStyle w:val="191"/>
        <w:tabs>
          <w:tab w:val="left" w:pos="1875"/>
        </w:tabs>
        <w:adjustRightInd w:val="0"/>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GB"/>
        </w:rPr>
        <w:t>(6)</w:t>
      </w:r>
      <w:r>
        <w:rPr>
          <w:rFonts w:hint="eastAsia" w:ascii="宋体" w:hAnsi="宋体" w:cs="宋体"/>
          <w:color w:val="auto"/>
          <w:sz w:val="24"/>
          <w:szCs w:val="24"/>
          <w:highlight w:val="none"/>
        </w:rPr>
        <w:t>相关法律、法规和省级以上人民政府财政部门规定的其他条件。</w:t>
      </w:r>
    </w:p>
    <w:p w14:paraId="7CAD3F8B">
      <w:pPr>
        <w:pStyle w:val="191"/>
        <w:tabs>
          <w:tab w:val="left" w:pos="1875"/>
        </w:tabs>
        <w:adjustRightInd w:val="0"/>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7.2.3供应商投诉时，应当当面提交投诉书，投诉书应当包括下列主要内容：</w:t>
      </w:r>
    </w:p>
    <w:p w14:paraId="53CEC446">
      <w:pPr>
        <w:pStyle w:val="191"/>
        <w:tabs>
          <w:tab w:val="left" w:pos="1875"/>
        </w:tabs>
        <w:adjustRightInd w:val="0"/>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(1)投诉人的姓名或者名称、住所、联系方式及相关证明；</w:t>
      </w:r>
    </w:p>
    <w:p w14:paraId="373648A6">
      <w:pPr>
        <w:pStyle w:val="191"/>
        <w:tabs>
          <w:tab w:val="left" w:pos="1875"/>
        </w:tabs>
        <w:adjustRightInd w:val="0"/>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(2)被投诉人的名称、住所、联系方式；</w:t>
      </w:r>
    </w:p>
    <w:p w14:paraId="2EB0DB36">
      <w:pPr>
        <w:pStyle w:val="191"/>
        <w:tabs>
          <w:tab w:val="left" w:pos="1875"/>
        </w:tabs>
        <w:adjustRightInd w:val="0"/>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(3)具体的投诉事项、事实根据和法律依据；</w:t>
      </w:r>
    </w:p>
    <w:p w14:paraId="5330BBE3">
      <w:pPr>
        <w:pStyle w:val="191"/>
        <w:tabs>
          <w:tab w:val="left" w:pos="1875"/>
        </w:tabs>
        <w:adjustRightInd w:val="0"/>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(4)质疑和质疑答复情况及相关证明材料；</w:t>
      </w:r>
    </w:p>
    <w:p w14:paraId="40A11ED1">
      <w:pPr>
        <w:pStyle w:val="191"/>
        <w:tabs>
          <w:tab w:val="left" w:pos="1875"/>
        </w:tabs>
        <w:adjustRightInd w:val="0"/>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(5)提起投诉的日期。</w:t>
      </w:r>
    </w:p>
    <w:p w14:paraId="5A109689">
      <w:pPr>
        <w:pStyle w:val="191"/>
        <w:tabs>
          <w:tab w:val="left" w:pos="1875"/>
        </w:tabs>
        <w:adjustRightInd w:val="0"/>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投诉人为自然人的，应当由本人签字。投诉人为法人的，应当由其法定代表人签字并加盖单位公章。投诉人为其他组织的，应当由其主要负责人签字盖章并加盖单位公章。</w:t>
      </w:r>
    </w:p>
    <w:p w14:paraId="7C45640F">
      <w:pPr>
        <w:pStyle w:val="191"/>
        <w:tabs>
          <w:tab w:val="left" w:pos="1875"/>
        </w:tabs>
        <w:adjustRightInd w:val="0"/>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7.2.4投诉人可以授权代理人办理投诉事务。代理人办理投诉事务时，除提交投诉书外，还应当向监督部门提交投诉人的授权委托书，授权委托书应当载明委托代理的具体权限和事项。</w:t>
      </w:r>
    </w:p>
    <w:p w14:paraId="1E7C97D4">
      <w:pPr>
        <w:pStyle w:val="191"/>
        <w:tabs>
          <w:tab w:val="left" w:pos="1875"/>
        </w:tabs>
        <w:adjustRightInd w:val="0"/>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7.2.5投诉人不符合上述规定提起的投诉，政府采购监督部门不予受理。</w:t>
      </w:r>
    </w:p>
    <w:p w14:paraId="42CC486D">
      <w:pPr>
        <w:pStyle w:val="191"/>
        <w:keepNext/>
        <w:keepLines/>
        <w:adjustRightInd w:val="0"/>
        <w:snapToGrid w:val="0"/>
        <w:spacing w:before="260" w:after="260" w:line="500" w:lineRule="exact"/>
        <w:ind w:left="-88" w:leftChars="-42"/>
        <w:contextualSpacing/>
        <w:jc w:val="center"/>
        <w:outlineLvl w:val="1"/>
        <w:rPr>
          <w:rFonts w:hint="eastAsia" w:ascii="宋体" w:hAnsi="宋体" w:cs="宋体"/>
          <w:b/>
          <w:color w:val="auto"/>
          <w:kern w:val="0"/>
          <w:sz w:val="24"/>
          <w:szCs w:val="24"/>
          <w:highlight w:val="none"/>
        </w:rPr>
      </w:pPr>
      <w:bookmarkStart w:id="63" w:name="_Toc3"/>
      <w:bookmarkStart w:id="64" w:name="_Toc3182"/>
      <w:bookmarkStart w:id="65" w:name="_Toc8018"/>
      <w:r>
        <w:rPr>
          <w:rFonts w:hint="eastAsia" w:ascii="宋体" w:hAnsi="宋体" w:cs="宋体"/>
          <w:b/>
          <w:color w:val="auto"/>
          <w:sz w:val="24"/>
          <w:szCs w:val="24"/>
          <w:highlight w:val="none"/>
        </w:rPr>
        <w:t>八、项目验收</w:t>
      </w:r>
      <w:bookmarkEnd w:id="54"/>
      <w:bookmarkEnd w:id="55"/>
      <w:bookmarkEnd w:id="56"/>
      <w:bookmarkEnd w:id="57"/>
      <w:bookmarkEnd w:id="58"/>
      <w:bookmarkEnd w:id="63"/>
      <w:bookmarkEnd w:id="64"/>
      <w:bookmarkEnd w:id="65"/>
    </w:p>
    <w:p w14:paraId="73B01B21">
      <w:pPr>
        <w:pStyle w:val="191"/>
        <w:tabs>
          <w:tab w:val="left" w:pos="1875"/>
        </w:tabs>
        <w:adjustRightInd w:val="0"/>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8.1采购单位按照政府采购合同规定的技术、服务、安全标准对供应商履约情况进行验收，并出具验收书。验收书包括每一项技术、服务、安全标准的履约情况。</w:t>
      </w:r>
    </w:p>
    <w:p w14:paraId="7C1076C0">
      <w:pPr>
        <w:pStyle w:val="191"/>
        <w:tabs>
          <w:tab w:val="left" w:pos="1875"/>
        </w:tabs>
        <w:adjustRightInd w:val="0"/>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8.2验收标准:磋商文件、响应文件、政府采购合同规定的标准。</w:t>
      </w:r>
    </w:p>
    <w:p w14:paraId="4223FD25">
      <w:pPr>
        <w:pStyle w:val="191"/>
        <w:keepNext/>
        <w:keepLines/>
        <w:adjustRightInd w:val="0"/>
        <w:snapToGrid w:val="0"/>
        <w:spacing w:before="260" w:after="260" w:line="500" w:lineRule="exact"/>
        <w:ind w:left="-88" w:leftChars="-42"/>
        <w:contextualSpacing/>
        <w:jc w:val="center"/>
        <w:outlineLvl w:val="1"/>
        <w:rPr>
          <w:rFonts w:hint="eastAsia" w:ascii="宋体" w:hAnsi="宋体" w:cs="宋体"/>
          <w:b/>
          <w:color w:val="auto"/>
          <w:sz w:val="24"/>
          <w:szCs w:val="24"/>
          <w:highlight w:val="none"/>
        </w:rPr>
      </w:pPr>
      <w:bookmarkStart w:id="66" w:name="_Toc293736018"/>
      <w:bookmarkStart w:id="67" w:name="_Toc28550"/>
      <w:bookmarkStart w:id="68" w:name="_Toc28499"/>
      <w:bookmarkStart w:id="69" w:name="_Toc446599318"/>
      <w:bookmarkStart w:id="70" w:name="_Toc6671"/>
      <w:bookmarkStart w:id="71" w:name="_Toc293738999"/>
      <w:bookmarkStart w:id="72" w:name="_Toc293736061"/>
      <w:r>
        <w:rPr>
          <w:rFonts w:hint="eastAsia" w:ascii="宋体" w:hAnsi="宋体" w:cs="宋体"/>
          <w:b/>
          <w:color w:val="auto"/>
          <w:sz w:val="24"/>
          <w:szCs w:val="24"/>
          <w:highlight w:val="none"/>
        </w:rPr>
        <w:t>九、适用法律</w:t>
      </w:r>
      <w:bookmarkEnd w:id="66"/>
      <w:bookmarkEnd w:id="67"/>
      <w:bookmarkEnd w:id="68"/>
      <w:bookmarkEnd w:id="69"/>
      <w:bookmarkEnd w:id="70"/>
      <w:bookmarkEnd w:id="71"/>
      <w:bookmarkEnd w:id="72"/>
    </w:p>
    <w:p w14:paraId="60629CB2">
      <w:pPr>
        <w:pStyle w:val="191"/>
        <w:tabs>
          <w:tab w:val="left" w:pos="1875"/>
        </w:tabs>
        <w:adjustRightInd w:val="0"/>
        <w:snapToGrid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9.1招标采购单位和供应商的一切招标投标活动均适用于《政府采购法》、《政府采购实施条例》、《政府采购竞争性磋商采购方式管理办法》等相关规定。</w:t>
      </w:r>
    </w:p>
    <w:p w14:paraId="31B8349B">
      <w:pPr>
        <w:pStyle w:val="191"/>
        <w:keepNext/>
        <w:keepLines/>
        <w:adjustRightInd w:val="0"/>
        <w:snapToGrid w:val="0"/>
        <w:spacing w:before="260" w:after="260" w:line="500" w:lineRule="exact"/>
        <w:ind w:left="-88" w:leftChars="-42"/>
        <w:contextualSpacing/>
        <w:jc w:val="center"/>
        <w:outlineLvl w:val="1"/>
        <w:rPr>
          <w:rFonts w:hint="eastAsia" w:ascii="宋体" w:hAnsi="宋体" w:cs="宋体"/>
          <w:b/>
          <w:color w:val="auto"/>
          <w:sz w:val="24"/>
          <w:szCs w:val="24"/>
          <w:highlight w:val="none"/>
        </w:rPr>
      </w:pPr>
      <w:bookmarkStart w:id="73" w:name="_Toc24101"/>
      <w:bookmarkStart w:id="74" w:name="_Toc446599319"/>
      <w:bookmarkStart w:id="75" w:name="_Toc26356"/>
      <w:bookmarkStart w:id="76" w:name="_Toc21968"/>
      <w:bookmarkStart w:id="77" w:name="_Toc437611460"/>
      <w:bookmarkStart w:id="78" w:name="_Toc272247702"/>
      <w:bookmarkStart w:id="79" w:name="_Toc278891599"/>
      <w:r>
        <w:rPr>
          <w:rFonts w:hint="eastAsia" w:ascii="宋体" w:hAnsi="宋体" w:cs="宋体"/>
          <w:b/>
          <w:color w:val="auto"/>
          <w:sz w:val="24"/>
          <w:szCs w:val="24"/>
          <w:highlight w:val="none"/>
        </w:rPr>
        <w:t>十、磋商文件的解释权</w:t>
      </w:r>
      <w:bookmarkEnd w:id="73"/>
      <w:bookmarkEnd w:id="74"/>
      <w:bookmarkEnd w:id="75"/>
      <w:bookmarkEnd w:id="76"/>
      <w:bookmarkEnd w:id="77"/>
      <w:bookmarkEnd w:id="78"/>
      <w:bookmarkEnd w:id="79"/>
    </w:p>
    <w:p w14:paraId="5BC9FAE1">
      <w:pPr>
        <w:pStyle w:val="191"/>
        <w:spacing w:line="500" w:lineRule="exact"/>
        <w:ind w:firstLine="484" w:firstLineChars="20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10.1本项目磋商文件的最终解释权为采购单位所有。</w:t>
      </w:r>
    </w:p>
    <w:p w14:paraId="2288F4CB">
      <w:pPr>
        <w:pStyle w:val="191"/>
        <w:keepNext/>
        <w:keepLines/>
        <w:adjustRightInd w:val="0"/>
        <w:snapToGrid w:val="0"/>
        <w:spacing w:before="260" w:after="260" w:line="500" w:lineRule="exact"/>
        <w:ind w:left="-88" w:leftChars="-42"/>
        <w:contextualSpacing/>
        <w:jc w:val="center"/>
        <w:outlineLvl w:val="1"/>
        <w:rPr>
          <w:rFonts w:hint="eastAsia" w:ascii="宋体" w:hAnsi="宋体" w:cs="宋体"/>
          <w:b/>
          <w:color w:val="auto"/>
          <w:sz w:val="24"/>
          <w:szCs w:val="24"/>
          <w:highlight w:val="none"/>
        </w:rPr>
      </w:pPr>
      <w:bookmarkStart w:id="80" w:name="_Toc446599320"/>
      <w:bookmarkStart w:id="81" w:name="_Toc21207"/>
      <w:bookmarkStart w:id="82" w:name="_Toc15447"/>
      <w:bookmarkStart w:id="83" w:name="_Toc437611461"/>
      <w:bookmarkStart w:id="84" w:name="_Toc21380"/>
      <w:r>
        <w:rPr>
          <w:rFonts w:hint="eastAsia" w:ascii="宋体" w:hAnsi="宋体" w:cs="宋体"/>
          <w:b/>
          <w:color w:val="auto"/>
          <w:sz w:val="24"/>
          <w:szCs w:val="24"/>
          <w:highlight w:val="none"/>
        </w:rPr>
        <w:t>十一、其他注意事项</w:t>
      </w:r>
      <w:bookmarkEnd w:id="80"/>
      <w:bookmarkEnd w:id="81"/>
      <w:bookmarkEnd w:id="82"/>
      <w:bookmarkEnd w:id="83"/>
      <w:bookmarkEnd w:id="84"/>
    </w:p>
    <w:p w14:paraId="735D24CD">
      <w:pPr>
        <w:pStyle w:val="191"/>
        <w:spacing w:line="500" w:lineRule="exact"/>
        <w:ind w:firstLine="484" w:firstLineChars="20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11.1单位负责人为同一人或者存在直接控股、管理关系的不同供应商，不得参加同一合同项下的政府采购活动。</w:t>
      </w:r>
    </w:p>
    <w:p w14:paraId="1CCC15F5">
      <w:pPr>
        <w:pStyle w:val="191"/>
        <w:spacing w:line="500" w:lineRule="exact"/>
        <w:ind w:firstLine="484" w:firstLineChars="20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11.2供应商为采购项目提供整体设计、规范编制或者项目管理、监理、检测等服务的供应商，不得再参加该采购项目的其他采购活动。</w:t>
      </w:r>
    </w:p>
    <w:p w14:paraId="7A4D66AE">
      <w:pPr>
        <w:pStyle w:val="191"/>
        <w:spacing w:line="500" w:lineRule="exact"/>
        <w:ind w:firstLine="484" w:firstLineChars="20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11.3政府采购法第二十二条第一款第五项所称重大违法记录，是指供应商因违法经营受到刑事处罚或者责令停产停业、吊销许可证或者执照、较大数额罚款等行政处罚。</w:t>
      </w:r>
    </w:p>
    <w:p w14:paraId="522E41CF">
      <w:pPr>
        <w:pStyle w:val="191"/>
        <w:spacing w:line="500" w:lineRule="exact"/>
        <w:ind w:firstLine="484" w:firstLineChars="20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11.4按照财政部《关于规范政府采购行政处罚有关问题的通知》的规定，各级人民政府财政部门依法对参加政府采购活动的供应商作出的禁止参加政府采购活动等行政处罚决定在全国范围内生效。</w:t>
      </w:r>
    </w:p>
    <w:p w14:paraId="1C060CF2">
      <w:pPr>
        <w:pStyle w:val="191"/>
        <w:spacing w:line="500" w:lineRule="exact"/>
        <w:ind w:firstLine="484" w:firstLineChars="20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11.5供应商在参加政府采购活动前3年内因违法经营被禁止在一定期限内参加政府采购活动，期限届满的，可以参加政府采购活动。</w:t>
      </w:r>
    </w:p>
    <w:p w14:paraId="2229098F">
      <w:pPr>
        <w:pStyle w:val="191"/>
        <w:spacing w:line="500" w:lineRule="exact"/>
        <w:ind w:firstLine="484" w:firstLineChars="202"/>
        <w:rPr>
          <w:rFonts w:ascii="宋体" w:hAnsi="宋体"/>
          <w:color w:val="auto"/>
          <w:sz w:val="24"/>
          <w:szCs w:val="24"/>
          <w:highlight w:val="none"/>
        </w:rPr>
      </w:pPr>
      <w:bookmarkStart w:id="85" w:name="_Hlk103804269"/>
      <w:r>
        <w:rPr>
          <w:rFonts w:hint="eastAsia" w:ascii="宋体" w:hAnsi="宋体"/>
          <w:color w:val="auto"/>
          <w:sz w:val="24"/>
          <w:szCs w:val="24"/>
          <w:highlight w:val="none"/>
        </w:rPr>
        <w:t>11.6出现下列情形之一的，采购人或者采购代理机构应当终止竞争性磋商采购活动，发布项目终止公告并说明原因，重新开展采购活动：</w:t>
      </w:r>
    </w:p>
    <w:p w14:paraId="58AD3483">
      <w:pPr>
        <w:pStyle w:val="191"/>
        <w:spacing w:line="500" w:lineRule="exact"/>
        <w:ind w:firstLine="484" w:firstLineChars="202"/>
        <w:rPr>
          <w:rFonts w:ascii="宋体" w:hAnsi="宋体"/>
          <w:color w:val="auto"/>
          <w:sz w:val="24"/>
          <w:szCs w:val="24"/>
          <w:highlight w:val="none"/>
        </w:rPr>
      </w:pPr>
      <w:r>
        <w:rPr>
          <w:rFonts w:hint="eastAsia" w:ascii="宋体" w:hAnsi="宋体"/>
          <w:color w:val="auto"/>
          <w:sz w:val="24"/>
          <w:szCs w:val="24"/>
          <w:highlight w:val="none"/>
        </w:rPr>
        <w:t>（一）因情况变化，不再符合规定的竞争性磋商采购方式适用情形的；</w:t>
      </w:r>
    </w:p>
    <w:p w14:paraId="04975E82">
      <w:pPr>
        <w:pStyle w:val="191"/>
        <w:spacing w:line="500" w:lineRule="exact"/>
        <w:ind w:firstLine="484" w:firstLineChars="202"/>
        <w:rPr>
          <w:rFonts w:ascii="宋体" w:hAnsi="宋体"/>
          <w:color w:val="auto"/>
          <w:sz w:val="24"/>
          <w:szCs w:val="24"/>
          <w:highlight w:val="none"/>
        </w:rPr>
      </w:pPr>
      <w:r>
        <w:rPr>
          <w:rFonts w:hint="eastAsia" w:ascii="宋体" w:hAnsi="宋体"/>
          <w:color w:val="auto"/>
          <w:sz w:val="24"/>
          <w:szCs w:val="24"/>
          <w:highlight w:val="none"/>
        </w:rPr>
        <w:t>（二）出现影响采购公正的违法、违规行为的；</w:t>
      </w:r>
    </w:p>
    <w:p w14:paraId="6C7D9962">
      <w:pPr>
        <w:pStyle w:val="191"/>
        <w:spacing w:line="500" w:lineRule="exact"/>
        <w:ind w:firstLine="484" w:firstLineChars="202"/>
        <w:rPr>
          <w:rFonts w:hint="eastAsia" w:ascii="宋体" w:hAnsi="宋体"/>
          <w:color w:val="auto"/>
          <w:sz w:val="24"/>
          <w:szCs w:val="24"/>
          <w:highlight w:val="none"/>
        </w:rPr>
      </w:pPr>
      <w:r>
        <w:rPr>
          <w:rFonts w:hint="eastAsia" w:ascii="宋体" w:hAnsi="宋体"/>
          <w:color w:val="auto"/>
          <w:sz w:val="24"/>
          <w:szCs w:val="24"/>
          <w:highlight w:val="none"/>
        </w:rPr>
        <w:t>（三）除政府采购竞争性磋商采购方式管理暂行办法第二十一条第三款规定的情形外，在采购过程中符合要求的供应商或者报价未超过采购预算的供应商不足</w:t>
      </w:r>
      <w:r>
        <w:rPr>
          <w:rFonts w:ascii="宋体" w:hAnsi="宋体"/>
          <w:color w:val="auto"/>
          <w:sz w:val="24"/>
          <w:szCs w:val="24"/>
          <w:highlight w:val="none"/>
        </w:rPr>
        <w:t>3</w:t>
      </w:r>
      <w:r>
        <w:rPr>
          <w:rFonts w:hint="eastAsia" w:ascii="宋体" w:hAnsi="宋体"/>
          <w:color w:val="auto"/>
          <w:sz w:val="24"/>
          <w:szCs w:val="24"/>
          <w:highlight w:val="none"/>
        </w:rPr>
        <w:t>家的。在采购活动中因重大变故，采购任务取消的，采购人或者采购代理机构应当终止采购活动，通知所有参加采购活动的供应商，并将项目实施情况和采购任务取消原因报送本级财政部门。</w:t>
      </w:r>
    </w:p>
    <w:bookmarkEnd w:id="4"/>
    <w:bookmarkEnd w:id="11"/>
    <w:bookmarkEnd w:id="12"/>
    <w:bookmarkEnd w:id="85"/>
    <w:p w14:paraId="486D57F5">
      <w:pPr>
        <w:pStyle w:val="2"/>
        <w:spacing w:before="0" w:after="0" w:line="240" w:lineRule="auto"/>
        <w:jc w:val="both"/>
        <w:rPr>
          <w:rFonts w:hint="eastAsia" w:cs="宋体"/>
          <w:b/>
          <w:bCs w:val="0"/>
          <w:color w:val="auto"/>
          <w:highlight w:val="none"/>
        </w:rPr>
        <w:sectPr>
          <w:headerReference r:id="rId4" w:type="default"/>
          <w:footerReference r:id="rId5" w:type="default"/>
          <w:pgSz w:w="11906" w:h="16838"/>
          <w:pgMar w:top="1440" w:right="1797" w:bottom="1440" w:left="1797" w:header="851" w:footer="992" w:gutter="0"/>
          <w:pgNumType w:fmt="decimal"/>
          <w:cols w:space="720" w:num="1"/>
          <w:docGrid w:linePitch="312" w:charSpace="0"/>
        </w:sectPr>
      </w:pPr>
      <w:bookmarkStart w:id="86" w:name="_Toc293736062"/>
      <w:bookmarkStart w:id="87" w:name="_Toc293739000"/>
      <w:bookmarkStart w:id="88" w:name="_Toc293736019"/>
      <w:bookmarkStart w:id="89" w:name="_Toc446599321"/>
      <w:bookmarkStart w:id="90" w:name="_Toc532543565"/>
      <w:bookmarkStart w:id="91" w:name="_Toc1441"/>
      <w:bookmarkStart w:id="92" w:name="_Toc531075009"/>
      <w:bookmarkStart w:id="93" w:name="_Toc28752"/>
      <w:bookmarkStart w:id="94" w:name="_Toc446599322"/>
      <w:bookmarkStart w:id="95" w:name="_Toc293736020"/>
      <w:bookmarkStart w:id="96" w:name="_Toc293739001"/>
      <w:bookmarkStart w:id="97" w:name="_Toc293736063"/>
    </w:p>
    <w:p w14:paraId="2315356E">
      <w:pPr>
        <w:pStyle w:val="2"/>
        <w:spacing w:before="0" w:after="0" w:line="240" w:lineRule="auto"/>
        <w:ind w:left="-88" w:leftChars="-42"/>
        <w:rPr>
          <w:rFonts w:hint="eastAsia" w:ascii="宋体" w:hAnsi="宋体" w:cs="宋体"/>
          <w:color w:val="auto"/>
          <w:sz w:val="24"/>
          <w:szCs w:val="24"/>
          <w:highlight w:val="none"/>
        </w:rPr>
      </w:pPr>
      <w:r>
        <w:rPr>
          <w:rFonts w:hint="eastAsia" w:cs="宋体"/>
          <w:b/>
          <w:bCs w:val="0"/>
          <w:color w:val="auto"/>
          <w:highlight w:val="none"/>
        </w:rPr>
        <w:t>第三章</w:t>
      </w:r>
      <w:r>
        <w:rPr>
          <w:rFonts w:hint="eastAsia" w:cs="宋体"/>
          <w:b/>
          <w:bCs w:val="0"/>
          <w:color w:val="auto"/>
          <w:highlight w:val="none"/>
          <w:lang w:val="en-US" w:eastAsia="zh-CN"/>
        </w:rPr>
        <w:t xml:space="preserve"> </w:t>
      </w:r>
      <w:r>
        <w:rPr>
          <w:rFonts w:hint="eastAsia" w:cs="宋体"/>
          <w:b/>
          <w:bCs w:val="0"/>
          <w:color w:val="auto"/>
          <w:highlight w:val="none"/>
        </w:rPr>
        <w:t>采购</w:t>
      </w:r>
      <w:bookmarkEnd w:id="86"/>
      <w:bookmarkEnd w:id="87"/>
      <w:bookmarkEnd w:id="88"/>
      <w:bookmarkStart w:id="98" w:name="_Toc294515580"/>
      <w:r>
        <w:rPr>
          <w:rFonts w:hint="eastAsia" w:cs="宋体"/>
          <w:b/>
          <w:bCs w:val="0"/>
          <w:color w:val="auto"/>
          <w:highlight w:val="none"/>
        </w:rPr>
        <w:t>需求</w:t>
      </w:r>
      <w:bookmarkEnd w:id="89"/>
      <w:bookmarkEnd w:id="90"/>
      <w:bookmarkEnd w:id="91"/>
      <w:bookmarkEnd w:id="92"/>
      <w:bookmarkEnd w:id="93"/>
      <w:bookmarkEnd w:id="98"/>
    </w:p>
    <w:p w14:paraId="2E2A5272">
      <w:pPr>
        <w:pStyle w:val="27"/>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Calibri" w:hAnsi="Calibri" w:eastAsia="宋体" w:cs="宋体"/>
          <w:b/>
          <w:bCs w:val="0"/>
          <w:color w:val="auto"/>
          <w:kern w:val="44"/>
          <w:sz w:val="44"/>
          <w:szCs w:val="44"/>
          <w:highlight w:val="none"/>
          <w:lang w:val="en-US" w:eastAsia="zh-CN" w:bidi="ar-SA"/>
        </w:rPr>
      </w:pPr>
      <w:bookmarkStart w:id="99" w:name="_Toc531075010"/>
      <w:bookmarkStart w:id="100" w:name="_Toc30412"/>
      <w:bookmarkStart w:id="101" w:name="_Toc10724"/>
      <w:bookmarkStart w:id="102" w:name="_Toc532543566"/>
    </w:p>
    <w:p w14:paraId="760947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目背景：边境贸易是新疆对外贸易最具特色与优势的组成部分。商务部印发的《关于促进外贸稳定增长若干措施的通知》（商贸发〔2024〕288号）明确指出，积极发展边境贸易，大力推进边贸互市贸易进口商品落地加工。新疆边境线长约5700公里，与8个国家接壤，拥有8个边民互市贸易区。为推动边境贸易创新发展，拟通过建设边民互市贸易综合服务平台，提升边民互市贸易智慧化、信息化管理水平，规范边民互市贸易进出口及国内流通、加工等环节流程，平台用户覆盖各边境县市参与边民互市贸易的边民、各边民互市贸易区运营企业、边民互市贸易进口商品落地加工企业、自治区及各地州市商务、海关、人行、市监等单位及工作人员。</w:t>
      </w:r>
    </w:p>
    <w:p w14:paraId="0B35FE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编制内容：结合前期中国（新疆）国际贸易“单一”窗口地方特色应用功能拓展（自治区边民互市贸易综合服务）项目建设情况，结合边民互市贸易发展的最新需求，对边民互市贸易综合服务项目功能进行优化。投标人需要根据用户需求、发展现状和建设目标要求，对项目进行全面、科学、可行、先进且详细的设计。编制项目建议书、可行性研究报告和初步设计三合一方案、投资概算以及相关图纸。</w:t>
      </w:r>
    </w:p>
    <w:p w14:paraId="64F13C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 服务要求</w:t>
      </w:r>
    </w:p>
    <w:p w14:paraId="745375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（1）工作原则为确保项目建设能达到预期建设目标，在项目咨询设计过程中，应遵循以下工作原则：</w:t>
      </w:r>
    </w:p>
    <w:p w14:paraId="49EFD8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规范性：成果需符合国家相关规定和标准。</w:t>
      </w:r>
    </w:p>
    <w:p w14:paraId="6DA41E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全局性：成果必须从全局出发，使各项建设内容达到合理、可靠、安全、经济的目的。</w:t>
      </w:r>
    </w:p>
    <w:p w14:paraId="698573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完整性：成果必须是完整的，并具备可操作性和可实施性。</w:t>
      </w:r>
    </w:p>
    <w:p w14:paraId="5FA516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系统性：成果必须是系统的，需要考虑单位之间，单位内部不同部门之间的逻辑关系，需要考虑哪些是已建成的，哪些是需要进一步优化的。</w:t>
      </w:r>
    </w:p>
    <w:p w14:paraId="334068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前瞻性：成果必须具有一定的前瞻性，能达到国内领先，国际先进的要求。</w:t>
      </w:r>
    </w:p>
    <w:p w14:paraId="596A5F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实用性：成果必须是实用、符合实际需求的，从应用出发，说明清楚业务应用发展和现状，确保以“服务”为核心的重要性。</w:t>
      </w:r>
    </w:p>
    <w:p w14:paraId="741A44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保密性：严格按照项目的保密要求开展咨询工作，确保项目信息的安全性和保密性。</w:t>
      </w:r>
    </w:p>
    <w:p w14:paraId="4AD52F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（2）服务要求</w:t>
      </w:r>
    </w:p>
    <w:p w14:paraId="5DE616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a.编制规范：须在充分理解项目建设目标和建设需求的基础上，按照国家及当地相关的设计标准规范和工作要求开展可行性研究报告编制工作。</w:t>
      </w:r>
    </w:p>
    <w:p w14:paraId="14EDC4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b.团队配置：须配置专职的咨询负责人全程负责本项目工程咨询设计工作，同时配置合理的设计团队，确保满足项目各建设内容的咨询设计需求。</w:t>
      </w:r>
    </w:p>
    <w:p w14:paraId="15A126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c.审查和检验要求：采购人以国家、行业及新疆维吾尔自治区有关规范和技术要求以及项目投资主管部门审批要求作为审查依据，对咨询设计工作进行严格管理和审查。审查方式如下：</w:t>
      </w:r>
    </w:p>
    <w:p w14:paraId="365435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由采购人负责对项目建议书、可行性研究报告和初步设计三合一方案、投资概算以及图纸等相关文档进行审查，并及时反馈修改意见，投标人须根据修改意见及时进行修改完善，并将三合一方案、投资概算以及图纸等最终成果报项目投资主管部门审批，直至审批通过，并获得批复。</w:t>
      </w:r>
    </w:p>
    <w:p w14:paraId="349A66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（3）服务质量要求</w:t>
      </w:r>
    </w:p>
    <w:p w14:paraId="7408D5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须满足国家及现行业的设计规定、标准及质量检验评定标准要求，并须通过有关部门组织的专家审查，确保项目建设的质量和水平到行业先进标准。</w:t>
      </w:r>
    </w:p>
    <w:p w14:paraId="22CAE11B">
      <w:pPr>
        <w:pStyle w:val="27"/>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Times New Roman"/>
          <w:color w:val="auto"/>
          <w:kern w:val="2"/>
          <w:sz w:val="24"/>
          <w:szCs w:val="24"/>
          <w:highlight w:val="none"/>
          <w:lang w:val="en-US" w:eastAsia="zh-CN" w:bidi="ar-SA"/>
        </w:rPr>
        <w:sectPr>
          <w:pgSz w:w="11906" w:h="16838"/>
          <w:pgMar w:top="1440" w:right="1797" w:bottom="1440" w:left="1797" w:header="851" w:footer="992" w:gutter="0"/>
          <w:pgNumType w:fmt="decimal"/>
          <w:cols w:space="720" w:num="1"/>
          <w:docGrid w:linePitch="312" w:charSpace="0"/>
        </w:sectPr>
      </w:pPr>
    </w:p>
    <w:p w14:paraId="2A8B2FE6">
      <w:pPr>
        <w:pStyle w:val="27"/>
        <w:keepNext w:val="0"/>
        <w:keepLines w:val="0"/>
        <w:pageBreakBefore w:val="0"/>
        <w:kinsoku/>
        <w:wordWrap/>
        <w:overflowPunct/>
        <w:topLinePunct w:val="0"/>
        <w:autoSpaceDE/>
        <w:autoSpaceDN/>
        <w:bidi w:val="0"/>
        <w:adjustRightInd/>
        <w:snapToGrid/>
        <w:spacing w:line="440" w:lineRule="exact"/>
        <w:jc w:val="center"/>
        <w:textAlignment w:val="auto"/>
        <w:rPr>
          <w:color w:val="auto"/>
          <w:highlight w:val="none"/>
        </w:rPr>
      </w:pPr>
      <w:r>
        <w:rPr>
          <w:rFonts w:hint="eastAsia" w:ascii="Calibri" w:hAnsi="Calibri" w:eastAsia="宋体" w:cs="宋体"/>
          <w:b/>
          <w:bCs w:val="0"/>
          <w:color w:val="auto"/>
          <w:kern w:val="44"/>
          <w:sz w:val="44"/>
          <w:szCs w:val="44"/>
          <w:highlight w:val="none"/>
          <w:lang w:val="en-US" w:eastAsia="zh-CN" w:bidi="ar-SA"/>
        </w:rPr>
        <w:t>第四章 评审方法</w:t>
      </w:r>
      <w:bookmarkEnd w:id="94"/>
      <w:bookmarkEnd w:id="95"/>
      <w:bookmarkEnd w:id="96"/>
      <w:bookmarkEnd w:id="97"/>
      <w:bookmarkEnd w:id="99"/>
      <w:bookmarkEnd w:id="100"/>
      <w:bookmarkEnd w:id="101"/>
      <w:bookmarkEnd w:id="102"/>
    </w:p>
    <w:p w14:paraId="59113C29">
      <w:pPr>
        <w:keepNext w:val="0"/>
        <w:keepLines w:val="0"/>
        <w:pageBreakBefore w:val="0"/>
        <w:widowControl w:val="0"/>
        <w:tabs>
          <w:tab w:val="left" w:pos="420"/>
          <w:tab w:val="left" w:pos="7560"/>
          <w:tab w:val="left" w:pos="7740"/>
          <w:tab w:val="left" w:pos="7920"/>
        </w:tabs>
        <w:kinsoku/>
        <w:wordWrap/>
        <w:overflowPunct/>
        <w:topLinePunct w:val="0"/>
        <w:autoSpaceDE/>
        <w:autoSpaceDN/>
        <w:bidi w:val="0"/>
        <w:adjustRightInd w:val="0"/>
        <w:snapToGrid w:val="0"/>
        <w:spacing w:line="400" w:lineRule="exact"/>
        <w:textAlignment w:val="auto"/>
        <w:rPr>
          <w:rFonts w:ascii="宋体" w:hAnsi="宋体"/>
          <w:b/>
          <w:color w:val="auto"/>
          <w:sz w:val="24"/>
          <w:szCs w:val="24"/>
          <w:highlight w:val="none"/>
        </w:rPr>
      </w:pPr>
      <w:bookmarkStart w:id="103" w:name="_Toc293736067"/>
      <w:bookmarkStart w:id="104" w:name="_Toc293739005"/>
      <w:bookmarkStart w:id="105" w:name="_Toc446599330"/>
      <w:bookmarkStart w:id="106" w:name="_Toc293736024"/>
      <w:r>
        <w:rPr>
          <w:rFonts w:hint="eastAsia" w:ascii="宋体" w:hAnsi="宋体"/>
          <w:b/>
          <w:color w:val="auto"/>
          <w:sz w:val="24"/>
          <w:szCs w:val="24"/>
          <w:highlight w:val="none"/>
        </w:rPr>
        <w:t>一、综合评分</w:t>
      </w:r>
    </w:p>
    <w:p w14:paraId="65A1D134">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1.经磋商确定最终采购需求和提交最后报价的供应商后，由磋商小组采用综合评分法对提交最后报价的供应商的响应文件和最后报价进行综合评分。</w:t>
      </w:r>
    </w:p>
    <w:p w14:paraId="7F5EE1C9">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综合评分法，是指响应文件满足磋商文件全部实质性要求且按评审因素的量化指标评审得分最高的供应商为成交候选供应商的评审方法。</w:t>
      </w:r>
    </w:p>
    <w:p w14:paraId="023C53D7">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2.评审时，磋商小组各成员应当独立对每个有效响应的文件进行评价、打分，然后汇总每个供应商每项评分因素的得分。</w:t>
      </w:r>
    </w:p>
    <w:p w14:paraId="320EBA7C">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14:paraId="53BE52B9">
      <w:pPr>
        <w:keepNext w:val="0"/>
        <w:keepLines w:val="0"/>
        <w:pageBreakBefore w:val="0"/>
        <w:widowControl w:val="0"/>
        <w:kinsoku/>
        <w:wordWrap/>
        <w:overflowPunct/>
        <w:topLinePunct w:val="0"/>
        <w:autoSpaceDE/>
        <w:autoSpaceDN/>
        <w:bidi w:val="0"/>
        <w:spacing w:line="400" w:lineRule="exact"/>
        <w:textAlignment w:val="auto"/>
        <w:rPr>
          <w:color w:val="auto"/>
          <w:sz w:val="24"/>
          <w:szCs w:val="24"/>
          <w:highlight w:val="none"/>
        </w:rPr>
      </w:pPr>
      <w:r>
        <w:rPr>
          <w:rFonts w:hint="eastAsia" w:ascii="宋体" w:hAnsi="宋体"/>
          <w:b/>
          <w:bCs/>
          <w:color w:val="auto"/>
          <w:sz w:val="24"/>
          <w:szCs w:val="24"/>
          <w:highlight w:val="none"/>
        </w:rPr>
        <w:t>二.</w:t>
      </w:r>
      <w:r>
        <w:rPr>
          <w:rFonts w:hint="eastAsia"/>
          <w:b/>
          <w:bCs/>
          <w:color w:val="auto"/>
          <w:sz w:val="24"/>
          <w:szCs w:val="24"/>
          <w:highlight w:val="none"/>
        </w:rPr>
        <w:t>综合评分细则表</w:t>
      </w:r>
    </w:p>
    <w:tbl>
      <w:tblPr>
        <w:tblStyle w:val="40"/>
        <w:tblW w:w="5375"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
      <w:tblGrid>
        <w:gridCol w:w="647"/>
        <w:gridCol w:w="638"/>
        <w:gridCol w:w="1863"/>
        <w:gridCol w:w="4602"/>
        <w:gridCol w:w="656"/>
        <w:gridCol w:w="691"/>
      </w:tblGrid>
      <w:tr w14:paraId="796962B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706" w:type="pct"/>
            <w:gridSpan w:val="2"/>
            <w:vMerge w:val="restart"/>
            <w:tcBorders>
              <w:top w:val="outset" w:color="auto" w:sz="6" w:space="0"/>
              <w:left w:val="outset" w:color="auto" w:sz="6" w:space="0"/>
              <w:bottom w:val="outset" w:color="auto" w:sz="6" w:space="0"/>
              <w:right w:val="outset" w:color="auto" w:sz="6" w:space="0"/>
            </w:tcBorders>
            <w:noWrap w:val="0"/>
            <w:vAlign w:val="center"/>
          </w:tcPr>
          <w:p w14:paraId="346C9789">
            <w:pPr>
              <w:pStyle w:val="125"/>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评分因素</w:t>
            </w:r>
          </w:p>
        </w:tc>
        <w:tc>
          <w:tcPr>
            <w:tcW w:w="1023" w:type="pct"/>
            <w:vMerge w:val="restart"/>
            <w:tcBorders>
              <w:top w:val="outset" w:color="auto" w:sz="6" w:space="0"/>
              <w:left w:val="outset" w:color="auto" w:sz="6" w:space="0"/>
              <w:bottom w:val="outset" w:color="auto" w:sz="6" w:space="0"/>
              <w:right w:val="outset" w:color="auto" w:sz="6" w:space="0"/>
            </w:tcBorders>
            <w:noWrap w:val="0"/>
            <w:vAlign w:val="center"/>
          </w:tcPr>
          <w:p w14:paraId="2052E9D3">
            <w:pPr>
              <w:pStyle w:val="125"/>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评分点</w:t>
            </w:r>
          </w:p>
        </w:tc>
        <w:tc>
          <w:tcPr>
            <w:tcW w:w="2529" w:type="pct"/>
            <w:vMerge w:val="restart"/>
            <w:tcBorders>
              <w:top w:val="outset" w:color="auto" w:sz="6" w:space="0"/>
              <w:left w:val="outset" w:color="auto" w:sz="6" w:space="0"/>
              <w:bottom w:val="outset" w:color="auto" w:sz="6" w:space="0"/>
              <w:right w:val="outset" w:color="auto" w:sz="6" w:space="0"/>
            </w:tcBorders>
            <w:noWrap w:val="0"/>
            <w:vAlign w:val="center"/>
          </w:tcPr>
          <w:p w14:paraId="496CDDF8">
            <w:pPr>
              <w:pStyle w:val="125"/>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评分标准</w:t>
            </w:r>
          </w:p>
        </w:tc>
        <w:tc>
          <w:tcPr>
            <w:tcW w:w="740" w:type="pct"/>
            <w:gridSpan w:val="2"/>
            <w:tcBorders>
              <w:top w:val="outset" w:color="auto" w:sz="6" w:space="0"/>
              <w:left w:val="outset" w:color="auto" w:sz="6" w:space="0"/>
              <w:bottom w:val="outset" w:color="auto" w:sz="6" w:space="0"/>
              <w:right w:val="outset" w:color="auto" w:sz="6" w:space="0"/>
            </w:tcBorders>
            <w:noWrap w:val="0"/>
            <w:vAlign w:val="center"/>
          </w:tcPr>
          <w:p w14:paraId="56844200">
            <w:pPr>
              <w:pStyle w:val="125"/>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评审意见</w:t>
            </w:r>
          </w:p>
        </w:tc>
      </w:tr>
      <w:tr w14:paraId="780377B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706" w:type="pct"/>
            <w:gridSpan w:val="2"/>
            <w:vMerge w:val="continue"/>
            <w:tcBorders>
              <w:top w:val="outset" w:color="auto" w:sz="6" w:space="0"/>
              <w:left w:val="outset" w:color="auto" w:sz="6" w:space="0"/>
              <w:bottom w:val="outset" w:color="auto" w:sz="6" w:space="0"/>
              <w:right w:val="outset" w:color="auto" w:sz="6" w:space="0"/>
            </w:tcBorders>
            <w:noWrap w:val="0"/>
            <w:vAlign w:val="center"/>
          </w:tcPr>
          <w:p w14:paraId="7E7CE607">
            <w:pPr>
              <w:pStyle w:val="125"/>
              <w:jc w:val="center"/>
              <w:rPr>
                <w:rFonts w:hint="eastAsia" w:ascii="宋体" w:hAnsi="宋体" w:eastAsia="宋体" w:cs="宋体"/>
                <w:color w:val="auto"/>
                <w:sz w:val="24"/>
                <w:szCs w:val="24"/>
                <w:highlight w:val="none"/>
              </w:rPr>
            </w:pPr>
          </w:p>
        </w:tc>
        <w:tc>
          <w:tcPr>
            <w:tcW w:w="1023" w:type="pct"/>
            <w:vMerge w:val="continue"/>
            <w:tcBorders>
              <w:top w:val="outset" w:color="auto" w:sz="6" w:space="0"/>
              <w:left w:val="outset" w:color="auto" w:sz="6" w:space="0"/>
              <w:bottom w:val="outset" w:color="auto" w:sz="6" w:space="0"/>
              <w:right w:val="outset" w:color="auto" w:sz="6" w:space="0"/>
            </w:tcBorders>
            <w:noWrap w:val="0"/>
            <w:vAlign w:val="center"/>
          </w:tcPr>
          <w:p w14:paraId="302A9E9E">
            <w:pPr>
              <w:pStyle w:val="125"/>
              <w:jc w:val="center"/>
              <w:rPr>
                <w:rFonts w:hint="eastAsia" w:ascii="宋体" w:hAnsi="宋体" w:eastAsia="宋体" w:cs="宋体"/>
                <w:color w:val="auto"/>
                <w:sz w:val="24"/>
                <w:szCs w:val="24"/>
                <w:highlight w:val="none"/>
              </w:rPr>
            </w:pPr>
          </w:p>
        </w:tc>
        <w:tc>
          <w:tcPr>
            <w:tcW w:w="2529" w:type="pct"/>
            <w:vMerge w:val="continue"/>
            <w:tcBorders>
              <w:top w:val="outset" w:color="auto" w:sz="6" w:space="0"/>
              <w:left w:val="outset" w:color="auto" w:sz="6" w:space="0"/>
              <w:bottom w:val="outset" w:color="auto" w:sz="6" w:space="0"/>
              <w:right w:val="outset" w:color="auto" w:sz="6" w:space="0"/>
            </w:tcBorders>
            <w:noWrap w:val="0"/>
            <w:vAlign w:val="center"/>
          </w:tcPr>
          <w:p w14:paraId="260A3A3F">
            <w:pPr>
              <w:pStyle w:val="125"/>
              <w:jc w:val="center"/>
              <w:rPr>
                <w:rFonts w:hint="eastAsia" w:ascii="宋体" w:hAnsi="宋体" w:eastAsia="宋体" w:cs="宋体"/>
                <w:color w:val="auto"/>
                <w:sz w:val="24"/>
                <w:szCs w:val="24"/>
                <w:highlight w:val="none"/>
              </w:rPr>
            </w:pPr>
          </w:p>
        </w:tc>
        <w:tc>
          <w:tcPr>
            <w:tcW w:w="360" w:type="pct"/>
            <w:tcBorders>
              <w:top w:val="outset" w:color="auto" w:sz="6" w:space="0"/>
              <w:left w:val="outset" w:color="auto" w:sz="6" w:space="0"/>
              <w:bottom w:val="outset" w:color="auto" w:sz="6" w:space="0"/>
              <w:right w:val="outset" w:color="auto" w:sz="6" w:space="0"/>
            </w:tcBorders>
            <w:noWrap w:val="0"/>
            <w:vAlign w:val="center"/>
          </w:tcPr>
          <w:p w14:paraId="2C6DB372">
            <w:pPr>
              <w:pStyle w:val="125"/>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是</w:t>
            </w:r>
          </w:p>
        </w:tc>
        <w:tc>
          <w:tcPr>
            <w:tcW w:w="379" w:type="pct"/>
            <w:tcBorders>
              <w:top w:val="outset" w:color="auto" w:sz="6" w:space="0"/>
              <w:left w:val="outset" w:color="auto" w:sz="6" w:space="0"/>
              <w:bottom w:val="outset" w:color="auto" w:sz="6" w:space="0"/>
              <w:right w:val="outset" w:color="auto" w:sz="6" w:space="0"/>
            </w:tcBorders>
            <w:noWrap w:val="0"/>
            <w:vAlign w:val="center"/>
          </w:tcPr>
          <w:p w14:paraId="10410F19">
            <w:pPr>
              <w:pStyle w:val="125"/>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否</w:t>
            </w:r>
          </w:p>
        </w:tc>
      </w:tr>
      <w:tr w14:paraId="57F0178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55" w:type="pct"/>
            <w:vMerge w:val="restart"/>
            <w:tcBorders>
              <w:top w:val="outset" w:color="auto" w:sz="6" w:space="0"/>
              <w:left w:val="outset" w:color="auto" w:sz="6" w:space="0"/>
              <w:right w:val="outset" w:color="auto" w:sz="6" w:space="0"/>
            </w:tcBorders>
            <w:noWrap w:val="0"/>
            <w:vAlign w:val="center"/>
          </w:tcPr>
          <w:p w14:paraId="66039167">
            <w:pPr>
              <w:pStyle w:val="12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初步评审</w:t>
            </w:r>
          </w:p>
        </w:tc>
        <w:tc>
          <w:tcPr>
            <w:tcW w:w="350" w:type="pct"/>
            <w:vMerge w:val="restart"/>
            <w:tcBorders>
              <w:top w:val="outset" w:color="auto" w:sz="6" w:space="0"/>
              <w:left w:val="outset" w:color="auto" w:sz="6" w:space="0"/>
              <w:right w:val="outset" w:color="auto" w:sz="6" w:space="0"/>
            </w:tcBorders>
            <w:noWrap w:val="0"/>
            <w:vAlign w:val="center"/>
          </w:tcPr>
          <w:p w14:paraId="3B1A4CC7">
            <w:pPr>
              <w:pStyle w:val="12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资格检查</w:t>
            </w:r>
          </w:p>
        </w:tc>
        <w:tc>
          <w:tcPr>
            <w:tcW w:w="1023" w:type="pct"/>
            <w:tcBorders>
              <w:top w:val="outset" w:color="auto" w:sz="6" w:space="0"/>
              <w:left w:val="outset" w:color="auto" w:sz="6" w:space="0"/>
              <w:bottom w:val="outset" w:color="auto" w:sz="6" w:space="0"/>
              <w:right w:val="outset" w:color="auto" w:sz="6" w:space="0"/>
            </w:tcBorders>
            <w:noWrap w:val="0"/>
            <w:vAlign w:val="center"/>
          </w:tcPr>
          <w:p w14:paraId="7E0A4D53">
            <w:pPr>
              <w:pStyle w:val="12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具有独立承担民事责任的能力</w:t>
            </w:r>
          </w:p>
        </w:tc>
        <w:tc>
          <w:tcPr>
            <w:tcW w:w="2529" w:type="pct"/>
            <w:tcBorders>
              <w:top w:val="outset" w:color="auto" w:sz="6" w:space="0"/>
              <w:left w:val="outset" w:color="auto" w:sz="6" w:space="0"/>
              <w:bottom w:val="outset" w:color="auto" w:sz="6" w:space="0"/>
              <w:right w:val="outset" w:color="auto" w:sz="6" w:space="0"/>
            </w:tcBorders>
            <w:noWrap w:val="0"/>
            <w:vAlign w:val="center"/>
          </w:tcPr>
          <w:p w14:paraId="20F50B9A">
            <w:pPr>
              <w:pStyle w:val="1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如投标人是企业（包括合伙企业），应提供在工商部门注册的有效 “企业法人营业执照”或“营业执照”；投标人是非企业专业服务机构的，应提供执业许可证等证明文件； 如投标人是个体工商户，应提供有效的“个体工商户营业执照”；如投标人是自然人，应提供有效的自然人身份证明。</w:t>
            </w:r>
          </w:p>
        </w:tc>
        <w:tc>
          <w:tcPr>
            <w:tcW w:w="360" w:type="pct"/>
            <w:tcBorders>
              <w:top w:val="outset" w:color="auto" w:sz="6" w:space="0"/>
              <w:left w:val="outset" w:color="auto" w:sz="6" w:space="0"/>
              <w:bottom w:val="outset" w:color="auto" w:sz="6" w:space="0"/>
              <w:right w:val="outset" w:color="auto" w:sz="6" w:space="0"/>
            </w:tcBorders>
            <w:noWrap w:val="0"/>
            <w:vAlign w:val="center"/>
          </w:tcPr>
          <w:p w14:paraId="55B18D06">
            <w:pPr>
              <w:pStyle w:val="125"/>
              <w:rPr>
                <w:rFonts w:hint="eastAsia" w:ascii="宋体" w:hAnsi="宋体" w:eastAsia="宋体" w:cs="宋体"/>
                <w:color w:val="auto"/>
                <w:sz w:val="24"/>
                <w:szCs w:val="24"/>
                <w:highlight w:val="none"/>
              </w:rPr>
            </w:pPr>
          </w:p>
        </w:tc>
        <w:tc>
          <w:tcPr>
            <w:tcW w:w="379" w:type="pct"/>
            <w:tcBorders>
              <w:top w:val="outset" w:color="auto" w:sz="6" w:space="0"/>
              <w:left w:val="outset" w:color="auto" w:sz="6" w:space="0"/>
              <w:bottom w:val="outset" w:color="auto" w:sz="6" w:space="0"/>
              <w:right w:val="outset" w:color="auto" w:sz="6" w:space="0"/>
            </w:tcBorders>
            <w:noWrap w:val="0"/>
            <w:vAlign w:val="center"/>
          </w:tcPr>
          <w:p w14:paraId="73480C3C">
            <w:pPr>
              <w:pStyle w:val="125"/>
              <w:rPr>
                <w:rFonts w:hint="eastAsia" w:ascii="宋体" w:hAnsi="宋体" w:eastAsia="宋体" w:cs="宋体"/>
                <w:color w:val="auto"/>
                <w:sz w:val="24"/>
                <w:szCs w:val="24"/>
                <w:highlight w:val="none"/>
              </w:rPr>
            </w:pPr>
          </w:p>
        </w:tc>
      </w:tr>
      <w:tr w14:paraId="4CD591A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706" w:hRule="atLeast"/>
          <w:jc w:val="center"/>
        </w:trPr>
        <w:tc>
          <w:tcPr>
            <w:tcW w:w="355" w:type="pct"/>
            <w:vMerge w:val="continue"/>
            <w:tcBorders>
              <w:left w:val="outset" w:color="auto" w:sz="6" w:space="0"/>
              <w:right w:val="outset" w:color="auto" w:sz="6" w:space="0"/>
            </w:tcBorders>
            <w:noWrap w:val="0"/>
            <w:vAlign w:val="center"/>
          </w:tcPr>
          <w:p w14:paraId="0309756A">
            <w:pPr>
              <w:pStyle w:val="125"/>
              <w:jc w:val="center"/>
              <w:rPr>
                <w:rFonts w:hint="eastAsia" w:ascii="宋体" w:hAnsi="宋体" w:eastAsia="宋体" w:cs="宋体"/>
                <w:color w:val="auto"/>
                <w:sz w:val="24"/>
                <w:szCs w:val="24"/>
                <w:highlight w:val="none"/>
              </w:rPr>
            </w:pPr>
          </w:p>
        </w:tc>
        <w:tc>
          <w:tcPr>
            <w:tcW w:w="350" w:type="pct"/>
            <w:vMerge w:val="continue"/>
            <w:tcBorders>
              <w:left w:val="outset" w:color="auto" w:sz="6" w:space="0"/>
              <w:right w:val="outset" w:color="auto" w:sz="6" w:space="0"/>
            </w:tcBorders>
            <w:noWrap w:val="0"/>
            <w:vAlign w:val="center"/>
          </w:tcPr>
          <w:p w14:paraId="4E7DFD0B">
            <w:pPr>
              <w:pStyle w:val="125"/>
              <w:jc w:val="center"/>
              <w:rPr>
                <w:rFonts w:hint="eastAsia" w:ascii="宋体" w:hAnsi="宋体" w:eastAsia="宋体" w:cs="宋体"/>
                <w:color w:val="auto"/>
                <w:sz w:val="24"/>
                <w:szCs w:val="24"/>
                <w:highlight w:val="none"/>
              </w:rPr>
            </w:pPr>
          </w:p>
        </w:tc>
        <w:tc>
          <w:tcPr>
            <w:tcW w:w="1023" w:type="pct"/>
            <w:tcBorders>
              <w:top w:val="outset" w:color="auto" w:sz="6" w:space="0"/>
              <w:left w:val="outset" w:color="auto" w:sz="6" w:space="0"/>
              <w:bottom w:val="outset" w:color="auto" w:sz="6" w:space="0"/>
              <w:right w:val="outset" w:color="auto" w:sz="6" w:space="0"/>
            </w:tcBorders>
            <w:noWrap w:val="0"/>
            <w:vAlign w:val="center"/>
          </w:tcPr>
          <w:p w14:paraId="59942F9A">
            <w:pPr>
              <w:pStyle w:val="12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具有良好的商业信誉和健全的财务会计制度</w:t>
            </w:r>
          </w:p>
        </w:tc>
        <w:tc>
          <w:tcPr>
            <w:tcW w:w="2529" w:type="pct"/>
            <w:tcBorders>
              <w:top w:val="outset" w:color="auto" w:sz="6" w:space="0"/>
              <w:left w:val="outset" w:color="auto" w:sz="6" w:space="0"/>
              <w:bottom w:val="outset" w:color="auto" w:sz="6" w:space="0"/>
              <w:right w:val="outset" w:color="auto" w:sz="6" w:space="0"/>
            </w:tcBorders>
            <w:noWrap w:val="0"/>
            <w:vAlign w:val="center"/>
          </w:tcPr>
          <w:p w14:paraId="6A7E61B7">
            <w:pPr>
              <w:pStyle w:val="125"/>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具有良好的商业信誉和健全的财务会计制度（提供202</w:t>
            </w:r>
            <w:r>
              <w:rPr>
                <w:rFonts w:hint="eastAsia" w:ascii="宋体" w:hAnsi="宋体" w:eastAsia="宋体" w:cs="宋体"/>
                <w:color w:val="auto"/>
                <w:sz w:val="24"/>
                <w:szCs w:val="24"/>
                <w:highlight w:val="none"/>
                <w:lang w:val="en-US" w:eastAsia="zh-CN"/>
              </w:rPr>
              <w:t>4或2025</w:t>
            </w:r>
            <w:r>
              <w:rPr>
                <w:rFonts w:hint="eastAsia" w:ascii="宋体" w:hAnsi="宋体" w:eastAsia="宋体" w:cs="宋体"/>
                <w:color w:val="auto"/>
                <w:sz w:val="24"/>
                <w:szCs w:val="24"/>
                <w:highlight w:val="none"/>
                <w:lang w:eastAsia="zh-CN"/>
              </w:rPr>
              <w:t>年的财务审计报告</w:t>
            </w:r>
            <w:r>
              <w:rPr>
                <w:rFonts w:hint="eastAsia" w:ascii="宋体" w:hAnsi="宋体" w:eastAsia="宋体" w:cs="宋体"/>
                <w:color w:val="auto"/>
                <w:sz w:val="24"/>
                <w:szCs w:val="24"/>
                <w:highlight w:val="none"/>
                <w:lang w:val="en-US" w:eastAsia="zh-CN"/>
              </w:rPr>
              <w:t>或银行出具的相关资信证明材料等；证明材料加盖单位公章</w:t>
            </w:r>
            <w:r>
              <w:rPr>
                <w:rFonts w:hint="eastAsia" w:ascii="宋体" w:hAnsi="宋体" w:eastAsia="宋体" w:cs="宋体"/>
                <w:color w:val="auto"/>
                <w:sz w:val="24"/>
                <w:szCs w:val="24"/>
                <w:highlight w:val="none"/>
                <w:lang w:eastAsia="zh-CN"/>
              </w:rPr>
              <w:t>）。</w:t>
            </w:r>
          </w:p>
        </w:tc>
        <w:tc>
          <w:tcPr>
            <w:tcW w:w="360" w:type="pct"/>
            <w:tcBorders>
              <w:top w:val="outset" w:color="auto" w:sz="6" w:space="0"/>
              <w:left w:val="outset" w:color="auto" w:sz="6" w:space="0"/>
              <w:bottom w:val="outset" w:color="auto" w:sz="6" w:space="0"/>
              <w:right w:val="outset" w:color="auto" w:sz="6" w:space="0"/>
            </w:tcBorders>
            <w:noWrap w:val="0"/>
            <w:vAlign w:val="center"/>
          </w:tcPr>
          <w:p w14:paraId="0DBC388A">
            <w:pPr>
              <w:pStyle w:val="125"/>
              <w:rPr>
                <w:rFonts w:hint="eastAsia" w:ascii="宋体" w:hAnsi="宋体" w:eastAsia="宋体" w:cs="宋体"/>
                <w:color w:val="auto"/>
                <w:sz w:val="24"/>
                <w:szCs w:val="24"/>
                <w:highlight w:val="none"/>
              </w:rPr>
            </w:pPr>
          </w:p>
        </w:tc>
        <w:tc>
          <w:tcPr>
            <w:tcW w:w="379" w:type="pct"/>
            <w:tcBorders>
              <w:top w:val="outset" w:color="auto" w:sz="6" w:space="0"/>
              <w:left w:val="outset" w:color="auto" w:sz="6" w:space="0"/>
              <w:bottom w:val="outset" w:color="auto" w:sz="6" w:space="0"/>
              <w:right w:val="outset" w:color="auto" w:sz="6" w:space="0"/>
            </w:tcBorders>
            <w:noWrap w:val="0"/>
            <w:vAlign w:val="center"/>
          </w:tcPr>
          <w:p w14:paraId="7BE093E4">
            <w:pPr>
              <w:pStyle w:val="125"/>
              <w:rPr>
                <w:rFonts w:hint="eastAsia" w:ascii="宋体" w:hAnsi="宋体" w:eastAsia="宋体" w:cs="宋体"/>
                <w:color w:val="auto"/>
                <w:sz w:val="24"/>
                <w:szCs w:val="24"/>
                <w:highlight w:val="none"/>
              </w:rPr>
            </w:pPr>
          </w:p>
        </w:tc>
      </w:tr>
      <w:tr w14:paraId="42AF0F4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800" w:hRule="atLeast"/>
          <w:jc w:val="center"/>
        </w:trPr>
        <w:tc>
          <w:tcPr>
            <w:tcW w:w="355" w:type="pct"/>
            <w:vMerge w:val="continue"/>
            <w:tcBorders>
              <w:left w:val="outset" w:color="auto" w:sz="6" w:space="0"/>
              <w:right w:val="outset" w:color="auto" w:sz="6" w:space="0"/>
            </w:tcBorders>
            <w:noWrap w:val="0"/>
            <w:vAlign w:val="center"/>
          </w:tcPr>
          <w:p w14:paraId="645720C4">
            <w:pPr>
              <w:pStyle w:val="125"/>
              <w:jc w:val="center"/>
              <w:rPr>
                <w:rFonts w:hint="eastAsia" w:ascii="宋体" w:hAnsi="宋体" w:eastAsia="宋体" w:cs="宋体"/>
                <w:color w:val="auto"/>
                <w:sz w:val="24"/>
                <w:szCs w:val="24"/>
                <w:highlight w:val="none"/>
              </w:rPr>
            </w:pPr>
          </w:p>
        </w:tc>
        <w:tc>
          <w:tcPr>
            <w:tcW w:w="350" w:type="pct"/>
            <w:vMerge w:val="continue"/>
            <w:tcBorders>
              <w:left w:val="outset" w:color="auto" w:sz="6" w:space="0"/>
              <w:right w:val="outset" w:color="auto" w:sz="6" w:space="0"/>
            </w:tcBorders>
            <w:noWrap w:val="0"/>
            <w:vAlign w:val="center"/>
          </w:tcPr>
          <w:p w14:paraId="573EA8D5">
            <w:pPr>
              <w:pStyle w:val="125"/>
              <w:jc w:val="center"/>
              <w:rPr>
                <w:rFonts w:hint="eastAsia" w:ascii="宋体" w:hAnsi="宋体" w:eastAsia="宋体" w:cs="宋体"/>
                <w:color w:val="auto"/>
                <w:sz w:val="24"/>
                <w:szCs w:val="24"/>
                <w:highlight w:val="none"/>
              </w:rPr>
            </w:pPr>
          </w:p>
        </w:tc>
        <w:tc>
          <w:tcPr>
            <w:tcW w:w="1023" w:type="pct"/>
            <w:tcBorders>
              <w:top w:val="outset" w:color="auto" w:sz="6" w:space="0"/>
              <w:left w:val="outset" w:color="auto" w:sz="6" w:space="0"/>
              <w:bottom w:val="outset" w:color="auto" w:sz="6" w:space="0"/>
              <w:right w:val="outset" w:color="auto" w:sz="6" w:space="0"/>
            </w:tcBorders>
            <w:noWrap w:val="0"/>
            <w:vAlign w:val="center"/>
          </w:tcPr>
          <w:p w14:paraId="3A55719B">
            <w:pPr>
              <w:pStyle w:val="12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具有履行合同所必需的设备和专业技术能力</w:t>
            </w:r>
          </w:p>
        </w:tc>
        <w:tc>
          <w:tcPr>
            <w:tcW w:w="2529" w:type="pct"/>
            <w:tcBorders>
              <w:top w:val="outset" w:color="auto" w:sz="6" w:space="0"/>
              <w:left w:val="outset" w:color="auto" w:sz="6" w:space="0"/>
              <w:bottom w:val="outset" w:color="auto" w:sz="6" w:space="0"/>
              <w:right w:val="outset" w:color="auto" w:sz="6" w:space="0"/>
            </w:tcBorders>
            <w:noWrap w:val="0"/>
            <w:vAlign w:val="center"/>
          </w:tcPr>
          <w:p w14:paraId="56D5BD73">
            <w:pPr>
              <w:pStyle w:val="1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投标人履行合同所必须的设备和专业技术能力的证明材料或声明</w:t>
            </w:r>
          </w:p>
        </w:tc>
        <w:tc>
          <w:tcPr>
            <w:tcW w:w="360" w:type="pct"/>
            <w:tcBorders>
              <w:top w:val="outset" w:color="auto" w:sz="6" w:space="0"/>
              <w:left w:val="outset" w:color="auto" w:sz="6" w:space="0"/>
              <w:bottom w:val="outset" w:color="auto" w:sz="6" w:space="0"/>
              <w:right w:val="outset" w:color="auto" w:sz="6" w:space="0"/>
            </w:tcBorders>
            <w:noWrap w:val="0"/>
            <w:vAlign w:val="center"/>
          </w:tcPr>
          <w:p w14:paraId="1A467A42">
            <w:pPr>
              <w:pStyle w:val="125"/>
              <w:rPr>
                <w:rFonts w:hint="eastAsia" w:ascii="宋体" w:hAnsi="宋体" w:eastAsia="宋体" w:cs="宋体"/>
                <w:color w:val="auto"/>
                <w:sz w:val="24"/>
                <w:szCs w:val="24"/>
                <w:highlight w:val="none"/>
              </w:rPr>
            </w:pPr>
          </w:p>
        </w:tc>
        <w:tc>
          <w:tcPr>
            <w:tcW w:w="379" w:type="pct"/>
            <w:tcBorders>
              <w:top w:val="outset" w:color="auto" w:sz="6" w:space="0"/>
              <w:left w:val="outset" w:color="auto" w:sz="6" w:space="0"/>
              <w:bottom w:val="outset" w:color="auto" w:sz="6" w:space="0"/>
              <w:right w:val="outset" w:color="auto" w:sz="6" w:space="0"/>
            </w:tcBorders>
            <w:noWrap w:val="0"/>
            <w:vAlign w:val="center"/>
          </w:tcPr>
          <w:p w14:paraId="7BB592BC">
            <w:pPr>
              <w:pStyle w:val="125"/>
              <w:rPr>
                <w:rFonts w:hint="eastAsia" w:ascii="宋体" w:hAnsi="宋体" w:eastAsia="宋体" w:cs="宋体"/>
                <w:color w:val="auto"/>
                <w:sz w:val="24"/>
                <w:szCs w:val="24"/>
                <w:highlight w:val="none"/>
              </w:rPr>
            </w:pPr>
          </w:p>
        </w:tc>
      </w:tr>
      <w:tr w14:paraId="642FDEE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55" w:type="pct"/>
            <w:vMerge w:val="continue"/>
            <w:tcBorders>
              <w:left w:val="outset" w:color="auto" w:sz="6" w:space="0"/>
              <w:right w:val="outset" w:color="auto" w:sz="6" w:space="0"/>
            </w:tcBorders>
            <w:noWrap w:val="0"/>
            <w:vAlign w:val="center"/>
          </w:tcPr>
          <w:p w14:paraId="05EFC887">
            <w:pPr>
              <w:pStyle w:val="125"/>
              <w:jc w:val="center"/>
              <w:rPr>
                <w:rFonts w:hint="eastAsia" w:ascii="宋体" w:hAnsi="宋体" w:eastAsia="宋体" w:cs="宋体"/>
                <w:color w:val="auto"/>
                <w:sz w:val="24"/>
                <w:szCs w:val="24"/>
                <w:highlight w:val="none"/>
              </w:rPr>
            </w:pPr>
          </w:p>
        </w:tc>
        <w:tc>
          <w:tcPr>
            <w:tcW w:w="350" w:type="pct"/>
            <w:vMerge w:val="continue"/>
            <w:tcBorders>
              <w:left w:val="outset" w:color="auto" w:sz="6" w:space="0"/>
              <w:right w:val="outset" w:color="auto" w:sz="6" w:space="0"/>
            </w:tcBorders>
            <w:noWrap w:val="0"/>
            <w:vAlign w:val="center"/>
          </w:tcPr>
          <w:p w14:paraId="67E7F0CC">
            <w:pPr>
              <w:pStyle w:val="125"/>
              <w:jc w:val="center"/>
              <w:rPr>
                <w:rFonts w:hint="eastAsia" w:ascii="宋体" w:hAnsi="宋体" w:eastAsia="宋体" w:cs="宋体"/>
                <w:color w:val="auto"/>
                <w:sz w:val="24"/>
                <w:szCs w:val="24"/>
                <w:highlight w:val="none"/>
              </w:rPr>
            </w:pPr>
          </w:p>
        </w:tc>
        <w:tc>
          <w:tcPr>
            <w:tcW w:w="1023" w:type="pct"/>
            <w:tcBorders>
              <w:top w:val="outset" w:color="auto" w:sz="6" w:space="0"/>
              <w:left w:val="outset" w:color="auto" w:sz="6" w:space="0"/>
              <w:bottom w:val="outset" w:color="auto" w:sz="6" w:space="0"/>
              <w:right w:val="outset" w:color="auto" w:sz="6" w:space="0"/>
            </w:tcBorders>
            <w:noWrap w:val="0"/>
            <w:vAlign w:val="center"/>
          </w:tcPr>
          <w:p w14:paraId="026573F8">
            <w:pPr>
              <w:pStyle w:val="12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有依法缴纳税收和社会保障资金的良好记录</w:t>
            </w:r>
          </w:p>
        </w:tc>
        <w:tc>
          <w:tcPr>
            <w:tcW w:w="2529" w:type="pct"/>
            <w:tcBorders>
              <w:top w:val="outset" w:color="auto" w:sz="6" w:space="0"/>
              <w:left w:val="outset" w:color="auto" w:sz="6" w:space="0"/>
              <w:bottom w:val="outset" w:color="auto" w:sz="6" w:space="0"/>
              <w:right w:val="outset" w:color="auto" w:sz="6" w:space="0"/>
            </w:tcBorders>
            <w:noWrap w:val="0"/>
            <w:vAlign w:val="center"/>
          </w:tcPr>
          <w:p w14:paraId="4F69FA09">
            <w:pPr>
              <w:pStyle w:val="1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投标人依法缴纳税收的证明材料：本项目投标截止时间前 6 个月内（至少提供1个月）缴纳税收的凭据；投标人依法缴纳社会保障资金的证明材料：本项目投标</w:t>
            </w:r>
            <w:r>
              <w:rPr>
                <w:rFonts w:hint="eastAsia" w:ascii="宋体" w:hAnsi="宋体" w:eastAsia="宋体" w:cs="宋体"/>
                <w:color w:val="auto"/>
                <w:sz w:val="24"/>
                <w:szCs w:val="24"/>
                <w:highlight w:val="none"/>
                <w:lang w:eastAsia="zh-CN"/>
              </w:rPr>
              <w:t>截止</w:t>
            </w:r>
            <w:r>
              <w:rPr>
                <w:rFonts w:hint="eastAsia" w:ascii="宋体" w:hAnsi="宋体" w:eastAsia="宋体" w:cs="宋体"/>
                <w:color w:val="auto"/>
                <w:sz w:val="24"/>
                <w:szCs w:val="24"/>
                <w:highlight w:val="none"/>
              </w:rPr>
              <w:t>时间前 6个月内（至少提供1个月）缴纳社会保险的凭据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当月新成立公司不需提供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为其他组织或自然人的，也需要按此项规定提供缴纳税收的凭据和交纳社会保险的凭据。如投标人的社会保险为委托第三方代缴，还需同时提供投标人与第三方服务机构签署的服务合同（合同中应明确写明第三方为投标人代缴其社会保险）</w:t>
            </w:r>
          </w:p>
        </w:tc>
        <w:tc>
          <w:tcPr>
            <w:tcW w:w="360" w:type="pct"/>
            <w:tcBorders>
              <w:top w:val="outset" w:color="auto" w:sz="6" w:space="0"/>
              <w:left w:val="outset" w:color="auto" w:sz="6" w:space="0"/>
              <w:bottom w:val="outset" w:color="auto" w:sz="6" w:space="0"/>
              <w:right w:val="outset" w:color="auto" w:sz="6" w:space="0"/>
            </w:tcBorders>
            <w:noWrap w:val="0"/>
            <w:vAlign w:val="center"/>
          </w:tcPr>
          <w:p w14:paraId="3D5CBBFF">
            <w:pPr>
              <w:pStyle w:val="125"/>
              <w:rPr>
                <w:rFonts w:hint="eastAsia" w:ascii="宋体" w:hAnsi="宋体" w:eastAsia="宋体" w:cs="宋体"/>
                <w:color w:val="auto"/>
                <w:sz w:val="24"/>
                <w:szCs w:val="24"/>
                <w:highlight w:val="none"/>
              </w:rPr>
            </w:pPr>
          </w:p>
        </w:tc>
        <w:tc>
          <w:tcPr>
            <w:tcW w:w="379" w:type="pct"/>
            <w:tcBorders>
              <w:top w:val="outset" w:color="auto" w:sz="6" w:space="0"/>
              <w:left w:val="outset" w:color="auto" w:sz="6" w:space="0"/>
              <w:bottom w:val="outset" w:color="auto" w:sz="6" w:space="0"/>
              <w:right w:val="outset" w:color="auto" w:sz="6" w:space="0"/>
            </w:tcBorders>
            <w:noWrap w:val="0"/>
            <w:vAlign w:val="center"/>
          </w:tcPr>
          <w:p w14:paraId="7EB3A5AF">
            <w:pPr>
              <w:pStyle w:val="125"/>
              <w:rPr>
                <w:rFonts w:hint="eastAsia" w:ascii="宋体" w:hAnsi="宋体" w:eastAsia="宋体" w:cs="宋体"/>
                <w:color w:val="auto"/>
                <w:sz w:val="24"/>
                <w:szCs w:val="24"/>
                <w:highlight w:val="none"/>
              </w:rPr>
            </w:pPr>
          </w:p>
        </w:tc>
      </w:tr>
      <w:tr w14:paraId="31104CB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686" w:hRule="atLeast"/>
          <w:jc w:val="center"/>
        </w:trPr>
        <w:tc>
          <w:tcPr>
            <w:tcW w:w="355" w:type="pct"/>
            <w:vMerge w:val="continue"/>
            <w:tcBorders>
              <w:left w:val="outset" w:color="auto" w:sz="6" w:space="0"/>
              <w:right w:val="outset" w:color="auto" w:sz="6" w:space="0"/>
            </w:tcBorders>
            <w:noWrap w:val="0"/>
            <w:vAlign w:val="center"/>
          </w:tcPr>
          <w:p w14:paraId="6DB36610">
            <w:pPr>
              <w:pStyle w:val="125"/>
              <w:jc w:val="center"/>
              <w:rPr>
                <w:rFonts w:hint="eastAsia" w:ascii="宋体" w:hAnsi="宋体" w:eastAsia="宋体" w:cs="宋体"/>
                <w:color w:val="auto"/>
                <w:sz w:val="24"/>
                <w:szCs w:val="24"/>
                <w:highlight w:val="none"/>
              </w:rPr>
            </w:pPr>
          </w:p>
        </w:tc>
        <w:tc>
          <w:tcPr>
            <w:tcW w:w="350" w:type="pct"/>
            <w:vMerge w:val="continue"/>
            <w:tcBorders>
              <w:left w:val="outset" w:color="auto" w:sz="6" w:space="0"/>
              <w:right w:val="outset" w:color="auto" w:sz="6" w:space="0"/>
            </w:tcBorders>
            <w:noWrap w:val="0"/>
            <w:vAlign w:val="center"/>
          </w:tcPr>
          <w:p w14:paraId="2AECE7FB">
            <w:pPr>
              <w:pStyle w:val="125"/>
              <w:jc w:val="center"/>
              <w:rPr>
                <w:rFonts w:hint="eastAsia" w:ascii="宋体" w:hAnsi="宋体" w:eastAsia="宋体" w:cs="宋体"/>
                <w:color w:val="auto"/>
                <w:sz w:val="24"/>
                <w:szCs w:val="24"/>
                <w:highlight w:val="none"/>
              </w:rPr>
            </w:pPr>
          </w:p>
        </w:tc>
        <w:tc>
          <w:tcPr>
            <w:tcW w:w="1023" w:type="pct"/>
            <w:tcBorders>
              <w:top w:val="outset" w:color="auto" w:sz="6" w:space="0"/>
              <w:left w:val="outset" w:color="auto" w:sz="6" w:space="0"/>
              <w:bottom w:val="outset" w:color="auto" w:sz="6" w:space="0"/>
              <w:right w:val="outset" w:color="auto" w:sz="6" w:space="0"/>
            </w:tcBorders>
            <w:noWrap w:val="0"/>
            <w:vAlign w:val="center"/>
          </w:tcPr>
          <w:p w14:paraId="40729EDA">
            <w:pPr>
              <w:pStyle w:val="12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参加政府采购活动前三年内，在经营活动中没有重大违法记录</w:t>
            </w:r>
          </w:p>
        </w:tc>
        <w:tc>
          <w:tcPr>
            <w:tcW w:w="2529" w:type="pct"/>
            <w:tcBorders>
              <w:top w:val="outset" w:color="auto" w:sz="6" w:space="0"/>
              <w:left w:val="outset" w:color="auto" w:sz="6" w:space="0"/>
              <w:bottom w:val="outset" w:color="auto" w:sz="6" w:space="0"/>
              <w:right w:val="outset" w:color="auto" w:sz="6" w:space="0"/>
            </w:tcBorders>
            <w:noWrap w:val="0"/>
            <w:vAlign w:val="center"/>
          </w:tcPr>
          <w:p w14:paraId="1FF98D64">
            <w:pPr>
              <w:pStyle w:val="12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参加政府采购活动前 3 年内在经营活动中没有重大违法记录的书面声明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提供声明函，格式自拟</w:t>
            </w:r>
            <w:r>
              <w:rPr>
                <w:rFonts w:hint="eastAsia" w:ascii="宋体" w:hAnsi="宋体" w:eastAsia="宋体" w:cs="宋体"/>
                <w:color w:val="auto"/>
                <w:sz w:val="24"/>
                <w:szCs w:val="24"/>
                <w:highlight w:val="none"/>
                <w:lang w:eastAsia="zh-CN"/>
              </w:rPr>
              <w:t>）</w:t>
            </w:r>
          </w:p>
        </w:tc>
        <w:tc>
          <w:tcPr>
            <w:tcW w:w="360" w:type="pct"/>
            <w:tcBorders>
              <w:top w:val="outset" w:color="auto" w:sz="6" w:space="0"/>
              <w:left w:val="outset" w:color="auto" w:sz="6" w:space="0"/>
              <w:bottom w:val="outset" w:color="auto" w:sz="6" w:space="0"/>
              <w:right w:val="outset" w:color="auto" w:sz="6" w:space="0"/>
            </w:tcBorders>
            <w:noWrap w:val="0"/>
            <w:vAlign w:val="center"/>
          </w:tcPr>
          <w:p w14:paraId="1F836FDA">
            <w:pPr>
              <w:pStyle w:val="125"/>
              <w:rPr>
                <w:rFonts w:hint="eastAsia" w:ascii="宋体" w:hAnsi="宋体" w:eastAsia="宋体" w:cs="宋体"/>
                <w:color w:val="auto"/>
                <w:sz w:val="24"/>
                <w:szCs w:val="24"/>
                <w:highlight w:val="none"/>
              </w:rPr>
            </w:pPr>
          </w:p>
        </w:tc>
        <w:tc>
          <w:tcPr>
            <w:tcW w:w="379" w:type="pct"/>
            <w:tcBorders>
              <w:top w:val="outset" w:color="auto" w:sz="6" w:space="0"/>
              <w:left w:val="outset" w:color="auto" w:sz="6" w:space="0"/>
              <w:bottom w:val="outset" w:color="auto" w:sz="6" w:space="0"/>
              <w:right w:val="outset" w:color="auto" w:sz="6" w:space="0"/>
            </w:tcBorders>
            <w:noWrap w:val="0"/>
            <w:vAlign w:val="center"/>
          </w:tcPr>
          <w:p w14:paraId="5F5950EF">
            <w:pPr>
              <w:pStyle w:val="125"/>
              <w:rPr>
                <w:rFonts w:hint="eastAsia" w:ascii="宋体" w:hAnsi="宋体" w:eastAsia="宋体" w:cs="宋体"/>
                <w:color w:val="auto"/>
                <w:sz w:val="24"/>
                <w:szCs w:val="24"/>
                <w:highlight w:val="none"/>
              </w:rPr>
            </w:pPr>
          </w:p>
        </w:tc>
      </w:tr>
      <w:tr w14:paraId="2B5306C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55" w:hRule="atLeast"/>
          <w:jc w:val="center"/>
        </w:trPr>
        <w:tc>
          <w:tcPr>
            <w:tcW w:w="355" w:type="pct"/>
            <w:vMerge w:val="continue"/>
            <w:tcBorders>
              <w:left w:val="outset" w:color="auto" w:sz="6" w:space="0"/>
              <w:right w:val="outset" w:color="auto" w:sz="6" w:space="0"/>
            </w:tcBorders>
            <w:noWrap w:val="0"/>
            <w:vAlign w:val="center"/>
          </w:tcPr>
          <w:p w14:paraId="5144F0B7">
            <w:pPr>
              <w:pStyle w:val="125"/>
              <w:jc w:val="center"/>
              <w:rPr>
                <w:rFonts w:hint="eastAsia" w:ascii="宋体" w:hAnsi="宋体" w:eastAsia="宋体" w:cs="宋体"/>
                <w:color w:val="auto"/>
                <w:sz w:val="24"/>
                <w:szCs w:val="24"/>
                <w:highlight w:val="none"/>
              </w:rPr>
            </w:pPr>
          </w:p>
        </w:tc>
        <w:tc>
          <w:tcPr>
            <w:tcW w:w="350" w:type="pct"/>
            <w:vMerge w:val="continue"/>
            <w:tcBorders>
              <w:left w:val="outset" w:color="auto" w:sz="6" w:space="0"/>
              <w:right w:val="outset" w:color="auto" w:sz="6" w:space="0"/>
            </w:tcBorders>
            <w:noWrap w:val="0"/>
            <w:vAlign w:val="center"/>
          </w:tcPr>
          <w:p w14:paraId="66B9CA44">
            <w:pPr>
              <w:pStyle w:val="125"/>
              <w:jc w:val="center"/>
              <w:rPr>
                <w:rFonts w:hint="eastAsia" w:ascii="宋体" w:hAnsi="宋体" w:eastAsia="宋体" w:cs="宋体"/>
                <w:color w:val="auto"/>
                <w:sz w:val="24"/>
                <w:szCs w:val="24"/>
                <w:highlight w:val="none"/>
              </w:rPr>
            </w:pPr>
          </w:p>
        </w:tc>
        <w:tc>
          <w:tcPr>
            <w:tcW w:w="1023" w:type="pct"/>
            <w:tcBorders>
              <w:top w:val="outset" w:color="auto" w:sz="6" w:space="0"/>
              <w:left w:val="outset" w:color="auto" w:sz="6" w:space="0"/>
              <w:bottom w:val="outset" w:color="auto" w:sz="6" w:space="0"/>
              <w:right w:val="outset" w:color="auto" w:sz="6" w:space="0"/>
            </w:tcBorders>
            <w:noWrap w:val="0"/>
            <w:vAlign w:val="center"/>
          </w:tcPr>
          <w:p w14:paraId="75ED09EE">
            <w:pPr>
              <w:pStyle w:val="12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法律、行政法规规定的其他条件</w:t>
            </w:r>
          </w:p>
        </w:tc>
        <w:tc>
          <w:tcPr>
            <w:tcW w:w="2529" w:type="pct"/>
            <w:tcBorders>
              <w:top w:val="outset" w:color="auto" w:sz="6" w:space="0"/>
              <w:left w:val="outset" w:color="auto" w:sz="6" w:space="0"/>
              <w:bottom w:val="outset" w:color="auto" w:sz="6" w:space="0"/>
              <w:right w:val="outset" w:color="auto" w:sz="6" w:space="0"/>
            </w:tcBorders>
            <w:noWrap w:val="0"/>
            <w:vAlign w:val="center"/>
          </w:tcPr>
          <w:p w14:paraId="16D9B51D">
            <w:pPr>
              <w:pStyle w:val="12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法律、行政法规规定的其他条件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提供承诺函，格式自拟</w:t>
            </w:r>
            <w:r>
              <w:rPr>
                <w:rFonts w:hint="eastAsia" w:ascii="宋体" w:hAnsi="宋体" w:eastAsia="宋体" w:cs="宋体"/>
                <w:color w:val="auto"/>
                <w:sz w:val="24"/>
                <w:szCs w:val="24"/>
                <w:highlight w:val="none"/>
                <w:lang w:eastAsia="zh-CN"/>
              </w:rPr>
              <w:t>）</w:t>
            </w:r>
          </w:p>
        </w:tc>
        <w:tc>
          <w:tcPr>
            <w:tcW w:w="360" w:type="pct"/>
            <w:tcBorders>
              <w:top w:val="outset" w:color="auto" w:sz="6" w:space="0"/>
              <w:left w:val="outset" w:color="auto" w:sz="6" w:space="0"/>
              <w:bottom w:val="outset" w:color="auto" w:sz="6" w:space="0"/>
              <w:right w:val="outset" w:color="auto" w:sz="6" w:space="0"/>
            </w:tcBorders>
            <w:noWrap w:val="0"/>
            <w:vAlign w:val="center"/>
          </w:tcPr>
          <w:p w14:paraId="78AF412A">
            <w:pPr>
              <w:pStyle w:val="125"/>
              <w:rPr>
                <w:rFonts w:hint="eastAsia" w:ascii="宋体" w:hAnsi="宋体" w:eastAsia="宋体" w:cs="宋体"/>
                <w:color w:val="auto"/>
                <w:sz w:val="24"/>
                <w:szCs w:val="24"/>
                <w:highlight w:val="none"/>
              </w:rPr>
            </w:pPr>
          </w:p>
        </w:tc>
        <w:tc>
          <w:tcPr>
            <w:tcW w:w="379" w:type="pct"/>
            <w:tcBorders>
              <w:top w:val="outset" w:color="auto" w:sz="6" w:space="0"/>
              <w:left w:val="outset" w:color="auto" w:sz="6" w:space="0"/>
              <w:bottom w:val="outset" w:color="auto" w:sz="6" w:space="0"/>
              <w:right w:val="outset" w:color="auto" w:sz="6" w:space="0"/>
            </w:tcBorders>
            <w:noWrap w:val="0"/>
            <w:vAlign w:val="center"/>
          </w:tcPr>
          <w:p w14:paraId="42F499BE">
            <w:pPr>
              <w:pStyle w:val="125"/>
              <w:rPr>
                <w:rFonts w:hint="eastAsia" w:ascii="宋体" w:hAnsi="宋体" w:eastAsia="宋体" w:cs="宋体"/>
                <w:color w:val="auto"/>
                <w:sz w:val="24"/>
                <w:szCs w:val="24"/>
                <w:highlight w:val="none"/>
              </w:rPr>
            </w:pPr>
          </w:p>
        </w:tc>
      </w:tr>
      <w:tr w14:paraId="342421A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25" w:hRule="atLeast"/>
          <w:jc w:val="center"/>
        </w:trPr>
        <w:tc>
          <w:tcPr>
            <w:tcW w:w="355" w:type="pct"/>
            <w:vMerge w:val="continue"/>
            <w:tcBorders>
              <w:left w:val="outset" w:color="auto" w:sz="6" w:space="0"/>
              <w:right w:val="outset" w:color="auto" w:sz="6" w:space="0"/>
            </w:tcBorders>
            <w:noWrap w:val="0"/>
            <w:vAlign w:val="center"/>
          </w:tcPr>
          <w:p w14:paraId="5FB9DC5D">
            <w:pPr>
              <w:pStyle w:val="125"/>
              <w:jc w:val="center"/>
              <w:rPr>
                <w:rFonts w:hint="eastAsia" w:ascii="宋体" w:hAnsi="宋体" w:eastAsia="宋体" w:cs="宋体"/>
                <w:color w:val="auto"/>
                <w:sz w:val="24"/>
                <w:szCs w:val="24"/>
                <w:highlight w:val="none"/>
              </w:rPr>
            </w:pPr>
          </w:p>
        </w:tc>
        <w:tc>
          <w:tcPr>
            <w:tcW w:w="350" w:type="pct"/>
            <w:vMerge w:val="continue"/>
            <w:tcBorders>
              <w:left w:val="outset" w:color="auto" w:sz="6" w:space="0"/>
              <w:right w:val="outset" w:color="auto" w:sz="6" w:space="0"/>
            </w:tcBorders>
            <w:noWrap w:val="0"/>
            <w:vAlign w:val="center"/>
          </w:tcPr>
          <w:p w14:paraId="03EC6C62">
            <w:pPr>
              <w:pStyle w:val="125"/>
              <w:jc w:val="center"/>
              <w:rPr>
                <w:rFonts w:hint="eastAsia" w:ascii="宋体" w:hAnsi="宋体" w:eastAsia="宋体" w:cs="宋体"/>
                <w:color w:val="auto"/>
                <w:sz w:val="24"/>
                <w:szCs w:val="24"/>
                <w:highlight w:val="none"/>
              </w:rPr>
            </w:pPr>
          </w:p>
        </w:tc>
        <w:tc>
          <w:tcPr>
            <w:tcW w:w="1023" w:type="pct"/>
            <w:tcBorders>
              <w:top w:val="outset" w:color="auto" w:sz="6" w:space="0"/>
              <w:left w:val="outset" w:color="auto" w:sz="6" w:space="0"/>
              <w:bottom w:val="outset" w:color="auto" w:sz="6" w:space="0"/>
              <w:right w:val="outset" w:color="auto" w:sz="6" w:space="0"/>
            </w:tcBorders>
            <w:noWrap w:val="0"/>
            <w:vAlign w:val="center"/>
          </w:tcPr>
          <w:p w14:paraId="69E37056">
            <w:pPr>
              <w:pStyle w:val="12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供应商应为中小企业</w:t>
            </w:r>
          </w:p>
        </w:tc>
        <w:tc>
          <w:tcPr>
            <w:tcW w:w="2529" w:type="pct"/>
            <w:tcBorders>
              <w:top w:val="outset" w:color="auto" w:sz="6" w:space="0"/>
              <w:left w:val="outset" w:color="auto" w:sz="6" w:space="0"/>
              <w:bottom w:val="outset" w:color="auto" w:sz="6" w:space="0"/>
              <w:right w:val="outset" w:color="auto" w:sz="6" w:space="0"/>
            </w:tcBorders>
            <w:noWrap w:val="0"/>
            <w:vAlign w:val="center"/>
          </w:tcPr>
          <w:p w14:paraId="0077B685">
            <w:pPr>
              <w:pStyle w:val="1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请根据要求单独上传《中小企业声明函》。格式以采购文件要求为准。</w:t>
            </w:r>
          </w:p>
        </w:tc>
        <w:tc>
          <w:tcPr>
            <w:tcW w:w="360" w:type="pct"/>
            <w:tcBorders>
              <w:top w:val="outset" w:color="auto" w:sz="6" w:space="0"/>
              <w:left w:val="outset" w:color="auto" w:sz="6" w:space="0"/>
              <w:bottom w:val="outset" w:color="auto" w:sz="6" w:space="0"/>
              <w:right w:val="outset" w:color="auto" w:sz="6" w:space="0"/>
            </w:tcBorders>
            <w:noWrap w:val="0"/>
            <w:vAlign w:val="center"/>
          </w:tcPr>
          <w:p w14:paraId="764F1FB5">
            <w:pPr>
              <w:pStyle w:val="125"/>
              <w:rPr>
                <w:rFonts w:hint="eastAsia" w:ascii="宋体" w:hAnsi="宋体" w:eastAsia="宋体" w:cs="宋体"/>
                <w:color w:val="auto"/>
                <w:sz w:val="24"/>
                <w:szCs w:val="24"/>
                <w:highlight w:val="none"/>
              </w:rPr>
            </w:pPr>
          </w:p>
        </w:tc>
        <w:tc>
          <w:tcPr>
            <w:tcW w:w="379" w:type="pct"/>
            <w:tcBorders>
              <w:top w:val="outset" w:color="auto" w:sz="6" w:space="0"/>
              <w:left w:val="outset" w:color="auto" w:sz="6" w:space="0"/>
              <w:bottom w:val="outset" w:color="auto" w:sz="6" w:space="0"/>
              <w:right w:val="outset" w:color="auto" w:sz="6" w:space="0"/>
            </w:tcBorders>
            <w:noWrap w:val="0"/>
            <w:vAlign w:val="center"/>
          </w:tcPr>
          <w:p w14:paraId="296D3E88">
            <w:pPr>
              <w:pStyle w:val="125"/>
              <w:rPr>
                <w:rFonts w:hint="eastAsia" w:ascii="宋体" w:hAnsi="宋体" w:eastAsia="宋体" w:cs="宋体"/>
                <w:color w:val="auto"/>
                <w:sz w:val="24"/>
                <w:szCs w:val="24"/>
                <w:highlight w:val="none"/>
              </w:rPr>
            </w:pPr>
          </w:p>
        </w:tc>
      </w:tr>
      <w:tr w14:paraId="758280A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889" w:hRule="atLeast"/>
          <w:jc w:val="center"/>
        </w:trPr>
        <w:tc>
          <w:tcPr>
            <w:tcW w:w="355" w:type="pct"/>
            <w:vMerge w:val="continue"/>
            <w:tcBorders>
              <w:left w:val="outset" w:color="auto" w:sz="6" w:space="0"/>
              <w:right w:val="outset" w:color="auto" w:sz="6" w:space="0"/>
            </w:tcBorders>
            <w:noWrap w:val="0"/>
            <w:vAlign w:val="center"/>
          </w:tcPr>
          <w:p w14:paraId="5CAD3E73">
            <w:pPr>
              <w:pStyle w:val="125"/>
              <w:jc w:val="center"/>
              <w:rPr>
                <w:rFonts w:hint="eastAsia" w:ascii="宋体" w:hAnsi="宋体" w:eastAsia="宋体" w:cs="宋体"/>
                <w:color w:val="auto"/>
                <w:sz w:val="24"/>
                <w:szCs w:val="24"/>
                <w:highlight w:val="none"/>
              </w:rPr>
            </w:pPr>
          </w:p>
        </w:tc>
        <w:tc>
          <w:tcPr>
            <w:tcW w:w="350" w:type="pct"/>
            <w:vMerge w:val="continue"/>
            <w:tcBorders>
              <w:left w:val="outset" w:color="auto" w:sz="6" w:space="0"/>
              <w:right w:val="outset" w:color="auto" w:sz="6" w:space="0"/>
            </w:tcBorders>
            <w:noWrap w:val="0"/>
            <w:vAlign w:val="center"/>
          </w:tcPr>
          <w:p w14:paraId="0728263C">
            <w:pPr>
              <w:pStyle w:val="125"/>
              <w:jc w:val="center"/>
              <w:rPr>
                <w:rFonts w:hint="eastAsia" w:ascii="宋体" w:hAnsi="宋体" w:eastAsia="宋体" w:cs="宋体"/>
                <w:color w:val="auto"/>
                <w:sz w:val="24"/>
                <w:szCs w:val="24"/>
                <w:highlight w:val="none"/>
              </w:rPr>
            </w:pPr>
          </w:p>
        </w:tc>
        <w:tc>
          <w:tcPr>
            <w:tcW w:w="1023" w:type="pct"/>
            <w:vMerge w:val="restart"/>
            <w:tcBorders>
              <w:top w:val="outset" w:color="auto" w:sz="6" w:space="0"/>
              <w:left w:val="outset" w:color="auto" w:sz="6" w:space="0"/>
              <w:right w:val="outset" w:color="auto" w:sz="6" w:space="0"/>
            </w:tcBorders>
            <w:noWrap w:val="0"/>
            <w:vAlign w:val="center"/>
          </w:tcPr>
          <w:p w14:paraId="22033437">
            <w:pPr>
              <w:pStyle w:val="125"/>
              <w:jc w:val="center"/>
              <w:rPr>
                <w:rFonts w:hint="eastAsia" w:ascii="宋体" w:hAnsi="宋体" w:eastAsia="宋体" w:cs="宋体"/>
                <w:color w:val="auto"/>
                <w:sz w:val="24"/>
                <w:szCs w:val="24"/>
                <w:highlight w:val="none"/>
                <w:lang w:eastAsia="zh-CN"/>
              </w:rPr>
            </w:pPr>
          </w:p>
          <w:p w14:paraId="6F24096C">
            <w:pPr>
              <w:pStyle w:val="125"/>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特定资质</w:t>
            </w:r>
          </w:p>
        </w:tc>
        <w:tc>
          <w:tcPr>
            <w:tcW w:w="2529" w:type="pct"/>
            <w:tcBorders>
              <w:top w:val="outset" w:color="auto" w:sz="6" w:space="0"/>
              <w:left w:val="outset" w:color="auto" w:sz="6" w:space="0"/>
              <w:bottom w:val="outset" w:color="auto" w:sz="6" w:space="0"/>
              <w:right w:val="outset" w:color="auto" w:sz="6" w:space="0"/>
            </w:tcBorders>
            <w:noWrap w:val="0"/>
            <w:vAlign w:val="center"/>
          </w:tcPr>
          <w:p w14:paraId="768D1B69">
            <w:pPr>
              <w:pStyle w:val="1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未在“信用中国”网站（www.creditchina.gov.cn）被列入失信被执行人、重大税收违法案件当事人名单、中国政府采购网（www.ccgp.gov.cn）被列入政府采购严重违法失信行为记录名单（尚在处罚期内的）。（提供“信用中国”“中国政府采购网”网站无任何不良记录的查询截图并加盖公章）</w:t>
            </w:r>
          </w:p>
        </w:tc>
        <w:tc>
          <w:tcPr>
            <w:tcW w:w="360" w:type="pct"/>
            <w:tcBorders>
              <w:top w:val="outset" w:color="auto" w:sz="6" w:space="0"/>
              <w:left w:val="outset" w:color="auto" w:sz="6" w:space="0"/>
              <w:bottom w:val="outset" w:color="auto" w:sz="6" w:space="0"/>
              <w:right w:val="outset" w:color="auto" w:sz="6" w:space="0"/>
            </w:tcBorders>
            <w:noWrap w:val="0"/>
            <w:vAlign w:val="center"/>
          </w:tcPr>
          <w:p w14:paraId="7E3927C9">
            <w:pPr>
              <w:pStyle w:val="125"/>
              <w:rPr>
                <w:rFonts w:hint="eastAsia" w:ascii="宋体" w:hAnsi="宋体" w:eastAsia="宋体" w:cs="宋体"/>
                <w:color w:val="auto"/>
                <w:sz w:val="24"/>
                <w:szCs w:val="24"/>
                <w:highlight w:val="none"/>
              </w:rPr>
            </w:pPr>
          </w:p>
        </w:tc>
        <w:tc>
          <w:tcPr>
            <w:tcW w:w="379" w:type="pct"/>
            <w:tcBorders>
              <w:top w:val="outset" w:color="auto" w:sz="6" w:space="0"/>
              <w:left w:val="outset" w:color="auto" w:sz="6" w:space="0"/>
              <w:bottom w:val="outset" w:color="auto" w:sz="6" w:space="0"/>
              <w:right w:val="outset" w:color="auto" w:sz="6" w:space="0"/>
            </w:tcBorders>
            <w:noWrap w:val="0"/>
            <w:vAlign w:val="center"/>
          </w:tcPr>
          <w:p w14:paraId="7DC2C1DD">
            <w:pPr>
              <w:pStyle w:val="125"/>
              <w:rPr>
                <w:rFonts w:hint="eastAsia" w:ascii="宋体" w:hAnsi="宋体" w:eastAsia="宋体" w:cs="宋体"/>
                <w:color w:val="auto"/>
                <w:sz w:val="24"/>
                <w:szCs w:val="24"/>
                <w:highlight w:val="none"/>
              </w:rPr>
            </w:pPr>
          </w:p>
        </w:tc>
      </w:tr>
      <w:tr w14:paraId="73F7653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258" w:hRule="atLeast"/>
          <w:jc w:val="center"/>
        </w:trPr>
        <w:tc>
          <w:tcPr>
            <w:tcW w:w="355" w:type="pct"/>
            <w:vMerge w:val="continue"/>
            <w:tcBorders>
              <w:left w:val="outset" w:color="auto" w:sz="6" w:space="0"/>
              <w:right w:val="outset" w:color="auto" w:sz="6" w:space="0"/>
            </w:tcBorders>
            <w:noWrap w:val="0"/>
            <w:vAlign w:val="center"/>
          </w:tcPr>
          <w:p w14:paraId="29C2C2D5">
            <w:pPr>
              <w:pStyle w:val="125"/>
              <w:jc w:val="center"/>
              <w:rPr>
                <w:rFonts w:hint="eastAsia" w:ascii="宋体" w:hAnsi="宋体" w:eastAsia="宋体" w:cs="宋体"/>
                <w:color w:val="auto"/>
                <w:sz w:val="24"/>
                <w:szCs w:val="24"/>
                <w:highlight w:val="none"/>
              </w:rPr>
            </w:pPr>
          </w:p>
        </w:tc>
        <w:tc>
          <w:tcPr>
            <w:tcW w:w="350" w:type="pct"/>
            <w:tcBorders>
              <w:left w:val="outset" w:color="auto" w:sz="6" w:space="0"/>
              <w:right w:val="outset" w:color="auto" w:sz="6" w:space="0"/>
            </w:tcBorders>
            <w:noWrap w:val="0"/>
            <w:vAlign w:val="center"/>
          </w:tcPr>
          <w:p w14:paraId="13EBB149">
            <w:pPr>
              <w:pStyle w:val="125"/>
              <w:jc w:val="center"/>
              <w:rPr>
                <w:rFonts w:hint="eastAsia" w:ascii="宋体" w:hAnsi="宋体" w:eastAsia="宋体" w:cs="宋体"/>
                <w:color w:val="auto"/>
                <w:sz w:val="24"/>
                <w:szCs w:val="24"/>
                <w:highlight w:val="none"/>
              </w:rPr>
            </w:pPr>
          </w:p>
        </w:tc>
        <w:tc>
          <w:tcPr>
            <w:tcW w:w="1023" w:type="pct"/>
            <w:vMerge w:val="continue"/>
            <w:tcBorders>
              <w:left w:val="outset" w:color="auto" w:sz="6" w:space="0"/>
              <w:bottom w:val="outset" w:color="auto" w:sz="6" w:space="0"/>
              <w:right w:val="outset" w:color="auto" w:sz="6" w:space="0"/>
            </w:tcBorders>
            <w:noWrap w:val="0"/>
            <w:vAlign w:val="center"/>
          </w:tcPr>
          <w:p w14:paraId="071E0771">
            <w:pPr>
              <w:pStyle w:val="125"/>
              <w:jc w:val="center"/>
              <w:rPr>
                <w:rFonts w:hint="eastAsia" w:ascii="宋体" w:hAnsi="宋体" w:eastAsia="宋体" w:cs="宋体"/>
                <w:color w:val="auto"/>
                <w:sz w:val="24"/>
                <w:szCs w:val="24"/>
                <w:highlight w:val="none"/>
                <w:lang w:val="en-US" w:eastAsia="zh-CN"/>
              </w:rPr>
            </w:pPr>
          </w:p>
        </w:tc>
        <w:tc>
          <w:tcPr>
            <w:tcW w:w="2529" w:type="pct"/>
            <w:tcBorders>
              <w:top w:val="outset" w:color="auto" w:sz="6" w:space="0"/>
              <w:left w:val="outset" w:color="auto" w:sz="6" w:space="0"/>
              <w:bottom w:val="outset" w:color="auto" w:sz="6" w:space="0"/>
              <w:right w:val="outset" w:color="auto" w:sz="6" w:space="0"/>
            </w:tcBorders>
            <w:noWrap w:val="0"/>
            <w:vAlign w:val="center"/>
          </w:tcPr>
          <w:p w14:paraId="43AEC4BF">
            <w:pPr>
              <w:pStyle w:val="12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具有工程设计资质证书：电子通信广电行业(有线通信或无线通信)专业乙级及以上。（提供相关证明材料）</w:t>
            </w:r>
          </w:p>
        </w:tc>
        <w:tc>
          <w:tcPr>
            <w:tcW w:w="360" w:type="pct"/>
            <w:tcBorders>
              <w:top w:val="outset" w:color="auto" w:sz="6" w:space="0"/>
              <w:left w:val="outset" w:color="auto" w:sz="6" w:space="0"/>
              <w:bottom w:val="outset" w:color="auto" w:sz="6" w:space="0"/>
              <w:right w:val="outset" w:color="auto" w:sz="6" w:space="0"/>
            </w:tcBorders>
            <w:noWrap w:val="0"/>
            <w:vAlign w:val="center"/>
          </w:tcPr>
          <w:p w14:paraId="677BB13B">
            <w:pPr>
              <w:pStyle w:val="125"/>
              <w:rPr>
                <w:rFonts w:hint="eastAsia" w:ascii="宋体" w:hAnsi="宋体" w:eastAsia="宋体" w:cs="宋体"/>
                <w:color w:val="auto"/>
                <w:sz w:val="24"/>
                <w:szCs w:val="24"/>
                <w:highlight w:val="none"/>
              </w:rPr>
            </w:pPr>
          </w:p>
        </w:tc>
        <w:tc>
          <w:tcPr>
            <w:tcW w:w="379" w:type="pct"/>
            <w:tcBorders>
              <w:top w:val="outset" w:color="auto" w:sz="6" w:space="0"/>
              <w:left w:val="outset" w:color="auto" w:sz="6" w:space="0"/>
              <w:bottom w:val="outset" w:color="auto" w:sz="6" w:space="0"/>
              <w:right w:val="outset" w:color="auto" w:sz="6" w:space="0"/>
            </w:tcBorders>
            <w:noWrap w:val="0"/>
            <w:vAlign w:val="center"/>
          </w:tcPr>
          <w:p w14:paraId="2A406EF2">
            <w:pPr>
              <w:pStyle w:val="125"/>
              <w:rPr>
                <w:rFonts w:hint="eastAsia" w:ascii="宋体" w:hAnsi="宋体" w:eastAsia="宋体" w:cs="宋体"/>
                <w:color w:val="auto"/>
                <w:sz w:val="24"/>
                <w:szCs w:val="24"/>
                <w:highlight w:val="none"/>
              </w:rPr>
            </w:pPr>
          </w:p>
        </w:tc>
      </w:tr>
      <w:tr w14:paraId="07DA25D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55" w:type="pct"/>
            <w:vMerge w:val="continue"/>
            <w:tcBorders>
              <w:left w:val="outset" w:color="auto" w:sz="6" w:space="0"/>
              <w:right w:val="outset" w:color="auto" w:sz="6" w:space="0"/>
            </w:tcBorders>
            <w:noWrap w:val="0"/>
            <w:vAlign w:val="center"/>
          </w:tcPr>
          <w:p w14:paraId="1CA1EB4A">
            <w:pPr>
              <w:pStyle w:val="125"/>
              <w:rPr>
                <w:rFonts w:hint="eastAsia" w:ascii="宋体" w:hAnsi="宋体" w:eastAsia="宋体" w:cs="宋体"/>
                <w:color w:val="auto"/>
                <w:sz w:val="24"/>
                <w:szCs w:val="24"/>
                <w:highlight w:val="none"/>
              </w:rPr>
            </w:pPr>
          </w:p>
        </w:tc>
        <w:tc>
          <w:tcPr>
            <w:tcW w:w="350" w:type="pct"/>
            <w:vMerge w:val="restart"/>
            <w:tcBorders>
              <w:top w:val="outset" w:color="auto" w:sz="6" w:space="0"/>
              <w:left w:val="outset" w:color="auto" w:sz="6" w:space="0"/>
              <w:right w:val="outset" w:color="auto" w:sz="6" w:space="0"/>
            </w:tcBorders>
            <w:noWrap w:val="0"/>
            <w:vAlign w:val="center"/>
          </w:tcPr>
          <w:p w14:paraId="30145E15">
            <w:pPr>
              <w:pStyle w:val="12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符合性检查</w:t>
            </w:r>
          </w:p>
        </w:tc>
        <w:tc>
          <w:tcPr>
            <w:tcW w:w="1023" w:type="pct"/>
            <w:tcBorders>
              <w:top w:val="outset" w:color="auto" w:sz="6" w:space="0"/>
              <w:left w:val="outset" w:color="auto" w:sz="6" w:space="0"/>
              <w:bottom w:val="outset" w:color="auto" w:sz="6" w:space="0"/>
              <w:right w:val="outset" w:color="auto" w:sz="6" w:space="0"/>
            </w:tcBorders>
            <w:noWrap w:val="0"/>
            <w:vAlign w:val="center"/>
          </w:tcPr>
          <w:p w14:paraId="4555CB17">
            <w:pPr>
              <w:pStyle w:val="12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tc>
        <w:tc>
          <w:tcPr>
            <w:tcW w:w="2529" w:type="pct"/>
            <w:tcBorders>
              <w:top w:val="outset" w:color="auto" w:sz="6" w:space="0"/>
              <w:left w:val="outset" w:color="auto" w:sz="6" w:space="0"/>
              <w:bottom w:val="outset" w:color="auto" w:sz="6" w:space="0"/>
              <w:right w:val="outset" w:color="auto" w:sz="6" w:space="0"/>
            </w:tcBorders>
            <w:noWrap w:val="0"/>
            <w:vAlign w:val="center"/>
          </w:tcPr>
          <w:p w14:paraId="62E4FCE8">
            <w:pPr>
              <w:pStyle w:val="1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是否与营业执照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事业单位法人证书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个体工商户营业执照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或自然人身份证明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一致</w:t>
            </w:r>
          </w:p>
        </w:tc>
        <w:tc>
          <w:tcPr>
            <w:tcW w:w="360" w:type="pct"/>
            <w:tcBorders>
              <w:top w:val="outset" w:color="auto" w:sz="6" w:space="0"/>
              <w:left w:val="outset" w:color="auto" w:sz="6" w:space="0"/>
              <w:bottom w:val="outset" w:color="auto" w:sz="6" w:space="0"/>
              <w:right w:val="outset" w:color="auto" w:sz="6" w:space="0"/>
            </w:tcBorders>
            <w:noWrap w:val="0"/>
            <w:vAlign w:val="center"/>
          </w:tcPr>
          <w:p w14:paraId="3AA839AC">
            <w:pPr>
              <w:pStyle w:val="125"/>
              <w:rPr>
                <w:rFonts w:hint="eastAsia" w:ascii="宋体" w:hAnsi="宋体" w:eastAsia="宋体" w:cs="宋体"/>
                <w:color w:val="auto"/>
                <w:sz w:val="24"/>
                <w:szCs w:val="24"/>
                <w:highlight w:val="none"/>
              </w:rPr>
            </w:pPr>
          </w:p>
        </w:tc>
        <w:tc>
          <w:tcPr>
            <w:tcW w:w="379" w:type="pct"/>
            <w:tcBorders>
              <w:top w:val="outset" w:color="auto" w:sz="6" w:space="0"/>
              <w:left w:val="outset" w:color="auto" w:sz="6" w:space="0"/>
              <w:bottom w:val="outset" w:color="auto" w:sz="6" w:space="0"/>
              <w:right w:val="outset" w:color="auto" w:sz="6" w:space="0"/>
            </w:tcBorders>
            <w:noWrap w:val="0"/>
            <w:vAlign w:val="center"/>
          </w:tcPr>
          <w:p w14:paraId="21B4C0F5">
            <w:pPr>
              <w:pStyle w:val="125"/>
              <w:rPr>
                <w:rFonts w:hint="eastAsia" w:ascii="宋体" w:hAnsi="宋体" w:eastAsia="宋体" w:cs="宋体"/>
                <w:color w:val="auto"/>
                <w:sz w:val="24"/>
                <w:szCs w:val="24"/>
                <w:highlight w:val="none"/>
              </w:rPr>
            </w:pPr>
          </w:p>
        </w:tc>
      </w:tr>
      <w:tr w14:paraId="6B0B0B8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55" w:type="pct"/>
            <w:vMerge w:val="continue"/>
            <w:tcBorders>
              <w:left w:val="outset" w:color="auto" w:sz="6" w:space="0"/>
              <w:right w:val="outset" w:color="auto" w:sz="6" w:space="0"/>
            </w:tcBorders>
            <w:noWrap w:val="0"/>
            <w:vAlign w:val="center"/>
          </w:tcPr>
          <w:p w14:paraId="5FCA0A85">
            <w:pPr>
              <w:pStyle w:val="125"/>
              <w:rPr>
                <w:rFonts w:hint="eastAsia" w:ascii="宋体" w:hAnsi="宋体" w:eastAsia="宋体" w:cs="宋体"/>
                <w:color w:val="auto"/>
                <w:sz w:val="24"/>
                <w:szCs w:val="24"/>
                <w:highlight w:val="none"/>
              </w:rPr>
            </w:pPr>
          </w:p>
        </w:tc>
        <w:tc>
          <w:tcPr>
            <w:tcW w:w="350" w:type="pct"/>
            <w:vMerge w:val="continue"/>
            <w:tcBorders>
              <w:left w:val="outset" w:color="auto" w:sz="6" w:space="0"/>
              <w:right w:val="outset" w:color="auto" w:sz="6" w:space="0"/>
            </w:tcBorders>
            <w:noWrap w:val="0"/>
            <w:vAlign w:val="center"/>
          </w:tcPr>
          <w:p w14:paraId="27D2DE92">
            <w:pPr>
              <w:pStyle w:val="125"/>
              <w:jc w:val="center"/>
              <w:rPr>
                <w:rFonts w:hint="eastAsia" w:ascii="宋体" w:hAnsi="宋体" w:eastAsia="宋体" w:cs="宋体"/>
                <w:color w:val="auto"/>
                <w:sz w:val="24"/>
                <w:szCs w:val="24"/>
                <w:highlight w:val="none"/>
              </w:rPr>
            </w:pPr>
          </w:p>
        </w:tc>
        <w:tc>
          <w:tcPr>
            <w:tcW w:w="1023" w:type="pct"/>
            <w:tcBorders>
              <w:top w:val="outset" w:color="auto" w:sz="6" w:space="0"/>
              <w:left w:val="outset" w:color="auto" w:sz="6" w:space="0"/>
              <w:bottom w:val="outset" w:color="auto" w:sz="6" w:space="0"/>
              <w:right w:val="outset" w:color="auto" w:sz="6" w:space="0"/>
            </w:tcBorders>
            <w:noWrap w:val="0"/>
            <w:vAlign w:val="center"/>
          </w:tcPr>
          <w:p w14:paraId="6E612D17">
            <w:pPr>
              <w:pStyle w:val="12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投标文件内容</w:t>
            </w:r>
          </w:p>
        </w:tc>
        <w:tc>
          <w:tcPr>
            <w:tcW w:w="2529" w:type="pct"/>
            <w:tcBorders>
              <w:top w:val="outset" w:color="auto" w:sz="6" w:space="0"/>
              <w:left w:val="outset" w:color="auto" w:sz="6" w:space="0"/>
              <w:bottom w:val="outset" w:color="auto" w:sz="6" w:space="0"/>
              <w:right w:val="outset" w:color="auto" w:sz="6" w:space="0"/>
            </w:tcBorders>
            <w:noWrap w:val="0"/>
            <w:vAlign w:val="center"/>
          </w:tcPr>
          <w:p w14:paraId="4A38EC51">
            <w:pPr>
              <w:pStyle w:val="1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投标文件按照招标文件规定的内容填写</w:t>
            </w:r>
          </w:p>
        </w:tc>
        <w:tc>
          <w:tcPr>
            <w:tcW w:w="360" w:type="pct"/>
            <w:tcBorders>
              <w:top w:val="outset" w:color="auto" w:sz="6" w:space="0"/>
              <w:left w:val="outset" w:color="auto" w:sz="6" w:space="0"/>
              <w:bottom w:val="outset" w:color="auto" w:sz="6" w:space="0"/>
              <w:right w:val="outset" w:color="auto" w:sz="6" w:space="0"/>
            </w:tcBorders>
            <w:noWrap w:val="0"/>
            <w:vAlign w:val="center"/>
          </w:tcPr>
          <w:p w14:paraId="61F9081E">
            <w:pPr>
              <w:pStyle w:val="125"/>
              <w:rPr>
                <w:rFonts w:hint="eastAsia" w:ascii="宋体" w:hAnsi="宋体" w:eastAsia="宋体" w:cs="宋体"/>
                <w:color w:val="auto"/>
                <w:sz w:val="24"/>
                <w:szCs w:val="24"/>
                <w:highlight w:val="none"/>
              </w:rPr>
            </w:pPr>
          </w:p>
        </w:tc>
        <w:tc>
          <w:tcPr>
            <w:tcW w:w="379" w:type="pct"/>
            <w:tcBorders>
              <w:top w:val="outset" w:color="auto" w:sz="6" w:space="0"/>
              <w:left w:val="outset" w:color="auto" w:sz="6" w:space="0"/>
              <w:bottom w:val="outset" w:color="auto" w:sz="6" w:space="0"/>
              <w:right w:val="outset" w:color="auto" w:sz="6" w:space="0"/>
            </w:tcBorders>
            <w:noWrap w:val="0"/>
            <w:vAlign w:val="center"/>
          </w:tcPr>
          <w:p w14:paraId="62017FEC">
            <w:pPr>
              <w:pStyle w:val="125"/>
              <w:rPr>
                <w:rFonts w:hint="eastAsia" w:ascii="宋体" w:hAnsi="宋体" w:eastAsia="宋体" w:cs="宋体"/>
                <w:color w:val="auto"/>
                <w:sz w:val="24"/>
                <w:szCs w:val="24"/>
                <w:highlight w:val="none"/>
              </w:rPr>
            </w:pPr>
          </w:p>
        </w:tc>
      </w:tr>
      <w:tr w14:paraId="7BC4B4C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55" w:type="pct"/>
            <w:vMerge w:val="continue"/>
            <w:tcBorders>
              <w:left w:val="outset" w:color="auto" w:sz="6" w:space="0"/>
              <w:right w:val="outset" w:color="auto" w:sz="6" w:space="0"/>
            </w:tcBorders>
            <w:noWrap w:val="0"/>
            <w:vAlign w:val="center"/>
          </w:tcPr>
          <w:p w14:paraId="0EFD94A4">
            <w:pPr>
              <w:pStyle w:val="125"/>
              <w:rPr>
                <w:rFonts w:hint="eastAsia" w:ascii="宋体" w:hAnsi="宋体" w:eastAsia="宋体" w:cs="宋体"/>
                <w:color w:val="auto"/>
                <w:sz w:val="24"/>
                <w:szCs w:val="24"/>
                <w:highlight w:val="none"/>
              </w:rPr>
            </w:pPr>
          </w:p>
        </w:tc>
        <w:tc>
          <w:tcPr>
            <w:tcW w:w="350" w:type="pct"/>
            <w:vMerge w:val="continue"/>
            <w:tcBorders>
              <w:left w:val="outset" w:color="auto" w:sz="6" w:space="0"/>
              <w:right w:val="outset" w:color="auto" w:sz="6" w:space="0"/>
            </w:tcBorders>
            <w:noWrap w:val="0"/>
            <w:vAlign w:val="center"/>
          </w:tcPr>
          <w:p w14:paraId="77B71966">
            <w:pPr>
              <w:pStyle w:val="125"/>
              <w:jc w:val="center"/>
              <w:rPr>
                <w:rFonts w:hint="eastAsia" w:ascii="宋体" w:hAnsi="宋体" w:eastAsia="宋体" w:cs="宋体"/>
                <w:color w:val="auto"/>
                <w:sz w:val="24"/>
                <w:szCs w:val="24"/>
                <w:highlight w:val="none"/>
              </w:rPr>
            </w:pPr>
          </w:p>
        </w:tc>
        <w:tc>
          <w:tcPr>
            <w:tcW w:w="1023" w:type="pct"/>
            <w:tcBorders>
              <w:top w:val="outset" w:color="auto" w:sz="6" w:space="0"/>
              <w:left w:val="outset" w:color="auto" w:sz="6" w:space="0"/>
              <w:bottom w:val="outset" w:color="auto" w:sz="6" w:space="0"/>
              <w:right w:val="outset" w:color="auto" w:sz="6" w:space="0"/>
            </w:tcBorders>
            <w:noWrap w:val="0"/>
            <w:vAlign w:val="center"/>
          </w:tcPr>
          <w:p w14:paraId="7BE8A052">
            <w:pPr>
              <w:pStyle w:val="125"/>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投标有效期、服务期</w:t>
            </w:r>
            <w:r>
              <w:rPr>
                <w:rFonts w:hint="eastAsia" w:ascii="宋体" w:hAnsi="宋体" w:eastAsia="宋体" w:cs="宋体"/>
                <w:color w:val="auto"/>
                <w:sz w:val="24"/>
                <w:szCs w:val="24"/>
                <w:highlight w:val="none"/>
                <w:lang w:val="en-US" w:eastAsia="zh-CN"/>
              </w:rPr>
              <w:t>限、服务</w:t>
            </w:r>
            <w:r>
              <w:rPr>
                <w:rFonts w:hint="eastAsia" w:ascii="宋体" w:hAnsi="宋体" w:eastAsia="宋体" w:cs="宋体"/>
                <w:color w:val="auto"/>
                <w:sz w:val="24"/>
                <w:szCs w:val="24"/>
                <w:highlight w:val="none"/>
              </w:rPr>
              <w:t>地点</w:t>
            </w:r>
          </w:p>
        </w:tc>
        <w:tc>
          <w:tcPr>
            <w:tcW w:w="2529" w:type="pct"/>
            <w:tcBorders>
              <w:top w:val="outset" w:color="auto" w:sz="6" w:space="0"/>
              <w:left w:val="outset" w:color="auto" w:sz="6" w:space="0"/>
              <w:bottom w:val="outset" w:color="auto" w:sz="6" w:space="0"/>
              <w:right w:val="outset" w:color="auto" w:sz="6" w:space="0"/>
            </w:tcBorders>
            <w:noWrap w:val="0"/>
            <w:vAlign w:val="center"/>
          </w:tcPr>
          <w:p w14:paraId="2B7F2F90">
            <w:pPr>
              <w:pStyle w:val="1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投标文件承诺投标有效期、服务期</w:t>
            </w:r>
            <w:r>
              <w:rPr>
                <w:rFonts w:hint="eastAsia" w:ascii="宋体" w:hAnsi="宋体" w:eastAsia="宋体" w:cs="宋体"/>
                <w:color w:val="auto"/>
                <w:sz w:val="24"/>
                <w:szCs w:val="24"/>
                <w:highlight w:val="none"/>
                <w:lang w:val="en-US" w:eastAsia="zh-CN"/>
              </w:rPr>
              <w:t>限、服务</w:t>
            </w:r>
            <w:r>
              <w:rPr>
                <w:rFonts w:hint="eastAsia" w:ascii="宋体" w:hAnsi="宋体" w:eastAsia="宋体" w:cs="宋体"/>
                <w:color w:val="auto"/>
                <w:sz w:val="24"/>
                <w:szCs w:val="24"/>
                <w:highlight w:val="none"/>
              </w:rPr>
              <w:t>地点满足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文件要求</w:t>
            </w:r>
          </w:p>
        </w:tc>
        <w:tc>
          <w:tcPr>
            <w:tcW w:w="360" w:type="pct"/>
            <w:tcBorders>
              <w:top w:val="outset" w:color="auto" w:sz="6" w:space="0"/>
              <w:left w:val="outset" w:color="auto" w:sz="6" w:space="0"/>
              <w:bottom w:val="outset" w:color="auto" w:sz="6" w:space="0"/>
              <w:right w:val="outset" w:color="auto" w:sz="6" w:space="0"/>
            </w:tcBorders>
            <w:noWrap w:val="0"/>
            <w:vAlign w:val="center"/>
          </w:tcPr>
          <w:p w14:paraId="4E6F4BCA">
            <w:pPr>
              <w:pStyle w:val="125"/>
              <w:rPr>
                <w:rFonts w:hint="eastAsia" w:ascii="宋体" w:hAnsi="宋体" w:eastAsia="宋体" w:cs="宋体"/>
                <w:color w:val="auto"/>
                <w:sz w:val="24"/>
                <w:szCs w:val="24"/>
                <w:highlight w:val="none"/>
              </w:rPr>
            </w:pPr>
          </w:p>
        </w:tc>
        <w:tc>
          <w:tcPr>
            <w:tcW w:w="379" w:type="pct"/>
            <w:tcBorders>
              <w:top w:val="outset" w:color="auto" w:sz="6" w:space="0"/>
              <w:left w:val="outset" w:color="auto" w:sz="6" w:space="0"/>
              <w:bottom w:val="outset" w:color="auto" w:sz="6" w:space="0"/>
              <w:right w:val="outset" w:color="auto" w:sz="6" w:space="0"/>
            </w:tcBorders>
            <w:noWrap w:val="0"/>
            <w:vAlign w:val="center"/>
          </w:tcPr>
          <w:p w14:paraId="259C0B19">
            <w:pPr>
              <w:pStyle w:val="125"/>
              <w:rPr>
                <w:rFonts w:hint="eastAsia" w:ascii="宋体" w:hAnsi="宋体" w:eastAsia="宋体" w:cs="宋体"/>
                <w:color w:val="auto"/>
                <w:sz w:val="24"/>
                <w:szCs w:val="24"/>
                <w:highlight w:val="none"/>
              </w:rPr>
            </w:pPr>
          </w:p>
        </w:tc>
      </w:tr>
      <w:tr w14:paraId="07D6044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55" w:type="pct"/>
            <w:vMerge w:val="continue"/>
            <w:tcBorders>
              <w:left w:val="outset" w:color="auto" w:sz="6" w:space="0"/>
              <w:right w:val="outset" w:color="auto" w:sz="6" w:space="0"/>
            </w:tcBorders>
            <w:noWrap w:val="0"/>
            <w:vAlign w:val="center"/>
          </w:tcPr>
          <w:p w14:paraId="4454268F">
            <w:pPr>
              <w:pStyle w:val="125"/>
              <w:rPr>
                <w:rFonts w:hint="eastAsia" w:ascii="宋体" w:hAnsi="宋体" w:eastAsia="宋体" w:cs="宋体"/>
                <w:color w:val="auto"/>
                <w:sz w:val="24"/>
                <w:szCs w:val="24"/>
                <w:highlight w:val="none"/>
              </w:rPr>
            </w:pPr>
          </w:p>
        </w:tc>
        <w:tc>
          <w:tcPr>
            <w:tcW w:w="350" w:type="pct"/>
            <w:vMerge w:val="continue"/>
            <w:tcBorders>
              <w:left w:val="outset" w:color="auto" w:sz="6" w:space="0"/>
              <w:right w:val="outset" w:color="auto" w:sz="6" w:space="0"/>
            </w:tcBorders>
            <w:noWrap w:val="0"/>
            <w:vAlign w:val="center"/>
          </w:tcPr>
          <w:p w14:paraId="4AC687DA">
            <w:pPr>
              <w:pStyle w:val="125"/>
              <w:jc w:val="center"/>
              <w:rPr>
                <w:rFonts w:hint="eastAsia" w:ascii="宋体" w:hAnsi="宋体" w:eastAsia="宋体" w:cs="宋体"/>
                <w:color w:val="auto"/>
                <w:sz w:val="24"/>
                <w:szCs w:val="24"/>
                <w:highlight w:val="none"/>
              </w:rPr>
            </w:pPr>
          </w:p>
        </w:tc>
        <w:tc>
          <w:tcPr>
            <w:tcW w:w="1023" w:type="pct"/>
            <w:tcBorders>
              <w:top w:val="outset" w:color="auto" w:sz="6" w:space="0"/>
              <w:left w:val="outset" w:color="auto" w:sz="6" w:space="0"/>
              <w:bottom w:val="outset" w:color="auto" w:sz="6" w:space="0"/>
              <w:right w:val="outset" w:color="auto" w:sz="6" w:space="0"/>
            </w:tcBorders>
            <w:noWrap w:val="0"/>
            <w:vAlign w:val="center"/>
          </w:tcPr>
          <w:p w14:paraId="72BA3FD7">
            <w:pPr>
              <w:pStyle w:val="12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法人授权</w:t>
            </w:r>
          </w:p>
        </w:tc>
        <w:tc>
          <w:tcPr>
            <w:tcW w:w="2529" w:type="pct"/>
            <w:tcBorders>
              <w:top w:val="outset" w:color="auto" w:sz="6" w:space="0"/>
              <w:left w:val="outset" w:color="auto" w:sz="6" w:space="0"/>
              <w:bottom w:val="outset" w:color="auto" w:sz="6" w:space="0"/>
              <w:right w:val="outset" w:color="auto" w:sz="6" w:space="0"/>
            </w:tcBorders>
            <w:noWrap w:val="0"/>
            <w:vAlign w:val="center"/>
          </w:tcPr>
          <w:p w14:paraId="1779A305">
            <w:pPr>
              <w:pStyle w:val="1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投标文件提供法定代表人授权委托书或提供法定代表人身份证明</w:t>
            </w:r>
          </w:p>
        </w:tc>
        <w:tc>
          <w:tcPr>
            <w:tcW w:w="360" w:type="pct"/>
            <w:tcBorders>
              <w:top w:val="outset" w:color="auto" w:sz="6" w:space="0"/>
              <w:left w:val="outset" w:color="auto" w:sz="6" w:space="0"/>
              <w:bottom w:val="outset" w:color="auto" w:sz="6" w:space="0"/>
              <w:right w:val="outset" w:color="auto" w:sz="6" w:space="0"/>
            </w:tcBorders>
            <w:noWrap w:val="0"/>
            <w:vAlign w:val="center"/>
          </w:tcPr>
          <w:p w14:paraId="1D9BA3D6">
            <w:pPr>
              <w:pStyle w:val="125"/>
              <w:rPr>
                <w:rFonts w:hint="eastAsia" w:ascii="宋体" w:hAnsi="宋体" w:eastAsia="宋体" w:cs="宋体"/>
                <w:color w:val="auto"/>
                <w:sz w:val="24"/>
                <w:szCs w:val="24"/>
                <w:highlight w:val="none"/>
              </w:rPr>
            </w:pPr>
          </w:p>
        </w:tc>
        <w:tc>
          <w:tcPr>
            <w:tcW w:w="379" w:type="pct"/>
            <w:tcBorders>
              <w:top w:val="outset" w:color="auto" w:sz="6" w:space="0"/>
              <w:left w:val="outset" w:color="auto" w:sz="6" w:space="0"/>
              <w:bottom w:val="outset" w:color="auto" w:sz="6" w:space="0"/>
              <w:right w:val="outset" w:color="auto" w:sz="6" w:space="0"/>
            </w:tcBorders>
            <w:noWrap w:val="0"/>
            <w:vAlign w:val="center"/>
          </w:tcPr>
          <w:p w14:paraId="5A23A789">
            <w:pPr>
              <w:pStyle w:val="125"/>
              <w:rPr>
                <w:rFonts w:hint="eastAsia" w:ascii="宋体" w:hAnsi="宋体" w:eastAsia="宋体" w:cs="宋体"/>
                <w:color w:val="auto"/>
                <w:sz w:val="24"/>
                <w:szCs w:val="24"/>
                <w:highlight w:val="none"/>
              </w:rPr>
            </w:pPr>
          </w:p>
        </w:tc>
      </w:tr>
      <w:tr w14:paraId="3F64C6A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55" w:type="pct"/>
            <w:vMerge w:val="continue"/>
            <w:tcBorders>
              <w:left w:val="outset" w:color="auto" w:sz="6" w:space="0"/>
              <w:right w:val="outset" w:color="auto" w:sz="6" w:space="0"/>
            </w:tcBorders>
            <w:noWrap w:val="0"/>
            <w:vAlign w:val="center"/>
          </w:tcPr>
          <w:p w14:paraId="6B4356B9">
            <w:pPr>
              <w:pStyle w:val="125"/>
              <w:rPr>
                <w:rFonts w:hint="eastAsia" w:ascii="宋体" w:hAnsi="宋体" w:eastAsia="宋体" w:cs="宋体"/>
                <w:color w:val="auto"/>
                <w:sz w:val="24"/>
                <w:szCs w:val="24"/>
                <w:highlight w:val="none"/>
              </w:rPr>
            </w:pPr>
          </w:p>
        </w:tc>
        <w:tc>
          <w:tcPr>
            <w:tcW w:w="350" w:type="pct"/>
            <w:vMerge w:val="continue"/>
            <w:tcBorders>
              <w:left w:val="outset" w:color="auto" w:sz="6" w:space="0"/>
              <w:right w:val="outset" w:color="auto" w:sz="6" w:space="0"/>
            </w:tcBorders>
            <w:noWrap w:val="0"/>
            <w:vAlign w:val="center"/>
          </w:tcPr>
          <w:p w14:paraId="43D2740C">
            <w:pPr>
              <w:pStyle w:val="125"/>
              <w:jc w:val="center"/>
              <w:rPr>
                <w:rFonts w:hint="eastAsia" w:ascii="宋体" w:hAnsi="宋体" w:eastAsia="宋体" w:cs="宋体"/>
                <w:color w:val="auto"/>
                <w:sz w:val="24"/>
                <w:szCs w:val="24"/>
                <w:highlight w:val="none"/>
              </w:rPr>
            </w:pPr>
          </w:p>
        </w:tc>
        <w:tc>
          <w:tcPr>
            <w:tcW w:w="1023" w:type="pct"/>
            <w:tcBorders>
              <w:top w:val="outset" w:color="auto" w:sz="6" w:space="0"/>
              <w:left w:val="outset" w:color="auto" w:sz="6" w:space="0"/>
              <w:bottom w:val="outset" w:color="auto" w:sz="6" w:space="0"/>
              <w:right w:val="outset" w:color="auto" w:sz="6" w:space="0"/>
            </w:tcBorders>
            <w:noWrap w:val="0"/>
            <w:vAlign w:val="center"/>
          </w:tcPr>
          <w:p w14:paraId="79C706EC">
            <w:pPr>
              <w:pStyle w:val="12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2529" w:type="pct"/>
            <w:tcBorders>
              <w:top w:val="outset" w:color="auto" w:sz="6" w:space="0"/>
              <w:left w:val="outset" w:color="auto" w:sz="6" w:space="0"/>
              <w:bottom w:val="outset" w:color="auto" w:sz="6" w:space="0"/>
              <w:right w:val="outset" w:color="auto" w:sz="6" w:space="0"/>
            </w:tcBorders>
            <w:noWrap w:val="0"/>
            <w:vAlign w:val="center"/>
          </w:tcPr>
          <w:p w14:paraId="54936615">
            <w:pPr>
              <w:pStyle w:val="1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按规定</w:t>
            </w:r>
            <w:r>
              <w:rPr>
                <w:rFonts w:hint="eastAsia" w:ascii="宋体" w:hAnsi="宋体" w:eastAsia="宋体" w:cs="宋体"/>
                <w:color w:val="auto"/>
                <w:sz w:val="24"/>
                <w:szCs w:val="24"/>
                <w:highlight w:val="none"/>
                <w:lang w:eastAsia="zh-CN"/>
              </w:rPr>
              <w:t>缴纳</w:t>
            </w:r>
            <w:r>
              <w:rPr>
                <w:rFonts w:hint="eastAsia" w:ascii="宋体" w:hAnsi="宋体" w:eastAsia="宋体" w:cs="宋体"/>
                <w:color w:val="auto"/>
                <w:sz w:val="24"/>
                <w:szCs w:val="24"/>
                <w:highlight w:val="none"/>
              </w:rPr>
              <w:t>投标保证金</w:t>
            </w:r>
          </w:p>
        </w:tc>
        <w:tc>
          <w:tcPr>
            <w:tcW w:w="360" w:type="pct"/>
            <w:tcBorders>
              <w:top w:val="outset" w:color="auto" w:sz="6" w:space="0"/>
              <w:left w:val="outset" w:color="auto" w:sz="6" w:space="0"/>
              <w:bottom w:val="outset" w:color="auto" w:sz="6" w:space="0"/>
              <w:right w:val="outset" w:color="auto" w:sz="6" w:space="0"/>
            </w:tcBorders>
            <w:noWrap w:val="0"/>
            <w:vAlign w:val="center"/>
          </w:tcPr>
          <w:p w14:paraId="297514A5">
            <w:pPr>
              <w:pStyle w:val="125"/>
              <w:rPr>
                <w:rFonts w:hint="eastAsia" w:ascii="宋体" w:hAnsi="宋体" w:eastAsia="宋体" w:cs="宋体"/>
                <w:color w:val="auto"/>
                <w:sz w:val="24"/>
                <w:szCs w:val="24"/>
                <w:highlight w:val="none"/>
              </w:rPr>
            </w:pPr>
          </w:p>
        </w:tc>
        <w:tc>
          <w:tcPr>
            <w:tcW w:w="379" w:type="pct"/>
            <w:tcBorders>
              <w:top w:val="outset" w:color="auto" w:sz="6" w:space="0"/>
              <w:left w:val="outset" w:color="auto" w:sz="6" w:space="0"/>
              <w:bottom w:val="outset" w:color="auto" w:sz="6" w:space="0"/>
              <w:right w:val="outset" w:color="auto" w:sz="6" w:space="0"/>
            </w:tcBorders>
            <w:noWrap w:val="0"/>
            <w:vAlign w:val="center"/>
          </w:tcPr>
          <w:p w14:paraId="50EAA7CB">
            <w:pPr>
              <w:pStyle w:val="125"/>
              <w:rPr>
                <w:rFonts w:hint="eastAsia" w:ascii="宋体" w:hAnsi="宋体" w:eastAsia="宋体" w:cs="宋体"/>
                <w:color w:val="auto"/>
                <w:sz w:val="24"/>
                <w:szCs w:val="24"/>
                <w:highlight w:val="none"/>
              </w:rPr>
            </w:pPr>
          </w:p>
        </w:tc>
      </w:tr>
      <w:tr w14:paraId="62A1BFA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55" w:type="pct"/>
            <w:vMerge w:val="continue"/>
            <w:tcBorders>
              <w:left w:val="outset" w:color="auto" w:sz="6" w:space="0"/>
              <w:right w:val="outset" w:color="auto" w:sz="6" w:space="0"/>
            </w:tcBorders>
            <w:noWrap w:val="0"/>
            <w:vAlign w:val="center"/>
          </w:tcPr>
          <w:p w14:paraId="4CEA1049">
            <w:pPr>
              <w:pStyle w:val="125"/>
              <w:rPr>
                <w:rFonts w:hint="eastAsia" w:ascii="宋体" w:hAnsi="宋体" w:eastAsia="宋体" w:cs="宋体"/>
                <w:color w:val="auto"/>
                <w:sz w:val="24"/>
                <w:szCs w:val="24"/>
                <w:highlight w:val="none"/>
              </w:rPr>
            </w:pPr>
          </w:p>
        </w:tc>
        <w:tc>
          <w:tcPr>
            <w:tcW w:w="350" w:type="pct"/>
            <w:vMerge w:val="continue"/>
            <w:tcBorders>
              <w:left w:val="outset" w:color="auto" w:sz="6" w:space="0"/>
              <w:right w:val="outset" w:color="auto" w:sz="6" w:space="0"/>
            </w:tcBorders>
            <w:noWrap w:val="0"/>
            <w:vAlign w:val="center"/>
          </w:tcPr>
          <w:p w14:paraId="41F47465">
            <w:pPr>
              <w:pStyle w:val="125"/>
              <w:jc w:val="center"/>
              <w:rPr>
                <w:rFonts w:hint="eastAsia" w:ascii="宋体" w:hAnsi="宋体" w:eastAsia="宋体" w:cs="宋体"/>
                <w:color w:val="auto"/>
                <w:sz w:val="24"/>
                <w:szCs w:val="24"/>
                <w:highlight w:val="none"/>
              </w:rPr>
            </w:pPr>
          </w:p>
        </w:tc>
        <w:tc>
          <w:tcPr>
            <w:tcW w:w="1023" w:type="pct"/>
            <w:tcBorders>
              <w:top w:val="outset" w:color="auto" w:sz="6" w:space="0"/>
              <w:left w:val="outset" w:color="auto" w:sz="6" w:space="0"/>
              <w:bottom w:val="outset" w:color="auto" w:sz="6" w:space="0"/>
              <w:right w:val="outset" w:color="auto" w:sz="6" w:space="0"/>
            </w:tcBorders>
            <w:noWrap w:val="0"/>
            <w:vAlign w:val="center"/>
          </w:tcPr>
          <w:p w14:paraId="05B1C387">
            <w:pPr>
              <w:pStyle w:val="12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投标文件签署</w:t>
            </w:r>
          </w:p>
        </w:tc>
        <w:tc>
          <w:tcPr>
            <w:tcW w:w="2529" w:type="pct"/>
            <w:tcBorders>
              <w:top w:val="outset" w:color="auto" w:sz="6" w:space="0"/>
              <w:left w:val="outset" w:color="auto" w:sz="6" w:space="0"/>
              <w:bottom w:val="outset" w:color="auto" w:sz="6" w:space="0"/>
              <w:right w:val="outset" w:color="auto" w:sz="6" w:space="0"/>
            </w:tcBorders>
            <w:noWrap w:val="0"/>
            <w:vAlign w:val="center"/>
          </w:tcPr>
          <w:p w14:paraId="56F4472D">
            <w:pPr>
              <w:pStyle w:val="1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投标文件上法定代表人或其授权代理人的签字、投标人的盖章齐全</w:t>
            </w:r>
          </w:p>
        </w:tc>
        <w:tc>
          <w:tcPr>
            <w:tcW w:w="360" w:type="pct"/>
            <w:tcBorders>
              <w:top w:val="outset" w:color="auto" w:sz="6" w:space="0"/>
              <w:left w:val="outset" w:color="auto" w:sz="6" w:space="0"/>
              <w:bottom w:val="outset" w:color="auto" w:sz="6" w:space="0"/>
              <w:right w:val="outset" w:color="auto" w:sz="6" w:space="0"/>
            </w:tcBorders>
            <w:noWrap w:val="0"/>
            <w:vAlign w:val="center"/>
          </w:tcPr>
          <w:p w14:paraId="6B5D5D4F">
            <w:pPr>
              <w:pStyle w:val="125"/>
              <w:rPr>
                <w:rFonts w:hint="eastAsia" w:ascii="宋体" w:hAnsi="宋体" w:eastAsia="宋体" w:cs="宋体"/>
                <w:color w:val="auto"/>
                <w:sz w:val="24"/>
                <w:szCs w:val="24"/>
                <w:highlight w:val="none"/>
              </w:rPr>
            </w:pPr>
          </w:p>
        </w:tc>
        <w:tc>
          <w:tcPr>
            <w:tcW w:w="379" w:type="pct"/>
            <w:tcBorders>
              <w:top w:val="outset" w:color="auto" w:sz="6" w:space="0"/>
              <w:left w:val="outset" w:color="auto" w:sz="6" w:space="0"/>
              <w:bottom w:val="outset" w:color="auto" w:sz="6" w:space="0"/>
              <w:right w:val="outset" w:color="auto" w:sz="6" w:space="0"/>
            </w:tcBorders>
            <w:noWrap w:val="0"/>
            <w:vAlign w:val="center"/>
          </w:tcPr>
          <w:p w14:paraId="77F5DF10">
            <w:pPr>
              <w:pStyle w:val="125"/>
              <w:rPr>
                <w:rFonts w:hint="eastAsia" w:ascii="宋体" w:hAnsi="宋体" w:eastAsia="宋体" w:cs="宋体"/>
                <w:color w:val="auto"/>
                <w:sz w:val="24"/>
                <w:szCs w:val="24"/>
                <w:highlight w:val="none"/>
              </w:rPr>
            </w:pPr>
          </w:p>
        </w:tc>
      </w:tr>
      <w:tr w14:paraId="567DFED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55" w:type="pct"/>
            <w:vMerge w:val="continue"/>
            <w:tcBorders>
              <w:left w:val="outset" w:color="auto" w:sz="6" w:space="0"/>
              <w:right w:val="outset" w:color="auto" w:sz="6" w:space="0"/>
            </w:tcBorders>
            <w:noWrap w:val="0"/>
            <w:vAlign w:val="center"/>
          </w:tcPr>
          <w:p w14:paraId="5EF1E22B">
            <w:pPr>
              <w:pStyle w:val="125"/>
              <w:rPr>
                <w:rFonts w:hint="eastAsia" w:ascii="宋体" w:hAnsi="宋体" w:eastAsia="宋体" w:cs="宋体"/>
                <w:color w:val="auto"/>
                <w:sz w:val="24"/>
                <w:szCs w:val="24"/>
                <w:highlight w:val="none"/>
              </w:rPr>
            </w:pPr>
          </w:p>
        </w:tc>
        <w:tc>
          <w:tcPr>
            <w:tcW w:w="350" w:type="pct"/>
            <w:vMerge w:val="continue"/>
            <w:tcBorders>
              <w:left w:val="outset" w:color="auto" w:sz="6" w:space="0"/>
              <w:right w:val="outset" w:color="auto" w:sz="6" w:space="0"/>
            </w:tcBorders>
            <w:noWrap w:val="0"/>
            <w:vAlign w:val="center"/>
          </w:tcPr>
          <w:p w14:paraId="7F1961B1">
            <w:pPr>
              <w:pStyle w:val="125"/>
              <w:jc w:val="center"/>
              <w:rPr>
                <w:rFonts w:hint="eastAsia" w:ascii="宋体" w:hAnsi="宋体" w:eastAsia="宋体" w:cs="宋体"/>
                <w:color w:val="auto"/>
                <w:sz w:val="24"/>
                <w:szCs w:val="24"/>
                <w:highlight w:val="none"/>
              </w:rPr>
            </w:pPr>
          </w:p>
        </w:tc>
        <w:tc>
          <w:tcPr>
            <w:tcW w:w="1023" w:type="pct"/>
            <w:tcBorders>
              <w:top w:val="outset" w:color="auto" w:sz="6" w:space="0"/>
              <w:left w:val="outset" w:color="auto" w:sz="6" w:space="0"/>
              <w:bottom w:val="outset" w:color="auto" w:sz="6" w:space="0"/>
              <w:right w:val="outset" w:color="auto" w:sz="6" w:space="0"/>
            </w:tcBorders>
            <w:noWrap w:val="0"/>
            <w:vAlign w:val="center"/>
          </w:tcPr>
          <w:p w14:paraId="28F131A3">
            <w:pPr>
              <w:pStyle w:val="12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tc>
        <w:tc>
          <w:tcPr>
            <w:tcW w:w="2529" w:type="pct"/>
            <w:tcBorders>
              <w:top w:val="outset" w:color="auto" w:sz="6" w:space="0"/>
              <w:left w:val="outset" w:color="auto" w:sz="6" w:space="0"/>
              <w:bottom w:val="outset" w:color="auto" w:sz="6" w:space="0"/>
              <w:right w:val="outset" w:color="auto" w:sz="6" w:space="0"/>
            </w:tcBorders>
            <w:noWrap w:val="0"/>
            <w:vAlign w:val="center"/>
          </w:tcPr>
          <w:p w14:paraId="04B208AB">
            <w:pPr>
              <w:pStyle w:val="12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投标报价在采购预算（最高限价）以内；</w:t>
            </w:r>
          </w:p>
        </w:tc>
        <w:tc>
          <w:tcPr>
            <w:tcW w:w="360" w:type="pct"/>
            <w:tcBorders>
              <w:top w:val="outset" w:color="auto" w:sz="6" w:space="0"/>
              <w:left w:val="outset" w:color="auto" w:sz="6" w:space="0"/>
              <w:bottom w:val="outset" w:color="auto" w:sz="6" w:space="0"/>
              <w:right w:val="outset" w:color="auto" w:sz="6" w:space="0"/>
            </w:tcBorders>
            <w:noWrap w:val="0"/>
            <w:vAlign w:val="center"/>
          </w:tcPr>
          <w:p w14:paraId="169597EB">
            <w:pPr>
              <w:pStyle w:val="125"/>
              <w:rPr>
                <w:rFonts w:hint="eastAsia" w:ascii="宋体" w:hAnsi="宋体" w:eastAsia="宋体" w:cs="宋体"/>
                <w:color w:val="auto"/>
                <w:sz w:val="24"/>
                <w:szCs w:val="24"/>
                <w:highlight w:val="none"/>
              </w:rPr>
            </w:pPr>
          </w:p>
        </w:tc>
        <w:tc>
          <w:tcPr>
            <w:tcW w:w="379" w:type="pct"/>
            <w:tcBorders>
              <w:top w:val="outset" w:color="auto" w:sz="6" w:space="0"/>
              <w:left w:val="outset" w:color="auto" w:sz="6" w:space="0"/>
              <w:bottom w:val="outset" w:color="auto" w:sz="6" w:space="0"/>
              <w:right w:val="outset" w:color="auto" w:sz="6" w:space="0"/>
            </w:tcBorders>
            <w:noWrap w:val="0"/>
            <w:vAlign w:val="center"/>
          </w:tcPr>
          <w:p w14:paraId="162D06D3">
            <w:pPr>
              <w:pStyle w:val="125"/>
              <w:rPr>
                <w:rFonts w:hint="eastAsia" w:ascii="宋体" w:hAnsi="宋体" w:eastAsia="宋体" w:cs="宋体"/>
                <w:color w:val="auto"/>
                <w:sz w:val="24"/>
                <w:szCs w:val="24"/>
                <w:highlight w:val="none"/>
              </w:rPr>
            </w:pPr>
          </w:p>
        </w:tc>
      </w:tr>
      <w:tr w14:paraId="0060EB3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355" w:type="pct"/>
            <w:tcBorders>
              <w:left w:val="outset" w:color="auto" w:sz="6" w:space="0"/>
              <w:bottom w:val="outset" w:color="auto" w:sz="6" w:space="0"/>
              <w:right w:val="outset" w:color="auto" w:sz="6" w:space="0"/>
            </w:tcBorders>
            <w:noWrap w:val="0"/>
            <w:vAlign w:val="center"/>
          </w:tcPr>
          <w:p w14:paraId="64FD39F6">
            <w:pPr>
              <w:pStyle w:val="125"/>
              <w:rPr>
                <w:rFonts w:hint="eastAsia" w:ascii="宋体" w:hAnsi="宋体" w:eastAsia="宋体" w:cs="宋体"/>
                <w:color w:val="auto"/>
                <w:sz w:val="24"/>
                <w:szCs w:val="24"/>
                <w:highlight w:val="none"/>
              </w:rPr>
            </w:pPr>
          </w:p>
        </w:tc>
        <w:tc>
          <w:tcPr>
            <w:tcW w:w="350" w:type="pct"/>
            <w:tcBorders>
              <w:left w:val="outset" w:color="auto" w:sz="6" w:space="0"/>
              <w:bottom w:val="outset" w:color="auto" w:sz="6" w:space="0"/>
              <w:right w:val="outset" w:color="auto" w:sz="6" w:space="0"/>
            </w:tcBorders>
            <w:noWrap w:val="0"/>
            <w:vAlign w:val="center"/>
          </w:tcPr>
          <w:p w14:paraId="3ABCAB0D">
            <w:pPr>
              <w:pStyle w:val="125"/>
              <w:jc w:val="center"/>
              <w:rPr>
                <w:rFonts w:hint="eastAsia" w:ascii="宋体" w:hAnsi="宋体" w:eastAsia="宋体" w:cs="宋体"/>
                <w:color w:val="auto"/>
                <w:sz w:val="24"/>
                <w:szCs w:val="24"/>
                <w:highlight w:val="none"/>
              </w:rPr>
            </w:pPr>
          </w:p>
        </w:tc>
        <w:tc>
          <w:tcPr>
            <w:tcW w:w="1023" w:type="pct"/>
            <w:tcBorders>
              <w:top w:val="outset" w:color="auto" w:sz="6" w:space="0"/>
              <w:left w:val="outset" w:color="auto" w:sz="6" w:space="0"/>
              <w:bottom w:val="outset" w:color="auto" w:sz="6" w:space="0"/>
              <w:right w:val="outset" w:color="auto" w:sz="6" w:space="0"/>
            </w:tcBorders>
            <w:noWrap w:val="0"/>
            <w:vAlign w:val="center"/>
          </w:tcPr>
          <w:p w14:paraId="5D1BC627">
            <w:pPr>
              <w:pStyle w:val="125"/>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其他</w:t>
            </w:r>
          </w:p>
        </w:tc>
        <w:tc>
          <w:tcPr>
            <w:tcW w:w="2529" w:type="pct"/>
            <w:tcBorders>
              <w:top w:val="outset" w:color="auto" w:sz="6" w:space="0"/>
              <w:left w:val="outset" w:color="auto" w:sz="6" w:space="0"/>
              <w:bottom w:val="outset" w:color="auto" w:sz="6" w:space="0"/>
              <w:right w:val="outset" w:color="auto" w:sz="6" w:space="0"/>
            </w:tcBorders>
            <w:noWrap w:val="0"/>
            <w:vAlign w:val="center"/>
          </w:tcPr>
          <w:p w14:paraId="3D162DFF">
            <w:pPr>
              <w:pStyle w:val="125"/>
              <w:numPr>
                <w:ilvl w:val="0"/>
                <w:numId w:val="0"/>
              </w:num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SA"/>
              </w:rPr>
              <w:t>1、</w:t>
            </w:r>
            <w:r>
              <w:rPr>
                <w:rFonts w:hint="eastAsia" w:ascii="宋体" w:hAnsi="宋体" w:eastAsia="宋体" w:cs="宋体"/>
                <w:color w:val="auto"/>
                <w:sz w:val="24"/>
                <w:szCs w:val="24"/>
                <w:highlight w:val="none"/>
              </w:rPr>
              <w:t xml:space="preserve">投标文件未附有采购人不能接受的条件或不符合招标文件的其他要求。 </w:t>
            </w:r>
          </w:p>
          <w:p w14:paraId="33E05A14">
            <w:pPr>
              <w:pStyle w:val="125"/>
              <w:numPr>
                <w:ilvl w:val="0"/>
                <w:numId w:val="0"/>
              </w:numP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2、不属于法律、法规、规章规定无效投标的其他情形。</w:t>
            </w:r>
          </w:p>
        </w:tc>
        <w:tc>
          <w:tcPr>
            <w:tcW w:w="360" w:type="pct"/>
            <w:tcBorders>
              <w:top w:val="outset" w:color="auto" w:sz="6" w:space="0"/>
              <w:left w:val="outset" w:color="auto" w:sz="6" w:space="0"/>
              <w:bottom w:val="outset" w:color="auto" w:sz="6" w:space="0"/>
              <w:right w:val="outset" w:color="auto" w:sz="6" w:space="0"/>
            </w:tcBorders>
            <w:noWrap w:val="0"/>
            <w:vAlign w:val="center"/>
          </w:tcPr>
          <w:p w14:paraId="13ACFEB7">
            <w:pPr>
              <w:pStyle w:val="125"/>
              <w:rPr>
                <w:rFonts w:hint="eastAsia" w:ascii="宋体" w:hAnsi="宋体" w:eastAsia="宋体" w:cs="宋体"/>
                <w:color w:val="auto"/>
                <w:sz w:val="24"/>
                <w:szCs w:val="24"/>
                <w:highlight w:val="none"/>
              </w:rPr>
            </w:pPr>
          </w:p>
        </w:tc>
        <w:tc>
          <w:tcPr>
            <w:tcW w:w="379" w:type="pct"/>
            <w:tcBorders>
              <w:top w:val="outset" w:color="auto" w:sz="6" w:space="0"/>
              <w:left w:val="outset" w:color="auto" w:sz="6" w:space="0"/>
              <w:bottom w:val="outset" w:color="auto" w:sz="6" w:space="0"/>
              <w:right w:val="outset" w:color="auto" w:sz="6" w:space="0"/>
            </w:tcBorders>
            <w:noWrap w:val="0"/>
            <w:vAlign w:val="center"/>
          </w:tcPr>
          <w:p w14:paraId="7F357C26">
            <w:pPr>
              <w:pStyle w:val="125"/>
              <w:rPr>
                <w:rFonts w:hint="eastAsia" w:ascii="宋体" w:hAnsi="宋体" w:eastAsia="宋体" w:cs="宋体"/>
                <w:color w:val="auto"/>
                <w:sz w:val="24"/>
                <w:szCs w:val="24"/>
                <w:highlight w:val="none"/>
              </w:rPr>
            </w:pPr>
          </w:p>
        </w:tc>
      </w:tr>
    </w:tbl>
    <w:p w14:paraId="0F9A2CD5">
      <w:pPr>
        <w:pageBreakBefore/>
        <w:spacing w:line="360" w:lineRule="auto"/>
        <w:ind w:firstLine="0" w:firstLineChars="0"/>
        <w:jc w:val="center"/>
        <w:outlineLvl w:val="1"/>
        <w:rPr>
          <w:rFonts w:hint="eastAsia" w:eastAsia="宋体"/>
          <w:b/>
          <w:color w:val="auto"/>
          <w:sz w:val="24"/>
          <w:szCs w:val="36"/>
          <w:highlight w:val="none"/>
          <w:lang w:eastAsia="zh-CN"/>
        </w:rPr>
      </w:pPr>
      <w:r>
        <w:rPr>
          <w:rFonts w:hint="eastAsia"/>
          <w:b/>
          <w:color w:val="auto"/>
          <w:sz w:val="24"/>
          <w:szCs w:val="36"/>
          <w:highlight w:val="none"/>
          <w:lang w:val="en-US" w:eastAsia="zh-CN"/>
        </w:rPr>
        <w:t>评审办法（100分）</w:t>
      </w:r>
    </w:p>
    <w:tbl>
      <w:tblPr>
        <w:tblStyle w:val="40"/>
        <w:tblpPr w:leftFromText="180" w:rightFromText="180" w:vertAnchor="text" w:horzAnchor="page" w:tblpXSpec="center" w:tblpY="306"/>
        <w:tblOverlap w:val="never"/>
        <w:tblW w:w="58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79"/>
        <w:gridCol w:w="1245"/>
        <w:gridCol w:w="811"/>
        <w:gridCol w:w="7183"/>
      </w:tblGrid>
      <w:tr w14:paraId="0790B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295" w:type="pct"/>
            <w:noWrap w:val="0"/>
            <w:vAlign w:val="center"/>
          </w:tcPr>
          <w:p w14:paraId="2649461F">
            <w:pPr>
              <w:pStyle w:val="12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34" w:type="pct"/>
            <w:noWrap w:val="0"/>
            <w:vAlign w:val="center"/>
          </w:tcPr>
          <w:p w14:paraId="12875257">
            <w:pPr>
              <w:pStyle w:val="12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评审项目</w:t>
            </w:r>
          </w:p>
        </w:tc>
        <w:tc>
          <w:tcPr>
            <w:tcW w:w="413" w:type="pct"/>
            <w:noWrap w:val="0"/>
            <w:vAlign w:val="center"/>
          </w:tcPr>
          <w:p w14:paraId="52B4F5B2">
            <w:pPr>
              <w:pStyle w:val="125"/>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标准分</w:t>
            </w:r>
          </w:p>
        </w:tc>
        <w:tc>
          <w:tcPr>
            <w:tcW w:w="3656" w:type="pct"/>
            <w:noWrap w:val="0"/>
            <w:vAlign w:val="center"/>
          </w:tcPr>
          <w:p w14:paraId="16503E03">
            <w:pPr>
              <w:pStyle w:val="12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r>
      <w:tr w14:paraId="7A30A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295" w:type="pct"/>
            <w:noWrap w:val="0"/>
            <w:tcMar>
              <w:top w:w="0" w:type="dxa"/>
              <w:left w:w="108" w:type="dxa"/>
              <w:bottom w:w="0" w:type="dxa"/>
              <w:right w:w="108" w:type="dxa"/>
            </w:tcMar>
            <w:vAlign w:val="center"/>
          </w:tcPr>
          <w:p w14:paraId="0A8B6A1A">
            <w:pPr>
              <w:pStyle w:val="125"/>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634" w:type="pct"/>
            <w:noWrap w:val="0"/>
            <w:tcMar>
              <w:top w:w="0" w:type="dxa"/>
              <w:left w:w="108" w:type="dxa"/>
              <w:bottom w:w="0" w:type="dxa"/>
              <w:right w:w="108" w:type="dxa"/>
            </w:tcMar>
            <w:vAlign w:val="center"/>
          </w:tcPr>
          <w:p w14:paraId="09660C96">
            <w:pPr>
              <w:pStyle w:val="12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413" w:type="pct"/>
            <w:noWrap w:val="0"/>
            <w:tcMar>
              <w:top w:w="0" w:type="dxa"/>
              <w:left w:w="108" w:type="dxa"/>
              <w:bottom w:w="0" w:type="dxa"/>
              <w:right w:w="108" w:type="dxa"/>
            </w:tcMar>
            <w:vAlign w:val="center"/>
          </w:tcPr>
          <w:p w14:paraId="7A620618">
            <w:pPr>
              <w:pStyle w:val="125"/>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3656" w:type="pct"/>
            <w:noWrap w:val="0"/>
            <w:tcMar>
              <w:top w:w="0" w:type="dxa"/>
              <w:left w:w="108" w:type="dxa"/>
              <w:bottom w:w="0" w:type="dxa"/>
              <w:right w:w="108" w:type="dxa"/>
            </w:tcMar>
            <w:vAlign w:val="center"/>
          </w:tcPr>
          <w:p w14:paraId="3AB84B55">
            <w:pPr>
              <w:pStyle w:val="1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价格分应当采用低价优先法计算，即</w:t>
            </w:r>
            <w:r>
              <w:rPr>
                <w:rFonts w:hint="eastAsia" w:ascii="宋体" w:hAnsi="宋体" w:eastAsia="宋体" w:cs="宋体"/>
                <w:color w:val="auto"/>
                <w:sz w:val="24"/>
                <w:szCs w:val="24"/>
                <w:highlight w:val="none"/>
                <w:lang w:val="en-US" w:eastAsia="zh-CN"/>
              </w:rPr>
              <w:t>满足招标文件要求且最后报价最低的供应商的价格为评审基准价，其价格分为满分。</w:t>
            </w:r>
            <w:r>
              <w:rPr>
                <w:rFonts w:hint="eastAsia" w:ascii="宋体" w:hAnsi="宋体" w:eastAsia="宋体" w:cs="宋体"/>
                <w:color w:val="auto"/>
                <w:sz w:val="24"/>
                <w:szCs w:val="24"/>
                <w:highlight w:val="none"/>
              </w:rPr>
              <w:t>其他投标人的价格分统一按照下列公式计算：</w:t>
            </w:r>
          </w:p>
          <w:p w14:paraId="5A23EAE2">
            <w:pPr>
              <w:pStyle w:val="1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投标报价得分=（评标基准价／投标报价）×100×权重</w:t>
            </w:r>
          </w:p>
          <w:p w14:paraId="21966336">
            <w:pPr>
              <w:pStyle w:val="1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2080918C">
            <w:pPr>
              <w:pStyle w:val="1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因落实政府采购政策进行价格调整的，以调整后的价格计算评标基准价和投标报价，详见《价格扣除》。</w:t>
            </w:r>
          </w:p>
          <w:p w14:paraId="7BBA95E3">
            <w:pPr>
              <w:pStyle w:val="1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投标报价得分四舍五入后，小数点后保留两位有效数；</w:t>
            </w:r>
          </w:p>
        </w:tc>
      </w:tr>
      <w:tr w14:paraId="5DCD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295" w:type="pct"/>
            <w:noWrap w:val="0"/>
            <w:tcMar>
              <w:top w:w="0" w:type="dxa"/>
              <w:left w:w="108" w:type="dxa"/>
              <w:bottom w:w="0" w:type="dxa"/>
              <w:right w:w="108" w:type="dxa"/>
            </w:tcMar>
            <w:vAlign w:val="center"/>
          </w:tcPr>
          <w:p w14:paraId="0186DF19">
            <w:pPr>
              <w:pStyle w:val="125"/>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634" w:type="pct"/>
            <w:noWrap w:val="0"/>
            <w:tcMar>
              <w:top w:w="0" w:type="dxa"/>
              <w:left w:w="108" w:type="dxa"/>
              <w:bottom w:w="0" w:type="dxa"/>
              <w:right w:w="108" w:type="dxa"/>
            </w:tcMar>
            <w:vAlign w:val="center"/>
          </w:tcPr>
          <w:p w14:paraId="6F3DA14B">
            <w:pPr>
              <w:pStyle w:val="12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类似业绩</w:t>
            </w:r>
          </w:p>
        </w:tc>
        <w:tc>
          <w:tcPr>
            <w:tcW w:w="413" w:type="pct"/>
            <w:noWrap w:val="0"/>
            <w:tcMar>
              <w:top w:w="0" w:type="dxa"/>
              <w:left w:w="108" w:type="dxa"/>
              <w:bottom w:w="0" w:type="dxa"/>
              <w:right w:w="108" w:type="dxa"/>
            </w:tcMar>
            <w:vAlign w:val="center"/>
          </w:tcPr>
          <w:p w14:paraId="78C9A1F7">
            <w:pPr>
              <w:pStyle w:val="125"/>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3656" w:type="pct"/>
            <w:noWrap w:val="0"/>
            <w:tcMar>
              <w:top w:w="0" w:type="dxa"/>
              <w:left w:w="108" w:type="dxa"/>
              <w:bottom w:w="0" w:type="dxa"/>
              <w:right w:w="108" w:type="dxa"/>
            </w:tcMar>
            <w:vAlign w:val="center"/>
          </w:tcPr>
          <w:p w14:paraId="5593825A">
            <w:pPr>
              <w:pStyle w:val="1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投标人近三年(202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月1日-至今，以合同签订时间为准)承接的类似业绩，一项计</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分，最多计</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项；(须提供合同)。</w:t>
            </w:r>
          </w:p>
        </w:tc>
      </w:tr>
      <w:tr w14:paraId="12A8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295" w:type="pct"/>
            <w:noWrap w:val="0"/>
            <w:tcMar>
              <w:top w:w="0" w:type="dxa"/>
              <w:left w:w="108" w:type="dxa"/>
              <w:bottom w:w="0" w:type="dxa"/>
              <w:right w:w="108" w:type="dxa"/>
            </w:tcMar>
            <w:vAlign w:val="center"/>
          </w:tcPr>
          <w:p w14:paraId="7F2B5F10">
            <w:pPr>
              <w:pStyle w:val="125"/>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634" w:type="pct"/>
            <w:noWrap w:val="0"/>
            <w:tcMar>
              <w:top w:w="0" w:type="dxa"/>
              <w:left w:w="108" w:type="dxa"/>
              <w:bottom w:w="0" w:type="dxa"/>
              <w:right w:w="108" w:type="dxa"/>
            </w:tcMar>
            <w:vAlign w:val="center"/>
          </w:tcPr>
          <w:p w14:paraId="54F29193">
            <w:pPr>
              <w:pStyle w:val="125"/>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企业实力</w:t>
            </w:r>
          </w:p>
        </w:tc>
        <w:tc>
          <w:tcPr>
            <w:tcW w:w="413" w:type="pct"/>
            <w:noWrap w:val="0"/>
            <w:tcMar>
              <w:top w:w="0" w:type="dxa"/>
              <w:left w:w="108" w:type="dxa"/>
              <w:bottom w:w="0" w:type="dxa"/>
              <w:right w:w="108" w:type="dxa"/>
            </w:tcMar>
            <w:vAlign w:val="center"/>
          </w:tcPr>
          <w:p w14:paraId="6685F52E">
            <w:pPr>
              <w:pStyle w:val="125"/>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3656" w:type="pct"/>
            <w:noWrap w:val="0"/>
            <w:tcMar>
              <w:top w:w="0" w:type="dxa"/>
              <w:left w:w="108" w:type="dxa"/>
              <w:bottom w:w="0" w:type="dxa"/>
              <w:right w:w="108" w:type="dxa"/>
            </w:tcMar>
            <w:vAlign w:val="center"/>
          </w:tcPr>
          <w:p w14:paraId="1F2A578B">
            <w:pPr>
              <w:pStyle w:val="1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1.ISO9001-质量管理体系认证证书</w:t>
            </w:r>
          </w:p>
          <w:p w14:paraId="50894E45">
            <w:pPr>
              <w:pStyle w:val="1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2.ISO14001-环境管理体系认证证书</w:t>
            </w:r>
          </w:p>
          <w:p w14:paraId="240D31C3">
            <w:pPr>
              <w:pStyle w:val="1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3.ISO4</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1-职业健康安全管理体系证书</w:t>
            </w:r>
          </w:p>
          <w:p w14:paraId="39E1E8D3">
            <w:pPr>
              <w:pStyle w:val="1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.信息系统安全集成服务二级</w:t>
            </w:r>
            <w:bookmarkStart w:id="398" w:name="_GoBack"/>
            <w:bookmarkEnd w:id="398"/>
          </w:p>
          <w:p w14:paraId="34FEAB1C">
            <w:pPr>
              <w:pStyle w:val="1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.信息安全风险评估二级证书</w:t>
            </w:r>
          </w:p>
          <w:p w14:paraId="1C75723B">
            <w:pPr>
              <w:pStyle w:val="1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以上证书每有一项得1分，最多得5分。（提供相关证明材料）</w:t>
            </w:r>
          </w:p>
        </w:tc>
      </w:tr>
      <w:tr w14:paraId="37162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295" w:type="pct"/>
            <w:noWrap w:val="0"/>
            <w:tcMar>
              <w:top w:w="0" w:type="dxa"/>
              <w:left w:w="108" w:type="dxa"/>
              <w:bottom w:w="0" w:type="dxa"/>
              <w:right w:w="108" w:type="dxa"/>
            </w:tcMar>
            <w:vAlign w:val="center"/>
          </w:tcPr>
          <w:p w14:paraId="27C86359">
            <w:pPr>
              <w:pStyle w:val="125"/>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634" w:type="pct"/>
            <w:noWrap w:val="0"/>
            <w:tcMar>
              <w:top w:w="0" w:type="dxa"/>
              <w:left w:w="108" w:type="dxa"/>
              <w:bottom w:w="0" w:type="dxa"/>
              <w:right w:w="108" w:type="dxa"/>
            </w:tcMar>
            <w:vAlign w:val="center"/>
          </w:tcPr>
          <w:p w14:paraId="616F39BB">
            <w:pPr>
              <w:pStyle w:val="125"/>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项目团队</w:t>
            </w:r>
          </w:p>
        </w:tc>
        <w:tc>
          <w:tcPr>
            <w:tcW w:w="413" w:type="pct"/>
            <w:noWrap w:val="0"/>
            <w:tcMar>
              <w:top w:w="0" w:type="dxa"/>
              <w:left w:w="108" w:type="dxa"/>
              <w:bottom w:w="0" w:type="dxa"/>
              <w:right w:w="108" w:type="dxa"/>
            </w:tcMar>
            <w:vAlign w:val="center"/>
          </w:tcPr>
          <w:p w14:paraId="6EC29937">
            <w:pPr>
              <w:pStyle w:val="125"/>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p>
        </w:tc>
        <w:tc>
          <w:tcPr>
            <w:tcW w:w="3656" w:type="pct"/>
            <w:noWrap w:val="0"/>
            <w:tcMar>
              <w:top w:w="0" w:type="dxa"/>
              <w:left w:w="108" w:type="dxa"/>
              <w:bottom w:w="0" w:type="dxa"/>
              <w:right w:w="108" w:type="dxa"/>
            </w:tcMar>
            <w:vAlign w:val="center"/>
          </w:tcPr>
          <w:p w14:paraId="1636DE6B">
            <w:pPr>
              <w:pStyle w:val="125"/>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拟投入人员：</w:t>
            </w:r>
          </w:p>
          <w:p w14:paraId="249DF91E">
            <w:pPr>
              <w:pStyle w:val="1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1.项目负责人(1人):具有通信或计算机软件类高级职称、咨询工程师证书(投资)、注册信息安全工程师(CISP)，以上每有一个得1分，最多得3分。</w:t>
            </w:r>
          </w:p>
          <w:p w14:paraId="6396B119">
            <w:pPr>
              <w:pStyle w:val="1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2.网络及安全方面负债人(1人):具有网络安全和信息化工程师中级及以上职称、注册信息安全工程师(CISP)，以上每有一个得1.5分，最多得3分;</w:t>
            </w:r>
          </w:p>
          <w:p w14:paraId="015842C6">
            <w:pPr>
              <w:pStyle w:val="1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3.投资概算编制负责人(1人):具有通信或计算机软件类高级职称;一级注册造价工程师证书，以上每有一个得1.5分，最多:得3分;</w:t>
            </w:r>
          </w:p>
          <w:p w14:paraId="219A4A62">
            <w:pPr>
              <w:pStyle w:val="1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项目组其他成员(具有通信或计算机软件类中级职称)，每人得:1分，满分6分。备注:注:项目负责人不属于项目成员。提供相关证书扫描件，且相关证书须在有效期内，否则不得分。项目负责人业绩(具体时间以合同签订时间为准)需提供证明材料且投标人须出具项目负责人说明，并盖公章作为证明材料。项目负责人、项目组成员应为本企:业员工，提供本单位近半年内任意一个月个人社保缴纳证明，并加盖投标人公章。</w:t>
            </w:r>
          </w:p>
        </w:tc>
      </w:tr>
      <w:tr w14:paraId="15200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295" w:type="pct"/>
            <w:noWrap w:val="0"/>
            <w:tcMar>
              <w:top w:w="0" w:type="dxa"/>
              <w:left w:w="108" w:type="dxa"/>
              <w:bottom w:w="0" w:type="dxa"/>
              <w:right w:w="108" w:type="dxa"/>
            </w:tcMar>
            <w:vAlign w:val="center"/>
          </w:tcPr>
          <w:p w14:paraId="72544FFB">
            <w:pPr>
              <w:pStyle w:val="125"/>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634" w:type="pct"/>
            <w:noWrap w:val="0"/>
            <w:tcMar>
              <w:top w:w="0" w:type="dxa"/>
              <w:left w:w="108" w:type="dxa"/>
              <w:bottom w:w="0" w:type="dxa"/>
              <w:right w:w="108" w:type="dxa"/>
            </w:tcMar>
            <w:vAlign w:val="center"/>
          </w:tcPr>
          <w:p w14:paraId="31FC3005">
            <w:pPr>
              <w:pStyle w:val="12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项目需求 分析</w:t>
            </w:r>
          </w:p>
        </w:tc>
        <w:tc>
          <w:tcPr>
            <w:tcW w:w="413" w:type="pct"/>
            <w:noWrap w:val="0"/>
            <w:tcMar>
              <w:top w:w="0" w:type="dxa"/>
              <w:left w:w="108" w:type="dxa"/>
              <w:bottom w:w="0" w:type="dxa"/>
              <w:right w:w="108" w:type="dxa"/>
            </w:tcMar>
            <w:vAlign w:val="center"/>
          </w:tcPr>
          <w:p w14:paraId="504B5F2E">
            <w:pPr>
              <w:pStyle w:val="125"/>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3656" w:type="pct"/>
            <w:noWrap w:val="0"/>
            <w:tcMar>
              <w:top w:w="0" w:type="dxa"/>
              <w:left w:w="108" w:type="dxa"/>
              <w:bottom w:w="0" w:type="dxa"/>
              <w:right w:w="108" w:type="dxa"/>
            </w:tcMar>
            <w:vAlign w:val="center"/>
          </w:tcPr>
          <w:p w14:paraId="7D478455">
            <w:pPr>
              <w:pStyle w:val="1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根据供应商对本项目的需求分析综合评审，包括：（1）项目所属地区行业调研情况（2）对项目实施的理解与认识（3）对项目咨询编制的认识（4）对重点、难点的分析（5）关于项目的功能定位。</w:t>
            </w:r>
          </w:p>
          <w:p w14:paraId="2FFA4449">
            <w:pPr>
              <w:pStyle w:val="1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以上5个内容，每提供一项得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分，最多得</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分。每项内容有一处缺陷扣</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分，扣完为止，不提供不得分。</w:t>
            </w:r>
            <w:r>
              <w:rPr>
                <w:rFonts w:hint="eastAsia" w:ascii="宋体" w:hAnsi="宋体" w:eastAsia="宋体" w:cs="宋体"/>
                <w:color w:val="auto"/>
                <w:sz w:val="24"/>
                <w:szCs w:val="24"/>
                <w:highlight w:val="none"/>
                <w:lang w:val="en-US" w:eastAsia="zh-CN"/>
              </w:rPr>
              <w:t>注：内容存在缺陷是指:1.内容表述前后矛盾、逻辑不一致;2.内容与本项目实际情况不符;3.引用的法律法规、政策文件、规范标准错误或无效;4.内容违反国家现行法律法规、政策或强制性标准;5.提出的技术路线、实施方法、方案措施不适应本项目实际;6.存在照搬、套用其他项目内容，与本项目无关。</w:t>
            </w:r>
          </w:p>
        </w:tc>
      </w:tr>
      <w:tr w14:paraId="71172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9" w:hRule="atLeast"/>
          <w:jc w:val="center"/>
        </w:trPr>
        <w:tc>
          <w:tcPr>
            <w:tcW w:w="295" w:type="pct"/>
            <w:noWrap w:val="0"/>
            <w:tcMar>
              <w:top w:w="0" w:type="dxa"/>
              <w:left w:w="108" w:type="dxa"/>
              <w:bottom w:w="0" w:type="dxa"/>
              <w:right w:w="108" w:type="dxa"/>
            </w:tcMar>
            <w:vAlign w:val="center"/>
          </w:tcPr>
          <w:p w14:paraId="40ABF2EE">
            <w:pPr>
              <w:pStyle w:val="125"/>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634" w:type="pct"/>
            <w:noWrap w:val="0"/>
            <w:tcMar>
              <w:top w:w="0" w:type="dxa"/>
              <w:left w:w="108" w:type="dxa"/>
              <w:bottom w:w="0" w:type="dxa"/>
              <w:right w:w="108" w:type="dxa"/>
            </w:tcMar>
            <w:vAlign w:val="center"/>
          </w:tcPr>
          <w:p w14:paraId="1DD904A5">
            <w:pPr>
              <w:pStyle w:val="125"/>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项目总体设计方案</w:t>
            </w:r>
          </w:p>
        </w:tc>
        <w:tc>
          <w:tcPr>
            <w:tcW w:w="413" w:type="pct"/>
            <w:noWrap w:val="0"/>
            <w:tcMar>
              <w:top w:w="0" w:type="dxa"/>
              <w:left w:w="108" w:type="dxa"/>
              <w:bottom w:w="0" w:type="dxa"/>
              <w:right w:w="108" w:type="dxa"/>
            </w:tcMar>
            <w:vAlign w:val="center"/>
          </w:tcPr>
          <w:p w14:paraId="785AF09A">
            <w:pPr>
              <w:pStyle w:val="125"/>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3656" w:type="pct"/>
            <w:noWrap w:val="0"/>
            <w:tcMar>
              <w:top w:w="0" w:type="dxa"/>
              <w:left w:w="108" w:type="dxa"/>
              <w:bottom w:w="0" w:type="dxa"/>
              <w:right w:w="108" w:type="dxa"/>
            </w:tcMar>
            <w:vAlign w:val="center"/>
          </w:tcPr>
          <w:p w14:paraId="0B5F8B31">
            <w:pPr>
              <w:pStyle w:val="125"/>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据供应商提供的总体工作方案进行综合评审，包括：（1）建设目标（2）建设思路（3）建设内容（4）实施方案（5）初步设计</w:t>
            </w:r>
          </w:p>
          <w:p w14:paraId="3407FC09">
            <w:pPr>
              <w:pStyle w:val="1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以上5个内容，每提供一项得4分，最多得20分。每项内容有一处缺陷扣2分，扣完为止，不提供不得分。注：内容存在缺陷是指:1.内容表述前后矛盾、逻辑不一致;2.内容与本项目实际情况不符;3.引用的法律法规、政策文件、规范标准错误或无效;4.内容违反国家现行法律法规、政策或强制性标准;5.提出的技术路线、实施方法、方案措施不适应本项目实际;6.存在照搬、套用其他项目内容，与本项目无关。</w:t>
            </w:r>
          </w:p>
        </w:tc>
      </w:tr>
      <w:tr w14:paraId="78345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295" w:type="pct"/>
            <w:noWrap w:val="0"/>
            <w:tcMar>
              <w:top w:w="0" w:type="dxa"/>
              <w:left w:w="108" w:type="dxa"/>
              <w:bottom w:w="0" w:type="dxa"/>
              <w:right w:w="108" w:type="dxa"/>
            </w:tcMar>
            <w:vAlign w:val="center"/>
          </w:tcPr>
          <w:p w14:paraId="57B4F09B">
            <w:pPr>
              <w:pStyle w:val="125"/>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634" w:type="pct"/>
            <w:noWrap w:val="0"/>
            <w:tcMar>
              <w:top w:w="0" w:type="dxa"/>
              <w:left w:w="108" w:type="dxa"/>
              <w:bottom w:w="0" w:type="dxa"/>
              <w:right w:w="108" w:type="dxa"/>
            </w:tcMar>
            <w:vAlign w:val="center"/>
          </w:tcPr>
          <w:p w14:paraId="4E9D4DDE">
            <w:pPr>
              <w:pStyle w:val="125"/>
              <w:jc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项目实施计划</w:t>
            </w:r>
          </w:p>
        </w:tc>
        <w:tc>
          <w:tcPr>
            <w:tcW w:w="413" w:type="pct"/>
            <w:noWrap w:val="0"/>
            <w:tcMar>
              <w:top w:w="0" w:type="dxa"/>
              <w:left w:w="108" w:type="dxa"/>
              <w:bottom w:w="0" w:type="dxa"/>
              <w:right w:w="108" w:type="dxa"/>
            </w:tcMar>
            <w:vAlign w:val="center"/>
          </w:tcPr>
          <w:p w14:paraId="095ACFBA">
            <w:pPr>
              <w:pStyle w:val="125"/>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3656" w:type="pct"/>
            <w:noWrap w:val="0"/>
            <w:tcMar>
              <w:top w:w="0" w:type="dxa"/>
              <w:left w:w="108" w:type="dxa"/>
              <w:bottom w:w="0" w:type="dxa"/>
              <w:right w:w="108" w:type="dxa"/>
            </w:tcMar>
            <w:vAlign w:val="center"/>
          </w:tcPr>
          <w:p w14:paraId="4443D76E">
            <w:pPr>
              <w:pStyle w:val="1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根据供应商在响应文件中针对本项目的管理体系和实施计划安排</w:t>
            </w:r>
            <w:r>
              <w:rPr>
                <w:rFonts w:hint="eastAsia" w:ascii="宋体" w:hAnsi="宋体" w:eastAsia="宋体" w:cs="宋体"/>
                <w:color w:val="auto"/>
                <w:sz w:val="24"/>
                <w:szCs w:val="24"/>
                <w:highlight w:val="none"/>
                <w:lang w:eastAsia="zh-CN"/>
              </w:rPr>
              <w:t>进行综合</w:t>
            </w:r>
            <w:r>
              <w:rPr>
                <w:rFonts w:hint="eastAsia" w:ascii="宋体" w:hAnsi="宋体" w:eastAsia="宋体" w:cs="宋体"/>
                <w:color w:val="auto"/>
                <w:sz w:val="24"/>
                <w:szCs w:val="24"/>
                <w:highlight w:val="none"/>
              </w:rPr>
              <w:t>评审，包括：（1）项目组织与机构（2）风险管理方案（3）关键时间节点 （4）应急措施</w:t>
            </w:r>
          </w:p>
          <w:p w14:paraId="398137CC">
            <w:pPr>
              <w:pStyle w:val="1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以上4个内容，每提供一项得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分，最多得</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分。每项内容有一处缺陷扣</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分，扣完为止。不提供不得分。</w:t>
            </w:r>
            <w:r>
              <w:rPr>
                <w:rFonts w:hint="eastAsia" w:ascii="宋体" w:hAnsi="宋体" w:eastAsia="宋体" w:cs="宋体"/>
                <w:color w:val="auto"/>
                <w:sz w:val="24"/>
                <w:szCs w:val="24"/>
                <w:highlight w:val="none"/>
                <w:lang w:val="en-US" w:eastAsia="zh-CN"/>
              </w:rPr>
              <w:t>注：内容存在缺陷是指:1.内容表述前后矛盾、逻辑不一致;2.内容与本项目实际情况不符;3.引用的法律法规、政策文件、规范标准错误或无效;4.内容违反国家现行法律法规、政策或强制性标准;5.提出的技术路线、实施方法、方案措施不适应本项目实际;6.存在照搬、套用其他项目内容，与本项目无关。</w:t>
            </w:r>
          </w:p>
        </w:tc>
      </w:tr>
      <w:tr w14:paraId="1F99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295" w:type="pct"/>
            <w:noWrap w:val="0"/>
            <w:tcMar>
              <w:top w:w="0" w:type="dxa"/>
              <w:left w:w="108" w:type="dxa"/>
              <w:bottom w:w="0" w:type="dxa"/>
              <w:right w:w="108" w:type="dxa"/>
            </w:tcMar>
            <w:vAlign w:val="center"/>
          </w:tcPr>
          <w:p w14:paraId="21983EEF">
            <w:pPr>
              <w:pStyle w:val="125"/>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634" w:type="pct"/>
            <w:noWrap w:val="0"/>
            <w:tcMar>
              <w:top w:w="0" w:type="dxa"/>
              <w:left w:w="108" w:type="dxa"/>
              <w:bottom w:w="0" w:type="dxa"/>
              <w:right w:w="108" w:type="dxa"/>
            </w:tcMar>
            <w:vAlign w:val="center"/>
          </w:tcPr>
          <w:p w14:paraId="10B59260">
            <w:pPr>
              <w:pStyle w:val="12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质量和服务保障措施</w:t>
            </w:r>
          </w:p>
        </w:tc>
        <w:tc>
          <w:tcPr>
            <w:tcW w:w="413" w:type="pct"/>
            <w:noWrap w:val="0"/>
            <w:tcMar>
              <w:top w:w="0" w:type="dxa"/>
              <w:left w:w="108" w:type="dxa"/>
              <w:bottom w:w="0" w:type="dxa"/>
              <w:right w:w="108" w:type="dxa"/>
            </w:tcMar>
            <w:vAlign w:val="center"/>
          </w:tcPr>
          <w:p w14:paraId="683D2EA6">
            <w:pPr>
              <w:pStyle w:val="125"/>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3656" w:type="pct"/>
            <w:noWrap w:val="0"/>
            <w:tcMar>
              <w:top w:w="0" w:type="dxa"/>
              <w:left w:w="108" w:type="dxa"/>
              <w:bottom w:w="0" w:type="dxa"/>
              <w:right w:w="108" w:type="dxa"/>
            </w:tcMar>
            <w:vAlign w:val="center"/>
          </w:tcPr>
          <w:p w14:paraId="420D7438">
            <w:pPr>
              <w:pStyle w:val="1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根据采购人实际业务需求，提供质量和服务保障措施综合方案，包括：（1）质量目标（2）质量标准（3）评审保障（4）问题响应服务保障（5）质量和服务保障承诺函（6）档案保管措施</w:t>
            </w:r>
          </w:p>
          <w:p w14:paraId="2D2B0A0D">
            <w:pPr>
              <w:pStyle w:val="1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以上6个内容，每提供一项得2分，最多得12分。每项内容有一处缺陷扣1分，扣完为止。不提供不得分。</w:t>
            </w:r>
            <w:r>
              <w:rPr>
                <w:rFonts w:hint="eastAsia" w:ascii="宋体" w:hAnsi="宋体" w:eastAsia="宋体" w:cs="宋体"/>
                <w:color w:val="auto"/>
                <w:sz w:val="24"/>
                <w:szCs w:val="24"/>
                <w:highlight w:val="none"/>
                <w:lang w:val="en-US" w:eastAsia="zh-CN"/>
              </w:rPr>
              <w:t>注：内容存在缺陷是指:1.内容表述前后矛盾、逻辑不一致;2.内容与本项目实际情况不符;3.引用的法律法规、政策文件、规范标准错误或无效;4.内容违反国家现行法律法规、政策或强制性标准;5.提出的技术路线、实施方法、方案措施不适应本项目实际;6.存在照搬、套用其他项目内容，与本项目无关。</w:t>
            </w:r>
          </w:p>
        </w:tc>
      </w:tr>
      <w:tr w14:paraId="671FB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929" w:type="pct"/>
            <w:gridSpan w:val="2"/>
            <w:noWrap w:val="0"/>
            <w:tcMar>
              <w:top w:w="0" w:type="dxa"/>
              <w:left w:w="108" w:type="dxa"/>
              <w:bottom w:w="0" w:type="dxa"/>
              <w:right w:w="108" w:type="dxa"/>
            </w:tcMar>
            <w:vAlign w:val="center"/>
          </w:tcPr>
          <w:p w14:paraId="34136DF4">
            <w:pPr>
              <w:pStyle w:val="12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413" w:type="pct"/>
            <w:noWrap w:val="0"/>
            <w:tcMar>
              <w:top w:w="0" w:type="dxa"/>
              <w:left w:w="108" w:type="dxa"/>
              <w:bottom w:w="0" w:type="dxa"/>
              <w:right w:w="108" w:type="dxa"/>
            </w:tcMar>
            <w:vAlign w:val="center"/>
          </w:tcPr>
          <w:p w14:paraId="14D21131">
            <w:pPr>
              <w:pStyle w:val="125"/>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w:t>
            </w:r>
          </w:p>
        </w:tc>
        <w:tc>
          <w:tcPr>
            <w:tcW w:w="3656" w:type="pct"/>
            <w:noWrap w:val="0"/>
            <w:tcMar>
              <w:top w:w="0" w:type="dxa"/>
              <w:left w:w="108" w:type="dxa"/>
              <w:bottom w:w="0" w:type="dxa"/>
              <w:right w:w="108" w:type="dxa"/>
            </w:tcMar>
            <w:vAlign w:val="center"/>
          </w:tcPr>
          <w:p w14:paraId="77D6CF0D">
            <w:pPr>
              <w:pStyle w:val="125"/>
              <w:jc w:val="center"/>
              <w:rPr>
                <w:rFonts w:hint="eastAsia" w:ascii="宋体" w:hAnsi="宋体" w:eastAsia="宋体" w:cs="宋体"/>
                <w:color w:val="auto"/>
                <w:sz w:val="24"/>
                <w:szCs w:val="24"/>
                <w:highlight w:val="none"/>
              </w:rPr>
            </w:pPr>
          </w:p>
        </w:tc>
      </w:tr>
    </w:tbl>
    <w:p w14:paraId="772CFC1C">
      <w:pPr>
        <w:widowControl/>
        <w:adjustRightInd w:val="0"/>
        <w:snapToGrid w:val="0"/>
        <w:spacing w:line="360" w:lineRule="auto"/>
        <w:rPr>
          <w:rFonts w:ascii="宋体" w:hAnsi="宋体"/>
          <w:b/>
          <w:bCs/>
          <w:color w:val="auto"/>
          <w:sz w:val="24"/>
          <w:szCs w:val="24"/>
          <w:highlight w:val="none"/>
        </w:rPr>
      </w:pPr>
      <w:r>
        <w:rPr>
          <w:rFonts w:hint="eastAsia" w:ascii="宋体" w:hAnsi="宋体"/>
          <w:b/>
          <w:bCs/>
          <w:color w:val="auto"/>
          <w:sz w:val="24"/>
          <w:szCs w:val="24"/>
          <w:highlight w:val="none"/>
        </w:rPr>
        <w:t>三.推荐成交供应商</w:t>
      </w:r>
    </w:p>
    <w:p w14:paraId="0B72F14E">
      <w:pPr>
        <w:widowControl/>
        <w:adjustRightInd w:val="0"/>
        <w:snapToGrid w:val="0"/>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磋商小组应当根据综合评分情况，按照评审得分由高到低顺序推荐3名以上成交候选供应商，并编写评审报告。符合《政府采购竞争性磋商采购方式管理暂行办法》（财库[2014]214号）中第二十一条第三款情形的，可以推荐2家成交候选供应商。评审得分相同的，按照最后报价由低到高的顺序推荐。评审得分且最后报价相同的，按照技术指标优劣顺序推荐。</w:t>
      </w:r>
    </w:p>
    <w:p w14:paraId="282B8E4B">
      <w:pPr>
        <w:widowControl/>
        <w:adjustRightInd w:val="0"/>
        <w:snapToGrid w:val="0"/>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2.评分计算方法解释</w:t>
      </w:r>
    </w:p>
    <w:p w14:paraId="23A40F92">
      <w:pPr>
        <w:widowControl/>
        <w:adjustRightInd w:val="0"/>
        <w:snapToGrid w:val="0"/>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（1）供应商的评审得分是指所有磋商小组成员对其评分的算术平均值。</w:t>
      </w:r>
    </w:p>
    <w:p w14:paraId="7A51CD4F">
      <w:pPr>
        <w:widowControl/>
        <w:adjustRightInd w:val="0"/>
        <w:snapToGrid w:val="0"/>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（2）计算过程中，算术平均值保留2位小数（百分比亦取2位小数），第三位小数四舍五入。</w:t>
      </w:r>
    </w:p>
    <w:p w14:paraId="48F0A8AB">
      <w:pPr>
        <w:widowControl/>
        <w:adjustRightInd w:val="0"/>
        <w:snapToGrid w:val="0"/>
        <w:spacing w:line="360" w:lineRule="auto"/>
        <w:rPr>
          <w:rFonts w:ascii="宋体" w:hAnsi="宋体"/>
          <w:b/>
          <w:bCs/>
          <w:color w:val="auto"/>
          <w:sz w:val="24"/>
          <w:szCs w:val="24"/>
          <w:highlight w:val="none"/>
        </w:rPr>
      </w:pPr>
      <w:r>
        <w:rPr>
          <w:rFonts w:hint="eastAsia" w:ascii="宋体" w:hAnsi="宋体"/>
          <w:b/>
          <w:bCs/>
          <w:color w:val="auto"/>
          <w:sz w:val="24"/>
          <w:szCs w:val="24"/>
          <w:highlight w:val="none"/>
        </w:rPr>
        <w:t>四.确定成交供应商</w:t>
      </w:r>
    </w:p>
    <w:p w14:paraId="7EE3F5BC">
      <w:pPr>
        <w:widowControl/>
        <w:adjustRightInd w:val="0"/>
        <w:snapToGrid w:val="0"/>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1.采购代理机构应当在评审结束后2个工作日内将评审报告送采购人确认。</w:t>
      </w:r>
    </w:p>
    <w:p w14:paraId="22C7558E">
      <w:pPr>
        <w:widowControl/>
        <w:adjustRightInd w:val="0"/>
        <w:snapToGrid w:val="0"/>
        <w:spacing w:line="360" w:lineRule="auto"/>
        <w:ind w:firstLine="480" w:firstLineChars="200"/>
        <w:rPr>
          <w:rFonts w:hint="eastAsia" w:ascii="宋体" w:hAnsi="宋体"/>
          <w:bCs/>
          <w:color w:val="auto"/>
          <w:sz w:val="24"/>
          <w:szCs w:val="24"/>
          <w:highlight w:val="none"/>
        </w:rPr>
        <w:sectPr>
          <w:pgSz w:w="11906" w:h="16838"/>
          <w:pgMar w:top="1440" w:right="1797" w:bottom="1440" w:left="1797" w:header="851" w:footer="992" w:gutter="0"/>
          <w:pgNumType w:fmt="decimal"/>
          <w:cols w:space="720" w:num="1"/>
          <w:docGrid w:linePitch="312" w:charSpace="0"/>
        </w:sectPr>
      </w:pPr>
      <w:r>
        <w:rPr>
          <w:rFonts w:hint="eastAsia" w:ascii="宋体" w:hAnsi="宋体"/>
          <w:bCs/>
          <w:color w:val="auto"/>
          <w:sz w:val="24"/>
          <w:szCs w:val="24"/>
          <w:highlight w:val="none"/>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bookmarkEnd w:id="103"/>
    <w:bookmarkEnd w:id="104"/>
    <w:bookmarkEnd w:id="105"/>
    <w:bookmarkEnd w:id="106"/>
    <w:p w14:paraId="7C392327">
      <w:pPr>
        <w:pStyle w:val="2"/>
        <w:spacing w:before="0" w:after="0" w:line="240" w:lineRule="auto"/>
        <w:rPr>
          <w:rFonts w:hint="eastAsia" w:ascii="宋体" w:hAnsi="宋体"/>
          <w:b/>
          <w:color w:val="auto"/>
          <w:sz w:val="36"/>
          <w:highlight w:val="none"/>
        </w:rPr>
      </w:pPr>
      <w:bookmarkStart w:id="107" w:name="_Toc4661"/>
      <w:bookmarkStart w:id="108" w:name="_Toc18826"/>
      <w:bookmarkStart w:id="109" w:name="EB549d73658a6846bf944104fe82e48c66"/>
      <w:r>
        <w:rPr>
          <w:rFonts w:hint="eastAsia" w:eastAsia="宋体" w:cs="Times New Roman"/>
          <w:bCs/>
          <w:color w:val="auto"/>
          <w:szCs w:val="20"/>
          <w:highlight w:val="none"/>
          <w:lang w:val="en-US" w:eastAsia="zh-CN"/>
        </w:rPr>
        <w:t xml:space="preserve">第五章 </w:t>
      </w:r>
      <w:r>
        <w:rPr>
          <w:rFonts w:hint="eastAsia" w:eastAsia="宋体" w:cs="Times New Roman"/>
          <w:bCs/>
          <w:color w:val="auto"/>
          <w:szCs w:val="20"/>
          <w:highlight w:val="none"/>
        </w:rPr>
        <w:t>政府采购合同</w:t>
      </w:r>
      <w:bookmarkEnd w:id="107"/>
      <w:bookmarkEnd w:id="108"/>
    </w:p>
    <w:p w14:paraId="49806162">
      <w:pPr>
        <w:rPr>
          <w:rFonts w:hint="eastAsia"/>
          <w:color w:val="auto"/>
          <w:highlight w:val="none"/>
        </w:rPr>
      </w:pPr>
    </w:p>
    <w:p w14:paraId="32D8A1FD">
      <w:pPr>
        <w:pStyle w:val="86"/>
        <w:spacing w:line="360" w:lineRule="auto"/>
        <w:jc w:val="center"/>
        <w:rPr>
          <w:rFonts w:ascii="宋体" w:hAnsi="宋体"/>
          <w:b/>
          <w:color w:val="auto"/>
          <w:sz w:val="28"/>
          <w:szCs w:val="28"/>
          <w:highlight w:val="none"/>
        </w:rPr>
      </w:pPr>
    </w:p>
    <w:bookmarkEnd w:id="109"/>
    <w:p w14:paraId="0FA54B3D">
      <w:pPr>
        <w:keepNext w:val="0"/>
        <w:keepLines w:val="0"/>
        <w:widowControl/>
        <w:suppressLineNumbers w:val="0"/>
        <w:ind w:left="0" w:leftChars="0" w:right="0" w:rightChars="0" w:firstLine="0" w:firstLineChars="0"/>
        <w:jc w:val="center"/>
        <w:rPr>
          <w:rFonts w:hint="eastAsia" w:ascii="华文楷体" w:hAnsi="华文楷体" w:eastAsia="华文楷体" w:cs="华文楷体"/>
          <w:i w:val="0"/>
          <w:iCs w:val="0"/>
          <w:color w:val="auto"/>
          <w:sz w:val="18"/>
          <w:szCs w:val="20"/>
          <w:highlight w:val="none"/>
        </w:rPr>
      </w:pPr>
      <w:bookmarkStart w:id="110" w:name="_Toc531075012"/>
      <w:bookmarkStart w:id="111" w:name="_Toc30753"/>
      <w:bookmarkStart w:id="112" w:name="_Toc8945"/>
      <w:bookmarkStart w:id="113" w:name="_Toc257633148"/>
      <w:bookmarkStart w:id="114" w:name="_Toc532543568"/>
      <w:bookmarkStart w:id="115" w:name="_Toc18901"/>
      <w:r>
        <w:rPr>
          <w:rFonts w:hint="eastAsia" w:ascii="华文楷体" w:hAnsi="华文楷体" w:eastAsia="华文楷体" w:cs="华文楷体"/>
          <w:b/>
          <w:bCs/>
          <w:i w:val="0"/>
          <w:iCs w:val="0"/>
          <w:color w:val="auto"/>
          <w:kern w:val="0"/>
          <w:sz w:val="28"/>
          <w:szCs w:val="28"/>
          <w:highlight w:val="none"/>
          <w:lang w:val="en-US" w:eastAsia="zh-CN" w:bidi="ar"/>
        </w:rPr>
        <w:t>（合同文本仅供参考，具体以实际签订的内容为准）</w:t>
      </w:r>
    </w:p>
    <w:p w14:paraId="4734DEE1">
      <w:pPr>
        <w:pStyle w:val="11"/>
        <w:numPr>
          <w:ilvl w:val="0"/>
          <w:numId w:val="0"/>
        </w:numPr>
        <w:ind w:leftChars="200" w:right="0" w:rightChars="0"/>
        <w:rPr>
          <w:rFonts w:hint="eastAsia"/>
          <w:color w:val="auto"/>
          <w:highlight w:val="none"/>
        </w:rPr>
      </w:pPr>
    </w:p>
    <w:p w14:paraId="2611C203">
      <w:pPr>
        <w:pStyle w:val="35"/>
        <w:autoSpaceDE w:val="0"/>
        <w:spacing w:before="0" w:beforeAutospacing="0" w:after="0" w:afterAutospacing="0" w:line="360" w:lineRule="auto"/>
        <w:jc w:val="center"/>
        <w:outlineLvl w:val="1"/>
        <w:rPr>
          <w:rFonts w:hint="eastAsia" w:ascii="仿宋" w:hAnsi="仿宋" w:eastAsia="仿宋" w:cs="仿宋"/>
          <w:b/>
          <w:bCs w:val="0"/>
          <w:color w:val="auto"/>
          <w:sz w:val="28"/>
          <w:szCs w:val="28"/>
          <w:highlight w:val="none"/>
          <w:lang w:val="en-US" w:eastAsia="zh-CN"/>
        </w:rPr>
      </w:pPr>
      <w:bookmarkStart w:id="116" w:name="_Toc18436"/>
      <w:r>
        <w:rPr>
          <w:rFonts w:hint="eastAsia" w:ascii="仿宋" w:hAnsi="仿宋" w:eastAsia="仿宋" w:cs="仿宋"/>
          <w:b/>
          <w:bCs w:val="0"/>
          <w:color w:val="auto"/>
          <w:sz w:val="28"/>
          <w:szCs w:val="28"/>
          <w:highlight w:val="none"/>
          <w:lang w:val="en-US" w:eastAsia="zh-CN"/>
        </w:rPr>
        <w:t>中国（新疆）国际贸易“单一”窗口功能拓展（自治区边民互市贸易综合服务）提升优化项目可行性研究报告编制项目</w:t>
      </w:r>
    </w:p>
    <w:p w14:paraId="35BF7514">
      <w:pPr>
        <w:pStyle w:val="35"/>
        <w:autoSpaceDE w:val="0"/>
        <w:spacing w:before="0" w:beforeAutospacing="0" w:after="0" w:afterAutospacing="0" w:line="360" w:lineRule="auto"/>
        <w:jc w:val="center"/>
        <w:outlineLvl w:val="1"/>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第一部分 合同书</w:t>
      </w:r>
      <w:bookmarkEnd w:id="116"/>
    </w:p>
    <w:p w14:paraId="1D932366">
      <w:pPr>
        <w:pStyle w:val="220"/>
        <w:ind w:firstLine="0"/>
        <w:rPr>
          <w:rFonts w:ascii="宋体" w:hAnsi="宋体" w:cs="宋体"/>
          <w:color w:val="auto"/>
          <w:szCs w:val="24"/>
          <w:highlight w:val="none"/>
        </w:rPr>
      </w:pPr>
    </w:p>
    <w:p w14:paraId="5B9A9D69">
      <w:pPr>
        <w:pStyle w:val="220"/>
        <w:ind w:firstLine="0"/>
        <w:rPr>
          <w:rFonts w:ascii="宋体" w:hAnsi="宋体" w:cs="宋体"/>
          <w:color w:val="auto"/>
          <w:szCs w:val="24"/>
          <w:highlight w:val="none"/>
        </w:rPr>
      </w:pPr>
    </w:p>
    <w:p w14:paraId="730AAED3">
      <w:pPr>
        <w:spacing w:before="120" w:line="22" w:lineRule="atLeast"/>
        <w:rPr>
          <w:rFonts w:ascii="宋体" w:hAnsi="宋体" w:cs="宋体"/>
          <w:color w:val="auto"/>
          <w:sz w:val="24"/>
          <w:highlight w:val="none"/>
        </w:rPr>
      </w:pPr>
    </w:p>
    <w:p w14:paraId="0F14567D">
      <w:pPr>
        <w:spacing w:before="120" w:line="22" w:lineRule="atLeast"/>
        <w:ind w:left="960"/>
        <w:rPr>
          <w:rFonts w:ascii="宋体" w:hAnsi="宋体" w:cs="宋体"/>
          <w:color w:val="auto"/>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7258DF25">
      <w:pPr>
        <w:rPr>
          <w:rFonts w:ascii="宋体" w:hAnsi="宋体" w:cs="宋体"/>
          <w:color w:val="auto"/>
          <w:highlight w:val="none"/>
        </w:rPr>
      </w:pPr>
    </w:p>
    <w:p w14:paraId="75143775">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p>
    <w:p w14:paraId="571BF728">
      <w:pPr>
        <w:spacing w:before="120" w:line="22" w:lineRule="atLeast"/>
        <w:rPr>
          <w:rFonts w:ascii="宋体" w:hAnsi="宋体" w:cs="宋体"/>
          <w:color w:val="auto"/>
          <w:sz w:val="24"/>
          <w:highlight w:val="none"/>
        </w:rPr>
      </w:pPr>
    </w:p>
    <w:p w14:paraId="4EA22531">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14:paraId="3430DD54">
      <w:pPr>
        <w:spacing w:before="120" w:line="22" w:lineRule="atLeast"/>
        <w:rPr>
          <w:rFonts w:ascii="宋体" w:hAnsi="宋体" w:cs="宋体"/>
          <w:color w:val="auto"/>
          <w:sz w:val="24"/>
          <w:highlight w:val="none"/>
        </w:rPr>
      </w:pPr>
    </w:p>
    <w:p w14:paraId="431275B1">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14:paraId="12A5E8EF">
      <w:pPr>
        <w:spacing w:before="120" w:line="22" w:lineRule="atLeast"/>
        <w:rPr>
          <w:rFonts w:ascii="宋体" w:hAnsi="宋体" w:cs="宋体"/>
          <w:color w:val="auto"/>
          <w:sz w:val="24"/>
          <w:highlight w:val="none"/>
        </w:rPr>
      </w:pPr>
    </w:p>
    <w:p w14:paraId="6CB91A12">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0FE566C">
      <w:pPr>
        <w:spacing w:line="560" w:lineRule="exact"/>
        <w:ind w:firstLine="480" w:firstLineChars="200"/>
        <w:rPr>
          <w:rFonts w:ascii="宋体" w:hAnsi="宋体" w:cs="宋体"/>
          <w:color w:val="auto"/>
          <w:sz w:val="24"/>
          <w:highlight w:val="none"/>
        </w:rPr>
      </w:pPr>
      <w:r>
        <w:rPr>
          <w:rFonts w:ascii="宋体" w:hAnsi="宋体" w:cs="宋体"/>
          <w:color w:val="auto"/>
          <w:sz w:val="24"/>
          <w:highlight w:val="none"/>
        </w:rPr>
        <w:br w:type="page"/>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（采购人名称）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（政府采购方式）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（同前页项目名称）   </w:t>
      </w:r>
      <w:r>
        <w:rPr>
          <w:rFonts w:hint="eastAsia" w:ascii="宋体" w:hAnsi="宋体" w:cs="宋体"/>
          <w:color w:val="auto"/>
          <w:sz w:val="24"/>
          <w:highlight w:val="none"/>
        </w:rPr>
        <w:t>项目进行了采购。经</w:t>
      </w:r>
      <w:r>
        <w:rPr>
          <w:rFonts w:hint="eastAsia" w:ascii="宋体" w:hAnsi="宋体" w:cs="宋体"/>
          <w:color w:val="auto"/>
          <w:sz w:val="24"/>
          <w:highlight w:val="none"/>
          <w:u w:val="single"/>
        </w:rPr>
        <w:t xml:space="preserve">   （相关评定主体名称）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（中标供应商名称） </w:t>
      </w:r>
      <w:r>
        <w:rPr>
          <w:rFonts w:hint="eastAsia" w:ascii="宋体" w:hAnsi="宋体" w:cs="宋体"/>
          <w:color w:val="auto"/>
          <w:sz w:val="24"/>
          <w:highlight w:val="none"/>
        </w:rPr>
        <w:t>为该项目中标供应商。现于中标通知书发出之日起三十日内，按照采购文件确定的事项签订本合同。</w:t>
      </w:r>
    </w:p>
    <w:p w14:paraId="5873384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w:t>
      </w:r>
      <w:r>
        <w:rPr>
          <w:rFonts w:hint="eastAsia" w:ascii="宋体" w:hAnsi="宋体" w:cs="宋体"/>
          <w:color w:val="auto"/>
          <w:sz w:val="24"/>
          <w:highlight w:val="none"/>
        </w:rPr>
        <w:t>民法典</w:t>
      </w:r>
      <w:r>
        <w:rPr>
          <w:rFonts w:hint="eastAsia" w:ascii="宋体" w:hAnsi="宋体" w:cs="宋体"/>
          <w:color w:val="auto"/>
          <w:sz w:val="24"/>
          <w:highlight w:val="none"/>
          <w:lang w:val="zh-CN"/>
        </w:rPr>
        <w:t>》、《中华人民共和国政府采购法》等相关法律法规之规定，按照平等、自愿、公平和诚实信用的原则，经</w:t>
      </w:r>
      <w:r>
        <w:rPr>
          <w:rFonts w:hint="eastAsia" w:ascii="宋体" w:hAnsi="宋体" w:cs="宋体"/>
          <w:color w:val="auto"/>
          <w:sz w:val="24"/>
          <w:highlight w:val="none"/>
          <w:u w:val="single"/>
        </w:rPr>
        <w:t xml:space="preserve">   （采购人名称）   </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（中标供应商名称）   </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3CD76F87">
      <w:pPr>
        <w:spacing w:line="560" w:lineRule="exact"/>
        <w:ind w:firstLine="482" w:firstLineChars="200"/>
        <w:outlineLvl w:val="9"/>
        <w:rPr>
          <w:rFonts w:ascii="宋体" w:hAnsi="宋体" w:cs="宋体"/>
          <w:color w:val="auto"/>
          <w:sz w:val="24"/>
          <w:highlight w:val="none"/>
        </w:rPr>
      </w:pPr>
      <w:bookmarkStart w:id="117" w:name="_Toc22967"/>
      <w:bookmarkStart w:id="118" w:name="_Toc25354"/>
      <w:bookmarkStart w:id="119" w:name="_Toc28855"/>
      <w:bookmarkStart w:id="120" w:name="_Toc15367"/>
      <w:bookmarkStart w:id="121" w:name="_Toc20421"/>
      <w:bookmarkStart w:id="122" w:name="_Toc19273"/>
      <w:bookmarkStart w:id="123" w:name="_Toc4359"/>
      <w:r>
        <w:rPr>
          <w:rFonts w:hint="eastAsia" w:ascii="宋体" w:hAnsi="宋体" w:cs="宋体"/>
          <w:b/>
          <w:color w:val="auto"/>
          <w:sz w:val="24"/>
          <w:highlight w:val="none"/>
        </w:rPr>
        <w:t>1.1 合同组成部分</w:t>
      </w:r>
      <w:bookmarkEnd w:id="117"/>
      <w:bookmarkEnd w:id="118"/>
      <w:bookmarkEnd w:id="119"/>
      <w:bookmarkEnd w:id="120"/>
      <w:bookmarkEnd w:id="121"/>
      <w:bookmarkEnd w:id="122"/>
      <w:bookmarkEnd w:id="123"/>
    </w:p>
    <w:p w14:paraId="1EED58C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3CE8971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 本合同及其补充合同、变更协议；</w:t>
      </w:r>
    </w:p>
    <w:p w14:paraId="18143E1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 中标通知书；</w:t>
      </w:r>
    </w:p>
    <w:p w14:paraId="241980F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1.1.3 投标文件（含澄清或者说明文件）；</w:t>
      </w:r>
    </w:p>
    <w:p w14:paraId="4988585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1.1.4 招标文件（含澄清或者修改文件）；</w:t>
      </w:r>
    </w:p>
    <w:p w14:paraId="41E48F6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1.1.5 其他相关采购文件。</w:t>
      </w:r>
    </w:p>
    <w:p w14:paraId="2C549127">
      <w:pPr>
        <w:spacing w:line="560" w:lineRule="exact"/>
        <w:ind w:firstLine="482" w:firstLineChars="200"/>
        <w:outlineLvl w:val="9"/>
        <w:rPr>
          <w:rFonts w:ascii="宋体" w:hAnsi="宋体" w:cs="宋体"/>
          <w:b/>
          <w:color w:val="auto"/>
          <w:sz w:val="24"/>
          <w:highlight w:val="none"/>
        </w:rPr>
      </w:pPr>
      <w:bookmarkStart w:id="124" w:name="_Toc24778"/>
      <w:bookmarkStart w:id="125" w:name="_Toc6311"/>
      <w:bookmarkStart w:id="126" w:name="_Toc22185"/>
      <w:bookmarkStart w:id="127" w:name="_Toc6773"/>
      <w:bookmarkStart w:id="128" w:name="_Toc487"/>
      <w:bookmarkStart w:id="129" w:name="_Toc10578"/>
      <w:bookmarkStart w:id="130" w:name="_Toc18585"/>
      <w:bookmarkStart w:id="131" w:name="_Toc2918"/>
      <w:r>
        <w:rPr>
          <w:rFonts w:hint="eastAsia" w:ascii="宋体" w:hAnsi="宋体" w:cs="宋体"/>
          <w:b/>
          <w:color w:val="auto"/>
          <w:sz w:val="24"/>
          <w:highlight w:val="none"/>
        </w:rPr>
        <w:t>1.2 标的</w:t>
      </w:r>
      <w:bookmarkEnd w:id="124"/>
      <w:bookmarkEnd w:id="125"/>
      <w:bookmarkEnd w:id="126"/>
      <w:bookmarkEnd w:id="127"/>
      <w:bookmarkEnd w:id="128"/>
      <w:bookmarkEnd w:id="129"/>
      <w:bookmarkEnd w:id="130"/>
      <w:bookmarkEnd w:id="131"/>
    </w:p>
    <w:p w14:paraId="23B2802E">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 标的名称：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F49EE10">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1.2.2 标的数量：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ED2A59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1.2.3 标的质量：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DC15FA1">
      <w:pPr>
        <w:spacing w:line="560" w:lineRule="exact"/>
        <w:ind w:firstLine="482" w:firstLineChars="200"/>
        <w:outlineLvl w:val="9"/>
        <w:rPr>
          <w:rFonts w:ascii="宋体" w:hAnsi="宋体" w:cs="宋体"/>
          <w:b/>
          <w:color w:val="auto"/>
          <w:sz w:val="24"/>
          <w:highlight w:val="none"/>
        </w:rPr>
      </w:pPr>
      <w:bookmarkStart w:id="132" w:name="_Toc5635"/>
      <w:bookmarkStart w:id="133" w:name="_Toc21124"/>
      <w:bookmarkStart w:id="134" w:name="_Toc12230"/>
      <w:bookmarkStart w:id="135" w:name="_Toc13918"/>
      <w:bookmarkStart w:id="136" w:name="_Toc1386"/>
      <w:bookmarkStart w:id="137" w:name="_Toc30348"/>
      <w:bookmarkStart w:id="138" w:name="_Toc30302"/>
      <w:bookmarkStart w:id="139" w:name="_Toc4929"/>
      <w:r>
        <w:rPr>
          <w:rFonts w:hint="eastAsia" w:ascii="宋体" w:hAnsi="宋体" w:cs="宋体"/>
          <w:b/>
          <w:color w:val="auto"/>
          <w:sz w:val="24"/>
          <w:highlight w:val="none"/>
        </w:rPr>
        <w:t>1.3 价款</w:t>
      </w:r>
      <w:bookmarkEnd w:id="132"/>
      <w:bookmarkEnd w:id="133"/>
      <w:bookmarkEnd w:id="134"/>
      <w:bookmarkEnd w:id="135"/>
      <w:bookmarkEnd w:id="136"/>
      <w:bookmarkEnd w:id="137"/>
      <w:bookmarkEnd w:id="138"/>
      <w:bookmarkEnd w:id="139"/>
    </w:p>
    <w:p w14:paraId="591154E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本合同总价为：￥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p>
    <w:p w14:paraId="7DCC4A40">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分项价格：</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1B7D1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A61593D">
            <w:pPr>
              <w:pStyle w:val="221"/>
              <w:spacing w:line="5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3402" w:type="dxa"/>
            <w:noWrap w:val="0"/>
            <w:vAlign w:val="center"/>
          </w:tcPr>
          <w:p w14:paraId="25C9EAE7">
            <w:pPr>
              <w:pStyle w:val="221"/>
              <w:spacing w:line="560" w:lineRule="exact"/>
              <w:ind w:firstLine="200"/>
              <w:jc w:val="center"/>
              <w:rPr>
                <w:rFonts w:ascii="宋体" w:hAnsi="宋体" w:cs="宋体"/>
                <w:color w:val="auto"/>
                <w:sz w:val="24"/>
                <w:szCs w:val="24"/>
                <w:highlight w:val="none"/>
              </w:rPr>
            </w:pPr>
            <w:r>
              <w:rPr>
                <w:rFonts w:hint="eastAsia" w:ascii="宋体" w:hAnsi="宋体" w:cs="宋体"/>
                <w:color w:val="auto"/>
                <w:sz w:val="24"/>
                <w:szCs w:val="24"/>
                <w:highlight w:val="none"/>
              </w:rPr>
              <w:t>分项名称</w:t>
            </w:r>
          </w:p>
        </w:tc>
        <w:tc>
          <w:tcPr>
            <w:tcW w:w="2552" w:type="dxa"/>
            <w:noWrap w:val="0"/>
            <w:vAlign w:val="center"/>
          </w:tcPr>
          <w:p w14:paraId="3FEC8733">
            <w:pPr>
              <w:pStyle w:val="221"/>
              <w:spacing w:line="5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分项价格</w:t>
            </w:r>
          </w:p>
        </w:tc>
      </w:tr>
      <w:tr w14:paraId="7D685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20055CCE">
            <w:pPr>
              <w:pStyle w:val="221"/>
              <w:spacing w:line="560" w:lineRule="exact"/>
              <w:ind w:firstLine="200"/>
              <w:jc w:val="center"/>
              <w:rPr>
                <w:rFonts w:ascii="宋体" w:hAnsi="宋体" w:cs="宋体"/>
                <w:color w:val="auto"/>
                <w:sz w:val="24"/>
                <w:szCs w:val="24"/>
                <w:highlight w:val="none"/>
              </w:rPr>
            </w:pPr>
          </w:p>
        </w:tc>
        <w:tc>
          <w:tcPr>
            <w:tcW w:w="3402" w:type="dxa"/>
            <w:noWrap w:val="0"/>
            <w:vAlign w:val="center"/>
          </w:tcPr>
          <w:p w14:paraId="7B7F2D84">
            <w:pPr>
              <w:pStyle w:val="221"/>
              <w:spacing w:line="560" w:lineRule="exact"/>
              <w:ind w:firstLine="200"/>
              <w:jc w:val="center"/>
              <w:rPr>
                <w:rFonts w:ascii="宋体" w:hAnsi="宋体" w:cs="宋体"/>
                <w:color w:val="auto"/>
                <w:sz w:val="24"/>
                <w:szCs w:val="24"/>
                <w:highlight w:val="none"/>
              </w:rPr>
            </w:pPr>
          </w:p>
        </w:tc>
        <w:tc>
          <w:tcPr>
            <w:tcW w:w="2552" w:type="dxa"/>
            <w:noWrap w:val="0"/>
            <w:vAlign w:val="center"/>
          </w:tcPr>
          <w:p w14:paraId="0E98EFE7">
            <w:pPr>
              <w:pStyle w:val="221"/>
              <w:spacing w:line="560" w:lineRule="exact"/>
              <w:ind w:firstLine="200"/>
              <w:jc w:val="center"/>
              <w:rPr>
                <w:rFonts w:ascii="宋体" w:hAnsi="宋体" w:cs="宋体"/>
                <w:color w:val="auto"/>
                <w:sz w:val="24"/>
                <w:szCs w:val="24"/>
                <w:highlight w:val="none"/>
              </w:rPr>
            </w:pPr>
          </w:p>
        </w:tc>
      </w:tr>
      <w:tr w14:paraId="2C423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F344771">
            <w:pPr>
              <w:pStyle w:val="221"/>
              <w:spacing w:line="560" w:lineRule="exact"/>
              <w:ind w:firstLine="200"/>
              <w:jc w:val="center"/>
              <w:rPr>
                <w:rFonts w:ascii="宋体" w:hAnsi="宋体" w:cs="宋体"/>
                <w:color w:val="auto"/>
                <w:sz w:val="24"/>
                <w:szCs w:val="24"/>
                <w:highlight w:val="none"/>
              </w:rPr>
            </w:pPr>
          </w:p>
        </w:tc>
        <w:tc>
          <w:tcPr>
            <w:tcW w:w="3402" w:type="dxa"/>
            <w:noWrap w:val="0"/>
            <w:vAlign w:val="center"/>
          </w:tcPr>
          <w:p w14:paraId="67E3BFB5">
            <w:pPr>
              <w:pStyle w:val="221"/>
              <w:spacing w:line="560" w:lineRule="exact"/>
              <w:ind w:firstLine="200"/>
              <w:jc w:val="center"/>
              <w:rPr>
                <w:rFonts w:ascii="宋体" w:hAnsi="宋体" w:cs="宋体"/>
                <w:color w:val="auto"/>
                <w:sz w:val="24"/>
                <w:szCs w:val="24"/>
                <w:highlight w:val="none"/>
              </w:rPr>
            </w:pPr>
          </w:p>
        </w:tc>
        <w:tc>
          <w:tcPr>
            <w:tcW w:w="2552" w:type="dxa"/>
            <w:noWrap w:val="0"/>
            <w:vAlign w:val="center"/>
          </w:tcPr>
          <w:p w14:paraId="5CCD1737">
            <w:pPr>
              <w:pStyle w:val="221"/>
              <w:spacing w:line="560" w:lineRule="exact"/>
              <w:ind w:firstLine="200"/>
              <w:jc w:val="center"/>
              <w:rPr>
                <w:rFonts w:ascii="宋体" w:hAnsi="宋体" w:cs="宋体"/>
                <w:color w:val="auto"/>
                <w:sz w:val="24"/>
                <w:szCs w:val="24"/>
                <w:highlight w:val="none"/>
              </w:rPr>
            </w:pPr>
          </w:p>
        </w:tc>
      </w:tr>
      <w:tr w14:paraId="6D353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0E9154AF">
            <w:pPr>
              <w:pStyle w:val="221"/>
              <w:spacing w:line="560" w:lineRule="exact"/>
              <w:ind w:firstLine="200"/>
              <w:jc w:val="center"/>
              <w:rPr>
                <w:rFonts w:ascii="宋体" w:hAnsi="宋体" w:cs="宋体"/>
                <w:color w:val="auto"/>
                <w:sz w:val="24"/>
                <w:szCs w:val="24"/>
                <w:highlight w:val="none"/>
              </w:rPr>
            </w:pPr>
          </w:p>
        </w:tc>
        <w:tc>
          <w:tcPr>
            <w:tcW w:w="3402" w:type="dxa"/>
            <w:noWrap w:val="0"/>
            <w:vAlign w:val="center"/>
          </w:tcPr>
          <w:p w14:paraId="6819A756">
            <w:pPr>
              <w:pStyle w:val="221"/>
              <w:spacing w:line="560" w:lineRule="exact"/>
              <w:ind w:firstLine="200"/>
              <w:jc w:val="center"/>
              <w:rPr>
                <w:rFonts w:ascii="宋体" w:hAnsi="宋体" w:cs="宋体"/>
                <w:color w:val="auto"/>
                <w:sz w:val="24"/>
                <w:szCs w:val="24"/>
                <w:highlight w:val="none"/>
              </w:rPr>
            </w:pPr>
          </w:p>
        </w:tc>
        <w:tc>
          <w:tcPr>
            <w:tcW w:w="2552" w:type="dxa"/>
            <w:noWrap w:val="0"/>
            <w:vAlign w:val="center"/>
          </w:tcPr>
          <w:p w14:paraId="72F4FE75">
            <w:pPr>
              <w:pStyle w:val="221"/>
              <w:spacing w:line="560" w:lineRule="exact"/>
              <w:ind w:firstLine="200"/>
              <w:jc w:val="center"/>
              <w:rPr>
                <w:rFonts w:ascii="宋体" w:hAnsi="宋体" w:cs="宋体"/>
                <w:color w:val="auto"/>
                <w:sz w:val="24"/>
                <w:szCs w:val="24"/>
                <w:highlight w:val="none"/>
              </w:rPr>
            </w:pPr>
          </w:p>
        </w:tc>
      </w:tr>
      <w:tr w14:paraId="1FBF7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D42B4DF">
            <w:pPr>
              <w:pStyle w:val="221"/>
              <w:spacing w:line="560" w:lineRule="exact"/>
              <w:ind w:firstLine="200"/>
              <w:jc w:val="center"/>
              <w:rPr>
                <w:rFonts w:ascii="宋体" w:hAnsi="宋体" w:cs="宋体"/>
                <w:color w:val="auto"/>
                <w:sz w:val="24"/>
                <w:szCs w:val="24"/>
                <w:highlight w:val="none"/>
              </w:rPr>
            </w:pPr>
          </w:p>
        </w:tc>
        <w:tc>
          <w:tcPr>
            <w:tcW w:w="3402" w:type="dxa"/>
            <w:noWrap w:val="0"/>
            <w:vAlign w:val="center"/>
          </w:tcPr>
          <w:p w14:paraId="46EE942A">
            <w:pPr>
              <w:pStyle w:val="221"/>
              <w:spacing w:line="560" w:lineRule="exact"/>
              <w:ind w:firstLine="200"/>
              <w:jc w:val="center"/>
              <w:rPr>
                <w:rFonts w:ascii="宋体" w:hAnsi="宋体" w:cs="宋体"/>
                <w:color w:val="auto"/>
                <w:sz w:val="24"/>
                <w:szCs w:val="24"/>
                <w:highlight w:val="none"/>
              </w:rPr>
            </w:pPr>
          </w:p>
        </w:tc>
        <w:tc>
          <w:tcPr>
            <w:tcW w:w="2552" w:type="dxa"/>
            <w:noWrap w:val="0"/>
            <w:vAlign w:val="center"/>
          </w:tcPr>
          <w:p w14:paraId="6CAD8D09">
            <w:pPr>
              <w:pStyle w:val="221"/>
              <w:spacing w:line="560" w:lineRule="exact"/>
              <w:ind w:firstLine="200"/>
              <w:jc w:val="center"/>
              <w:rPr>
                <w:rFonts w:ascii="宋体" w:hAnsi="宋体" w:cs="宋体"/>
                <w:color w:val="auto"/>
                <w:sz w:val="24"/>
                <w:szCs w:val="24"/>
                <w:highlight w:val="none"/>
              </w:rPr>
            </w:pPr>
          </w:p>
        </w:tc>
      </w:tr>
      <w:tr w14:paraId="35793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6BDD4A96">
            <w:pPr>
              <w:pStyle w:val="221"/>
              <w:spacing w:line="560" w:lineRule="exact"/>
              <w:ind w:firstLine="200"/>
              <w:jc w:val="center"/>
              <w:rPr>
                <w:rFonts w:ascii="宋体" w:hAnsi="宋体" w:cs="宋体"/>
                <w:color w:val="auto"/>
                <w:sz w:val="24"/>
                <w:szCs w:val="24"/>
                <w:highlight w:val="none"/>
              </w:rPr>
            </w:pPr>
            <w:r>
              <w:rPr>
                <w:rFonts w:hint="eastAsia" w:ascii="宋体" w:hAnsi="宋体" w:cs="宋体"/>
                <w:color w:val="auto"/>
                <w:sz w:val="24"/>
                <w:szCs w:val="24"/>
                <w:highlight w:val="none"/>
              </w:rPr>
              <w:t>总价</w:t>
            </w:r>
          </w:p>
        </w:tc>
        <w:tc>
          <w:tcPr>
            <w:tcW w:w="2552" w:type="dxa"/>
            <w:noWrap w:val="0"/>
            <w:vAlign w:val="center"/>
          </w:tcPr>
          <w:p w14:paraId="2037FC1A">
            <w:pPr>
              <w:pStyle w:val="221"/>
              <w:spacing w:line="560" w:lineRule="exact"/>
              <w:ind w:firstLine="200"/>
              <w:jc w:val="center"/>
              <w:rPr>
                <w:rFonts w:ascii="宋体" w:hAnsi="宋体" w:cs="宋体"/>
                <w:color w:val="auto"/>
                <w:sz w:val="24"/>
                <w:szCs w:val="24"/>
                <w:highlight w:val="none"/>
              </w:rPr>
            </w:pPr>
          </w:p>
        </w:tc>
      </w:tr>
    </w:tbl>
    <w:p w14:paraId="4827C844">
      <w:pPr>
        <w:spacing w:line="560" w:lineRule="exact"/>
        <w:ind w:firstLine="482" w:firstLineChars="200"/>
        <w:outlineLvl w:val="9"/>
        <w:rPr>
          <w:rFonts w:ascii="宋体" w:hAnsi="宋体" w:cs="宋体"/>
          <w:b/>
          <w:color w:val="auto"/>
          <w:sz w:val="24"/>
          <w:highlight w:val="none"/>
        </w:rPr>
      </w:pPr>
      <w:bookmarkStart w:id="140" w:name="_Toc14993"/>
      <w:bookmarkStart w:id="141" w:name="_Toc21502"/>
      <w:bookmarkStart w:id="142" w:name="_Toc3654"/>
      <w:bookmarkStart w:id="143" w:name="_Toc26916"/>
      <w:bookmarkStart w:id="144" w:name="_Toc30506"/>
      <w:bookmarkStart w:id="145" w:name="_Toc7516"/>
      <w:bookmarkStart w:id="146" w:name="_Toc30158"/>
      <w:bookmarkStart w:id="147" w:name="_Toc4856"/>
      <w:r>
        <w:rPr>
          <w:rFonts w:hint="eastAsia" w:ascii="宋体" w:hAnsi="宋体" w:cs="宋体"/>
          <w:b/>
          <w:color w:val="auto"/>
          <w:sz w:val="24"/>
          <w:highlight w:val="none"/>
        </w:rPr>
        <w:t>1.4 付款方式和发票开具方式</w:t>
      </w:r>
      <w:bookmarkEnd w:id="140"/>
      <w:bookmarkEnd w:id="141"/>
      <w:bookmarkEnd w:id="142"/>
      <w:bookmarkEnd w:id="143"/>
      <w:bookmarkEnd w:id="144"/>
      <w:bookmarkEnd w:id="145"/>
      <w:bookmarkEnd w:id="146"/>
      <w:bookmarkEnd w:id="147"/>
    </w:p>
    <w:p w14:paraId="5088337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1.4.1付款方式：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BD27A6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1.4.2 发票开具方式：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E4D8224">
      <w:pPr>
        <w:spacing w:line="560" w:lineRule="exact"/>
        <w:ind w:firstLine="482" w:firstLineChars="200"/>
        <w:outlineLvl w:val="9"/>
        <w:rPr>
          <w:rFonts w:ascii="宋体" w:hAnsi="宋体" w:cs="宋体"/>
          <w:b/>
          <w:color w:val="auto"/>
          <w:sz w:val="24"/>
          <w:highlight w:val="none"/>
        </w:rPr>
      </w:pPr>
      <w:bookmarkStart w:id="148" w:name="_Toc11108"/>
      <w:bookmarkStart w:id="149" w:name="_Toc5627"/>
      <w:bookmarkStart w:id="150" w:name="_Toc4760"/>
      <w:bookmarkStart w:id="151" w:name="_Toc11489"/>
      <w:bookmarkStart w:id="152" w:name="_Toc31421"/>
      <w:bookmarkStart w:id="153" w:name="_Toc15970"/>
      <w:bookmarkStart w:id="154" w:name="_Toc3625"/>
      <w:bookmarkStart w:id="155" w:name="_Toc8772"/>
      <w:r>
        <w:rPr>
          <w:rFonts w:hint="eastAsia" w:ascii="宋体" w:hAnsi="宋体" w:cs="宋体"/>
          <w:b/>
          <w:color w:val="auto"/>
          <w:sz w:val="24"/>
          <w:highlight w:val="none"/>
        </w:rPr>
        <w:t>1.5 履行期限、地点和方式</w:t>
      </w:r>
      <w:bookmarkEnd w:id="148"/>
      <w:bookmarkEnd w:id="149"/>
      <w:bookmarkEnd w:id="150"/>
      <w:bookmarkEnd w:id="151"/>
      <w:bookmarkEnd w:id="152"/>
      <w:bookmarkEnd w:id="153"/>
      <w:bookmarkEnd w:id="154"/>
      <w:bookmarkEnd w:id="155"/>
    </w:p>
    <w:p w14:paraId="0C6E7ABE">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1.5.1 履行期限：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39E5C5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1.5.2 履行地点：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70951B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1.5.3 履行方式：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EBAF3FA">
      <w:pPr>
        <w:spacing w:line="560" w:lineRule="exact"/>
        <w:ind w:firstLine="482" w:firstLineChars="200"/>
        <w:outlineLvl w:val="9"/>
        <w:rPr>
          <w:rFonts w:ascii="宋体" w:hAnsi="宋体" w:cs="宋体"/>
          <w:color w:val="auto"/>
          <w:sz w:val="24"/>
          <w:highlight w:val="none"/>
          <w:u w:val="single"/>
        </w:rPr>
      </w:pPr>
      <w:bookmarkStart w:id="156" w:name="_Toc1015"/>
      <w:bookmarkStart w:id="157" w:name="_Toc5698"/>
      <w:bookmarkStart w:id="158" w:name="_Toc10966"/>
      <w:bookmarkStart w:id="159" w:name="_Toc3079"/>
      <w:bookmarkStart w:id="160" w:name="_Toc32198"/>
      <w:bookmarkStart w:id="161" w:name="_Toc8586"/>
      <w:bookmarkStart w:id="162" w:name="_Toc2375"/>
      <w:bookmarkStart w:id="163" w:name="_Toc24662"/>
      <w:r>
        <w:rPr>
          <w:rFonts w:hint="eastAsia" w:ascii="宋体" w:hAnsi="宋体" w:cs="宋体"/>
          <w:b/>
          <w:color w:val="auto"/>
          <w:sz w:val="24"/>
          <w:highlight w:val="none"/>
        </w:rPr>
        <w:t>1.6 违约责任</w:t>
      </w:r>
      <w:bookmarkEnd w:id="156"/>
      <w:bookmarkEnd w:id="157"/>
      <w:bookmarkEnd w:id="158"/>
      <w:bookmarkEnd w:id="159"/>
      <w:bookmarkEnd w:id="160"/>
      <w:bookmarkEnd w:id="161"/>
      <w:bookmarkEnd w:id="162"/>
      <w:bookmarkEnd w:id="163"/>
    </w:p>
    <w:p w14:paraId="78DD747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%；迟延履行的违约金计算数额达到前述最高限额之日起，甲方有权在要求乙方支付违约金的同时，书面通知乙方解除本合同；</w:t>
      </w:r>
    </w:p>
    <w:p w14:paraId="43B64D2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1.6.2 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p>
    <w:p w14:paraId="6B5CFA8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397CE1A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0CEAA9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51CEE4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05F8E41D">
      <w:pPr>
        <w:spacing w:line="560" w:lineRule="exact"/>
        <w:ind w:firstLine="482" w:firstLineChars="200"/>
        <w:outlineLvl w:val="9"/>
        <w:rPr>
          <w:rFonts w:ascii="宋体" w:hAnsi="宋体" w:cs="宋体"/>
          <w:b/>
          <w:color w:val="auto"/>
          <w:sz w:val="24"/>
          <w:highlight w:val="none"/>
        </w:rPr>
      </w:pPr>
      <w:bookmarkStart w:id="164" w:name="_Toc26807"/>
      <w:bookmarkStart w:id="165" w:name="_Toc9497"/>
      <w:bookmarkStart w:id="166" w:name="_Toc30329"/>
      <w:bookmarkStart w:id="167" w:name="_Toc5464"/>
      <w:bookmarkStart w:id="168" w:name="_Toc32454"/>
      <w:bookmarkStart w:id="169" w:name="_Toc4182"/>
      <w:bookmarkStart w:id="170" w:name="_Toc9707"/>
      <w:bookmarkStart w:id="171" w:name="_Toc18683"/>
      <w:r>
        <w:rPr>
          <w:rFonts w:hint="eastAsia" w:ascii="宋体" w:hAnsi="宋体" w:cs="宋体"/>
          <w:b/>
          <w:color w:val="auto"/>
          <w:sz w:val="24"/>
          <w:highlight w:val="none"/>
        </w:rPr>
        <w:t>1.7 合同争议的解决</w:t>
      </w:r>
      <w:bookmarkEnd w:id="164"/>
      <w:bookmarkEnd w:id="165"/>
      <w:bookmarkEnd w:id="166"/>
      <w:bookmarkEnd w:id="167"/>
      <w:bookmarkEnd w:id="168"/>
      <w:bookmarkEnd w:id="169"/>
      <w:bookmarkEnd w:id="170"/>
      <w:bookmarkEnd w:id="171"/>
    </w:p>
    <w:p w14:paraId="5C1296B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种方式解决：</w:t>
      </w:r>
    </w:p>
    <w:p w14:paraId="284357D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1.7.1 将争议提交</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仲裁委员会依申请仲裁时其现行有效的仲裁规则裁决；</w:t>
      </w:r>
    </w:p>
    <w:p w14:paraId="5B61EA6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1.7.2 向</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人民法院起诉。</w:t>
      </w:r>
    </w:p>
    <w:p w14:paraId="4081E6F9">
      <w:pPr>
        <w:spacing w:line="560" w:lineRule="exact"/>
        <w:ind w:firstLine="482" w:firstLineChars="200"/>
        <w:outlineLvl w:val="9"/>
        <w:rPr>
          <w:rFonts w:ascii="宋体" w:hAnsi="宋体" w:cs="宋体"/>
          <w:b/>
          <w:color w:val="auto"/>
          <w:sz w:val="24"/>
          <w:highlight w:val="none"/>
        </w:rPr>
      </w:pPr>
      <w:bookmarkStart w:id="172" w:name="_Toc14957"/>
      <w:bookmarkStart w:id="173" w:name="_Toc26227"/>
      <w:bookmarkStart w:id="174" w:name="_Toc15827"/>
      <w:bookmarkStart w:id="175" w:name="_Toc16417"/>
      <w:bookmarkStart w:id="176" w:name="_Toc23784"/>
      <w:bookmarkStart w:id="177" w:name="_Toc12273"/>
      <w:bookmarkStart w:id="178" w:name="_Toc10666"/>
      <w:bookmarkStart w:id="179" w:name="_Toc20853"/>
      <w:r>
        <w:rPr>
          <w:rFonts w:hint="eastAsia" w:ascii="宋体" w:hAnsi="宋体" w:cs="宋体"/>
          <w:b/>
          <w:color w:val="auto"/>
          <w:sz w:val="24"/>
          <w:highlight w:val="none"/>
        </w:rPr>
        <w:t>1.8 合同生效</w:t>
      </w:r>
      <w:bookmarkEnd w:id="172"/>
      <w:bookmarkEnd w:id="173"/>
      <w:bookmarkEnd w:id="174"/>
      <w:bookmarkEnd w:id="175"/>
      <w:bookmarkEnd w:id="176"/>
      <w:bookmarkEnd w:id="177"/>
      <w:bookmarkEnd w:id="178"/>
      <w:bookmarkEnd w:id="179"/>
    </w:p>
    <w:p w14:paraId="124665C1">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本合同自双方当事人盖章或者签字时生效。</w:t>
      </w:r>
    </w:p>
    <w:p w14:paraId="2AE36A5C">
      <w:pPr>
        <w:autoSpaceDE w:val="0"/>
        <w:autoSpaceDN w:val="0"/>
        <w:adjustRightInd w:val="0"/>
        <w:spacing w:line="560" w:lineRule="exact"/>
        <w:rPr>
          <w:rFonts w:ascii="宋体" w:hAnsi="宋体" w:cs="宋体"/>
          <w:color w:val="auto"/>
          <w:sz w:val="24"/>
          <w:highlight w:val="none"/>
          <w:lang w:val="zh-CN"/>
        </w:rPr>
      </w:pPr>
    </w:p>
    <w:p w14:paraId="13822FE5">
      <w:pPr>
        <w:autoSpaceDE w:val="0"/>
        <w:autoSpaceDN w:val="0"/>
        <w:adjustRightInd w:val="0"/>
        <w:spacing w:line="560" w:lineRule="exact"/>
        <w:rPr>
          <w:rFonts w:ascii="宋体" w:hAnsi="宋体" w:cs="宋体"/>
          <w:color w:val="auto"/>
          <w:sz w:val="24"/>
          <w:highlight w:val="none"/>
          <w:lang w:val="zh-CN"/>
        </w:rPr>
      </w:pPr>
      <w:r>
        <w:rPr>
          <w:rFonts w:hint="eastAsia" w:ascii="宋体" w:hAnsi="宋体" w:cs="宋体"/>
          <w:b/>
          <w:color w:val="auto"/>
          <w:sz w:val="24"/>
          <w:highlight w:val="none"/>
          <w:lang w:val="zh-CN"/>
        </w:rPr>
        <w:t>甲方</w:t>
      </w:r>
      <w:r>
        <w:rPr>
          <w:rFonts w:hint="eastAsia" w:ascii="宋体" w:hAnsi="宋体" w:cs="宋体"/>
          <w:color w:val="auto"/>
          <w:sz w:val="24"/>
          <w:highlight w:val="none"/>
          <w:lang w:val="zh-CN"/>
        </w:rPr>
        <w:t xml:space="preserve">：                             </w:t>
      </w:r>
      <w:r>
        <w:rPr>
          <w:rFonts w:hint="eastAsia" w:ascii="宋体" w:hAnsi="宋体" w:cs="宋体"/>
          <w:b/>
          <w:color w:val="auto"/>
          <w:sz w:val="24"/>
          <w:highlight w:val="none"/>
          <w:lang w:val="zh-CN"/>
        </w:rPr>
        <w:t xml:space="preserve">      乙方</w:t>
      </w:r>
      <w:r>
        <w:rPr>
          <w:rFonts w:hint="eastAsia" w:ascii="宋体" w:hAnsi="宋体" w:cs="宋体"/>
          <w:color w:val="auto"/>
          <w:sz w:val="24"/>
          <w:highlight w:val="none"/>
          <w:lang w:val="zh-CN"/>
        </w:rPr>
        <w:t>：</w:t>
      </w:r>
    </w:p>
    <w:p w14:paraId="3FBDB771">
      <w:pPr>
        <w:autoSpaceDE w:val="0"/>
        <w:autoSpaceDN w:val="0"/>
        <w:adjustRightInd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统一社会信用代码：                       统一社会信用代码或身份证号码：</w:t>
      </w:r>
    </w:p>
    <w:p w14:paraId="6A62D21E">
      <w:pPr>
        <w:autoSpaceDE w:val="0"/>
        <w:autoSpaceDN w:val="0"/>
        <w:adjustRightInd w:val="0"/>
        <w:spacing w:line="560" w:lineRule="exact"/>
        <w:rPr>
          <w:rFonts w:ascii="宋体" w:hAnsi="宋体" w:cs="宋体"/>
          <w:color w:val="auto"/>
          <w:sz w:val="24"/>
          <w:highlight w:val="none"/>
          <w:lang w:val="zh-CN"/>
        </w:rPr>
      </w:pPr>
    </w:p>
    <w:p w14:paraId="2A71FB62">
      <w:pPr>
        <w:autoSpaceDE w:val="0"/>
        <w:autoSpaceDN w:val="0"/>
        <w:adjustRightInd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住所：                                   住所：</w:t>
      </w:r>
    </w:p>
    <w:p w14:paraId="2F2ADEA8">
      <w:pPr>
        <w:autoSpaceDE w:val="0"/>
        <w:autoSpaceDN w:val="0"/>
        <w:adjustRightInd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法定代表人或                             法定代表人</w:t>
      </w:r>
    </w:p>
    <w:p w14:paraId="47BFD63E">
      <w:pPr>
        <w:autoSpaceDE w:val="0"/>
        <w:autoSpaceDN w:val="0"/>
        <w:adjustRightInd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授权代表（签字）：                        或授权代表（签字）:</w:t>
      </w:r>
    </w:p>
    <w:p w14:paraId="5A1B0486">
      <w:pPr>
        <w:autoSpaceDE w:val="0"/>
        <w:autoSpaceDN w:val="0"/>
        <w:adjustRightInd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联系人：                                 联系人：</w:t>
      </w:r>
    </w:p>
    <w:p w14:paraId="40B21237">
      <w:pPr>
        <w:autoSpaceDE w:val="0"/>
        <w:autoSpaceDN w:val="0"/>
        <w:adjustRightInd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约定送达地址：                           约定送达地址：</w:t>
      </w:r>
    </w:p>
    <w:p w14:paraId="2D77CAB5">
      <w:pPr>
        <w:autoSpaceDE w:val="0"/>
        <w:autoSpaceDN w:val="0"/>
        <w:adjustRightInd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邮政编码：                               邮政编码：</w:t>
      </w:r>
    </w:p>
    <w:p w14:paraId="2A3AF4AE">
      <w:pPr>
        <w:autoSpaceDE w:val="0"/>
        <w:autoSpaceDN w:val="0"/>
        <w:adjustRightInd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电话:                                   电话:</w:t>
      </w:r>
    </w:p>
    <w:p w14:paraId="7A9454DF">
      <w:pPr>
        <w:autoSpaceDE w:val="0"/>
        <w:autoSpaceDN w:val="0"/>
        <w:adjustRightInd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传真:                                   传真:</w:t>
      </w:r>
    </w:p>
    <w:p w14:paraId="1F99A019">
      <w:pPr>
        <w:autoSpaceDE w:val="0"/>
        <w:autoSpaceDN w:val="0"/>
        <w:adjustRightInd w:val="0"/>
        <w:spacing w:line="560" w:lineRule="exact"/>
        <w:rPr>
          <w:rFonts w:ascii="宋体" w:hAnsi="宋体" w:cs="宋体"/>
          <w:color w:val="auto"/>
          <w:sz w:val="24"/>
          <w:highlight w:val="none"/>
        </w:rPr>
      </w:pPr>
      <w:r>
        <w:rPr>
          <w:rFonts w:hint="eastAsia" w:ascii="宋体" w:hAnsi="宋体" w:cs="宋体"/>
          <w:color w:val="auto"/>
          <w:sz w:val="24"/>
          <w:highlight w:val="none"/>
          <w:lang w:val="zh-CN"/>
        </w:rPr>
        <w:t>电子邮箱：                               电子邮箱：</w:t>
      </w:r>
    </w:p>
    <w:p w14:paraId="6D0718A1">
      <w:pPr>
        <w:autoSpaceDE w:val="0"/>
        <w:autoSpaceDN w:val="0"/>
        <w:adjustRightInd w:val="0"/>
        <w:spacing w:line="560" w:lineRule="exact"/>
        <w:rPr>
          <w:rFonts w:ascii="宋体" w:hAnsi="宋体" w:cs="宋体"/>
          <w:color w:val="auto"/>
          <w:sz w:val="24"/>
          <w:highlight w:val="none"/>
        </w:rPr>
      </w:pPr>
      <w:r>
        <w:rPr>
          <w:rFonts w:hint="eastAsia" w:ascii="宋体" w:hAnsi="宋体" w:cs="宋体"/>
          <w:color w:val="auto"/>
          <w:sz w:val="24"/>
          <w:highlight w:val="none"/>
        </w:rPr>
        <w:t xml:space="preserve">开户银行：                               开户银行： </w:t>
      </w:r>
    </w:p>
    <w:p w14:paraId="209337A6">
      <w:pPr>
        <w:autoSpaceDE w:val="0"/>
        <w:autoSpaceDN w:val="0"/>
        <w:adjustRightInd w:val="0"/>
        <w:spacing w:line="560" w:lineRule="exact"/>
        <w:rPr>
          <w:rFonts w:ascii="宋体" w:hAnsi="宋体" w:cs="宋体"/>
          <w:color w:val="auto"/>
          <w:sz w:val="24"/>
          <w:highlight w:val="none"/>
        </w:rPr>
      </w:pPr>
      <w:r>
        <w:rPr>
          <w:rFonts w:hint="eastAsia" w:ascii="宋体" w:hAnsi="宋体" w:cs="宋体"/>
          <w:color w:val="auto"/>
          <w:sz w:val="24"/>
          <w:highlight w:val="none"/>
        </w:rPr>
        <w:t xml:space="preserve">开户名称：                               开户名称： </w:t>
      </w:r>
    </w:p>
    <w:p w14:paraId="1D1F5931">
      <w:pPr>
        <w:autoSpaceDE w:val="0"/>
        <w:autoSpaceDN w:val="0"/>
        <w:adjustRightInd w:val="0"/>
        <w:spacing w:line="560" w:lineRule="exact"/>
        <w:rPr>
          <w:rFonts w:ascii="宋体" w:hAnsi="宋体" w:cs="宋体"/>
          <w:color w:val="auto"/>
          <w:sz w:val="24"/>
          <w:highlight w:val="none"/>
        </w:rPr>
      </w:pPr>
      <w:r>
        <w:rPr>
          <w:rFonts w:hint="eastAsia" w:ascii="宋体" w:hAnsi="宋体" w:cs="宋体"/>
          <w:color w:val="auto"/>
          <w:sz w:val="24"/>
          <w:highlight w:val="none"/>
        </w:rPr>
        <w:t>开户账号：</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开户账号：</w:t>
      </w:r>
    </w:p>
    <w:p w14:paraId="1F15A2C3">
      <w:pPr>
        <w:widowControl/>
        <w:spacing w:line="560" w:lineRule="exact"/>
        <w:jc w:val="left"/>
        <w:rPr>
          <w:rFonts w:ascii="宋体" w:hAnsi="宋体" w:cs="宋体"/>
          <w:b/>
          <w:color w:val="auto"/>
          <w:highlight w:val="none"/>
        </w:rPr>
      </w:pPr>
      <w:bookmarkStart w:id="180" w:name="_Toc331685783"/>
    </w:p>
    <w:p w14:paraId="2BFE16AB">
      <w:pPr>
        <w:widowControl/>
        <w:spacing w:line="560" w:lineRule="exact"/>
        <w:jc w:val="left"/>
        <w:rPr>
          <w:rFonts w:ascii="宋体" w:hAnsi="宋体" w:cs="宋体"/>
          <w:b/>
          <w:color w:val="auto"/>
          <w:highlight w:val="none"/>
        </w:rPr>
      </w:pPr>
    </w:p>
    <w:p w14:paraId="2AB532E8">
      <w:pPr>
        <w:widowControl/>
        <w:spacing w:line="560" w:lineRule="exact"/>
        <w:jc w:val="left"/>
        <w:rPr>
          <w:rFonts w:ascii="宋体" w:hAnsi="宋体" w:cs="宋体"/>
          <w:b/>
          <w:color w:val="auto"/>
          <w:kern w:val="0"/>
          <w:sz w:val="24"/>
          <w:highlight w:val="none"/>
        </w:rPr>
      </w:pPr>
    </w:p>
    <w:p w14:paraId="7E627BBD">
      <w:pPr>
        <w:widowControl/>
        <w:spacing w:line="560" w:lineRule="exact"/>
        <w:jc w:val="left"/>
        <w:rPr>
          <w:rFonts w:ascii="宋体" w:hAnsi="宋体" w:cs="宋体"/>
          <w:b/>
          <w:color w:val="auto"/>
          <w:kern w:val="0"/>
          <w:sz w:val="24"/>
          <w:highlight w:val="none"/>
        </w:rPr>
      </w:pPr>
    </w:p>
    <w:p w14:paraId="6A6123EC">
      <w:pPr>
        <w:pStyle w:val="35"/>
        <w:autoSpaceDE w:val="0"/>
        <w:spacing w:before="0" w:beforeAutospacing="0" w:after="0" w:afterAutospacing="0" w:line="360" w:lineRule="auto"/>
        <w:jc w:val="center"/>
        <w:outlineLvl w:val="1"/>
        <w:rPr>
          <w:rFonts w:hint="eastAsia" w:ascii="宋体" w:hAnsi="宋体" w:eastAsia="宋体" w:cs="宋体"/>
          <w:b/>
          <w:color w:val="auto"/>
          <w:kern w:val="2"/>
          <w:sz w:val="21"/>
          <w:szCs w:val="21"/>
          <w:highlight w:val="none"/>
        </w:rPr>
      </w:pPr>
      <w:bookmarkStart w:id="181" w:name="_Toc1243"/>
    </w:p>
    <w:p w14:paraId="25DACDD5">
      <w:pPr>
        <w:pStyle w:val="35"/>
        <w:autoSpaceDE w:val="0"/>
        <w:spacing w:before="0" w:beforeAutospacing="0" w:after="0" w:afterAutospacing="0" w:line="360" w:lineRule="auto"/>
        <w:jc w:val="center"/>
        <w:outlineLvl w:val="1"/>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br w:type="page"/>
      </w:r>
      <w:r>
        <w:rPr>
          <w:rFonts w:hint="eastAsia" w:ascii="宋体" w:hAnsi="宋体" w:eastAsia="宋体" w:cs="宋体"/>
          <w:b/>
          <w:color w:val="auto"/>
          <w:kern w:val="2"/>
          <w:sz w:val="21"/>
          <w:szCs w:val="21"/>
          <w:highlight w:val="none"/>
        </w:rPr>
        <w:t>第二部分 合同一般条款</w:t>
      </w:r>
      <w:bookmarkEnd w:id="180"/>
      <w:bookmarkEnd w:id="181"/>
    </w:p>
    <w:p w14:paraId="45AD5428">
      <w:pPr>
        <w:spacing w:line="560" w:lineRule="exact"/>
        <w:ind w:firstLine="482" w:firstLineChars="200"/>
        <w:outlineLvl w:val="9"/>
        <w:rPr>
          <w:rFonts w:ascii="宋体" w:hAnsi="宋体" w:cs="宋体"/>
          <w:b/>
          <w:color w:val="auto"/>
          <w:sz w:val="24"/>
          <w:highlight w:val="none"/>
        </w:rPr>
      </w:pPr>
      <w:bookmarkStart w:id="182" w:name="_Ref467379101"/>
      <w:bookmarkStart w:id="183" w:name="_Toc5228"/>
      <w:bookmarkStart w:id="184" w:name="_Toc487900349"/>
      <w:bookmarkStart w:id="185" w:name="_Toc7399"/>
      <w:bookmarkStart w:id="186" w:name="_Ref467379094"/>
      <w:bookmarkStart w:id="187" w:name="_Toc25079"/>
      <w:bookmarkStart w:id="188" w:name="_Ref467379225"/>
      <w:bookmarkStart w:id="189" w:name="_Ref467379205"/>
      <w:bookmarkStart w:id="190" w:name="_Ref467378463"/>
      <w:bookmarkStart w:id="191" w:name="_Ref467379109"/>
      <w:bookmarkStart w:id="192" w:name="_Toc279701240"/>
      <w:bookmarkStart w:id="193" w:name="_Toc19680"/>
      <w:bookmarkStart w:id="194" w:name="_Toc31297"/>
      <w:bookmarkStart w:id="195" w:name="_Toc21098"/>
      <w:bookmarkStart w:id="196" w:name="_Toc14021"/>
      <w:bookmarkStart w:id="197" w:name="_Toc7367"/>
      <w:bookmarkStart w:id="198" w:name="_Ref467379214"/>
      <w:bookmarkStart w:id="199" w:name="_Ref467379195"/>
      <w:bookmarkStart w:id="200" w:name="_Ref467378404"/>
      <w:bookmarkStart w:id="201" w:name="_Toc259093669"/>
      <w:bookmarkStart w:id="202" w:name="_Ref467378499"/>
      <w:r>
        <w:rPr>
          <w:rFonts w:hint="eastAsia" w:ascii="宋体" w:hAnsi="宋体" w:cs="宋体"/>
          <w:b/>
          <w:color w:val="auto"/>
          <w:sz w:val="24"/>
          <w:highlight w:val="none"/>
        </w:rPr>
        <w:t>2.1 定义</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4112888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050EE0F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 “合同”系指采购人和中标供应商签订的载明双方当事人所达成的协议，并包括所有的附件、附录和构成合同的其他文件。</w:t>
      </w:r>
    </w:p>
    <w:p w14:paraId="21C7A2B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 “合同价”系指根据合同约定，中标供应商在完全履行合同义务后，采购人应支付给中标供应商的价格。</w:t>
      </w:r>
    </w:p>
    <w:p w14:paraId="43ED49B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 “服务”系指中标供应商根据合同约定应向采购人履行的除货物和工程以外的其他政府采购对象，包括采购人自身需要的服务和向社会公众提供的公共服务。</w:t>
      </w:r>
    </w:p>
    <w:p w14:paraId="308D1BCD">
      <w:pPr>
        <w:spacing w:line="560" w:lineRule="exact"/>
        <w:ind w:firstLine="480" w:firstLineChars="200"/>
        <w:rPr>
          <w:rFonts w:ascii="宋体" w:hAnsi="宋体" w:cs="宋体"/>
          <w:color w:val="auto"/>
          <w:sz w:val="24"/>
          <w:highlight w:val="none"/>
        </w:rPr>
      </w:pPr>
      <w:bookmarkStart w:id="203" w:name="_Ref467378840"/>
      <w:r>
        <w:rPr>
          <w:rFonts w:hint="eastAsia" w:ascii="宋体" w:hAnsi="宋体" w:cs="宋体"/>
          <w:color w:val="auto"/>
          <w:sz w:val="24"/>
          <w:highlight w:val="none"/>
        </w:rPr>
        <w:t>2.1.4 “甲方”系指与中标供应商签署合同的采购人</w:t>
      </w:r>
      <w:bookmarkEnd w:id="203"/>
      <w:r>
        <w:rPr>
          <w:rFonts w:hint="eastAsia" w:ascii="宋体" w:hAnsi="宋体" w:cs="宋体"/>
          <w:color w:val="auto"/>
          <w:sz w:val="24"/>
          <w:highlight w:val="none"/>
        </w:rPr>
        <w:t>；采购人委托采购代理机构代表其与乙方签订合同的，采购人的授权委托书作为合同附件。</w:t>
      </w:r>
    </w:p>
    <w:p w14:paraId="7BB8BCD9">
      <w:pPr>
        <w:spacing w:line="560" w:lineRule="exact"/>
        <w:ind w:firstLine="480" w:firstLineChars="200"/>
        <w:rPr>
          <w:rFonts w:ascii="宋体" w:hAnsi="宋体" w:cs="宋体"/>
          <w:color w:val="auto"/>
          <w:sz w:val="24"/>
          <w:highlight w:val="none"/>
        </w:rPr>
      </w:pPr>
      <w:bookmarkStart w:id="204" w:name="_Ref467379400"/>
      <w:r>
        <w:rPr>
          <w:rFonts w:hint="eastAsia" w:ascii="宋体" w:hAnsi="宋体" w:cs="宋体"/>
          <w:color w:val="auto"/>
          <w:sz w:val="24"/>
          <w:highlight w:val="none"/>
        </w:rPr>
        <w:t>2.1.5 “乙方”系指根据合同约定提供服务的中标供应商</w:t>
      </w:r>
      <w:bookmarkEnd w:id="204"/>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D3429DE">
      <w:pPr>
        <w:spacing w:line="560" w:lineRule="exact"/>
        <w:ind w:firstLine="480" w:firstLineChars="200"/>
        <w:rPr>
          <w:rFonts w:ascii="宋体" w:hAnsi="宋体" w:cs="宋体"/>
          <w:color w:val="auto"/>
          <w:sz w:val="24"/>
          <w:highlight w:val="none"/>
        </w:rPr>
      </w:pPr>
      <w:bookmarkStart w:id="205" w:name="_Ref467379436"/>
      <w:r>
        <w:rPr>
          <w:rFonts w:hint="eastAsia" w:ascii="宋体" w:hAnsi="宋体" w:cs="宋体"/>
          <w:color w:val="auto"/>
          <w:sz w:val="24"/>
          <w:highlight w:val="none"/>
        </w:rPr>
        <w:t>2.1.6 “现场”系指合同约定提供服务的地点。</w:t>
      </w:r>
      <w:bookmarkEnd w:id="205"/>
    </w:p>
    <w:p w14:paraId="036132D4">
      <w:pPr>
        <w:spacing w:line="560" w:lineRule="exact"/>
        <w:ind w:firstLine="482" w:firstLineChars="200"/>
        <w:outlineLvl w:val="9"/>
        <w:rPr>
          <w:rFonts w:ascii="宋体" w:hAnsi="宋体" w:cs="宋体"/>
          <w:b/>
          <w:color w:val="auto"/>
          <w:sz w:val="24"/>
          <w:highlight w:val="none"/>
        </w:rPr>
      </w:pPr>
      <w:bookmarkStart w:id="206" w:name="_Toc20623"/>
      <w:bookmarkStart w:id="207" w:name="_Toc31402"/>
      <w:bookmarkStart w:id="208" w:name="_Toc279701241"/>
      <w:bookmarkStart w:id="209" w:name="_Toc23289"/>
      <w:bookmarkStart w:id="210" w:name="_Toc487900350"/>
      <w:bookmarkStart w:id="211" w:name="_Toc840"/>
      <w:bookmarkStart w:id="212" w:name="_Toc16752"/>
      <w:bookmarkStart w:id="213" w:name="_Toc29844"/>
      <w:bookmarkStart w:id="214" w:name="_Toc259093670"/>
      <w:bookmarkStart w:id="215" w:name="_Toc19539"/>
      <w:bookmarkStart w:id="216" w:name="_Toc3769"/>
      <w:r>
        <w:rPr>
          <w:rFonts w:hint="eastAsia" w:ascii="宋体" w:hAnsi="宋体" w:cs="宋体"/>
          <w:b/>
          <w:color w:val="auto"/>
          <w:sz w:val="24"/>
          <w:highlight w:val="none"/>
        </w:rPr>
        <w:t>2.2 技术规范</w:t>
      </w:r>
      <w:bookmarkEnd w:id="206"/>
      <w:bookmarkEnd w:id="207"/>
      <w:bookmarkEnd w:id="208"/>
      <w:bookmarkEnd w:id="209"/>
      <w:bookmarkEnd w:id="210"/>
      <w:bookmarkEnd w:id="211"/>
      <w:bookmarkEnd w:id="212"/>
      <w:bookmarkEnd w:id="213"/>
      <w:bookmarkEnd w:id="214"/>
      <w:bookmarkEnd w:id="215"/>
      <w:bookmarkEnd w:id="216"/>
    </w:p>
    <w:p w14:paraId="6EA7B2E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7C9930FF">
      <w:pPr>
        <w:spacing w:line="560" w:lineRule="exact"/>
        <w:ind w:firstLine="482" w:firstLineChars="200"/>
        <w:outlineLvl w:val="9"/>
        <w:rPr>
          <w:rFonts w:ascii="宋体" w:hAnsi="宋体" w:cs="宋体"/>
          <w:b/>
          <w:color w:val="auto"/>
          <w:sz w:val="24"/>
          <w:highlight w:val="none"/>
        </w:rPr>
      </w:pPr>
      <w:bookmarkStart w:id="217" w:name="_Toc11440"/>
      <w:bookmarkStart w:id="218" w:name="_Toc27945"/>
      <w:bookmarkStart w:id="219" w:name="_Toc279701242"/>
      <w:bookmarkStart w:id="220" w:name="_Toc973"/>
      <w:bookmarkStart w:id="221" w:name="_Toc259093671"/>
      <w:bookmarkStart w:id="222" w:name="_Toc4133"/>
      <w:bookmarkStart w:id="223" w:name="_Toc9161"/>
      <w:bookmarkStart w:id="224" w:name="_Toc13673"/>
      <w:bookmarkStart w:id="225" w:name="_Toc12412"/>
      <w:bookmarkStart w:id="226" w:name="_Toc6190"/>
      <w:bookmarkStart w:id="227" w:name="_Toc487900351"/>
      <w:r>
        <w:rPr>
          <w:rFonts w:hint="eastAsia" w:ascii="宋体" w:hAnsi="宋体" w:cs="宋体"/>
          <w:b/>
          <w:color w:val="auto"/>
          <w:sz w:val="24"/>
          <w:highlight w:val="none"/>
        </w:rPr>
        <w:t>2.3 知识产权</w:t>
      </w:r>
      <w:bookmarkEnd w:id="217"/>
      <w:bookmarkEnd w:id="218"/>
      <w:bookmarkEnd w:id="219"/>
      <w:bookmarkEnd w:id="220"/>
      <w:bookmarkEnd w:id="221"/>
      <w:bookmarkEnd w:id="222"/>
      <w:bookmarkEnd w:id="223"/>
      <w:bookmarkEnd w:id="224"/>
      <w:bookmarkEnd w:id="225"/>
      <w:bookmarkEnd w:id="226"/>
      <w:bookmarkEnd w:id="227"/>
    </w:p>
    <w:p w14:paraId="426C89A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33DA467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2.3.2 合同涉及技术成果的归属和收益的分成办法的，详见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7A0CD270">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2.4 履约检查和问题反馈</w:t>
      </w:r>
    </w:p>
    <w:p w14:paraId="5FDF3633">
      <w:pPr>
        <w:spacing w:line="560" w:lineRule="exact"/>
        <w:ind w:firstLine="480" w:firstLineChars="200"/>
        <w:rPr>
          <w:rFonts w:ascii="宋体" w:hAnsi="宋体" w:cs="宋体"/>
          <w:color w:val="auto"/>
          <w:sz w:val="24"/>
          <w:highlight w:val="none"/>
        </w:rPr>
      </w:pPr>
      <w:bookmarkStart w:id="228" w:name="_Ref467379657"/>
      <w:r>
        <w:rPr>
          <w:rFonts w:hint="eastAsia" w:ascii="宋体" w:hAnsi="宋体" w:cs="宋体"/>
          <w:color w:val="auto"/>
          <w:sz w:val="24"/>
          <w:highlight w:val="none"/>
        </w:rPr>
        <w:t>2.4.1</w:t>
      </w:r>
      <w:bookmarkEnd w:id="228"/>
      <w:bookmarkStart w:id="229" w:name="_Toc186431854"/>
      <w:bookmarkStart w:id="230" w:name="_Toc487900357"/>
      <w:bookmarkStart w:id="231" w:name="_Ref467379793"/>
      <w:bookmarkStart w:id="232" w:name="_Toc259093676"/>
      <w:bookmarkStart w:id="233" w:name="_Toc279701247"/>
      <w:bookmarkStart w:id="234" w:name="_Ref467379807"/>
      <w:r>
        <w:rPr>
          <w:rFonts w:hint="eastAsia" w:ascii="宋体" w:hAnsi="宋体" w:cs="宋体"/>
          <w:color w:val="auto"/>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54733D1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2.4.2 合同履行期间，甲方有权将履行过程中出现的问题反馈给乙方，双方当事人应以书面形式约定需要完善和改进的内容</w:t>
      </w:r>
      <w:bookmarkEnd w:id="229"/>
      <w:bookmarkStart w:id="235" w:name="_Toc186431855"/>
      <w:r>
        <w:rPr>
          <w:rFonts w:hint="eastAsia" w:ascii="宋体" w:hAnsi="宋体" w:cs="宋体"/>
          <w:color w:val="auto"/>
          <w:sz w:val="24"/>
          <w:highlight w:val="none"/>
        </w:rPr>
        <w:t>。</w:t>
      </w:r>
    </w:p>
    <w:bookmarkEnd w:id="235"/>
    <w:p w14:paraId="116D1AF9">
      <w:pPr>
        <w:spacing w:line="560" w:lineRule="exact"/>
        <w:ind w:firstLine="482" w:firstLineChars="200"/>
        <w:outlineLvl w:val="9"/>
        <w:rPr>
          <w:rFonts w:ascii="宋体" w:hAnsi="宋体" w:cs="宋体"/>
          <w:b/>
          <w:color w:val="auto"/>
          <w:sz w:val="24"/>
          <w:highlight w:val="none"/>
        </w:rPr>
      </w:pPr>
      <w:bookmarkStart w:id="236" w:name="_Toc317"/>
      <w:bookmarkStart w:id="237" w:name="_Toc32670"/>
      <w:bookmarkStart w:id="238" w:name="_Toc31233"/>
      <w:bookmarkStart w:id="239" w:name="_Toc26555"/>
      <w:bookmarkStart w:id="240" w:name="_Toc31317"/>
      <w:bookmarkStart w:id="241" w:name="_Toc22011"/>
      <w:bookmarkStart w:id="242" w:name="_Toc32643"/>
      <w:r>
        <w:rPr>
          <w:rFonts w:hint="eastAsia" w:ascii="宋体" w:hAnsi="宋体" w:cs="宋体"/>
          <w:b/>
          <w:color w:val="auto"/>
          <w:sz w:val="24"/>
          <w:highlight w:val="none"/>
        </w:rPr>
        <w:t>2.5 结算方式和付款条件</w:t>
      </w:r>
      <w:bookmarkEnd w:id="230"/>
      <w:bookmarkEnd w:id="231"/>
      <w:bookmarkEnd w:id="232"/>
      <w:bookmarkEnd w:id="233"/>
      <w:bookmarkEnd w:id="234"/>
      <w:bookmarkEnd w:id="236"/>
      <w:bookmarkEnd w:id="237"/>
      <w:bookmarkEnd w:id="238"/>
      <w:bookmarkEnd w:id="239"/>
      <w:bookmarkEnd w:id="240"/>
      <w:bookmarkEnd w:id="241"/>
      <w:bookmarkEnd w:id="242"/>
    </w:p>
    <w:p w14:paraId="78A8A48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2D23DC7D">
      <w:pPr>
        <w:spacing w:line="560" w:lineRule="exact"/>
        <w:ind w:firstLine="482" w:firstLineChars="200"/>
        <w:outlineLvl w:val="9"/>
        <w:rPr>
          <w:rFonts w:ascii="宋体" w:hAnsi="宋体" w:cs="宋体"/>
          <w:b/>
          <w:color w:val="auto"/>
          <w:sz w:val="24"/>
          <w:highlight w:val="none"/>
        </w:rPr>
      </w:pPr>
      <w:bookmarkStart w:id="243" w:name="_Ref467379863"/>
      <w:bookmarkStart w:id="244" w:name="_Toc279701248"/>
      <w:bookmarkStart w:id="245" w:name="_Ref467379852"/>
      <w:bookmarkStart w:id="246" w:name="_Ref467379923"/>
      <w:bookmarkStart w:id="247" w:name="_Toc259093677"/>
      <w:bookmarkStart w:id="248" w:name="_Toc487900358"/>
      <w:bookmarkStart w:id="249" w:name="_Toc30507"/>
      <w:bookmarkStart w:id="250" w:name="_Toc10370"/>
      <w:bookmarkStart w:id="251" w:name="_Toc23078"/>
      <w:bookmarkStart w:id="252" w:name="_Toc16163"/>
      <w:bookmarkStart w:id="253" w:name="_Toc18990"/>
      <w:bookmarkStart w:id="254" w:name="_Toc13467"/>
      <w:bookmarkStart w:id="255" w:name="_Toc13154"/>
      <w:bookmarkStart w:id="256" w:name="_Toc3898"/>
      <w:r>
        <w:rPr>
          <w:rFonts w:hint="eastAsia" w:ascii="宋体" w:hAnsi="宋体" w:cs="宋体"/>
          <w:b/>
          <w:color w:val="auto"/>
          <w:sz w:val="24"/>
          <w:highlight w:val="none"/>
        </w:rPr>
        <w:t>2.6 技术资料</w:t>
      </w:r>
      <w:bookmarkEnd w:id="243"/>
      <w:bookmarkEnd w:id="244"/>
      <w:bookmarkEnd w:id="245"/>
      <w:bookmarkEnd w:id="246"/>
      <w:bookmarkEnd w:id="247"/>
      <w:bookmarkEnd w:id="248"/>
      <w:r>
        <w:rPr>
          <w:rFonts w:hint="eastAsia" w:ascii="宋体" w:hAnsi="宋体" w:cs="宋体"/>
          <w:b/>
          <w:color w:val="auto"/>
          <w:sz w:val="24"/>
          <w:highlight w:val="none"/>
        </w:rPr>
        <w:t>和保密义务</w:t>
      </w:r>
      <w:bookmarkEnd w:id="249"/>
      <w:bookmarkEnd w:id="250"/>
      <w:bookmarkEnd w:id="251"/>
      <w:bookmarkEnd w:id="252"/>
      <w:bookmarkEnd w:id="253"/>
      <w:bookmarkEnd w:id="254"/>
      <w:bookmarkEnd w:id="255"/>
      <w:bookmarkEnd w:id="256"/>
    </w:p>
    <w:p w14:paraId="5C5C697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2.6.1 乙方有权依据合同约定和项目需要，向甲方了解有关情况，调阅有关资料等，甲方应予积极配合；</w:t>
      </w:r>
    </w:p>
    <w:p w14:paraId="3AE8F1E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2.6.2 乙方有义务妥善保管和保护由甲方提供的前款信息和资料等；</w:t>
      </w:r>
    </w:p>
    <w:p w14:paraId="5BCA9C0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3A97562">
      <w:pPr>
        <w:spacing w:line="560" w:lineRule="exact"/>
        <w:ind w:firstLine="482" w:firstLineChars="200"/>
        <w:outlineLvl w:val="9"/>
        <w:rPr>
          <w:rFonts w:ascii="宋体" w:hAnsi="宋体" w:cs="宋体"/>
          <w:b/>
          <w:color w:val="auto"/>
          <w:sz w:val="24"/>
          <w:highlight w:val="none"/>
        </w:rPr>
      </w:pPr>
      <w:bookmarkStart w:id="257" w:name="_Toc20557"/>
      <w:bookmarkStart w:id="258" w:name="_Toc19069"/>
      <w:bookmarkStart w:id="259" w:name="_Toc12028"/>
      <w:bookmarkStart w:id="260" w:name="_Toc11620"/>
      <w:bookmarkStart w:id="261" w:name="_Toc279701252"/>
      <w:bookmarkStart w:id="262" w:name="_Toc259093681"/>
      <w:bookmarkStart w:id="263" w:name="_Toc487900362"/>
      <w:r>
        <w:rPr>
          <w:rFonts w:hint="eastAsia" w:ascii="宋体" w:hAnsi="宋体" w:cs="宋体"/>
          <w:b/>
          <w:color w:val="auto"/>
          <w:sz w:val="24"/>
          <w:highlight w:val="none"/>
        </w:rPr>
        <w:t>2.7 质量保证</w:t>
      </w:r>
      <w:bookmarkEnd w:id="257"/>
      <w:bookmarkEnd w:id="258"/>
      <w:bookmarkEnd w:id="259"/>
      <w:bookmarkEnd w:id="260"/>
    </w:p>
    <w:p w14:paraId="4F9B740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2.7.1 乙方应建立和完善履行合同的内部质量保证体系，并提供相关内部规章制度给甲方，以便甲方进行监督检查；</w:t>
      </w:r>
    </w:p>
    <w:p w14:paraId="3FEC5C0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2.7.2 乙方应保证履行合同的人员数量和素质、软件和硬件设备的配置、场地、环境和设施等满足全面履行合同的要求，并应接受甲方的监督检查。</w:t>
      </w:r>
    </w:p>
    <w:p w14:paraId="0250867C">
      <w:pPr>
        <w:spacing w:line="560" w:lineRule="exact"/>
        <w:ind w:firstLine="482" w:firstLineChars="200"/>
        <w:outlineLvl w:val="9"/>
        <w:rPr>
          <w:rFonts w:ascii="宋体" w:hAnsi="宋体" w:cs="宋体"/>
          <w:b/>
          <w:color w:val="auto"/>
          <w:sz w:val="24"/>
          <w:highlight w:val="none"/>
        </w:rPr>
      </w:pPr>
      <w:bookmarkStart w:id="264" w:name="_Toc25801"/>
      <w:bookmarkStart w:id="265" w:name="_Toc17145"/>
      <w:bookmarkStart w:id="266" w:name="_Toc6917"/>
      <w:bookmarkStart w:id="267" w:name="_Toc22267"/>
      <w:r>
        <w:rPr>
          <w:rFonts w:hint="eastAsia" w:ascii="宋体" w:hAnsi="宋体" w:cs="宋体"/>
          <w:b/>
          <w:color w:val="auto"/>
          <w:sz w:val="24"/>
          <w:highlight w:val="none"/>
        </w:rPr>
        <w:t>2.8 延迟</w:t>
      </w:r>
      <w:bookmarkEnd w:id="261"/>
      <w:bookmarkEnd w:id="262"/>
      <w:bookmarkEnd w:id="263"/>
      <w:r>
        <w:rPr>
          <w:rFonts w:hint="eastAsia" w:ascii="宋体" w:hAnsi="宋体" w:cs="宋体"/>
          <w:b/>
          <w:color w:val="auto"/>
          <w:sz w:val="24"/>
          <w:highlight w:val="none"/>
        </w:rPr>
        <w:t>履行</w:t>
      </w:r>
      <w:bookmarkEnd w:id="264"/>
      <w:bookmarkEnd w:id="265"/>
      <w:bookmarkEnd w:id="266"/>
      <w:bookmarkEnd w:id="267"/>
    </w:p>
    <w:p w14:paraId="7B0331C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14AF6455">
      <w:pPr>
        <w:spacing w:line="560" w:lineRule="exact"/>
        <w:ind w:firstLine="482" w:firstLineChars="200"/>
        <w:outlineLvl w:val="9"/>
        <w:rPr>
          <w:rFonts w:ascii="宋体" w:hAnsi="宋体" w:cs="宋体"/>
          <w:b/>
          <w:color w:val="auto"/>
          <w:sz w:val="24"/>
          <w:highlight w:val="none"/>
        </w:rPr>
      </w:pPr>
      <w:bookmarkStart w:id="268" w:name="_Toc13637"/>
      <w:bookmarkStart w:id="269" w:name="_Toc10611"/>
      <w:bookmarkStart w:id="270" w:name="_Toc31718"/>
      <w:bookmarkStart w:id="271" w:name="_Toc20398"/>
      <w:bookmarkStart w:id="272" w:name="_Ref467378121"/>
      <w:bookmarkStart w:id="273" w:name="_Toc259093683"/>
      <w:bookmarkStart w:id="274" w:name="_Toc487900364"/>
      <w:bookmarkStart w:id="275" w:name="_Toc279701254"/>
      <w:r>
        <w:rPr>
          <w:rFonts w:hint="eastAsia" w:ascii="宋体" w:hAnsi="宋体" w:cs="宋体"/>
          <w:b/>
          <w:color w:val="auto"/>
          <w:sz w:val="24"/>
          <w:highlight w:val="none"/>
        </w:rPr>
        <w:t>2.9 合同变更</w:t>
      </w:r>
      <w:bookmarkEnd w:id="268"/>
      <w:bookmarkEnd w:id="269"/>
      <w:bookmarkEnd w:id="270"/>
      <w:bookmarkEnd w:id="271"/>
    </w:p>
    <w:p w14:paraId="7E14A5B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14:paraId="3053FB7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2.9.2 合同继续履行将损害国家利益和社会公共利益的，双方当事人应当以书面形式变更合同。有过错的一方应当承担赔偿责任，双方当事人都有过错的，各自承担相应的责任。</w:t>
      </w:r>
      <w:bookmarkStart w:id="276" w:name="_Toc279701259"/>
      <w:bookmarkStart w:id="277" w:name="_Toc487900369"/>
      <w:bookmarkStart w:id="278" w:name="_Toc259093688"/>
    </w:p>
    <w:p w14:paraId="3C67AE30">
      <w:pPr>
        <w:spacing w:line="560" w:lineRule="exact"/>
        <w:ind w:firstLine="482" w:firstLineChars="200"/>
        <w:outlineLvl w:val="9"/>
        <w:rPr>
          <w:rFonts w:ascii="宋体" w:hAnsi="宋体" w:cs="宋体"/>
          <w:b/>
          <w:color w:val="auto"/>
          <w:sz w:val="24"/>
          <w:highlight w:val="none"/>
        </w:rPr>
      </w:pPr>
      <w:bookmarkStart w:id="279" w:name="_Toc10663"/>
      <w:bookmarkStart w:id="280" w:name="_Toc18018"/>
      <w:bookmarkStart w:id="281" w:name="_Toc42"/>
      <w:bookmarkStart w:id="282" w:name="_Toc26689"/>
      <w:bookmarkStart w:id="283" w:name="_Toc23368"/>
      <w:bookmarkStart w:id="284" w:name="_Toc21830"/>
      <w:bookmarkStart w:id="285" w:name="_Toc11890"/>
      <w:bookmarkStart w:id="286" w:name="_Toc30016"/>
      <w:r>
        <w:rPr>
          <w:rFonts w:hint="eastAsia" w:ascii="宋体" w:hAnsi="宋体" w:cs="宋体"/>
          <w:b/>
          <w:color w:val="auto"/>
          <w:sz w:val="24"/>
          <w:highlight w:val="none"/>
        </w:rPr>
        <w:t>2.10 合同转让</w:t>
      </w:r>
      <w:bookmarkEnd w:id="276"/>
      <w:bookmarkEnd w:id="277"/>
      <w:bookmarkEnd w:id="278"/>
      <w:r>
        <w:rPr>
          <w:rFonts w:hint="eastAsia" w:ascii="宋体" w:hAnsi="宋体" w:cs="宋体"/>
          <w:b/>
          <w:color w:val="auto"/>
          <w:sz w:val="24"/>
          <w:highlight w:val="none"/>
        </w:rPr>
        <w:t>和分包</w:t>
      </w:r>
      <w:bookmarkEnd w:id="279"/>
      <w:bookmarkEnd w:id="280"/>
      <w:bookmarkEnd w:id="281"/>
      <w:bookmarkEnd w:id="282"/>
      <w:bookmarkEnd w:id="283"/>
      <w:bookmarkEnd w:id="284"/>
      <w:bookmarkEnd w:id="285"/>
      <w:bookmarkEnd w:id="286"/>
    </w:p>
    <w:p w14:paraId="2EFC8CB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61E435B">
      <w:pPr>
        <w:spacing w:line="560" w:lineRule="exact"/>
        <w:ind w:firstLine="482" w:firstLineChars="200"/>
        <w:outlineLvl w:val="9"/>
        <w:rPr>
          <w:rFonts w:ascii="宋体" w:hAnsi="宋体" w:cs="宋体"/>
          <w:b/>
          <w:color w:val="auto"/>
          <w:sz w:val="24"/>
          <w:highlight w:val="none"/>
        </w:rPr>
      </w:pPr>
      <w:bookmarkStart w:id="287" w:name="_Toc31681"/>
      <w:bookmarkStart w:id="288" w:name="_Toc4720"/>
      <w:bookmarkStart w:id="289" w:name="_Toc25571"/>
      <w:bookmarkStart w:id="290" w:name="_Toc14371"/>
      <w:bookmarkStart w:id="291" w:name="_Toc32494"/>
      <w:bookmarkStart w:id="292" w:name="_Toc20298"/>
      <w:bookmarkStart w:id="293" w:name="_Toc26633"/>
      <w:bookmarkStart w:id="294" w:name="_Toc19284"/>
      <w:r>
        <w:rPr>
          <w:rFonts w:hint="eastAsia" w:ascii="宋体" w:hAnsi="宋体" w:cs="宋体"/>
          <w:b/>
          <w:color w:val="auto"/>
          <w:sz w:val="24"/>
          <w:highlight w:val="none"/>
        </w:rPr>
        <w:t>2.11 不可抗力</w:t>
      </w:r>
      <w:bookmarkEnd w:id="287"/>
      <w:bookmarkEnd w:id="288"/>
      <w:bookmarkEnd w:id="289"/>
      <w:bookmarkEnd w:id="290"/>
      <w:bookmarkEnd w:id="291"/>
      <w:bookmarkEnd w:id="292"/>
      <w:bookmarkEnd w:id="293"/>
      <w:bookmarkEnd w:id="294"/>
    </w:p>
    <w:p w14:paraId="34155B8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2.11.1如果任何一方遭遇法律规定的不可抗力，致使合同履行受阻时，履行合同的期限应予延长，延长的期限应相当于不可抗力所影响的时间；</w:t>
      </w:r>
    </w:p>
    <w:p w14:paraId="344120B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2.11.2 因不可抗力致使不能实现合同目的的，当事人可以解除合同；</w:t>
      </w:r>
    </w:p>
    <w:p w14:paraId="51A47B5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2.11.3 因不可抗力致使合同有变更必要的，双方当事人应在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约定时间内以书面形式变更合同；</w:t>
      </w:r>
    </w:p>
    <w:p w14:paraId="66501B3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2.11.4受不可抗力影响的一方在不可抗力发生后，应在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约定时间内以书面形式通知对方当事人，并在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约定时间内，将有关部门出具的证明文件送达对方当事人。</w:t>
      </w:r>
    </w:p>
    <w:p w14:paraId="4D8D3124">
      <w:pPr>
        <w:spacing w:line="560" w:lineRule="exact"/>
        <w:ind w:firstLine="482" w:firstLineChars="200"/>
        <w:outlineLvl w:val="9"/>
        <w:rPr>
          <w:rFonts w:ascii="宋体" w:hAnsi="宋体" w:cs="宋体"/>
          <w:b/>
          <w:color w:val="auto"/>
          <w:sz w:val="24"/>
          <w:highlight w:val="none"/>
        </w:rPr>
      </w:pPr>
      <w:bookmarkStart w:id="295" w:name="_Toc701"/>
      <w:bookmarkStart w:id="296" w:name="_Toc279701255"/>
      <w:bookmarkStart w:id="297" w:name="_Toc259093684"/>
      <w:bookmarkStart w:id="298" w:name="_Toc3638"/>
      <w:bookmarkStart w:id="299" w:name="_Toc16174"/>
      <w:bookmarkStart w:id="300" w:name="_Toc25783"/>
      <w:bookmarkStart w:id="301" w:name="_Toc24744"/>
      <w:bookmarkStart w:id="302" w:name="_Toc23854"/>
      <w:bookmarkStart w:id="303" w:name="_Toc24465"/>
      <w:bookmarkStart w:id="304" w:name="_Toc487900365"/>
      <w:bookmarkStart w:id="305" w:name="_Toc14115"/>
      <w:r>
        <w:rPr>
          <w:rFonts w:hint="eastAsia" w:ascii="宋体" w:hAnsi="宋体" w:cs="宋体"/>
          <w:b/>
          <w:color w:val="auto"/>
          <w:sz w:val="24"/>
          <w:highlight w:val="none"/>
        </w:rPr>
        <w:t>2.12 税费</w:t>
      </w:r>
      <w:bookmarkEnd w:id="295"/>
      <w:bookmarkEnd w:id="296"/>
      <w:bookmarkEnd w:id="297"/>
      <w:bookmarkEnd w:id="298"/>
      <w:bookmarkEnd w:id="299"/>
      <w:bookmarkEnd w:id="300"/>
      <w:bookmarkEnd w:id="301"/>
      <w:bookmarkEnd w:id="302"/>
      <w:bookmarkEnd w:id="303"/>
      <w:bookmarkEnd w:id="304"/>
      <w:bookmarkEnd w:id="305"/>
    </w:p>
    <w:p w14:paraId="37FCF69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与合同有关的一切税费，均按照中华人民共和国法律的相关规定缴纳。</w:t>
      </w:r>
    </w:p>
    <w:p w14:paraId="25A4808A">
      <w:pPr>
        <w:spacing w:line="560" w:lineRule="exact"/>
        <w:ind w:firstLine="482" w:firstLineChars="200"/>
        <w:outlineLvl w:val="9"/>
        <w:rPr>
          <w:rFonts w:ascii="宋体" w:hAnsi="宋体" w:cs="宋体"/>
          <w:b/>
          <w:color w:val="auto"/>
          <w:sz w:val="24"/>
          <w:highlight w:val="none"/>
        </w:rPr>
      </w:pPr>
      <w:bookmarkStart w:id="306" w:name="_Toc25525"/>
      <w:bookmarkStart w:id="307" w:name="_Toc259093687"/>
      <w:bookmarkStart w:id="308" w:name="_Toc14814"/>
      <w:bookmarkStart w:id="309" w:name="_Toc17871"/>
      <w:bookmarkStart w:id="310" w:name="_Toc28535"/>
      <w:bookmarkStart w:id="311" w:name="_Toc30105"/>
      <w:bookmarkStart w:id="312" w:name="_Toc26883"/>
      <w:bookmarkStart w:id="313" w:name="_Toc487900368"/>
      <w:bookmarkStart w:id="314" w:name="_Toc31303"/>
      <w:bookmarkStart w:id="315" w:name="_Toc279701258"/>
      <w:bookmarkStart w:id="316" w:name="_Toc7315"/>
      <w:r>
        <w:rPr>
          <w:rFonts w:hint="eastAsia" w:ascii="宋体" w:hAnsi="宋体" w:cs="宋体"/>
          <w:b/>
          <w:color w:val="auto"/>
          <w:sz w:val="24"/>
          <w:highlight w:val="none"/>
        </w:rPr>
        <w:t>2.13 乙方破产</w:t>
      </w:r>
      <w:bookmarkEnd w:id="306"/>
      <w:bookmarkEnd w:id="307"/>
      <w:bookmarkEnd w:id="308"/>
      <w:bookmarkEnd w:id="309"/>
      <w:bookmarkEnd w:id="310"/>
      <w:bookmarkEnd w:id="311"/>
      <w:bookmarkEnd w:id="312"/>
      <w:bookmarkEnd w:id="313"/>
      <w:bookmarkEnd w:id="314"/>
      <w:bookmarkEnd w:id="315"/>
      <w:bookmarkEnd w:id="316"/>
    </w:p>
    <w:p w14:paraId="60A5884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8639B26">
      <w:pPr>
        <w:spacing w:line="560" w:lineRule="exact"/>
        <w:ind w:firstLine="482" w:firstLineChars="200"/>
        <w:outlineLvl w:val="9"/>
        <w:rPr>
          <w:rFonts w:ascii="宋体" w:hAnsi="宋体" w:cs="宋体"/>
          <w:b/>
          <w:color w:val="auto"/>
          <w:sz w:val="24"/>
          <w:highlight w:val="none"/>
        </w:rPr>
      </w:pPr>
      <w:bookmarkStart w:id="317" w:name="_Toc23323"/>
      <w:bookmarkStart w:id="318" w:name="_Toc25232"/>
      <w:bookmarkStart w:id="319" w:name="_Toc9093"/>
      <w:bookmarkStart w:id="320" w:name="_Toc2016"/>
      <w:bookmarkStart w:id="321" w:name="_Toc1123"/>
      <w:bookmarkStart w:id="322" w:name="_Toc32598"/>
      <w:r>
        <w:rPr>
          <w:rFonts w:hint="eastAsia" w:ascii="宋体" w:hAnsi="宋体" w:cs="宋体"/>
          <w:b/>
          <w:color w:val="auto"/>
          <w:sz w:val="24"/>
          <w:highlight w:val="none"/>
        </w:rPr>
        <w:t>2.14 合同中止、终止</w:t>
      </w:r>
      <w:bookmarkEnd w:id="317"/>
      <w:bookmarkEnd w:id="318"/>
      <w:bookmarkEnd w:id="319"/>
      <w:bookmarkEnd w:id="320"/>
      <w:bookmarkEnd w:id="321"/>
      <w:bookmarkEnd w:id="322"/>
    </w:p>
    <w:p w14:paraId="3DE030B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2.14.1 双方当事人不得擅自中止或者终止合同；</w:t>
      </w:r>
    </w:p>
    <w:p w14:paraId="004ED69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bookmarkEnd w:id="272"/>
    <w:bookmarkEnd w:id="273"/>
    <w:bookmarkEnd w:id="274"/>
    <w:bookmarkEnd w:id="275"/>
    <w:p w14:paraId="0ED2D8AC">
      <w:pPr>
        <w:spacing w:line="560" w:lineRule="exact"/>
        <w:ind w:firstLine="482" w:firstLineChars="200"/>
        <w:outlineLvl w:val="9"/>
        <w:rPr>
          <w:rFonts w:ascii="宋体" w:hAnsi="宋体" w:cs="宋体"/>
          <w:b/>
          <w:color w:val="auto"/>
          <w:sz w:val="24"/>
          <w:highlight w:val="none"/>
        </w:rPr>
      </w:pPr>
      <w:bookmarkStart w:id="323" w:name="_Toc259093690"/>
      <w:bookmarkStart w:id="324" w:name="_Toc279701261"/>
      <w:bookmarkStart w:id="325" w:name="_Toc487900371"/>
      <w:bookmarkStart w:id="326" w:name="_Toc9808"/>
      <w:bookmarkStart w:id="327" w:name="_Toc4027"/>
      <w:bookmarkStart w:id="328" w:name="_Toc31858"/>
      <w:bookmarkStart w:id="329" w:name="_Toc12666"/>
      <w:bookmarkStart w:id="330" w:name="_Toc31892"/>
      <w:bookmarkStart w:id="331" w:name="_Toc12755"/>
      <w:bookmarkStart w:id="332" w:name="_Toc2308"/>
      <w:bookmarkStart w:id="333" w:name="_Toc25198"/>
      <w:r>
        <w:rPr>
          <w:rFonts w:hint="eastAsia" w:ascii="宋体" w:hAnsi="宋体" w:cs="宋体"/>
          <w:b/>
          <w:color w:val="auto"/>
          <w:sz w:val="24"/>
          <w:highlight w:val="none"/>
        </w:rPr>
        <w:t>2.1</w:t>
      </w: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 xml:space="preserve"> 通知</w:t>
      </w:r>
      <w:bookmarkEnd w:id="323"/>
      <w:bookmarkEnd w:id="324"/>
      <w:bookmarkEnd w:id="325"/>
      <w:r>
        <w:rPr>
          <w:rFonts w:hint="eastAsia" w:ascii="宋体" w:hAnsi="宋体" w:cs="宋体"/>
          <w:b/>
          <w:color w:val="auto"/>
          <w:sz w:val="24"/>
          <w:highlight w:val="none"/>
        </w:rPr>
        <w:t>和送达</w:t>
      </w:r>
      <w:bookmarkEnd w:id="326"/>
      <w:bookmarkEnd w:id="327"/>
      <w:bookmarkEnd w:id="328"/>
      <w:bookmarkEnd w:id="329"/>
      <w:bookmarkEnd w:id="330"/>
      <w:bookmarkEnd w:id="331"/>
      <w:bookmarkEnd w:id="332"/>
      <w:bookmarkEnd w:id="333"/>
    </w:p>
    <w:p w14:paraId="3A99D82E">
      <w:pPr>
        <w:spacing w:line="560" w:lineRule="exact"/>
        <w:ind w:firstLine="480" w:firstLineChars="200"/>
        <w:rPr>
          <w:rFonts w:ascii="宋体" w:hAnsi="宋体" w:cs="宋体"/>
          <w:color w:val="auto"/>
          <w:sz w:val="24"/>
          <w:highlight w:val="none"/>
        </w:rPr>
      </w:pPr>
      <w:bookmarkStart w:id="334" w:name="_Toc29220"/>
      <w:bookmarkStart w:id="335" w:name="_Toc7073"/>
      <w:bookmarkStart w:id="336" w:name="_Toc279701262"/>
      <w:bookmarkStart w:id="337" w:name="_Toc259093691"/>
      <w:bookmarkStart w:id="338" w:name="_Toc487900372"/>
      <w:r>
        <w:rPr>
          <w:rFonts w:hint="eastAsia" w:ascii="宋体" w:hAnsi="宋体" w:cs="宋体"/>
          <w:color w:val="auto"/>
          <w:sz w:val="24"/>
          <w:highlight w:val="none"/>
        </w:rPr>
        <w:t>2.1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.1 任何一方因履行合同而以合同第一部分尾部所列明的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发出的所有通知、文件、材料，均视为已向对方当事人送达；任何一方变更上述送达方式或者地址的，应于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个工作日内书面通知对方当事人，在对方当事人收到有关变更通知之前，变更前的约定送达方式或者地址仍视为有效。</w:t>
      </w:r>
      <w:bookmarkEnd w:id="334"/>
      <w:bookmarkEnd w:id="335"/>
    </w:p>
    <w:p w14:paraId="769B2D71">
      <w:pPr>
        <w:spacing w:line="560" w:lineRule="exact"/>
        <w:ind w:firstLine="480" w:firstLineChars="200"/>
        <w:rPr>
          <w:rFonts w:ascii="宋体" w:hAnsi="宋体" w:cs="宋体"/>
          <w:color w:val="auto"/>
          <w:sz w:val="24"/>
          <w:highlight w:val="none"/>
        </w:rPr>
      </w:pPr>
      <w:bookmarkStart w:id="339" w:name="_Toc27674"/>
      <w:bookmarkStart w:id="340" w:name="_Toc18401"/>
      <w:r>
        <w:rPr>
          <w:rFonts w:hint="eastAsia" w:ascii="宋体" w:hAnsi="宋体" w:cs="宋体"/>
          <w:color w:val="auto"/>
          <w:sz w:val="24"/>
          <w:highlight w:val="none"/>
        </w:rPr>
        <w:t>2.1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2以当面交付方式送达的，交付之时视为送达；以电子邮件方式送达的，发出电子邮件之时视为送达；以传真方式送达的，发出传真之时视为送达；以邮寄方式送达的，邮件挂号寄出或者交邮之日之次日视为送达。</w:t>
      </w:r>
      <w:bookmarkEnd w:id="339"/>
      <w:bookmarkEnd w:id="340"/>
    </w:p>
    <w:bookmarkEnd w:id="336"/>
    <w:bookmarkEnd w:id="337"/>
    <w:bookmarkEnd w:id="338"/>
    <w:p w14:paraId="2350F218">
      <w:pPr>
        <w:spacing w:line="560" w:lineRule="exact"/>
        <w:ind w:firstLine="482" w:firstLineChars="200"/>
        <w:outlineLvl w:val="9"/>
        <w:rPr>
          <w:rFonts w:ascii="宋体" w:hAnsi="宋体" w:cs="宋体"/>
          <w:b/>
          <w:color w:val="auto"/>
          <w:sz w:val="24"/>
          <w:highlight w:val="none"/>
        </w:rPr>
      </w:pPr>
      <w:bookmarkStart w:id="341" w:name="_Toc279701263"/>
      <w:bookmarkStart w:id="342" w:name="_Toc12254"/>
      <w:bookmarkStart w:id="343" w:name="_Toc5063"/>
      <w:bookmarkStart w:id="344" w:name="_Toc20808"/>
      <w:bookmarkStart w:id="345" w:name="_Toc487900373"/>
      <w:bookmarkStart w:id="346" w:name="_Toc27644"/>
      <w:bookmarkStart w:id="347" w:name="_Toc259093692"/>
      <w:bookmarkStart w:id="348" w:name="_Toc28906"/>
      <w:bookmarkStart w:id="349" w:name="_Toc908"/>
      <w:bookmarkStart w:id="350" w:name="_Toc13760"/>
      <w:bookmarkStart w:id="351" w:name="_Toc23816"/>
      <w:r>
        <w:rPr>
          <w:rFonts w:hint="eastAsia" w:ascii="宋体" w:hAnsi="宋体" w:cs="宋体"/>
          <w:b/>
          <w:color w:val="auto"/>
          <w:sz w:val="24"/>
          <w:highlight w:val="none"/>
        </w:rPr>
        <w:t>2.1</w:t>
      </w:r>
      <w:r>
        <w:rPr>
          <w:rFonts w:hint="eastAsia" w:ascii="宋体" w:hAnsi="宋体" w:cs="宋体"/>
          <w:b/>
          <w:color w:val="auto"/>
          <w:sz w:val="24"/>
          <w:highlight w:val="none"/>
          <w:lang w:val="en-US" w:eastAsia="zh-CN"/>
        </w:rPr>
        <w:t>6</w:t>
      </w:r>
      <w:r>
        <w:rPr>
          <w:rFonts w:hint="eastAsia" w:ascii="宋体" w:hAnsi="宋体" w:cs="宋体"/>
          <w:b/>
          <w:color w:val="auto"/>
          <w:sz w:val="24"/>
          <w:highlight w:val="none"/>
        </w:rPr>
        <w:t xml:space="preserve"> 合同使用的文字和适用的法律</w:t>
      </w:r>
      <w:bookmarkEnd w:id="341"/>
      <w:bookmarkEnd w:id="342"/>
      <w:bookmarkEnd w:id="343"/>
      <w:bookmarkEnd w:id="344"/>
      <w:bookmarkEnd w:id="345"/>
      <w:bookmarkEnd w:id="346"/>
      <w:bookmarkEnd w:id="347"/>
      <w:bookmarkEnd w:id="348"/>
      <w:bookmarkEnd w:id="349"/>
      <w:bookmarkEnd w:id="350"/>
      <w:bookmarkEnd w:id="351"/>
    </w:p>
    <w:p w14:paraId="306DF4D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.1 合同使用汉语书就、变更和解释；</w:t>
      </w:r>
    </w:p>
    <w:p w14:paraId="56D61A0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.2 合同适用中华人民共和国法律。</w:t>
      </w:r>
    </w:p>
    <w:p w14:paraId="733B044F">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2.1</w:t>
      </w:r>
      <w:r>
        <w:rPr>
          <w:rFonts w:hint="eastAsia" w:ascii="宋体" w:hAnsi="宋体" w:cs="宋体"/>
          <w:b/>
          <w:color w:val="auto"/>
          <w:sz w:val="24"/>
          <w:highlight w:val="none"/>
          <w:lang w:val="en-US" w:eastAsia="zh-CN"/>
        </w:rPr>
        <w:t>7</w:t>
      </w:r>
      <w:r>
        <w:rPr>
          <w:rFonts w:hint="eastAsia" w:ascii="宋体" w:hAnsi="宋体" w:cs="宋体"/>
          <w:b/>
          <w:color w:val="auto"/>
          <w:sz w:val="24"/>
          <w:highlight w:val="none"/>
        </w:rPr>
        <w:t xml:space="preserve"> 合同份数</w:t>
      </w:r>
    </w:p>
    <w:p w14:paraId="4AAA2D8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合同份数按</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规定，每份均具有同等法律效力。</w:t>
      </w:r>
    </w:p>
    <w:p w14:paraId="52A71DCC">
      <w:pPr>
        <w:pStyle w:val="220"/>
        <w:spacing w:line="560" w:lineRule="exact"/>
        <w:ind w:firstLine="0"/>
        <w:jc w:val="center"/>
        <w:rPr>
          <w:rFonts w:ascii="宋体" w:hAnsi="宋体" w:cs="宋体"/>
          <w:color w:val="auto"/>
          <w:szCs w:val="24"/>
          <w:highlight w:val="none"/>
        </w:rPr>
      </w:pPr>
    </w:p>
    <w:p w14:paraId="35D4CDFF">
      <w:pPr>
        <w:pStyle w:val="220"/>
        <w:spacing w:line="560" w:lineRule="exact"/>
        <w:ind w:firstLine="0"/>
        <w:jc w:val="center"/>
        <w:rPr>
          <w:rFonts w:ascii="宋体" w:hAnsi="宋体" w:cs="宋体"/>
          <w:b/>
          <w:color w:val="auto"/>
          <w:sz w:val="21"/>
          <w:szCs w:val="21"/>
          <w:highlight w:val="none"/>
        </w:rPr>
      </w:pPr>
      <w:r>
        <w:rPr>
          <w:rFonts w:hint="eastAsia" w:ascii="宋体" w:hAnsi="宋体" w:cs="宋体"/>
          <w:color w:val="auto"/>
          <w:szCs w:val="24"/>
          <w:highlight w:val="none"/>
        </w:rPr>
        <w:br w:type="page"/>
      </w:r>
      <w:bookmarkStart w:id="352" w:name="_Toc7124"/>
      <w:bookmarkStart w:id="353" w:name="_Toc331685784"/>
      <w:r>
        <w:rPr>
          <w:rFonts w:hint="eastAsia" w:ascii="宋体" w:hAnsi="宋体" w:cs="宋体"/>
          <w:b/>
          <w:color w:val="auto"/>
          <w:sz w:val="21"/>
          <w:szCs w:val="21"/>
          <w:highlight w:val="none"/>
        </w:rPr>
        <w:t>第三部分  合同专用条款</w:t>
      </w:r>
      <w:bookmarkEnd w:id="352"/>
      <w:bookmarkEnd w:id="353"/>
    </w:p>
    <w:p w14:paraId="3AA22774">
      <w:pPr>
        <w:pStyle w:val="220"/>
        <w:spacing w:line="560" w:lineRule="exact"/>
        <w:ind w:firstLine="0"/>
        <w:jc w:val="center"/>
        <w:rPr>
          <w:rFonts w:ascii="宋体" w:hAnsi="宋体" w:cs="宋体"/>
          <w:b/>
          <w:color w:val="auto"/>
          <w:sz w:val="21"/>
          <w:szCs w:val="21"/>
          <w:highlight w:val="none"/>
        </w:rPr>
      </w:pPr>
    </w:p>
    <w:p w14:paraId="0864AE4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40"/>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3B8984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14:paraId="52DBD716">
            <w:pPr>
              <w:spacing w:line="560" w:lineRule="exact"/>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7633" w:type="dxa"/>
            <w:noWrap w:val="0"/>
            <w:vAlign w:val="center"/>
          </w:tcPr>
          <w:p w14:paraId="0BE3C8BC">
            <w:pPr>
              <w:spacing w:line="560" w:lineRule="exact"/>
              <w:jc w:val="center"/>
              <w:rPr>
                <w:rFonts w:ascii="宋体" w:hAnsi="宋体" w:cs="宋体"/>
                <w:b/>
                <w:color w:val="auto"/>
                <w:sz w:val="24"/>
                <w:highlight w:val="none"/>
              </w:rPr>
            </w:pPr>
            <w:r>
              <w:rPr>
                <w:rFonts w:hint="eastAsia" w:ascii="宋体" w:hAnsi="宋体" w:cs="宋体"/>
                <w:b/>
                <w:color w:val="auto"/>
                <w:sz w:val="24"/>
                <w:highlight w:val="none"/>
              </w:rPr>
              <w:t>约定内容</w:t>
            </w:r>
          </w:p>
        </w:tc>
      </w:tr>
      <w:tr w14:paraId="3F485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9" w:hRule="atLeast"/>
        </w:trPr>
        <w:tc>
          <w:tcPr>
            <w:tcW w:w="801" w:type="dxa"/>
            <w:tcBorders>
              <w:left w:val="single" w:color="auto" w:sz="4" w:space="0"/>
            </w:tcBorders>
            <w:noWrap w:val="0"/>
            <w:vAlign w:val="center"/>
          </w:tcPr>
          <w:p w14:paraId="4B08C6E8">
            <w:pP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7633" w:type="dxa"/>
            <w:noWrap w:val="0"/>
            <w:vAlign w:val="center"/>
          </w:tcPr>
          <w:p w14:paraId="2BA7079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w:t>
            </w:r>
            <w:r>
              <w:rPr>
                <w:rFonts w:hint="eastAsia" w:ascii="宋体" w:hAnsi="宋体" w:eastAsia="宋体" w:cs="宋体"/>
                <w:color w:val="auto"/>
                <w:sz w:val="24"/>
                <w:highlight w:val="none"/>
                <w:lang w:val="en-US" w:eastAsia="zh-CN"/>
              </w:rPr>
              <w:t>以甲方和中标方签订合同中的付款方式为准。</w:t>
            </w:r>
          </w:p>
        </w:tc>
      </w:tr>
      <w:tr w14:paraId="6E96BC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3" w:hRule="atLeast"/>
        </w:trPr>
        <w:tc>
          <w:tcPr>
            <w:tcW w:w="801" w:type="dxa"/>
            <w:tcBorders>
              <w:left w:val="single" w:color="auto" w:sz="4" w:space="0"/>
            </w:tcBorders>
            <w:noWrap w:val="0"/>
            <w:vAlign w:val="center"/>
          </w:tcPr>
          <w:p w14:paraId="1F53534A">
            <w:pPr>
              <w:spacing w:line="5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7633" w:type="dxa"/>
            <w:noWrap w:val="0"/>
            <w:vAlign w:val="center"/>
          </w:tcPr>
          <w:p w14:paraId="2DBC2651">
            <w:pPr>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服务期限：自签订合同之日起20个工作日内，完成项目建议书、可行性研究报告和初步设计三合一方案编制工作</w:t>
            </w:r>
            <w:r>
              <w:rPr>
                <w:rFonts w:hint="eastAsia" w:ascii="宋体" w:hAnsi="宋体" w:eastAsia="宋体" w:cs="宋体"/>
                <w:color w:val="auto"/>
                <w:sz w:val="24"/>
                <w:highlight w:val="none"/>
                <w:lang w:eastAsia="zh-CN"/>
              </w:rPr>
              <w:t>，</w:t>
            </w:r>
            <w:r>
              <w:rPr>
                <w:rFonts w:hint="eastAsia" w:ascii="宋体" w:hAnsi="宋体" w:eastAsia="宋体" w:cs="宋体"/>
                <w:color w:val="auto"/>
                <w:kern w:val="0"/>
                <w:sz w:val="24"/>
                <w:szCs w:val="24"/>
                <w:highlight w:val="none"/>
                <w:lang w:val="en-US" w:eastAsia="zh-CN"/>
              </w:rPr>
              <w:t>最终成果报项目应满足项目立项审批需要</w:t>
            </w:r>
            <w:r>
              <w:rPr>
                <w:rFonts w:hint="eastAsia" w:ascii="宋体" w:hAnsi="宋体" w:eastAsia="宋体" w:cs="宋体"/>
                <w:color w:val="auto"/>
                <w:sz w:val="24"/>
                <w:highlight w:val="none"/>
              </w:rPr>
              <w:t>。</w:t>
            </w:r>
          </w:p>
        </w:tc>
      </w:tr>
      <w:tr w14:paraId="4A66CA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801" w:type="dxa"/>
            <w:tcBorders>
              <w:left w:val="single" w:color="auto" w:sz="4" w:space="0"/>
            </w:tcBorders>
            <w:noWrap w:val="0"/>
            <w:vAlign w:val="center"/>
          </w:tcPr>
          <w:p w14:paraId="32DCED34">
            <w:pPr>
              <w:spacing w:line="5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7633" w:type="dxa"/>
            <w:noWrap w:val="0"/>
            <w:vAlign w:val="center"/>
          </w:tcPr>
          <w:p w14:paraId="246FB6DB">
            <w:pPr>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服务</w:t>
            </w: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val="en-US" w:eastAsia="zh-CN"/>
              </w:rPr>
              <w:t>甲方指定地点</w:t>
            </w:r>
            <w:r>
              <w:rPr>
                <w:rFonts w:hint="eastAsia" w:ascii="宋体" w:hAnsi="宋体" w:eastAsia="宋体" w:cs="宋体"/>
                <w:color w:val="auto"/>
                <w:sz w:val="24"/>
                <w:highlight w:val="none"/>
              </w:rPr>
              <w:t>。</w:t>
            </w:r>
          </w:p>
        </w:tc>
      </w:tr>
    </w:tbl>
    <w:p w14:paraId="2756948F">
      <w:pPr>
        <w:rPr>
          <w:rFonts w:hint="eastAsia"/>
          <w:color w:val="auto"/>
          <w:highlight w:val="none"/>
          <w:lang w:val="en-US" w:eastAsia="zh-CN"/>
        </w:rPr>
      </w:pPr>
    </w:p>
    <w:p w14:paraId="70A6E2A0">
      <w:pPr>
        <w:pStyle w:val="2"/>
        <w:spacing w:before="0" w:after="0" w:line="240" w:lineRule="auto"/>
        <w:rPr>
          <w:rFonts w:hint="eastAsia"/>
          <w:b/>
          <w:bCs w:val="0"/>
          <w:color w:val="auto"/>
          <w:highlight w:val="none"/>
        </w:rPr>
      </w:pPr>
      <w:r>
        <w:rPr>
          <w:rFonts w:hint="eastAsia"/>
          <w:b/>
          <w:bCs w:val="0"/>
          <w:color w:val="auto"/>
          <w:szCs w:val="20"/>
          <w:highlight w:val="none"/>
        </w:rPr>
        <w:br w:type="page"/>
      </w:r>
      <w:r>
        <w:rPr>
          <w:rFonts w:hint="eastAsia"/>
          <w:b/>
          <w:bCs w:val="0"/>
          <w:color w:val="auto"/>
          <w:szCs w:val="20"/>
          <w:highlight w:val="none"/>
        </w:rPr>
        <w:t xml:space="preserve">第六章 </w:t>
      </w:r>
      <w:r>
        <w:rPr>
          <w:rFonts w:hint="eastAsia"/>
          <w:b/>
          <w:bCs w:val="0"/>
          <w:color w:val="auto"/>
          <w:highlight w:val="none"/>
        </w:rPr>
        <w:t>竞争性磋商响应文件格式</w:t>
      </w:r>
      <w:bookmarkEnd w:id="110"/>
      <w:bookmarkEnd w:id="111"/>
      <w:bookmarkEnd w:id="112"/>
      <w:bookmarkEnd w:id="113"/>
      <w:bookmarkEnd w:id="114"/>
      <w:bookmarkEnd w:id="115"/>
    </w:p>
    <w:p w14:paraId="0A77EFB8">
      <w:pPr>
        <w:rPr>
          <w:color w:val="auto"/>
          <w:highlight w:val="none"/>
        </w:rPr>
      </w:pPr>
      <w:bookmarkStart w:id="354" w:name="EBb5dd68fd2a304dbeb6aeee6f34002852"/>
    </w:p>
    <w:bookmarkEnd w:id="354"/>
    <w:p w14:paraId="26617693">
      <w:pPr>
        <w:rPr>
          <w:color w:val="auto"/>
          <w:highlight w:val="none"/>
        </w:rPr>
      </w:pPr>
    </w:p>
    <w:p w14:paraId="0C2F4645">
      <w:pPr>
        <w:pStyle w:val="197"/>
        <w:spacing w:after="100" w:afterAutospacing="1"/>
        <w:jc w:val="center"/>
        <w:rPr>
          <w:color w:val="auto"/>
          <w:highlight w:val="none"/>
        </w:rPr>
      </w:pPr>
      <w:r>
        <w:rPr>
          <w:color w:val="auto"/>
          <w:highlight w:val="none"/>
        </w:rPr>
        <w:t>目  录</w:t>
      </w:r>
    </w:p>
    <w:p w14:paraId="03AE015C">
      <w:pPr>
        <w:pStyle w:val="197"/>
        <w:spacing w:after="100" w:afterAutospacing="1"/>
        <w:rPr>
          <w:color w:val="auto"/>
          <w:highlight w:val="none"/>
        </w:rPr>
      </w:pPr>
      <w:r>
        <w:rPr>
          <w:rFonts w:ascii="宋体" w:hAnsi="宋体" w:eastAsia="宋体" w:cs="宋体"/>
          <w:color w:val="auto"/>
          <w:highlight w:val="none"/>
        </w:rPr>
        <w:t>一、</w:t>
      </w:r>
      <w:r>
        <w:rPr>
          <w:rFonts w:hint="eastAsia" w:ascii="宋体" w:hAnsi="宋体" w:eastAsia="宋体" w:cs="宋体"/>
          <w:color w:val="auto"/>
          <w:highlight w:val="none"/>
          <w:lang w:val="en-US" w:eastAsia="zh-CN"/>
        </w:rPr>
        <w:t>投标人基本情况</w:t>
      </w:r>
    </w:p>
    <w:p w14:paraId="71073BE7">
      <w:pPr>
        <w:pStyle w:val="197"/>
        <w:spacing w:after="100" w:afterAutospacing="1"/>
        <w:rPr>
          <w:color w:val="auto"/>
          <w:highlight w:val="none"/>
        </w:rPr>
      </w:pPr>
      <w:r>
        <w:rPr>
          <w:rFonts w:ascii="宋体" w:hAnsi="宋体" w:eastAsia="宋体" w:cs="宋体"/>
          <w:color w:val="auto"/>
          <w:highlight w:val="none"/>
        </w:rPr>
        <w:t>二、不参与围标串标承诺书</w:t>
      </w:r>
    </w:p>
    <w:p w14:paraId="5279C4F1">
      <w:pPr>
        <w:pStyle w:val="197"/>
        <w:spacing w:after="100" w:afterAutospacing="1"/>
        <w:rPr>
          <w:rFonts w:ascii="宋体" w:hAnsi="宋体" w:eastAsia="宋体" w:cs="宋体"/>
          <w:color w:val="auto"/>
          <w:highlight w:val="none"/>
        </w:rPr>
      </w:pPr>
      <w:r>
        <w:rPr>
          <w:rFonts w:ascii="宋体" w:hAnsi="宋体" w:eastAsia="宋体" w:cs="宋体"/>
          <w:color w:val="auto"/>
          <w:highlight w:val="none"/>
        </w:rPr>
        <w:t>三、开标一览表</w:t>
      </w:r>
    </w:p>
    <w:p w14:paraId="55B5FF1A">
      <w:pPr>
        <w:pStyle w:val="197"/>
        <w:spacing w:after="100" w:afterAutospacing="1"/>
        <w:rPr>
          <w:color w:val="auto"/>
          <w:highlight w:val="none"/>
        </w:rPr>
      </w:pPr>
      <w:r>
        <w:rPr>
          <w:rFonts w:ascii="宋体" w:hAnsi="宋体" w:eastAsia="宋体" w:cs="宋体"/>
          <w:color w:val="auto"/>
          <w:highlight w:val="none"/>
        </w:rPr>
        <w:t>四、竞争性磋商函</w:t>
      </w:r>
    </w:p>
    <w:p w14:paraId="306CC26F">
      <w:pPr>
        <w:pStyle w:val="197"/>
        <w:spacing w:after="100" w:afterAutospacing="1"/>
        <w:rPr>
          <w:color w:val="auto"/>
          <w:highlight w:val="none"/>
        </w:rPr>
      </w:pPr>
      <w:r>
        <w:rPr>
          <w:rFonts w:ascii="宋体" w:hAnsi="宋体" w:eastAsia="宋体" w:cs="宋体"/>
          <w:color w:val="auto"/>
          <w:highlight w:val="none"/>
        </w:rPr>
        <w:t>五、</w:t>
      </w:r>
      <w:r>
        <w:rPr>
          <w:color w:val="auto"/>
          <w:highlight w:val="none"/>
          <w:lang w:eastAsia="zh-CN"/>
        </w:rPr>
        <w:t>法定代表人身份证明及授权委托书</w:t>
      </w:r>
    </w:p>
    <w:p w14:paraId="4C1C9033">
      <w:pPr>
        <w:pStyle w:val="197"/>
        <w:spacing w:after="100" w:afterAutospacing="1"/>
        <w:rPr>
          <w:color w:val="auto"/>
          <w:highlight w:val="none"/>
        </w:rPr>
      </w:pPr>
      <w:r>
        <w:rPr>
          <w:rFonts w:ascii="宋体" w:hAnsi="宋体" w:eastAsia="宋体" w:cs="宋体"/>
          <w:color w:val="auto"/>
          <w:highlight w:val="none"/>
        </w:rPr>
        <w:t>六、</w:t>
      </w:r>
      <w:r>
        <w:rPr>
          <w:color w:val="auto"/>
          <w:highlight w:val="none"/>
        </w:rPr>
        <w:t>投标保证金</w:t>
      </w:r>
    </w:p>
    <w:p w14:paraId="7ABF0B2E">
      <w:pPr>
        <w:pStyle w:val="197"/>
        <w:spacing w:after="100" w:afterAutospacing="1"/>
        <w:rPr>
          <w:rFonts w:eastAsia="宋体"/>
          <w:color w:val="auto"/>
          <w:highlight w:val="none"/>
          <w:lang w:val="en-US" w:eastAsia="zh-CN"/>
        </w:rPr>
      </w:pPr>
      <w:r>
        <w:rPr>
          <w:rFonts w:ascii="宋体" w:hAnsi="宋体" w:eastAsia="宋体" w:cs="宋体"/>
          <w:color w:val="auto"/>
          <w:highlight w:val="none"/>
        </w:rPr>
        <w:t>七、</w:t>
      </w:r>
      <w:r>
        <w:rPr>
          <w:color w:val="auto"/>
          <w:highlight w:val="none"/>
        </w:rPr>
        <w:t>商务条款响应、偏离说明表</w:t>
      </w:r>
    </w:p>
    <w:p w14:paraId="0472F600">
      <w:pPr>
        <w:pStyle w:val="197"/>
        <w:spacing w:after="100" w:afterAutospacing="1"/>
        <w:rPr>
          <w:color w:val="auto"/>
          <w:highlight w:val="none"/>
        </w:rPr>
      </w:pPr>
      <w:r>
        <w:rPr>
          <w:rFonts w:ascii="宋体" w:hAnsi="宋体" w:eastAsia="宋体" w:cs="宋体"/>
          <w:color w:val="auto"/>
          <w:highlight w:val="none"/>
        </w:rPr>
        <w:t>八、</w:t>
      </w:r>
      <w:r>
        <w:rPr>
          <w:color w:val="auto"/>
          <w:highlight w:val="none"/>
        </w:rPr>
        <w:t>供应商类似项目业绩表</w:t>
      </w:r>
    </w:p>
    <w:p w14:paraId="0B7BA53E">
      <w:pPr>
        <w:pStyle w:val="197"/>
        <w:spacing w:after="100" w:afterAutospacing="1"/>
        <w:rPr>
          <w:color w:val="auto"/>
          <w:highlight w:val="none"/>
        </w:rPr>
      </w:pPr>
      <w:r>
        <w:rPr>
          <w:rFonts w:ascii="宋体" w:hAnsi="宋体" w:eastAsia="宋体" w:cs="宋体"/>
          <w:color w:val="auto"/>
          <w:highlight w:val="none"/>
        </w:rPr>
        <w:t>九、</w:t>
      </w:r>
      <w:r>
        <w:rPr>
          <w:rFonts w:hint="eastAsia" w:ascii="宋体" w:hAnsi="宋体" w:eastAsia="宋体" w:cs="宋体"/>
          <w:color w:val="auto"/>
          <w:highlight w:val="none"/>
        </w:rPr>
        <w:t>项目管理</w:t>
      </w:r>
      <w:r>
        <w:rPr>
          <w:rFonts w:hint="eastAsia" w:ascii="宋体" w:hAnsi="宋体" w:eastAsia="宋体" w:cs="宋体"/>
          <w:color w:val="auto"/>
          <w:highlight w:val="none"/>
          <w:lang w:eastAsia="zh-CN"/>
        </w:rPr>
        <w:t>、服务、其他人员情况表</w:t>
      </w:r>
    </w:p>
    <w:p w14:paraId="58D69377">
      <w:pPr>
        <w:pStyle w:val="197"/>
        <w:spacing w:after="100" w:afterAutospacing="1"/>
        <w:rPr>
          <w:color w:val="auto"/>
          <w:highlight w:val="none"/>
        </w:rPr>
      </w:pPr>
      <w:r>
        <w:rPr>
          <w:rFonts w:ascii="宋体" w:hAnsi="宋体" w:eastAsia="宋体" w:cs="宋体"/>
          <w:color w:val="auto"/>
          <w:highlight w:val="none"/>
        </w:rPr>
        <w:t>十、投标人自行编写的技术文件</w:t>
      </w:r>
    </w:p>
    <w:p w14:paraId="7D3A086B">
      <w:pPr>
        <w:pStyle w:val="197"/>
        <w:spacing w:after="100" w:afterAutospacing="1"/>
        <w:rPr>
          <w:color w:val="auto"/>
          <w:highlight w:val="none"/>
        </w:rPr>
      </w:pPr>
      <w:r>
        <w:rPr>
          <w:rFonts w:ascii="宋体" w:hAnsi="宋体" w:eastAsia="宋体" w:cs="宋体"/>
          <w:color w:val="auto"/>
          <w:highlight w:val="none"/>
        </w:rPr>
        <w:t>十一、</w:t>
      </w:r>
      <w:r>
        <w:rPr>
          <w:color w:val="auto"/>
          <w:highlight w:val="none"/>
        </w:rPr>
        <w:t>技术条款响应、偏离说明表</w:t>
      </w:r>
    </w:p>
    <w:p w14:paraId="45D02759">
      <w:pPr>
        <w:pStyle w:val="197"/>
        <w:spacing w:after="100" w:afterAutospacing="1"/>
        <w:rPr>
          <w:rFonts w:hint="eastAsia"/>
          <w:color w:val="auto"/>
          <w:highlight w:val="none"/>
          <w:lang w:val="en-US" w:eastAsia="zh-CN"/>
        </w:rPr>
      </w:pPr>
      <w:r>
        <w:rPr>
          <w:rFonts w:ascii="宋体" w:hAnsi="宋体" w:eastAsia="宋体" w:cs="宋体"/>
          <w:color w:val="auto"/>
          <w:highlight w:val="none"/>
        </w:rPr>
        <w:t>十二、</w:t>
      </w:r>
      <w:r>
        <w:rPr>
          <w:rFonts w:hint="eastAsia" w:ascii="宋体" w:hAnsi="宋体" w:eastAsia="宋体" w:cs="宋体"/>
          <w:color w:val="auto"/>
          <w:highlight w:val="none"/>
          <w:lang w:val="en-US" w:eastAsia="zh-CN"/>
        </w:rPr>
        <w:t>其他</w:t>
      </w:r>
      <w:r>
        <w:rPr>
          <w:color w:val="auto"/>
          <w:highlight w:val="none"/>
        </w:rPr>
        <w:t>服务</w:t>
      </w:r>
    </w:p>
    <w:p w14:paraId="5E6AC15C">
      <w:pPr>
        <w:pStyle w:val="197"/>
        <w:spacing w:after="100" w:afterAutospacing="1"/>
        <w:rPr>
          <w:color w:val="auto"/>
          <w:highlight w:val="none"/>
        </w:rPr>
      </w:pPr>
    </w:p>
    <w:p w14:paraId="20EC26D2">
      <w:pPr>
        <w:rPr>
          <w:color w:val="auto"/>
          <w:highlight w:val="none"/>
        </w:rPr>
      </w:pPr>
    </w:p>
    <w:p w14:paraId="2A3E0D09">
      <w:pPr>
        <w:pStyle w:val="206"/>
        <w:outlineLvl w:val="2"/>
        <w:rPr>
          <w:rFonts w:hint="eastAsia"/>
          <w:color w:val="auto"/>
          <w:highlight w:val="none"/>
        </w:rPr>
      </w:pPr>
      <w:r>
        <w:rPr>
          <w:color w:val="auto"/>
          <w:highlight w:val="none"/>
        </w:rPr>
        <w:br w:type="page"/>
      </w:r>
      <w:bookmarkStart w:id="355" w:name="_Toc103806951"/>
      <w:bookmarkStart w:id="356" w:name="_Toc25155"/>
      <w:bookmarkStart w:id="357" w:name="_Toc11419"/>
      <w:bookmarkStart w:id="358" w:name="_Toc30917"/>
      <w:r>
        <w:rPr>
          <w:rFonts w:hint="eastAsia" w:ascii="宋体" w:hAnsi="宋体"/>
          <w:color w:val="auto"/>
          <w:sz w:val="28"/>
          <w:highlight w:val="none"/>
        </w:rPr>
        <w:t>投标文件封面</w:t>
      </w:r>
      <w:bookmarkEnd w:id="355"/>
      <w:bookmarkEnd w:id="356"/>
      <w:bookmarkEnd w:id="357"/>
      <w:bookmarkEnd w:id="358"/>
    </w:p>
    <w:p w14:paraId="5915D2EC">
      <w:pPr>
        <w:pStyle w:val="155"/>
        <w:spacing w:line="360" w:lineRule="auto"/>
        <w:jc w:val="center"/>
        <w:rPr>
          <w:rFonts w:ascii="宋体" w:hAnsi="宋体"/>
          <w:color w:val="auto"/>
          <w:sz w:val="28"/>
          <w:highlight w:val="none"/>
        </w:rPr>
      </w:pPr>
    </w:p>
    <w:p w14:paraId="05B2369C">
      <w:pPr>
        <w:pStyle w:val="155"/>
        <w:spacing w:line="360" w:lineRule="auto"/>
        <w:rPr>
          <w:rFonts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（项目名称）</w:t>
      </w:r>
    </w:p>
    <w:p w14:paraId="7E55AD75">
      <w:pPr>
        <w:pStyle w:val="155"/>
        <w:spacing w:line="360" w:lineRule="auto"/>
        <w:jc w:val="center"/>
        <w:rPr>
          <w:rFonts w:ascii="宋体" w:hAnsi="宋体"/>
          <w:color w:val="auto"/>
          <w:sz w:val="28"/>
          <w:szCs w:val="28"/>
          <w:highlight w:val="none"/>
        </w:rPr>
      </w:pPr>
    </w:p>
    <w:p w14:paraId="647A2CF6">
      <w:pPr>
        <w:pStyle w:val="155"/>
        <w:spacing w:line="360" w:lineRule="auto"/>
        <w:rPr>
          <w:rFonts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（项目编号）</w:t>
      </w:r>
    </w:p>
    <w:p w14:paraId="3FEF9451">
      <w:pPr>
        <w:pStyle w:val="155"/>
        <w:spacing w:line="360" w:lineRule="auto"/>
        <w:jc w:val="center"/>
        <w:rPr>
          <w:rFonts w:ascii="宋体" w:hAnsi="宋体"/>
          <w:color w:val="auto"/>
          <w:sz w:val="28"/>
          <w:szCs w:val="28"/>
          <w:highlight w:val="none"/>
        </w:rPr>
      </w:pPr>
    </w:p>
    <w:p w14:paraId="0AE25A1C">
      <w:pPr>
        <w:pStyle w:val="155"/>
        <w:spacing w:line="360" w:lineRule="auto"/>
        <w:rPr>
          <w:rFonts w:ascii="宋体" w:hAnsi="宋体"/>
          <w:color w:val="auto"/>
          <w:sz w:val="28"/>
          <w:szCs w:val="28"/>
          <w:highlight w:val="none"/>
        </w:rPr>
      </w:pPr>
      <w:r>
        <w:rPr>
          <w:rFonts w:hint="eastAsia" w:ascii="宋体" w:hAnsi="宋体"/>
          <w:color w:val="auto"/>
          <w:sz w:val="28"/>
          <w:szCs w:val="28"/>
          <w:highlight w:val="none"/>
        </w:rPr>
        <w:t xml:space="preserve">               </w:t>
      </w:r>
    </w:p>
    <w:p w14:paraId="2E65FBDE">
      <w:pPr>
        <w:pStyle w:val="155"/>
        <w:spacing w:line="360" w:lineRule="auto"/>
        <w:jc w:val="center"/>
        <w:rPr>
          <w:rFonts w:ascii="宋体" w:hAnsi="宋体"/>
          <w:color w:val="auto"/>
          <w:sz w:val="28"/>
          <w:highlight w:val="none"/>
        </w:rPr>
      </w:pPr>
    </w:p>
    <w:p w14:paraId="342A22CD">
      <w:pPr>
        <w:pStyle w:val="155"/>
        <w:spacing w:line="360" w:lineRule="auto"/>
        <w:jc w:val="center"/>
        <w:rPr>
          <w:rFonts w:ascii="宋体" w:hAnsi="宋体"/>
          <w:color w:val="auto"/>
          <w:sz w:val="28"/>
          <w:highlight w:val="none"/>
        </w:rPr>
      </w:pPr>
    </w:p>
    <w:p w14:paraId="5FB88DD6">
      <w:pPr>
        <w:pStyle w:val="155"/>
        <w:spacing w:line="360" w:lineRule="auto"/>
        <w:jc w:val="center"/>
        <w:rPr>
          <w:rFonts w:eastAsia="黑体"/>
          <w:b/>
          <w:color w:val="auto"/>
          <w:sz w:val="72"/>
          <w:szCs w:val="72"/>
          <w:highlight w:val="none"/>
        </w:rPr>
      </w:pPr>
      <w:r>
        <w:rPr>
          <w:rFonts w:hint="eastAsia" w:eastAsia="黑体"/>
          <w:b/>
          <w:color w:val="auto"/>
          <w:sz w:val="72"/>
          <w:szCs w:val="72"/>
          <w:highlight w:val="none"/>
        </w:rPr>
        <w:t>响应文件</w:t>
      </w:r>
    </w:p>
    <w:p w14:paraId="4138EB9B">
      <w:pPr>
        <w:pStyle w:val="155"/>
        <w:spacing w:line="360" w:lineRule="auto"/>
        <w:jc w:val="center"/>
        <w:rPr>
          <w:rFonts w:ascii="宋体" w:hAnsi="宋体"/>
          <w:color w:val="auto"/>
          <w:sz w:val="28"/>
          <w:highlight w:val="none"/>
        </w:rPr>
      </w:pPr>
    </w:p>
    <w:p w14:paraId="73959534">
      <w:pPr>
        <w:pStyle w:val="155"/>
        <w:spacing w:line="360" w:lineRule="auto"/>
        <w:rPr>
          <w:rFonts w:ascii="宋体" w:hAnsi="宋体"/>
          <w:b/>
          <w:color w:val="auto"/>
          <w:sz w:val="28"/>
          <w:highlight w:val="none"/>
        </w:rPr>
      </w:pPr>
    </w:p>
    <w:p w14:paraId="1DCE4145">
      <w:pPr>
        <w:pStyle w:val="155"/>
        <w:spacing w:line="360" w:lineRule="auto"/>
        <w:jc w:val="center"/>
        <w:rPr>
          <w:rFonts w:ascii="宋体" w:hAnsi="宋体"/>
          <w:b/>
          <w:color w:val="auto"/>
          <w:sz w:val="28"/>
          <w:highlight w:val="none"/>
        </w:rPr>
      </w:pPr>
    </w:p>
    <w:p w14:paraId="51EA91EB">
      <w:pPr>
        <w:pStyle w:val="155"/>
        <w:spacing w:line="360" w:lineRule="auto"/>
        <w:jc w:val="center"/>
        <w:rPr>
          <w:rFonts w:ascii="宋体" w:hAnsi="宋体"/>
          <w:b/>
          <w:color w:val="auto"/>
          <w:sz w:val="28"/>
          <w:highlight w:val="none"/>
        </w:rPr>
      </w:pPr>
    </w:p>
    <w:p w14:paraId="3BC398A5">
      <w:pPr>
        <w:pStyle w:val="155"/>
        <w:spacing w:line="360" w:lineRule="auto"/>
        <w:jc w:val="center"/>
        <w:rPr>
          <w:rFonts w:ascii="宋体" w:hAnsi="宋体"/>
          <w:color w:val="auto"/>
          <w:sz w:val="28"/>
          <w:szCs w:val="28"/>
          <w:highlight w:val="none"/>
          <w:u w:val="single"/>
        </w:rPr>
      </w:pPr>
      <w:r>
        <w:rPr>
          <w:rFonts w:hint="eastAsia" w:ascii="宋体" w:hAnsi="宋体"/>
          <w:color w:val="auto"/>
          <w:sz w:val="28"/>
          <w:szCs w:val="28"/>
          <w:highlight w:val="none"/>
        </w:rPr>
        <w:t>投标人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（盖章）</w:t>
      </w:r>
    </w:p>
    <w:p w14:paraId="50F3FF53">
      <w:pPr>
        <w:pStyle w:val="155"/>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法定代表人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（签字或盖章）</w:t>
      </w:r>
    </w:p>
    <w:p w14:paraId="6BB3B1FC">
      <w:pPr>
        <w:pStyle w:val="155"/>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日期</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（年/月/日）</w:t>
      </w:r>
    </w:p>
    <w:p w14:paraId="2605CD3D">
      <w:pPr>
        <w:pStyle w:val="193"/>
        <w:outlineLvl w:val="1"/>
        <w:rPr>
          <w:color w:val="auto"/>
          <w:highlight w:val="none"/>
        </w:rPr>
      </w:pPr>
      <w:r>
        <w:rPr>
          <w:color w:val="auto"/>
          <w:highlight w:val="none"/>
        </w:rPr>
        <w:br w:type="page"/>
      </w:r>
      <w:bookmarkStart w:id="359" w:name="_Toc11051"/>
      <w:bookmarkStart w:id="360" w:name="_Toc3164"/>
      <w:r>
        <w:rPr>
          <w:color w:val="auto"/>
          <w:highlight w:val="none"/>
        </w:rPr>
        <w:t>一、</w:t>
      </w:r>
      <w:bookmarkStart w:id="361" w:name="_Hlk103805947"/>
      <w:r>
        <w:rPr>
          <w:color w:val="auto"/>
          <w:highlight w:val="none"/>
        </w:rPr>
        <w:t>资格</w:t>
      </w:r>
      <w:bookmarkEnd w:id="359"/>
      <w:r>
        <w:rPr>
          <w:rFonts w:hint="eastAsia"/>
          <w:color w:val="auto"/>
          <w:highlight w:val="none"/>
        </w:rPr>
        <w:t>文件组成</w:t>
      </w:r>
      <w:bookmarkEnd w:id="360"/>
    </w:p>
    <w:p w14:paraId="67603428">
      <w:pPr>
        <w:pStyle w:val="179"/>
        <w:outlineLvl w:val="2"/>
        <w:rPr>
          <w:color w:val="auto"/>
          <w:highlight w:val="none"/>
        </w:rPr>
      </w:pPr>
      <w:r>
        <w:rPr>
          <w:color w:val="auto"/>
          <w:highlight w:val="none"/>
        </w:rPr>
        <w:br w:type="page"/>
      </w:r>
      <w:bookmarkStart w:id="362" w:name="_Toc12782"/>
      <w:bookmarkStart w:id="363" w:name="_Toc19149"/>
      <w:r>
        <w:rPr>
          <w:color w:val="auto"/>
          <w:highlight w:val="none"/>
        </w:rPr>
        <w:t>（一）</w:t>
      </w:r>
      <w:r>
        <w:rPr>
          <w:rFonts w:hint="eastAsia"/>
          <w:color w:val="auto"/>
          <w:highlight w:val="none"/>
          <w:lang w:val="en-US" w:eastAsia="zh-CN"/>
        </w:rPr>
        <w:t>投标人基本情况</w:t>
      </w:r>
      <w:bookmarkEnd w:id="362"/>
      <w:bookmarkEnd w:id="363"/>
    </w:p>
    <w:p w14:paraId="6295BF1B">
      <w:pPr>
        <w:pStyle w:val="188"/>
        <w:ind w:firstLine="560" w:firstLineChars="200"/>
        <w:rPr>
          <w:rFonts w:hint="eastAsia" w:ascii="宋体" w:hAnsi="宋体"/>
          <w:color w:val="auto"/>
          <w:highlight w:val="none"/>
        </w:rPr>
      </w:pPr>
    </w:p>
    <w:p w14:paraId="57CDD25E">
      <w:pPr>
        <w:pStyle w:val="155"/>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投标人基本情况表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39"/>
        <w:gridCol w:w="1040"/>
        <w:gridCol w:w="1327"/>
        <w:gridCol w:w="1347"/>
        <w:gridCol w:w="8"/>
        <w:gridCol w:w="1425"/>
        <w:gridCol w:w="172"/>
        <w:gridCol w:w="1089"/>
        <w:gridCol w:w="1169"/>
      </w:tblGrid>
      <w:tr w14:paraId="3200C4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39" w:type="dxa"/>
            <w:noWrap w:val="0"/>
            <w:vAlign w:val="center"/>
          </w:tcPr>
          <w:p w14:paraId="2BBDA713">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供应商名称</w:t>
            </w:r>
          </w:p>
        </w:tc>
        <w:tc>
          <w:tcPr>
            <w:tcW w:w="7577" w:type="dxa"/>
            <w:gridSpan w:val="8"/>
            <w:noWrap w:val="0"/>
            <w:vAlign w:val="center"/>
          </w:tcPr>
          <w:p w14:paraId="5C743F1F">
            <w:pPr>
              <w:autoSpaceDE w:val="0"/>
              <w:autoSpaceDN w:val="0"/>
              <w:adjustRightInd w:val="0"/>
              <w:spacing w:line="400" w:lineRule="exact"/>
              <w:jc w:val="center"/>
              <w:rPr>
                <w:rFonts w:hint="eastAsia" w:hAnsi="宋体" w:cs="宋体"/>
                <w:color w:val="auto"/>
                <w:sz w:val="21"/>
                <w:szCs w:val="21"/>
                <w:highlight w:val="none"/>
              </w:rPr>
            </w:pPr>
          </w:p>
        </w:tc>
      </w:tr>
      <w:tr w14:paraId="2D84AF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39" w:type="dxa"/>
            <w:noWrap w:val="0"/>
            <w:vAlign w:val="center"/>
          </w:tcPr>
          <w:p w14:paraId="034ACC4A">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注册地址</w:t>
            </w:r>
          </w:p>
        </w:tc>
        <w:tc>
          <w:tcPr>
            <w:tcW w:w="3722" w:type="dxa"/>
            <w:gridSpan w:val="4"/>
            <w:noWrap w:val="0"/>
            <w:vAlign w:val="center"/>
          </w:tcPr>
          <w:p w14:paraId="046733B4">
            <w:pPr>
              <w:autoSpaceDE w:val="0"/>
              <w:autoSpaceDN w:val="0"/>
              <w:adjustRightInd w:val="0"/>
              <w:spacing w:line="400" w:lineRule="exact"/>
              <w:jc w:val="center"/>
              <w:rPr>
                <w:rFonts w:hint="eastAsia" w:hAnsi="宋体" w:cs="宋体"/>
                <w:color w:val="auto"/>
                <w:sz w:val="21"/>
                <w:szCs w:val="21"/>
                <w:highlight w:val="none"/>
              </w:rPr>
            </w:pPr>
          </w:p>
        </w:tc>
        <w:tc>
          <w:tcPr>
            <w:tcW w:w="1425" w:type="dxa"/>
            <w:noWrap w:val="0"/>
            <w:vAlign w:val="center"/>
          </w:tcPr>
          <w:p w14:paraId="4790D60E">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邮政编码</w:t>
            </w:r>
          </w:p>
        </w:tc>
        <w:tc>
          <w:tcPr>
            <w:tcW w:w="2430" w:type="dxa"/>
            <w:gridSpan w:val="3"/>
            <w:noWrap w:val="0"/>
            <w:vAlign w:val="center"/>
          </w:tcPr>
          <w:p w14:paraId="2C386B63">
            <w:pPr>
              <w:autoSpaceDE w:val="0"/>
              <w:autoSpaceDN w:val="0"/>
              <w:adjustRightInd w:val="0"/>
              <w:spacing w:line="400" w:lineRule="exact"/>
              <w:jc w:val="center"/>
              <w:rPr>
                <w:rFonts w:hint="eastAsia" w:hAnsi="宋体" w:cs="宋体"/>
                <w:color w:val="auto"/>
                <w:sz w:val="21"/>
                <w:szCs w:val="21"/>
                <w:highlight w:val="none"/>
              </w:rPr>
            </w:pPr>
          </w:p>
        </w:tc>
      </w:tr>
      <w:tr w14:paraId="7A2DE3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39" w:type="dxa"/>
            <w:vMerge w:val="restart"/>
            <w:noWrap w:val="0"/>
            <w:vAlign w:val="center"/>
          </w:tcPr>
          <w:p w14:paraId="4EA3F21C">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联系方式</w:t>
            </w:r>
          </w:p>
        </w:tc>
        <w:tc>
          <w:tcPr>
            <w:tcW w:w="1040" w:type="dxa"/>
            <w:noWrap w:val="0"/>
            <w:vAlign w:val="center"/>
          </w:tcPr>
          <w:p w14:paraId="30EA0CD5">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联系人</w:t>
            </w:r>
          </w:p>
        </w:tc>
        <w:tc>
          <w:tcPr>
            <w:tcW w:w="2674" w:type="dxa"/>
            <w:gridSpan w:val="2"/>
            <w:noWrap w:val="0"/>
            <w:vAlign w:val="center"/>
          </w:tcPr>
          <w:p w14:paraId="5BBEE306">
            <w:pPr>
              <w:autoSpaceDE w:val="0"/>
              <w:autoSpaceDN w:val="0"/>
              <w:adjustRightInd w:val="0"/>
              <w:spacing w:line="400" w:lineRule="exact"/>
              <w:jc w:val="center"/>
              <w:rPr>
                <w:rFonts w:hint="eastAsia" w:hAnsi="宋体" w:cs="宋体"/>
                <w:color w:val="auto"/>
                <w:sz w:val="21"/>
                <w:szCs w:val="21"/>
                <w:highlight w:val="none"/>
              </w:rPr>
            </w:pPr>
          </w:p>
        </w:tc>
        <w:tc>
          <w:tcPr>
            <w:tcW w:w="1433" w:type="dxa"/>
            <w:gridSpan w:val="2"/>
            <w:noWrap w:val="0"/>
            <w:vAlign w:val="center"/>
          </w:tcPr>
          <w:p w14:paraId="5FF4D755">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电话</w:t>
            </w:r>
          </w:p>
        </w:tc>
        <w:tc>
          <w:tcPr>
            <w:tcW w:w="2430" w:type="dxa"/>
            <w:gridSpan w:val="3"/>
            <w:noWrap w:val="0"/>
            <w:vAlign w:val="center"/>
          </w:tcPr>
          <w:p w14:paraId="3828190B">
            <w:pPr>
              <w:autoSpaceDE w:val="0"/>
              <w:autoSpaceDN w:val="0"/>
              <w:adjustRightInd w:val="0"/>
              <w:spacing w:line="400" w:lineRule="exact"/>
              <w:jc w:val="center"/>
              <w:rPr>
                <w:rFonts w:hint="eastAsia" w:hAnsi="宋体" w:cs="宋体"/>
                <w:color w:val="auto"/>
                <w:sz w:val="21"/>
                <w:szCs w:val="21"/>
                <w:highlight w:val="none"/>
              </w:rPr>
            </w:pPr>
          </w:p>
        </w:tc>
      </w:tr>
      <w:tr w14:paraId="69C196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39" w:type="dxa"/>
            <w:vMerge w:val="continue"/>
            <w:noWrap w:val="0"/>
            <w:vAlign w:val="center"/>
          </w:tcPr>
          <w:p w14:paraId="3D8AA1C4">
            <w:pPr>
              <w:autoSpaceDE w:val="0"/>
              <w:autoSpaceDN w:val="0"/>
              <w:adjustRightInd w:val="0"/>
              <w:spacing w:line="400" w:lineRule="exact"/>
              <w:jc w:val="center"/>
              <w:rPr>
                <w:rFonts w:hint="eastAsia" w:hAnsi="宋体" w:cs="宋体"/>
                <w:color w:val="auto"/>
                <w:sz w:val="21"/>
                <w:szCs w:val="21"/>
                <w:highlight w:val="none"/>
              </w:rPr>
            </w:pPr>
          </w:p>
        </w:tc>
        <w:tc>
          <w:tcPr>
            <w:tcW w:w="1040" w:type="dxa"/>
            <w:noWrap w:val="0"/>
            <w:vAlign w:val="center"/>
          </w:tcPr>
          <w:p w14:paraId="31541DDD">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传真</w:t>
            </w:r>
          </w:p>
        </w:tc>
        <w:tc>
          <w:tcPr>
            <w:tcW w:w="2674" w:type="dxa"/>
            <w:gridSpan w:val="2"/>
            <w:noWrap w:val="0"/>
            <w:vAlign w:val="center"/>
          </w:tcPr>
          <w:p w14:paraId="06A8B13C">
            <w:pPr>
              <w:autoSpaceDE w:val="0"/>
              <w:autoSpaceDN w:val="0"/>
              <w:adjustRightInd w:val="0"/>
              <w:spacing w:line="400" w:lineRule="exact"/>
              <w:jc w:val="center"/>
              <w:rPr>
                <w:rFonts w:hint="eastAsia" w:hAnsi="宋体" w:cs="宋体"/>
                <w:color w:val="auto"/>
                <w:sz w:val="21"/>
                <w:szCs w:val="21"/>
                <w:highlight w:val="none"/>
              </w:rPr>
            </w:pPr>
          </w:p>
        </w:tc>
        <w:tc>
          <w:tcPr>
            <w:tcW w:w="1433" w:type="dxa"/>
            <w:gridSpan w:val="2"/>
            <w:noWrap w:val="0"/>
            <w:vAlign w:val="center"/>
          </w:tcPr>
          <w:p w14:paraId="19B9119A">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网址</w:t>
            </w:r>
          </w:p>
        </w:tc>
        <w:tc>
          <w:tcPr>
            <w:tcW w:w="2430" w:type="dxa"/>
            <w:gridSpan w:val="3"/>
            <w:noWrap w:val="0"/>
            <w:vAlign w:val="center"/>
          </w:tcPr>
          <w:p w14:paraId="12179409">
            <w:pPr>
              <w:autoSpaceDE w:val="0"/>
              <w:autoSpaceDN w:val="0"/>
              <w:adjustRightInd w:val="0"/>
              <w:spacing w:line="400" w:lineRule="exact"/>
              <w:jc w:val="center"/>
              <w:rPr>
                <w:rFonts w:hint="eastAsia" w:hAnsi="宋体" w:cs="宋体"/>
                <w:color w:val="auto"/>
                <w:sz w:val="21"/>
                <w:szCs w:val="21"/>
                <w:highlight w:val="none"/>
              </w:rPr>
            </w:pPr>
          </w:p>
        </w:tc>
      </w:tr>
      <w:tr w14:paraId="051AAE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39" w:type="dxa"/>
            <w:noWrap w:val="0"/>
            <w:vAlign w:val="center"/>
          </w:tcPr>
          <w:p w14:paraId="01030678">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组织结构</w:t>
            </w:r>
          </w:p>
        </w:tc>
        <w:tc>
          <w:tcPr>
            <w:tcW w:w="7577" w:type="dxa"/>
            <w:gridSpan w:val="8"/>
            <w:noWrap w:val="0"/>
            <w:vAlign w:val="center"/>
          </w:tcPr>
          <w:p w14:paraId="00EB11B2">
            <w:pPr>
              <w:autoSpaceDE w:val="0"/>
              <w:autoSpaceDN w:val="0"/>
              <w:adjustRightInd w:val="0"/>
              <w:spacing w:line="400" w:lineRule="exact"/>
              <w:jc w:val="center"/>
              <w:rPr>
                <w:rFonts w:hint="eastAsia" w:hAnsi="宋体" w:cs="宋体"/>
                <w:color w:val="auto"/>
                <w:sz w:val="21"/>
                <w:szCs w:val="21"/>
                <w:highlight w:val="none"/>
              </w:rPr>
            </w:pPr>
          </w:p>
        </w:tc>
      </w:tr>
      <w:tr w14:paraId="785A06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39" w:type="dxa"/>
            <w:noWrap w:val="0"/>
            <w:vAlign w:val="center"/>
          </w:tcPr>
          <w:p w14:paraId="2C1A7028">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法定代表人</w:t>
            </w:r>
          </w:p>
        </w:tc>
        <w:tc>
          <w:tcPr>
            <w:tcW w:w="1040" w:type="dxa"/>
            <w:noWrap w:val="0"/>
            <w:vAlign w:val="center"/>
          </w:tcPr>
          <w:p w14:paraId="63750A25">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姓名</w:t>
            </w:r>
          </w:p>
        </w:tc>
        <w:tc>
          <w:tcPr>
            <w:tcW w:w="1327" w:type="dxa"/>
            <w:noWrap w:val="0"/>
            <w:vAlign w:val="center"/>
          </w:tcPr>
          <w:p w14:paraId="752DBB88">
            <w:pPr>
              <w:autoSpaceDE w:val="0"/>
              <w:autoSpaceDN w:val="0"/>
              <w:adjustRightInd w:val="0"/>
              <w:spacing w:line="400" w:lineRule="exact"/>
              <w:jc w:val="center"/>
              <w:rPr>
                <w:rFonts w:hint="eastAsia" w:hAnsi="宋体" w:cs="宋体"/>
                <w:color w:val="auto"/>
                <w:sz w:val="21"/>
                <w:szCs w:val="21"/>
                <w:highlight w:val="none"/>
              </w:rPr>
            </w:pPr>
          </w:p>
        </w:tc>
        <w:tc>
          <w:tcPr>
            <w:tcW w:w="1347" w:type="dxa"/>
            <w:noWrap w:val="0"/>
            <w:vAlign w:val="center"/>
          </w:tcPr>
          <w:p w14:paraId="024D5231">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技术职称</w:t>
            </w:r>
          </w:p>
        </w:tc>
        <w:tc>
          <w:tcPr>
            <w:tcW w:w="1433" w:type="dxa"/>
            <w:gridSpan w:val="2"/>
            <w:noWrap w:val="0"/>
            <w:vAlign w:val="center"/>
          </w:tcPr>
          <w:p w14:paraId="3CFB110C">
            <w:pPr>
              <w:autoSpaceDE w:val="0"/>
              <w:autoSpaceDN w:val="0"/>
              <w:adjustRightInd w:val="0"/>
              <w:spacing w:line="400" w:lineRule="exact"/>
              <w:jc w:val="center"/>
              <w:rPr>
                <w:rFonts w:hint="eastAsia" w:hAnsi="宋体" w:cs="宋体"/>
                <w:color w:val="auto"/>
                <w:sz w:val="21"/>
                <w:szCs w:val="21"/>
                <w:highlight w:val="none"/>
              </w:rPr>
            </w:pPr>
          </w:p>
        </w:tc>
        <w:tc>
          <w:tcPr>
            <w:tcW w:w="1261" w:type="dxa"/>
            <w:gridSpan w:val="2"/>
            <w:noWrap w:val="0"/>
            <w:vAlign w:val="center"/>
          </w:tcPr>
          <w:p w14:paraId="02DA3244">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电话</w:t>
            </w:r>
          </w:p>
        </w:tc>
        <w:tc>
          <w:tcPr>
            <w:tcW w:w="1169" w:type="dxa"/>
            <w:noWrap w:val="0"/>
            <w:vAlign w:val="center"/>
          </w:tcPr>
          <w:p w14:paraId="3520A60F">
            <w:pPr>
              <w:autoSpaceDE w:val="0"/>
              <w:autoSpaceDN w:val="0"/>
              <w:adjustRightInd w:val="0"/>
              <w:spacing w:line="400" w:lineRule="exact"/>
              <w:jc w:val="center"/>
              <w:rPr>
                <w:rFonts w:hint="eastAsia" w:hAnsi="宋体" w:cs="宋体"/>
                <w:b/>
                <w:bCs/>
                <w:color w:val="auto"/>
                <w:sz w:val="21"/>
                <w:szCs w:val="21"/>
                <w:highlight w:val="none"/>
              </w:rPr>
            </w:pPr>
          </w:p>
        </w:tc>
      </w:tr>
      <w:tr w14:paraId="307B2E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39" w:type="dxa"/>
            <w:noWrap w:val="0"/>
            <w:vAlign w:val="center"/>
          </w:tcPr>
          <w:p w14:paraId="5D27A4B4">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技术负责人</w:t>
            </w:r>
          </w:p>
        </w:tc>
        <w:tc>
          <w:tcPr>
            <w:tcW w:w="1040" w:type="dxa"/>
            <w:noWrap w:val="0"/>
            <w:vAlign w:val="center"/>
          </w:tcPr>
          <w:p w14:paraId="14D6C330">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姓名</w:t>
            </w:r>
          </w:p>
        </w:tc>
        <w:tc>
          <w:tcPr>
            <w:tcW w:w="1327" w:type="dxa"/>
            <w:noWrap w:val="0"/>
            <w:vAlign w:val="center"/>
          </w:tcPr>
          <w:p w14:paraId="44752DEF">
            <w:pPr>
              <w:autoSpaceDE w:val="0"/>
              <w:autoSpaceDN w:val="0"/>
              <w:adjustRightInd w:val="0"/>
              <w:spacing w:line="400" w:lineRule="exact"/>
              <w:jc w:val="center"/>
              <w:rPr>
                <w:rFonts w:hint="eastAsia" w:hAnsi="宋体" w:cs="宋体"/>
                <w:color w:val="auto"/>
                <w:sz w:val="21"/>
                <w:szCs w:val="21"/>
                <w:highlight w:val="none"/>
              </w:rPr>
            </w:pPr>
          </w:p>
        </w:tc>
        <w:tc>
          <w:tcPr>
            <w:tcW w:w="1347" w:type="dxa"/>
            <w:noWrap w:val="0"/>
            <w:vAlign w:val="center"/>
          </w:tcPr>
          <w:p w14:paraId="66EB6272">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技术职称</w:t>
            </w:r>
          </w:p>
        </w:tc>
        <w:tc>
          <w:tcPr>
            <w:tcW w:w="1433" w:type="dxa"/>
            <w:gridSpan w:val="2"/>
            <w:noWrap w:val="0"/>
            <w:vAlign w:val="center"/>
          </w:tcPr>
          <w:p w14:paraId="269C3ABC">
            <w:pPr>
              <w:autoSpaceDE w:val="0"/>
              <w:autoSpaceDN w:val="0"/>
              <w:adjustRightInd w:val="0"/>
              <w:spacing w:line="400" w:lineRule="exact"/>
              <w:jc w:val="center"/>
              <w:rPr>
                <w:rFonts w:hint="eastAsia" w:hAnsi="宋体" w:cs="宋体"/>
                <w:color w:val="auto"/>
                <w:sz w:val="21"/>
                <w:szCs w:val="21"/>
                <w:highlight w:val="none"/>
              </w:rPr>
            </w:pPr>
          </w:p>
        </w:tc>
        <w:tc>
          <w:tcPr>
            <w:tcW w:w="1261" w:type="dxa"/>
            <w:gridSpan w:val="2"/>
            <w:noWrap w:val="0"/>
            <w:vAlign w:val="center"/>
          </w:tcPr>
          <w:p w14:paraId="38A2D468">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电话</w:t>
            </w:r>
          </w:p>
        </w:tc>
        <w:tc>
          <w:tcPr>
            <w:tcW w:w="1169" w:type="dxa"/>
            <w:noWrap w:val="0"/>
            <w:vAlign w:val="center"/>
          </w:tcPr>
          <w:p w14:paraId="24289691">
            <w:pPr>
              <w:autoSpaceDE w:val="0"/>
              <w:autoSpaceDN w:val="0"/>
              <w:adjustRightInd w:val="0"/>
              <w:spacing w:line="400" w:lineRule="exact"/>
              <w:jc w:val="center"/>
              <w:rPr>
                <w:rFonts w:hint="eastAsia" w:hAnsi="宋体" w:cs="宋体"/>
                <w:b/>
                <w:bCs/>
                <w:color w:val="auto"/>
                <w:sz w:val="21"/>
                <w:szCs w:val="21"/>
                <w:highlight w:val="none"/>
              </w:rPr>
            </w:pPr>
          </w:p>
        </w:tc>
      </w:tr>
      <w:tr w14:paraId="3E40F4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39" w:type="dxa"/>
            <w:noWrap w:val="0"/>
            <w:vAlign w:val="center"/>
          </w:tcPr>
          <w:p w14:paraId="1D3FAC89">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成立时间</w:t>
            </w:r>
          </w:p>
        </w:tc>
        <w:tc>
          <w:tcPr>
            <w:tcW w:w="2367" w:type="dxa"/>
            <w:gridSpan w:val="2"/>
            <w:noWrap w:val="0"/>
            <w:vAlign w:val="center"/>
          </w:tcPr>
          <w:p w14:paraId="020CE8A1">
            <w:pPr>
              <w:autoSpaceDE w:val="0"/>
              <w:autoSpaceDN w:val="0"/>
              <w:adjustRightInd w:val="0"/>
              <w:spacing w:line="400" w:lineRule="exact"/>
              <w:jc w:val="center"/>
              <w:rPr>
                <w:rFonts w:hint="eastAsia" w:hAnsi="宋体" w:cs="宋体"/>
                <w:color w:val="auto"/>
                <w:sz w:val="21"/>
                <w:szCs w:val="21"/>
                <w:highlight w:val="none"/>
              </w:rPr>
            </w:pPr>
          </w:p>
        </w:tc>
        <w:tc>
          <w:tcPr>
            <w:tcW w:w="5210" w:type="dxa"/>
            <w:gridSpan w:val="6"/>
            <w:noWrap w:val="0"/>
            <w:vAlign w:val="center"/>
          </w:tcPr>
          <w:p w14:paraId="7AF03251">
            <w:pPr>
              <w:autoSpaceDE w:val="0"/>
              <w:autoSpaceDN w:val="0"/>
              <w:adjustRightInd w:val="0"/>
              <w:spacing w:line="400" w:lineRule="exact"/>
              <w:ind w:firstLine="1470" w:firstLineChars="700"/>
              <w:rPr>
                <w:rFonts w:hint="eastAsia" w:hAnsi="宋体" w:cs="宋体"/>
                <w:color w:val="auto"/>
                <w:sz w:val="21"/>
                <w:szCs w:val="21"/>
                <w:highlight w:val="none"/>
              </w:rPr>
            </w:pPr>
            <w:r>
              <w:rPr>
                <w:rFonts w:hint="eastAsia" w:hAnsi="宋体" w:cs="宋体"/>
                <w:color w:val="auto"/>
                <w:sz w:val="21"/>
                <w:szCs w:val="21"/>
                <w:highlight w:val="none"/>
              </w:rPr>
              <w:t>员工总人数：</w:t>
            </w:r>
          </w:p>
        </w:tc>
      </w:tr>
      <w:tr w14:paraId="0FBCBC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39" w:type="dxa"/>
            <w:noWrap w:val="0"/>
            <w:vAlign w:val="center"/>
          </w:tcPr>
          <w:p w14:paraId="5904CC61">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企业资质等级</w:t>
            </w:r>
          </w:p>
        </w:tc>
        <w:tc>
          <w:tcPr>
            <w:tcW w:w="2367" w:type="dxa"/>
            <w:gridSpan w:val="2"/>
            <w:noWrap w:val="0"/>
            <w:vAlign w:val="center"/>
          </w:tcPr>
          <w:p w14:paraId="558C2793">
            <w:pPr>
              <w:autoSpaceDE w:val="0"/>
              <w:autoSpaceDN w:val="0"/>
              <w:adjustRightInd w:val="0"/>
              <w:spacing w:line="400" w:lineRule="exact"/>
              <w:jc w:val="center"/>
              <w:rPr>
                <w:rFonts w:hint="eastAsia" w:hAnsi="宋体" w:cs="宋体"/>
                <w:color w:val="auto"/>
                <w:sz w:val="21"/>
                <w:szCs w:val="21"/>
                <w:highlight w:val="none"/>
              </w:rPr>
            </w:pPr>
          </w:p>
        </w:tc>
        <w:tc>
          <w:tcPr>
            <w:tcW w:w="1347" w:type="dxa"/>
            <w:vMerge w:val="restart"/>
            <w:noWrap w:val="0"/>
            <w:vAlign w:val="center"/>
          </w:tcPr>
          <w:p w14:paraId="1C7569D0">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其中</w:t>
            </w:r>
          </w:p>
        </w:tc>
        <w:tc>
          <w:tcPr>
            <w:tcW w:w="1605" w:type="dxa"/>
            <w:gridSpan w:val="3"/>
            <w:noWrap w:val="0"/>
            <w:vAlign w:val="center"/>
          </w:tcPr>
          <w:p w14:paraId="7FC018F5">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项目经理</w:t>
            </w:r>
          </w:p>
        </w:tc>
        <w:tc>
          <w:tcPr>
            <w:tcW w:w="2258" w:type="dxa"/>
            <w:gridSpan w:val="2"/>
            <w:noWrap w:val="0"/>
            <w:vAlign w:val="center"/>
          </w:tcPr>
          <w:p w14:paraId="21C5A1D9">
            <w:pPr>
              <w:autoSpaceDE w:val="0"/>
              <w:autoSpaceDN w:val="0"/>
              <w:adjustRightInd w:val="0"/>
              <w:spacing w:line="400" w:lineRule="exact"/>
              <w:jc w:val="center"/>
              <w:rPr>
                <w:rFonts w:hint="eastAsia" w:hAnsi="宋体" w:cs="宋体"/>
                <w:b/>
                <w:bCs/>
                <w:color w:val="auto"/>
                <w:sz w:val="21"/>
                <w:szCs w:val="21"/>
                <w:highlight w:val="none"/>
              </w:rPr>
            </w:pPr>
          </w:p>
        </w:tc>
      </w:tr>
      <w:tr w14:paraId="41EDCB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39" w:type="dxa"/>
            <w:noWrap w:val="0"/>
            <w:vAlign w:val="center"/>
          </w:tcPr>
          <w:p w14:paraId="0B375AC9">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营业执照号</w:t>
            </w:r>
          </w:p>
        </w:tc>
        <w:tc>
          <w:tcPr>
            <w:tcW w:w="2367" w:type="dxa"/>
            <w:gridSpan w:val="2"/>
            <w:noWrap w:val="0"/>
            <w:vAlign w:val="center"/>
          </w:tcPr>
          <w:p w14:paraId="6B86FE13">
            <w:pPr>
              <w:autoSpaceDE w:val="0"/>
              <w:autoSpaceDN w:val="0"/>
              <w:adjustRightInd w:val="0"/>
              <w:spacing w:line="400" w:lineRule="exact"/>
              <w:jc w:val="center"/>
              <w:rPr>
                <w:rFonts w:hint="eastAsia" w:hAnsi="宋体" w:cs="宋体"/>
                <w:color w:val="auto"/>
                <w:sz w:val="21"/>
                <w:szCs w:val="21"/>
                <w:highlight w:val="none"/>
              </w:rPr>
            </w:pPr>
          </w:p>
        </w:tc>
        <w:tc>
          <w:tcPr>
            <w:tcW w:w="1347" w:type="dxa"/>
            <w:vMerge w:val="continue"/>
            <w:noWrap w:val="0"/>
            <w:vAlign w:val="center"/>
          </w:tcPr>
          <w:p w14:paraId="53AD5502">
            <w:pPr>
              <w:autoSpaceDE w:val="0"/>
              <w:autoSpaceDN w:val="0"/>
              <w:adjustRightInd w:val="0"/>
              <w:spacing w:line="400" w:lineRule="exact"/>
              <w:jc w:val="center"/>
              <w:rPr>
                <w:rFonts w:hint="eastAsia" w:hAnsi="宋体" w:cs="宋体"/>
                <w:color w:val="auto"/>
                <w:sz w:val="21"/>
                <w:szCs w:val="21"/>
                <w:highlight w:val="none"/>
              </w:rPr>
            </w:pPr>
          </w:p>
        </w:tc>
        <w:tc>
          <w:tcPr>
            <w:tcW w:w="1605" w:type="dxa"/>
            <w:gridSpan w:val="3"/>
            <w:noWrap w:val="0"/>
            <w:vAlign w:val="center"/>
          </w:tcPr>
          <w:p w14:paraId="27A6B9FF">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高级职称人员</w:t>
            </w:r>
          </w:p>
        </w:tc>
        <w:tc>
          <w:tcPr>
            <w:tcW w:w="2258" w:type="dxa"/>
            <w:gridSpan w:val="2"/>
            <w:noWrap w:val="0"/>
            <w:vAlign w:val="center"/>
          </w:tcPr>
          <w:p w14:paraId="23432A0D">
            <w:pPr>
              <w:autoSpaceDE w:val="0"/>
              <w:autoSpaceDN w:val="0"/>
              <w:adjustRightInd w:val="0"/>
              <w:spacing w:line="400" w:lineRule="exact"/>
              <w:jc w:val="center"/>
              <w:rPr>
                <w:rFonts w:hint="eastAsia" w:hAnsi="宋体" w:cs="宋体"/>
                <w:b/>
                <w:bCs/>
                <w:color w:val="auto"/>
                <w:sz w:val="21"/>
                <w:szCs w:val="21"/>
                <w:highlight w:val="none"/>
              </w:rPr>
            </w:pPr>
          </w:p>
        </w:tc>
      </w:tr>
      <w:tr w14:paraId="516295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39" w:type="dxa"/>
            <w:noWrap w:val="0"/>
            <w:vAlign w:val="center"/>
          </w:tcPr>
          <w:p w14:paraId="31B2F816">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注册资金</w:t>
            </w:r>
          </w:p>
        </w:tc>
        <w:tc>
          <w:tcPr>
            <w:tcW w:w="2367" w:type="dxa"/>
            <w:gridSpan w:val="2"/>
            <w:noWrap w:val="0"/>
            <w:vAlign w:val="center"/>
          </w:tcPr>
          <w:p w14:paraId="6BD4F26E">
            <w:pPr>
              <w:autoSpaceDE w:val="0"/>
              <w:autoSpaceDN w:val="0"/>
              <w:adjustRightInd w:val="0"/>
              <w:spacing w:line="400" w:lineRule="exact"/>
              <w:jc w:val="center"/>
              <w:rPr>
                <w:rFonts w:hint="eastAsia" w:hAnsi="宋体" w:cs="宋体"/>
                <w:color w:val="auto"/>
                <w:sz w:val="21"/>
                <w:szCs w:val="21"/>
                <w:highlight w:val="none"/>
              </w:rPr>
            </w:pPr>
          </w:p>
        </w:tc>
        <w:tc>
          <w:tcPr>
            <w:tcW w:w="1347" w:type="dxa"/>
            <w:vMerge w:val="continue"/>
            <w:noWrap w:val="0"/>
            <w:vAlign w:val="center"/>
          </w:tcPr>
          <w:p w14:paraId="674F702F">
            <w:pPr>
              <w:autoSpaceDE w:val="0"/>
              <w:autoSpaceDN w:val="0"/>
              <w:adjustRightInd w:val="0"/>
              <w:spacing w:line="400" w:lineRule="exact"/>
              <w:jc w:val="center"/>
              <w:rPr>
                <w:rFonts w:hint="eastAsia" w:hAnsi="宋体" w:cs="宋体"/>
                <w:color w:val="auto"/>
                <w:sz w:val="21"/>
                <w:szCs w:val="21"/>
                <w:highlight w:val="none"/>
              </w:rPr>
            </w:pPr>
          </w:p>
        </w:tc>
        <w:tc>
          <w:tcPr>
            <w:tcW w:w="1605" w:type="dxa"/>
            <w:gridSpan w:val="3"/>
            <w:noWrap w:val="0"/>
            <w:vAlign w:val="center"/>
          </w:tcPr>
          <w:p w14:paraId="35D91249">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中级职称人员</w:t>
            </w:r>
          </w:p>
        </w:tc>
        <w:tc>
          <w:tcPr>
            <w:tcW w:w="2258" w:type="dxa"/>
            <w:gridSpan w:val="2"/>
            <w:noWrap w:val="0"/>
            <w:vAlign w:val="center"/>
          </w:tcPr>
          <w:p w14:paraId="0A634103">
            <w:pPr>
              <w:autoSpaceDE w:val="0"/>
              <w:autoSpaceDN w:val="0"/>
              <w:adjustRightInd w:val="0"/>
              <w:spacing w:line="400" w:lineRule="exact"/>
              <w:jc w:val="center"/>
              <w:rPr>
                <w:rFonts w:hint="eastAsia" w:hAnsi="宋体" w:cs="宋体"/>
                <w:b/>
                <w:bCs/>
                <w:color w:val="auto"/>
                <w:sz w:val="21"/>
                <w:szCs w:val="21"/>
                <w:highlight w:val="none"/>
              </w:rPr>
            </w:pPr>
          </w:p>
        </w:tc>
      </w:tr>
      <w:tr w14:paraId="24EC69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39" w:type="dxa"/>
            <w:noWrap w:val="0"/>
            <w:vAlign w:val="center"/>
          </w:tcPr>
          <w:p w14:paraId="3443AB4F">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开户银行</w:t>
            </w:r>
          </w:p>
        </w:tc>
        <w:tc>
          <w:tcPr>
            <w:tcW w:w="2367" w:type="dxa"/>
            <w:gridSpan w:val="2"/>
            <w:noWrap w:val="0"/>
            <w:vAlign w:val="center"/>
          </w:tcPr>
          <w:p w14:paraId="1E39F752">
            <w:pPr>
              <w:autoSpaceDE w:val="0"/>
              <w:autoSpaceDN w:val="0"/>
              <w:adjustRightInd w:val="0"/>
              <w:spacing w:line="400" w:lineRule="exact"/>
              <w:jc w:val="center"/>
              <w:rPr>
                <w:rFonts w:hint="eastAsia" w:hAnsi="宋体" w:cs="宋体"/>
                <w:color w:val="auto"/>
                <w:sz w:val="21"/>
                <w:szCs w:val="21"/>
                <w:highlight w:val="none"/>
              </w:rPr>
            </w:pPr>
          </w:p>
        </w:tc>
        <w:tc>
          <w:tcPr>
            <w:tcW w:w="1347" w:type="dxa"/>
            <w:vMerge w:val="continue"/>
            <w:noWrap w:val="0"/>
            <w:vAlign w:val="center"/>
          </w:tcPr>
          <w:p w14:paraId="6F3D815C">
            <w:pPr>
              <w:autoSpaceDE w:val="0"/>
              <w:autoSpaceDN w:val="0"/>
              <w:adjustRightInd w:val="0"/>
              <w:spacing w:line="400" w:lineRule="exact"/>
              <w:jc w:val="center"/>
              <w:rPr>
                <w:rFonts w:hint="eastAsia" w:hAnsi="宋体" w:cs="宋体"/>
                <w:color w:val="auto"/>
                <w:sz w:val="21"/>
                <w:szCs w:val="21"/>
                <w:highlight w:val="none"/>
              </w:rPr>
            </w:pPr>
          </w:p>
        </w:tc>
        <w:tc>
          <w:tcPr>
            <w:tcW w:w="1605" w:type="dxa"/>
            <w:gridSpan w:val="3"/>
            <w:noWrap w:val="0"/>
            <w:vAlign w:val="center"/>
          </w:tcPr>
          <w:p w14:paraId="43285E1A">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初级职称人员</w:t>
            </w:r>
          </w:p>
        </w:tc>
        <w:tc>
          <w:tcPr>
            <w:tcW w:w="2258" w:type="dxa"/>
            <w:gridSpan w:val="2"/>
            <w:noWrap w:val="0"/>
            <w:vAlign w:val="center"/>
          </w:tcPr>
          <w:p w14:paraId="319E3A16">
            <w:pPr>
              <w:autoSpaceDE w:val="0"/>
              <w:autoSpaceDN w:val="0"/>
              <w:adjustRightInd w:val="0"/>
              <w:spacing w:line="400" w:lineRule="exact"/>
              <w:jc w:val="center"/>
              <w:rPr>
                <w:rFonts w:hint="eastAsia" w:hAnsi="宋体" w:cs="宋体"/>
                <w:b/>
                <w:bCs/>
                <w:color w:val="auto"/>
                <w:sz w:val="21"/>
                <w:szCs w:val="21"/>
                <w:highlight w:val="none"/>
              </w:rPr>
            </w:pPr>
          </w:p>
        </w:tc>
      </w:tr>
      <w:tr w14:paraId="5AB661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39" w:type="dxa"/>
            <w:noWrap w:val="0"/>
            <w:vAlign w:val="center"/>
          </w:tcPr>
          <w:p w14:paraId="622369CD">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账号</w:t>
            </w:r>
          </w:p>
        </w:tc>
        <w:tc>
          <w:tcPr>
            <w:tcW w:w="2367" w:type="dxa"/>
            <w:gridSpan w:val="2"/>
            <w:noWrap w:val="0"/>
            <w:vAlign w:val="center"/>
          </w:tcPr>
          <w:p w14:paraId="4FB45D6D">
            <w:pPr>
              <w:autoSpaceDE w:val="0"/>
              <w:autoSpaceDN w:val="0"/>
              <w:adjustRightInd w:val="0"/>
              <w:spacing w:line="400" w:lineRule="exact"/>
              <w:jc w:val="center"/>
              <w:rPr>
                <w:rFonts w:hint="eastAsia" w:hAnsi="宋体" w:cs="宋体"/>
                <w:color w:val="auto"/>
                <w:sz w:val="21"/>
                <w:szCs w:val="21"/>
                <w:highlight w:val="none"/>
              </w:rPr>
            </w:pPr>
          </w:p>
        </w:tc>
        <w:tc>
          <w:tcPr>
            <w:tcW w:w="1347" w:type="dxa"/>
            <w:vMerge w:val="continue"/>
            <w:noWrap w:val="0"/>
            <w:vAlign w:val="center"/>
          </w:tcPr>
          <w:p w14:paraId="081C1BAD">
            <w:pPr>
              <w:autoSpaceDE w:val="0"/>
              <w:autoSpaceDN w:val="0"/>
              <w:adjustRightInd w:val="0"/>
              <w:spacing w:line="400" w:lineRule="exact"/>
              <w:jc w:val="center"/>
              <w:rPr>
                <w:rFonts w:hint="eastAsia" w:hAnsi="宋体" w:cs="宋体"/>
                <w:color w:val="auto"/>
                <w:sz w:val="21"/>
                <w:szCs w:val="21"/>
                <w:highlight w:val="none"/>
              </w:rPr>
            </w:pPr>
          </w:p>
        </w:tc>
        <w:tc>
          <w:tcPr>
            <w:tcW w:w="1605" w:type="dxa"/>
            <w:gridSpan w:val="3"/>
            <w:noWrap w:val="0"/>
            <w:vAlign w:val="center"/>
          </w:tcPr>
          <w:p w14:paraId="69528F0F">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技工</w:t>
            </w:r>
          </w:p>
        </w:tc>
        <w:tc>
          <w:tcPr>
            <w:tcW w:w="2258" w:type="dxa"/>
            <w:gridSpan w:val="2"/>
            <w:noWrap w:val="0"/>
            <w:vAlign w:val="center"/>
          </w:tcPr>
          <w:p w14:paraId="3AD3CFB7">
            <w:pPr>
              <w:autoSpaceDE w:val="0"/>
              <w:autoSpaceDN w:val="0"/>
              <w:adjustRightInd w:val="0"/>
              <w:spacing w:line="400" w:lineRule="exact"/>
              <w:jc w:val="center"/>
              <w:rPr>
                <w:rFonts w:hint="eastAsia" w:hAnsi="宋体" w:cs="宋体"/>
                <w:b/>
                <w:bCs/>
                <w:color w:val="auto"/>
                <w:sz w:val="21"/>
                <w:szCs w:val="21"/>
                <w:highlight w:val="none"/>
              </w:rPr>
            </w:pPr>
          </w:p>
        </w:tc>
      </w:tr>
      <w:tr w14:paraId="185B1B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1639" w:type="dxa"/>
            <w:noWrap w:val="0"/>
            <w:vAlign w:val="center"/>
          </w:tcPr>
          <w:p w14:paraId="31367CDC">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经营范围</w:t>
            </w:r>
          </w:p>
        </w:tc>
        <w:tc>
          <w:tcPr>
            <w:tcW w:w="7577" w:type="dxa"/>
            <w:gridSpan w:val="8"/>
            <w:noWrap w:val="0"/>
            <w:vAlign w:val="center"/>
          </w:tcPr>
          <w:p w14:paraId="75C97957">
            <w:pPr>
              <w:autoSpaceDE w:val="0"/>
              <w:autoSpaceDN w:val="0"/>
              <w:adjustRightInd w:val="0"/>
              <w:spacing w:line="400" w:lineRule="exact"/>
              <w:rPr>
                <w:rFonts w:hint="eastAsia" w:hAnsi="宋体" w:cs="宋体"/>
                <w:b/>
                <w:bCs/>
                <w:color w:val="auto"/>
                <w:sz w:val="21"/>
                <w:szCs w:val="21"/>
                <w:highlight w:val="none"/>
              </w:rPr>
            </w:pPr>
          </w:p>
        </w:tc>
      </w:tr>
      <w:tr w14:paraId="0AD97A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39" w:type="dxa"/>
            <w:noWrap w:val="0"/>
            <w:vAlign w:val="center"/>
          </w:tcPr>
          <w:p w14:paraId="55835002">
            <w:pPr>
              <w:autoSpaceDE w:val="0"/>
              <w:autoSpaceDN w:val="0"/>
              <w:adjustRightInd w:val="0"/>
              <w:spacing w:line="400" w:lineRule="exact"/>
              <w:jc w:val="center"/>
              <w:rPr>
                <w:rFonts w:hint="eastAsia" w:hAnsi="宋体" w:cs="宋体"/>
                <w:color w:val="auto"/>
                <w:sz w:val="21"/>
                <w:szCs w:val="21"/>
                <w:highlight w:val="none"/>
              </w:rPr>
            </w:pPr>
            <w:r>
              <w:rPr>
                <w:rFonts w:hint="eastAsia" w:hAnsi="宋体" w:cs="宋体"/>
                <w:color w:val="auto"/>
                <w:sz w:val="21"/>
                <w:szCs w:val="21"/>
                <w:highlight w:val="none"/>
              </w:rPr>
              <w:t>备  注</w:t>
            </w:r>
          </w:p>
        </w:tc>
        <w:tc>
          <w:tcPr>
            <w:tcW w:w="7577" w:type="dxa"/>
            <w:gridSpan w:val="8"/>
            <w:noWrap w:val="0"/>
            <w:vAlign w:val="top"/>
          </w:tcPr>
          <w:p w14:paraId="23AB2C51">
            <w:pPr>
              <w:autoSpaceDE w:val="0"/>
              <w:autoSpaceDN w:val="0"/>
              <w:adjustRightInd w:val="0"/>
              <w:spacing w:line="400" w:lineRule="exact"/>
              <w:jc w:val="left"/>
              <w:rPr>
                <w:rFonts w:hint="eastAsia" w:hAnsi="宋体" w:cs="宋体"/>
                <w:color w:val="auto"/>
                <w:sz w:val="21"/>
                <w:szCs w:val="21"/>
                <w:highlight w:val="none"/>
              </w:rPr>
            </w:pPr>
          </w:p>
        </w:tc>
      </w:tr>
    </w:tbl>
    <w:p w14:paraId="737F51AD">
      <w:pPr>
        <w:pStyle w:val="188"/>
        <w:rPr>
          <w:rFonts w:ascii="宋体" w:hAnsi="宋体"/>
          <w:color w:val="auto"/>
          <w:sz w:val="24"/>
          <w:szCs w:val="24"/>
          <w:highlight w:val="none"/>
        </w:rPr>
      </w:pPr>
      <w:r>
        <w:rPr>
          <w:rFonts w:hint="eastAsia" w:ascii="宋体" w:hAnsi="宋体"/>
          <w:color w:val="auto"/>
          <w:sz w:val="24"/>
          <w:szCs w:val="24"/>
          <w:highlight w:val="none"/>
        </w:rPr>
        <w:t>说明：投标人基本情况表后附营业执照、组织机构代码证、税务登记证，如三证合一，只需要导入营业执照即可。附《中华人民共和国政府采购法》第二十二条应当具备的条件。如有采购文件有特定资格要求，还应上传相关证件。</w:t>
      </w:r>
    </w:p>
    <w:p w14:paraId="3A5CE69D">
      <w:pPr>
        <w:pStyle w:val="205"/>
        <w:spacing w:before="35" w:beforeAutospacing="0"/>
        <w:ind w:left="217"/>
        <w:rPr>
          <w:rFonts w:hint="eastAsia" w:ascii="宋体" w:hAnsi="宋体" w:cs="Times New Roman"/>
          <w:color w:val="auto"/>
          <w:kern w:val="2"/>
          <w:highlight w:val="none"/>
        </w:rPr>
      </w:pPr>
    </w:p>
    <w:p w14:paraId="799C2C9C">
      <w:pPr>
        <w:pStyle w:val="205"/>
        <w:spacing w:before="35" w:beforeAutospacing="0"/>
        <w:ind w:left="217"/>
        <w:rPr>
          <w:rFonts w:hint="eastAsia" w:ascii="宋体" w:hAnsi="宋体" w:cs="Times New Roman"/>
          <w:color w:val="auto"/>
          <w:kern w:val="2"/>
          <w:highlight w:val="none"/>
        </w:rPr>
      </w:pPr>
      <w:r>
        <w:rPr>
          <w:rFonts w:hint="eastAsia" w:ascii="宋体" w:hAnsi="宋体" w:cs="Times New Roman"/>
          <w:color w:val="auto"/>
          <w:kern w:val="2"/>
          <w:highlight w:val="none"/>
        </w:rPr>
        <w:t xml:space="preserve">投标人[盖章]： </w:t>
      </w:r>
    </w:p>
    <w:p w14:paraId="575F62B8">
      <w:pPr>
        <w:pStyle w:val="205"/>
        <w:spacing w:before="35" w:beforeAutospacing="0"/>
        <w:ind w:left="217"/>
        <w:rPr>
          <w:rFonts w:hint="eastAsia" w:ascii="宋体" w:hAnsi="宋体" w:cs="Times New Roman"/>
          <w:color w:val="auto"/>
          <w:kern w:val="2"/>
          <w:highlight w:val="none"/>
        </w:rPr>
      </w:pPr>
      <w:r>
        <w:rPr>
          <w:rFonts w:hint="eastAsia" w:ascii="宋体" w:hAnsi="宋体" w:cs="Times New Roman"/>
          <w:color w:val="auto"/>
          <w:kern w:val="2"/>
          <w:highlight w:val="none"/>
        </w:rPr>
        <w:t xml:space="preserve">法定代表人或授权代理人（签字或盖章）：                    </w:t>
      </w:r>
    </w:p>
    <w:p w14:paraId="68A672B4">
      <w:pPr>
        <w:pStyle w:val="205"/>
        <w:spacing w:before="35" w:beforeAutospacing="0"/>
        <w:ind w:left="217"/>
        <w:rPr>
          <w:rFonts w:hint="eastAsia" w:ascii="宋体" w:hAnsi="宋体" w:cs="Times New Roman"/>
          <w:color w:val="auto"/>
          <w:kern w:val="2"/>
          <w:highlight w:val="none"/>
        </w:rPr>
      </w:pPr>
      <w:r>
        <w:rPr>
          <w:rFonts w:hint="eastAsia" w:ascii="宋体" w:hAnsi="宋体" w:cs="Times New Roman"/>
          <w:color w:val="auto"/>
          <w:kern w:val="2"/>
          <w:highlight w:val="none"/>
        </w:rPr>
        <w:t xml:space="preserve">日期： </w:t>
      </w:r>
    </w:p>
    <w:p w14:paraId="2EDC167C">
      <w:pPr>
        <w:pStyle w:val="136"/>
        <w:adjustRightInd w:val="0"/>
        <w:snapToGrid w:val="0"/>
        <w:spacing w:line="360" w:lineRule="auto"/>
        <w:jc w:val="both"/>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br w:type="page"/>
      </w:r>
      <w:r>
        <w:rPr>
          <w:rFonts w:hint="eastAsia" w:ascii="宋体" w:hAnsi="宋体" w:cs="Times New Roman"/>
          <w:color w:val="auto"/>
          <w:sz w:val="24"/>
          <w:szCs w:val="24"/>
          <w:highlight w:val="none"/>
        </w:rPr>
        <w:t>《中华人民共和国政府采购法》第二十二条应当具备的条件</w:t>
      </w:r>
    </w:p>
    <w:p w14:paraId="54FA9C45">
      <w:pPr>
        <w:pStyle w:val="165"/>
        <w:spacing w:line="360" w:lineRule="auto"/>
        <w:rPr>
          <w:rFonts w:hint="eastAsia" w:ascii="宋体" w:hAnsi="宋体"/>
          <w:color w:val="auto"/>
          <w:sz w:val="24"/>
          <w:szCs w:val="24"/>
          <w:highlight w:val="none"/>
        </w:rPr>
      </w:pPr>
      <w:r>
        <w:rPr>
          <w:rFonts w:hint="eastAsia" w:ascii="宋体" w:hAnsi="宋体"/>
          <w:color w:val="auto"/>
          <w:sz w:val="24"/>
          <w:szCs w:val="24"/>
          <w:highlight w:val="none"/>
        </w:rPr>
        <w:t>①具有独立承担民事责任的能力；</w:t>
      </w:r>
    </w:p>
    <w:p w14:paraId="361E9F3E">
      <w:pPr>
        <w:pStyle w:val="165"/>
        <w:spacing w:line="360" w:lineRule="auto"/>
        <w:rPr>
          <w:rFonts w:hint="eastAsia" w:ascii="宋体" w:hAnsi="宋体"/>
          <w:color w:val="auto"/>
          <w:sz w:val="24"/>
          <w:szCs w:val="24"/>
          <w:highlight w:val="none"/>
        </w:rPr>
      </w:pPr>
      <w:r>
        <w:rPr>
          <w:rFonts w:hint="eastAsia" w:ascii="宋体" w:hAnsi="宋体"/>
          <w:color w:val="auto"/>
          <w:sz w:val="24"/>
          <w:szCs w:val="24"/>
          <w:highlight w:val="none"/>
        </w:rPr>
        <w:t>②具有良好的商业信誉和健全的财务会计制度；</w:t>
      </w:r>
    </w:p>
    <w:p w14:paraId="40B397FB">
      <w:pPr>
        <w:pStyle w:val="165"/>
        <w:spacing w:line="360" w:lineRule="auto"/>
        <w:rPr>
          <w:rFonts w:hint="eastAsia" w:ascii="宋体" w:hAnsi="宋体"/>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 3 \* GB3 </w:instrText>
      </w:r>
      <w:r>
        <w:rPr>
          <w:rFonts w:hint="eastAsia" w:ascii="宋体" w:hAnsi="宋体"/>
          <w:color w:val="auto"/>
          <w:sz w:val="24"/>
          <w:szCs w:val="24"/>
          <w:highlight w:val="none"/>
        </w:rPr>
        <w:fldChar w:fldCharType="separate"/>
      </w:r>
      <w:r>
        <w:rPr>
          <w:rFonts w:hint="eastAsia" w:ascii="宋体" w:hAnsi="宋体"/>
          <w:color w:val="auto"/>
          <w:sz w:val="24"/>
          <w:szCs w:val="24"/>
          <w:highlight w:val="none"/>
        </w:rPr>
        <w:t>③</w:t>
      </w:r>
      <w:r>
        <w:rPr>
          <w:rFonts w:hint="eastAsia" w:ascii="宋体" w:hAnsi="宋体"/>
          <w:color w:val="auto"/>
          <w:sz w:val="24"/>
          <w:szCs w:val="24"/>
          <w:highlight w:val="none"/>
        </w:rPr>
        <w:fldChar w:fldCharType="end"/>
      </w:r>
      <w:r>
        <w:rPr>
          <w:rFonts w:hint="eastAsia" w:ascii="宋体" w:hAnsi="宋体"/>
          <w:color w:val="auto"/>
          <w:sz w:val="24"/>
          <w:szCs w:val="24"/>
          <w:highlight w:val="none"/>
        </w:rPr>
        <w:t>具有履行合同所必需的设备和专业技术能力；</w:t>
      </w:r>
    </w:p>
    <w:p w14:paraId="367DA116">
      <w:pPr>
        <w:pStyle w:val="165"/>
        <w:spacing w:line="360" w:lineRule="auto"/>
        <w:rPr>
          <w:rFonts w:hint="eastAsia" w:ascii="宋体" w:hAnsi="宋体"/>
          <w:color w:val="auto"/>
          <w:sz w:val="24"/>
          <w:szCs w:val="24"/>
          <w:highlight w:val="none"/>
        </w:rPr>
      </w:pP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 4 \* GB3 </w:instrText>
      </w:r>
      <w:r>
        <w:rPr>
          <w:rFonts w:hint="eastAsia" w:ascii="宋体" w:hAnsi="宋体"/>
          <w:color w:val="auto"/>
          <w:sz w:val="24"/>
          <w:szCs w:val="24"/>
          <w:highlight w:val="none"/>
        </w:rPr>
        <w:fldChar w:fldCharType="separate"/>
      </w:r>
      <w:r>
        <w:rPr>
          <w:rFonts w:hint="eastAsia" w:ascii="宋体" w:hAnsi="宋体"/>
          <w:color w:val="auto"/>
          <w:sz w:val="24"/>
          <w:szCs w:val="24"/>
          <w:highlight w:val="none"/>
        </w:rPr>
        <w:t>④</w:t>
      </w:r>
      <w:r>
        <w:rPr>
          <w:rFonts w:hint="eastAsia" w:ascii="宋体" w:hAnsi="宋体"/>
          <w:color w:val="auto"/>
          <w:sz w:val="24"/>
          <w:szCs w:val="24"/>
          <w:highlight w:val="none"/>
        </w:rPr>
        <w:fldChar w:fldCharType="end"/>
      </w:r>
      <w:r>
        <w:rPr>
          <w:rFonts w:hint="eastAsia" w:ascii="宋体" w:hAnsi="宋体"/>
          <w:color w:val="auto"/>
          <w:sz w:val="24"/>
          <w:szCs w:val="24"/>
          <w:highlight w:val="none"/>
        </w:rPr>
        <w:t>有依法缴纳税收和社会保障资金的良好记录；</w:t>
      </w:r>
    </w:p>
    <w:p w14:paraId="5C47604F">
      <w:pPr>
        <w:pStyle w:val="165"/>
        <w:spacing w:line="360" w:lineRule="auto"/>
        <w:rPr>
          <w:rFonts w:hint="eastAsia" w:ascii="宋体" w:hAnsi="宋体"/>
          <w:color w:val="auto"/>
          <w:sz w:val="24"/>
          <w:szCs w:val="24"/>
          <w:highlight w:val="none"/>
        </w:rPr>
      </w:pPr>
      <w:r>
        <w:rPr>
          <w:rFonts w:hint="eastAsia" w:ascii="宋体" w:hAnsi="宋体"/>
          <w:color w:val="auto"/>
          <w:sz w:val="24"/>
          <w:szCs w:val="24"/>
          <w:highlight w:val="none"/>
        </w:rPr>
        <w:t>⑤参加政府采购活动前三年内，在经营活动中没有重大违法记录；</w:t>
      </w:r>
    </w:p>
    <w:p w14:paraId="68950E2D">
      <w:pPr>
        <w:pStyle w:val="165"/>
        <w:spacing w:line="360" w:lineRule="auto"/>
        <w:rPr>
          <w:rFonts w:hint="eastAsia" w:ascii="宋体" w:hAnsi="宋体"/>
          <w:color w:val="auto"/>
          <w:sz w:val="24"/>
          <w:szCs w:val="24"/>
          <w:highlight w:val="none"/>
          <w:lang w:eastAsia="zh-CN"/>
        </w:rPr>
      </w:pPr>
      <w:r>
        <w:rPr>
          <w:rFonts w:hint="eastAsia" w:ascii="宋体" w:hAnsi="宋体"/>
          <w:color w:val="auto"/>
          <w:sz w:val="24"/>
          <w:szCs w:val="24"/>
          <w:highlight w:val="none"/>
        </w:rPr>
        <w:t>⑥法律、行政法规规定的其他条件</w:t>
      </w:r>
      <w:r>
        <w:rPr>
          <w:rFonts w:hint="eastAsia" w:ascii="宋体" w:hAnsi="宋体"/>
          <w:color w:val="auto"/>
          <w:sz w:val="24"/>
          <w:szCs w:val="24"/>
          <w:highlight w:val="none"/>
          <w:lang w:eastAsia="zh-CN"/>
        </w:rPr>
        <w:t>；</w:t>
      </w:r>
    </w:p>
    <w:p w14:paraId="1A7E4B00">
      <w:pPr>
        <w:pStyle w:val="165"/>
        <w:spacing w:line="360" w:lineRule="auto"/>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⑦特定资质</w:t>
      </w:r>
    </w:p>
    <w:p w14:paraId="27D5C918">
      <w:pPr>
        <w:pStyle w:val="165"/>
        <w:spacing w:line="360" w:lineRule="auto"/>
        <w:rPr>
          <w:rFonts w:hint="eastAsia" w:ascii="宋体" w:hAnsi="宋体"/>
          <w:color w:val="auto"/>
          <w:sz w:val="24"/>
          <w:szCs w:val="24"/>
          <w:highlight w:val="none"/>
        </w:rPr>
      </w:pPr>
    </w:p>
    <w:p w14:paraId="6948F334">
      <w:pPr>
        <w:pStyle w:val="165"/>
        <w:spacing w:line="360" w:lineRule="auto"/>
        <w:rPr>
          <w:rFonts w:ascii="宋体" w:hAnsi="宋体"/>
          <w:color w:val="auto"/>
          <w:sz w:val="24"/>
          <w:szCs w:val="24"/>
          <w:highlight w:val="none"/>
        </w:rPr>
      </w:pPr>
      <w:r>
        <w:rPr>
          <w:rFonts w:hint="eastAsia" w:ascii="宋体" w:hAnsi="宋体"/>
          <w:color w:val="auto"/>
          <w:sz w:val="24"/>
          <w:szCs w:val="24"/>
          <w:highlight w:val="none"/>
        </w:rPr>
        <w:t>应提供以下内容及证明材料：</w:t>
      </w:r>
    </w:p>
    <w:p w14:paraId="67937C69">
      <w:pPr>
        <w:pStyle w:val="136"/>
        <w:adjustRightInd w:val="0"/>
        <w:snapToGrid w:val="0"/>
        <w:spacing w:line="360" w:lineRule="auto"/>
        <w:ind w:firstLine="480" w:firstLineChars="200"/>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（一）财务状况报告；</w:t>
      </w:r>
    </w:p>
    <w:p w14:paraId="37821B1A">
      <w:pPr>
        <w:pStyle w:val="136"/>
        <w:adjustRightInd w:val="0"/>
        <w:snapToGrid w:val="0"/>
        <w:spacing w:line="360" w:lineRule="auto"/>
        <w:jc w:val="left"/>
        <w:rPr>
          <w:rFonts w:hint="eastAsia" w:ascii="宋体" w:hAnsi="宋体" w:cs="Times New Roman"/>
          <w:color w:val="auto"/>
          <w:sz w:val="24"/>
          <w:szCs w:val="24"/>
          <w:highlight w:val="none"/>
          <w:lang w:val="en-US" w:eastAsia="zh-CN"/>
        </w:rPr>
      </w:pPr>
      <w:r>
        <w:rPr>
          <w:rFonts w:hint="eastAsia" w:ascii="宋体" w:hAnsi="宋体" w:eastAsia="宋体" w:cs="宋体"/>
          <w:color w:val="auto"/>
          <w:sz w:val="24"/>
          <w:szCs w:val="24"/>
          <w:highlight w:val="none"/>
          <w:lang w:eastAsia="zh-CN"/>
        </w:rPr>
        <w:t>具有良好的商业信誉和健全的财务会计制度（提供202</w:t>
      </w:r>
      <w:r>
        <w:rPr>
          <w:rFonts w:hint="eastAsia" w:ascii="宋体" w:hAnsi="宋体" w:eastAsia="宋体" w:cs="宋体"/>
          <w:color w:val="auto"/>
          <w:sz w:val="24"/>
          <w:szCs w:val="24"/>
          <w:highlight w:val="none"/>
          <w:lang w:val="en-US" w:eastAsia="zh-CN"/>
        </w:rPr>
        <w:t>4或2025</w:t>
      </w:r>
      <w:r>
        <w:rPr>
          <w:rFonts w:hint="eastAsia" w:ascii="宋体" w:hAnsi="宋体" w:eastAsia="宋体" w:cs="宋体"/>
          <w:color w:val="auto"/>
          <w:sz w:val="24"/>
          <w:szCs w:val="24"/>
          <w:highlight w:val="none"/>
          <w:lang w:eastAsia="zh-CN"/>
        </w:rPr>
        <w:t>年的财务审计报告</w:t>
      </w:r>
      <w:r>
        <w:rPr>
          <w:rFonts w:hint="eastAsia" w:ascii="宋体" w:hAnsi="宋体" w:eastAsia="宋体" w:cs="宋体"/>
          <w:color w:val="auto"/>
          <w:sz w:val="24"/>
          <w:szCs w:val="24"/>
          <w:highlight w:val="none"/>
          <w:lang w:val="en-US" w:eastAsia="zh-CN"/>
        </w:rPr>
        <w:t>或银行出具的相关资信证明材料等；证明材料加盖单位公章。</w:t>
      </w:r>
      <w:r>
        <w:rPr>
          <w:rFonts w:hint="eastAsia" w:ascii="宋体" w:hAnsi="宋体" w:eastAsia="宋体" w:cs="宋体"/>
          <w:color w:val="auto"/>
          <w:sz w:val="24"/>
          <w:szCs w:val="24"/>
          <w:highlight w:val="none"/>
          <w:lang w:eastAsia="zh-CN"/>
        </w:rPr>
        <w:t>）</w:t>
      </w:r>
      <w:r>
        <w:rPr>
          <w:rFonts w:hint="eastAsia" w:ascii="宋体" w:hAnsi="宋体" w:cs="Times New Roman"/>
          <w:color w:val="auto"/>
          <w:sz w:val="24"/>
          <w:szCs w:val="24"/>
          <w:highlight w:val="none"/>
          <w:lang w:val="en-US" w:eastAsia="zh-CN"/>
        </w:rPr>
        <w:t xml:space="preserve">   </w:t>
      </w:r>
    </w:p>
    <w:p w14:paraId="7DB9743F">
      <w:pPr>
        <w:pStyle w:val="136"/>
        <w:adjustRightInd w:val="0"/>
        <w:snapToGrid w:val="0"/>
        <w:spacing w:line="360" w:lineRule="auto"/>
        <w:ind w:firstLine="480" w:firstLineChars="200"/>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（二）依法缴纳税收和社会保障资金的良好记录：</w:t>
      </w:r>
    </w:p>
    <w:p w14:paraId="440A07F3">
      <w:pPr>
        <w:pStyle w:val="136"/>
        <w:adjustRightInd w:val="0"/>
        <w:snapToGrid w:val="0"/>
        <w:spacing w:line="360" w:lineRule="auto"/>
        <w:ind w:firstLine="480" w:firstLineChars="200"/>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投标人依法缴纳税收的证明材料：</w:t>
      </w:r>
    </w:p>
    <w:p w14:paraId="0A259225">
      <w:pPr>
        <w:pStyle w:val="136"/>
        <w:adjustRightInd w:val="0"/>
        <w:snapToGrid w:val="0"/>
        <w:spacing w:line="360" w:lineRule="auto"/>
        <w:ind w:firstLine="480" w:firstLineChars="200"/>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本项目投标截止时间前 6 个月内（至少提供1个月）缴纳税收的凭据；</w:t>
      </w:r>
    </w:p>
    <w:p w14:paraId="42F7C946">
      <w:pPr>
        <w:pStyle w:val="136"/>
        <w:adjustRightInd w:val="0"/>
        <w:snapToGrid w:val="0"/>
        <w:spacing w:line="360" w:lineRule="auto"/>
        <w:ind w:firstLine="480" w:firstLineChars="200"/>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投标人依法缴纳社会保障资金的证明材料：</w:t>
      </w:r>
    </w:p>
    <w:p w14:paraId="19986A3C">
      <w:pPr>
        <w:pStyle w:val="136"/>
        <w:adjustRightInd w:val="0"/>
        <w:snapToGrid w:val="0"/>
        <w:spacing w:line="360" w:lineRule="auto"/>
        <w:ind w:firstLine="480" w:firstLineChars="200"/>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本项目投标截止时间时间前 6个月内（至少提供1个月）缴纳社会保险的凭据（当月新成立公司不需提供）；投标人为其他组织或自然人的，也需要按此项规定提供缴纳税收的凭据和交纳社会保险的凭据。</w:t>
      </w:r>
    </w:p>
    <w:p w14:paraId="1E89EE9C">
      <w:pPr>
        <w:pStyle w:val="136"/>
        <w:adjustRightInd w:val="0"/>
        <w:snapToGrid w:val="0"/>
        <w:spacing w:line="360" w:lineRule="auto"/>
        <w:ind w:firstLine="480" w:firstLineChars="200"/>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 xml:space="preserve">如投标人的社会保险为委托第三方代缴，还需同时提供投标人与第三方服务机构签署的服务合同（合同中应明确写明第三方为投标人代缴其社会保险） </w:t>
      </w:r>
    </w:p>
    <w:p w14:paraId="12A9CE7D">
      <w:pPr>
        <w:pStyle w:val="136"/>
        <w:adjustRightInd w:val="0"/>
        <w:snapToGrid w:val="0"/>
        <w:spacing w:line="360" w:lineRule="auto"/>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br w:type="page"/>
      </w:r>
      <w:r>
        <w:rPr>
          <w:rFonts w:hint="eastAsia" w:ascii="宋体" w:hAnsi="宋体" w:cs="Times New Roman"/>
          <w:color w:val="auto"/>
          <w:sz w:val="24"/>
          <w:szCs w:val="24"/>
          <w:highlight w:val="none"/>
        </w:rPr>
        <w:t>（三）投标人须具有履行合同所必需的设备和专业技术能力，须附相关证明材料或声明：</w:t>
      </w:r>
    </w:p>
    <w:p w14:paraId="4DAE0B3D">
      <w:pPr>
        <w:pStyle w:val="136"/>
        <w:adjustRightInd w:val="0"/>
        <w:snapToGrid w:val="0"/>
        <w:spacing w:line="360" w:lineRule="auto"/>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格式：</w:t>
      </w:r>
    </w:p>
    <w:p w14:paraId="4B3E3AF5">
      <w:pPr>
        <w:pStyle w:val="136"/>
        <w:adjustRightInd w:val="0"/>
        <w:snapToGrid w:val="0"/>
        <w:spacing w:line="360" w:lineRule="auto"/>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本投标人郑重声明：</w:t>
      </w:r>
    </w:p>
    <w:p w14:paraId="22582745">
      <w:pPr>
        <w:pStyle w:val="136"/>
        <w:adjustRightInd w:val="0"/>
        <w:snapToGrid w:val="0"/>
        <w:spacing w:line="360" w:lineRule="auto"/>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 xml:space="preserve">本公司（或单位）具备本项目履行合同所必需的设备和专业技术能力，特此承诺。 </w:t>
      </w:r>
    </w:p>
    <w:p w14:paraId="5516B0CC">
      <w:pPr>
        <w:pStyle w:val="136"/>
        <w:adjustRightInd w:val="0"/>
        <w:snapToGrid w:val="0"/>
        <w:spacing w:line="360" w:lineRule="auto"/>
        <w:jc w:val="left"/>
        <w:rPr>
          <w:rFonts w:hint="eastAsia" w:ascii="宋体" w:hAnsi="宋体" w:cs="Times New Roman"/>
          <w:color w:val="auto"/>
          <w:sz w:val="24"/>
          <w:szCs w:val="24"/>
          <w:highlight w:val="none"/>
        </w:rPr>
      </w:pPr>
    </w:p>
    <w:p w14:paraId="38217FF5">
      <w:pPr>
        <w:pStyle w:val="136"/>
        <w:adjustRightInd w:val="0"/>
        <w:snapToGrid w:val="0"/>
        <w:spacing w:line="360" w:lineRule="auto"/>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投标人名称（盖章）：</w:t>
      </w:r>
    </w:p>
    <w:p w14:paraId="58736B5E">
      <w:pPr>
        <w:pStyle w:val="136"/>
        <w:adjustRightInd w:val="0"/>
        <w:snapToGrid w:val="0"/>
        <w:spacing w:line="360" w:lineRule="auto"/>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法定代表人或授权代理人（签字或盖章）：</w:t>
      </w:r>
    </w:p>
    <w:p w14:paraId="4D212B15">
      <w:pPr>
        <w:pStyle w:val="136"/>
        <w:adjustRightInd w:val="0"/>
        <w:snapToGrid w:val="0"/>
        <w:spacing w:line="360" w:lineRule="auto"/>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 xml:space="preserve">年 月 日 </w:t>
      </w:r>
    </w:p>
    <w:p w14:paraId="6F8E641A">
      <w:pPr>
        <w:pStyle w:val="136"/>
        <w:adjustRightInd w:val="0"/>
        <w:snapToGrid w:val="0"/>
        <w:spacing w:line="360" w:lineRule="auto"/>
        <w:jc w:val="left"/>
        <w:rPr>
          <w:rFonts w:hint="eastAsia" w:ascii="宋体" w:hAnsi="宋体" w:cs="Times New Roman"/>
          <w:color w:val="auto"/>
          <w:sz w:val="24"/>
          <w:szCs w:val="24"/>
          <w:highlight w:val="none"/>
        </w:rPr>
      </w:pPr>
    </w:p>
    <w:p w14:paraId="55B99C3B">
      <w:pPr>
        <w:pStyle w:val="136"/>
        <w:adjustRightInd w:val="0"/>
        <w:snapToGrid w:val="0"/>
        <w:spacing w:line="360" w:lineRule="auto"/>
        <w:jc w:val="left"/>
        <w:rPr>
          <w:rFonts w:hint="eastAsia" w:ascii="宋体" w:hAnsi="宋体" w:cs="Times New Roman"/>
          <w:color w:val="auto"/>
          <w:sz w:val="24"/>
          <w:szCs w:val="24"/>
          <w:highlight w:val="none"/>
        </w:rPr>
      </w:pPr>
    </w:p>
    <w:p w14:paraId="30EFA770">
      <w:pPr>
        <w:pStyle w:val="136"/>
        <w:adjustRightInd w:val="0"/>
        <w:snapToGrid w:val="0"/>
        <w:spacing w:line="360" w:lineRule="auto"/>
        <w:jc w:val="left"/>
        <w:rPr>
          <w:rFonts w:hint="eastAsia" w:ascii="宋体" w:hAnsi="宋体" w:cs="Times New Roman"/>
          <w:color w:val="auto"/>
          <w:sz w:val="24"/>
          <w:szCs w:val="24"/>
          <w:highlight w:val="none"/>
        </w:rPr>
      </w:pPr>
    </w:p>
    <w:p w14:paraId="710ECAD1">
      <w:pPr>
        <w:pStyle w:val="136"/>
        <w:adjustRightInd w:val="0"/>
        <w:snapToGrid w:val="0"/>
        <w:spacing w:line="360" w:lineRule="auto"/>
        <w:jc w:val="left"/>
        <w:rPr>
          <w:rFonts w:hint="eastAsia" w:ascii="宋体" w:hAnsi="宋体" w:cs="Times New Roman"/>
          <w:color w:val="auto"/>
          <w:sz w:val="24"/>
          <w:szCs w:val="24"/>
          <w:highlight w:val="none"/>
        </w:rPr>
      </w:pPr>
    </w:p>
    <w:p w14:paraId="106CC541">
      <w:pPr>
        <w:pStyle w:val="136"/>
        <w:adjustRightInd w:val="0"/>
        <w:snapToGrid w:val="0"/>
        <w:spacing w:line="360" w:lineRule="auto"/>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（四）参加政府采购活动前三年内，在经营活动中没有重大违法记录的书面声明：</w:t>
      </w:r>
    </w:p>
    <w:p w14:paraId="1387B248">
      <w:pPr>
        <w:pStyle w:val="136"/>
        <w:adjustRightInd w:val="0"/>
        <w:snapToGrid w:val="0"/>
        <w:spacing w:line="360" w:lineRule="auto"/>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格式：</w:t>
      </w:r>
    </w:p>
    <w:p w14:paraId="2EA20C02">
      <w:pPr>
        <w:pStyle w:val="136"/>
        <w:adjustRightInd w:val="0"/>
        <w:snapToGrid w:val="0"/>
        <w:spacing w:line="360" w:lineRule="auto"/>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无重大违法记录声明书</w:t>
      </w:r>
    </w:p>
    <w:p w14:paraId="51D70EDA">
      <w:pPr>
        <w:pStyle w:val="136"/>
        <w:adjustRightInd w:val="0"/>
        <w:snapToGrid w:val="0"/>
        <w:spacing w:line="360" w:lineRule="auto"/>
        <w:rPr>
          <w:rFonts w:hint="eastAsia" w:ascii="宋体" w:hAnsi="宋体" w:cs="Times New Roman"/>
          <w:color w:val="auto"/>
          <w:sz w:val="24"/>
          <w:szCs w:val="24"/>
          <w:highlight w:val="none"/>
        </w:rPr>
      </w:pPr>
      <w:r>
        <w:rPr>
          <w:rFonts w:hint="eastAsia" w:ascii="宋体" w:hAnsi="宋体" w:cs="Times New Roman"/>
          <w:color w:val="auto"/>
          <w:sz w:val="24"/>
          <w:szCs w:val="24"/>
          <w:highlight w:val="none"/>
          <w:u w:val="single"/>
        </w:rPr>
        <w:t xml:space="preserve">（采购人）         </w:t>
      </w:r>
      <w:r>
        <w:rPr>
          <w:rFonts w:hint="eastAsia" w:ascii="宋体" w:hAnsi="宋体" w:cs="Times New Roman"/>
          <w:color w:val="auto"/>
          <w:sz w:val="24"/>
          <w:szCs w:val="24"/>
          <w:highlight w:val="none"/>
        </w:rPr>
        <w:t>：</w:t>
      </w:r>
    </w:p>
    <w:p w14:paraId="7C52953B">
      <w:pPr>
        <w:pStyle w:val="136"/>
        <w:adjustRightInd w:val="0"/>
        <w:snapToGrid w:val="0"/>
        <w:spacing w:line="360" w:lineRule="auto"/>
        <w:ind w:firstLine="480" w:firstLineChars="200"/>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我公司参与</w:t>
      </w:r>
      <w:r>
        <w:rPr>
          <w:rFonts w:hint="eastAsia" w:ascii="宋体" w:hAnsi="宋体" w:cs="Times New Roman"/>
          <w:color w:val="auto"/>
          <w:sz w:val="24"/>
          <w:szCs w:val="24"/>
          <w:highlight w:val="none"/>
          <w:u w:val="single"/>
        </w:rPr>
        <w:t xml:space="preserve">         </w:t>
      </w:r>
      <w:r>
        <w:rPr>
          <w:rFonts w:hint="eastAsia" w:ascii="宋体" w:hAnsi="宋体" w:cs="Times New Roman"/>
          <w:color w:val="auto"/>
          <w:sz w:val="24"/>
          <w:szCs w:val="24"/>
          <w:highlight w:val="none"/>
        </w:rPr>
        <w:t>（项目名称、编号）投标，本公司郑重声明，我方参加本项目政府采购活动前三年内无重大违法记录，符合《政府采购法》规定的投标人条件。若贵方在本项目采购过程中发现我方政府采购活动前三年内有重大违法记录，我公司将无条件退出本项目的投标，并承担因此引起的一切后果。我方对此声明负全部法律责任。</w:t>
      </w:r>
    </w:p>
    <w:p w14:paraId="0F76D08E">
      <w:pPr>
        <w:pStyle w:val="136"/>
        <w:adjustRightInd w:val="0"/>
        <w:snapToGrid w:val="0"/>
        <w:spacing w:line="360" w:lineRule="auto"/>
        <w:ind w:firstLine="480" w:firstLineChars="200"/>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 xml:space="preserve">特此声明  </w:t>
      </w:r>
    </w:p>
    <w:p w14:paraId="2DF7203C">
      <w:pPr>
        <w:pStyle w:val="136"/>
        <w:adjustRightInd w:val="0"/>
        <w:snapToGrid w:val="0"/>
        <w:spacing w:line="360" w:lineRule="auto"/>
        <w:ind w:firstLine="480" w:firstLineChars="200"/>
        <w:rPr>
          <w:rFonts w:hint="eastAsia" w:ascii="宋体" w:hAnsi="宋体" w:cs="Times New Roman"/>
          <w:color w:val="auto"/>
          <w:sz w:val="24"/>
          <w:szCs w:val="24"/>
          <w:highlight w:val="none"/>
        </w:rPr>
      </w:pPr>
    </w:p>
    <w:p w14:paraId="3172BEAF">
      <w:pPr>
        <w:pStyle w:val="136"/>
        <w:adjustRightInd w:val="0"/>
        <w:snapToGrid w:val="0"/>
        <w:spacing w:line="360" w:lineRule="auto"/>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投标人（盖章）：</w:t>
      </w:r>
    </w:p>
    <w:p w14:paraId="165BB3A1">
      <w:pPr>
        <w:pStyle w:val="136"/>
        <w:adjustRightInd w:val="0"/>
        <w:snapToGrid w:val="0"/>
        <w:spacing w:line="360" w:lineRule="auto"/>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法定代表人或授权代理人（签字或盖章）：</w:t>
      </w:r>
    </w:p>
    <w:p w14:paraId="0B896B9A">
      <w:pPr>
        <w:pStyle w:val="136"/>
        <w:adjustRightInd w:val="0"/>
        <w:snapToGrid w:val="0"/>
        <w:spacing w:line="360" w:lineRule="auto"/>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 xml:space="preserve">日期：         年    月   日 </w:t>
      </w:r>
    </w:p>
    <w:p w14:paraId="0200A287">
      <w:pPr>
        <w:pStyle w:val="136"/>
        <w:adjustRightInd w:val="0"/>
        <w:snapToGrid w:val="0"/>
        <w:spacing w:line="360" w:lineRule="auto"/>
        <w:rPr>
          <w:rFonts w:hint="eastAsia" w:ascii="宋体" w:hAnsi="宋体" w:cs="Times New Roman"/>
          <w:color w:val="auto"/>
          <w:sz w:val="24"/>
          <w:szCs w:val="24"/>
          <w:highlight w:val="none"/>
        </w:rPr>
      </w:pPr>
    </w:p>
    <w:p w14:paraId="6DCCC702">
      <w:pPr>
        <w:pStyle w:val="136"/>
        <w:adjustRightInd w:val="0"/>
        <w:snapToGrid w:val="0"/>
        <w:spacing w:line="360" w:lineRule="auto"/>
        <w:rPr>
          <w:rFonts w:hint="eastAsia" w:ascii="宋体" w:hAnsi="宋体" w:cs="Times New Roman"/>
          <w:color w:val="auto"/>
          <w:sz w:val="24"/>
          <w:szCs w:val="24"/>
          <w:highlight w:val="none"/>
        </w:rPr>
      </w:pPr>
    </w:p>
    <w:p w14:paraId="42EDAEA4">
      <w:pPr>
        <w:pStyle w:val="136"/>
        <w:numPr>
          <w:ilvl w:val="0"/>
          <w:numId w:val="2"/>
        </w:numPr>
        <w:adjustRightInd w:val="0"/>
        <w:snapToGrid w:val="0"/>
        <w:spacing w:line="360" w:lineRule="auto"/>
        <w:jc w:val="left"/>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rPr>
        <w:br w:type="page"/>
      </w:r>
      <w:r>
        <w:rPr>
          <w:rFonts w:hint="eastAsia" w:ascii="宋体" w:hAnsi="宋体" w:cs="Times New Roman"/>
          <w:color w:val="auto"/>
          <w:sz w:val="24"/>
          <w:szCs w:val="24"/>
          <w:highlight w:val="none"/>
        </w:rPr>
        <w:t>近三年内（本项目投标截止期前）</w:t>
      </w:r>
      <w:r>
        <w:rPr>
          <w:rFonts w:hint="eastAsia" w:ascii="宋体" w:hAnsi="宋体" w:cs="Times New Roman"/>
          <w:color w:val="auto"/>
          <w:sz w:val="24"/>
          <w:szCs w:val="24"/>
          <w:highlight w:val="none"/>
          <w:lang w:val="en-US" w:eastAsia="zh-CN"/>
        </w:rPr>
        <w:t xml:space="preserve">在“信用中国”网站    </w:t>
      </w:r>
    </w:p>
    <w:p w14:paraId="0A79F123">
      <w:pPr>
        <w:pStyle w:val="136"/>
        <w:numPr>
          <w:ilvl w:val="0"/>
          <w:numId w:val="0"/>
        </w:numPr>
        <w:adjustRightInd w:val="0"/>
        <w:snapToGrid w:val="0"/>
        <w:spacing w:line="360" w:lineRule="auto"/>
        <w:ind w:firstLine="480" w:firstLineChars="200"/>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（www.creditchina.gov.cn）被列入失信被执行人、重大税收违法案件当事人名单、中国政府采购网（www.ccgp.gov.cn）被列入政府采购严重违法失信行为记录名单（尚在处罚期内的），</w:t>
      </w:r>
      <w:r>
        <w:rPr>
          <w:rFonts w:hint="eastAsia" w:ascii="宋体" w:hAnsi="宋体" w:cs="Times New Roman"/>
          <w:color w:val="auto"/>
          <w:sz w:val="24"/>
          <w:szCs w:val="24"/>
          <w:highlight w:val="none"/>
        </w:rPr>
        <w:t>不得参与本项目的政府采购活动，供应商</w:t>
      </w:r>
      <w:r>
        <w:rPr>
          <w:rFonts w:hint="eastAsia" w:ascii="宋体" w:hAnsi="宋体" w:cs="Times New Roman"/>
          <w:color w:val="auto"/>
          <w:sz w:val="24"/>
          <w:szCs w:val="24"/>
          <w:highlight w:val="none"/>
          <w:lang w:val="en-US" w:eastAsia="zh-CN"/>
        </w:rPr>
        <w:t>可</w:t>
      </w:r>
      <w:r>
        <w:rPr>
          <w:rFonts w:hint="eastAsia" w:ascii="宋体" w:hAnsi="宋体" w:cs="Times New Roman"/>
          <w:color w:val="auto"/>
          <w:sz w:val="24"/>
          <w:szCs w:val="24"/>
          <w:highlight w:val="none"/>
        </w:rPr>
        <w:t>提供没有上述失信行为和重大税收违法案件记录的证明材料(查询日期自采购公告发布之日后，提供</w:t>
      </w:r>
      <w:r>
        <w:rPr>
          <w:rFonts w:hint="eastAsia" w:ascii="宋体" w:hAnsi="宋体" w:cs="Times New Roman"/>
          <w:color w:val="auto"/>
          <w:sz w:val="24"/>
          <w:szCs w:val="24"/>
          <w:highlight w:val="none"/>
          <w:lang w:eastAsia="zh-CN"/>
        </w:rPr>
        <w:t>网页截图</w:t>
      </w:r>
      <w:r>
        <w:rPr>
          <w:rFonts w:hint="eastAsia" w:ascii="宋体" w:hAnsi="宋体" w:cs="Times New Roman"/>
          <w:color w:val="auto"/>
          <w:sz w:val="24"/>
          <w:szCs w:val="24"/>
          <w:highlight w:val="none"/>
        </w:rPr>
        <w:t>)。</w:t>
      </w:r>
    </w:p>
    <w:p w14:paraId="3E369643">
      <w:pPr>
        <w:pStyle w:val="187"/>
        <w:rPr>
          <w:rFonts w:hint="eastAsia" w:ascii="宋体" w:hAnsi="宋体"/>
          <w:color w:val="auto"/>
          <w:sz w:val="24"/>
          <w:szCs w:val="24"/>
          <w:highlight w:val="none"/>
        </w:rPr>
      </w:pPr>
    </w:p>
    <w:p w14:paraId="50D96959">
      <w:pPr>
        <w:pStyle w:val="187"/>
        <w:rPr>
          <w:rFonts w:hint="eastAsia" w:ascii="宋体" w:hAnsi="宋体"/>
          <w:color w:val="auto"/>
          <w:sz w:val="24"/>
          <w:szCs w:val="24"/>
          <w:highlight w:val="none"/>
        </w:rPr>
      </w:pPr>
    </w:p>
    <w:p w14:paraId="785C4CA4">
      <w:pPr>
        <w:pStyle w:val="187"/>
        <w:rPr>
          <w:rFonts w:hint="eastAsia" w:ascii="宋体" w:hAnsi="宋体"/>
          <w:color w:val="auto"/>
          <w:sz w:val="24"/>
          <w:szCs w:val="24"/>
          <w:highlight w:val="none"/>
        </w:rPr>
      </w:pPr>
    </w:p>
    <w:p w14:paraId="0E7F01D6">
      <w:pPr>
        <w:pStyle w:val="187"/>
        <w:rPr>
          <w:rFonts w:hint="eastAsia" w:ascii="宋体" w:hAnsi="宋体"/>
          <w:color w:val="auto"/>
          <w:sz w:val="24"/>
          <w:szCs w:val="24"/>
          <w:highlight w:val="none"/>
        </w:rPr>
      </w:pPr>
    </w:p>
    <w:p w14:paraId="0B7DB342">
      <w:pPr>
        <w:pStyle w:val="187"/>
        <w:rPr>
          <w:rFonts w:hint="eastAsia"/>
          <w:color w:val="auto"/>
          <w:sz w:val="24"/>
          <w:szCs w:val="24"/>
          <w:highlight w:val="none"/>
        </w:rPr>
      </w:pPr>
      <w:r>
        <w:rPr>
          <w:rFonts w:hint="eastAsia" w:ascii="宋体" w:hAnsi="宋体"/>
          <w:color w:val="auto"/>
          <w:sz w:val="24"/>
          <w:szCs w:val="24"/>
          <w:highlight w:val="none"/>
        </w:rPr>
        <w:br w:type="page"/>
      </w:r>
      <w:r>
        <w:rPr>
          <w:rFonts w:hint="eastAsia" w:ascii="宋体" w:hAnsi="宋体"/>
          <w:color w:val="auto"/>
          <w:sz w:val="24"/>
          <w:szCs w:val="24"/>
          <w:highlight w:val="none"/>
        </w:rPr>
        <w:t>（六）</w:t>
      </w:r>
    </w:p>
    <w:p w14:paraId="764127AD">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sz w:val="36"/>
          <w:szCs w:val="22"/>
          <w:highlight w:val="none"/>
        </w:rPr>
      </w:pPr>
      <w:r>
        <w:rPr>
          <w:rFonts w:hint="eastAsia" w:ascii="宋体" w:hAnsi="宋体" w:eastAsia="宋体" w:cs="宋体"/>
          <w:b/>
          <w:bCs/>
          <w:sz w:val="36"/>
          <w:szCs w:val="22"/>
          <w:highlight w:val="none"/>
        </w:rPr>
        <w:t>中小企业声明函（工程、服务）</w:t>
      </w:r>
    </w:p>
    <w:p w14:paraId="304A8AB5">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sz w:val="36"/>
          <w:szCs w:val="22"/>
          <w:highlight w:val="none"/>
        </w:rPr>
      </w:pPr>
    </w:p>
    <w:p w14:paraId="698BE01E">
      <w:pPr>
        <w:spacing w:before="145" w:beforeLines="50" w:after="145" w:afterLines="50" w:line="30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本公司（联合体）郑重声明，根据《政府采购促进中小企业发展管理办法》（财库﹝2020﹞46 号）的规定，本公司（联合体）参加（</w:t>
      </w:r>
      <w:r>
        <w:rPr>
          <w:rFonts w:hint="eastAsia" w:ascii="宋体" w:hAnsi="宋体" w:eastAsia="宋体" w:cs="宋体"/>
          <w:bCs/>
          <w:i/>
          <w:iCs/>
          <w:sz w:val="24"/>
          <w:highlight w:val="none"/>
          <w:u w:val="single"/>
        </w:rPr>
        <w:t>单位名称</w:t>
      </w:r>
      <w:r>
        <w:rPr>
          <w:rFonts w:hint="eastAsia" w:ascii="宋体" w:hAnsi="宋体" w:eastAsia="宋体" w:cs="宋体"/>
          <w:bCs/>
          <w:sz w:val="24"/>
          <w:highlight w:val="none"/>
        </w:rPr>
        <w:t>）的（</w:t>
      </w:r>
      <w:r>
        <w:rPr>
          <w:rFonts w:hint="eastAsia" w:ascii="宋体" w:hAnsi="宋体" w:eastAsia="宋体" w:cs="宋体"/>
          <w:bCs/>
          <w:i/>
          <w:iCs/>
          <w:sz w:val="24"/>
          <w:highlight w:val="none"/>
          <w:u w:val="single"/>
        </w:rPr>
        <w:t>项目名称</w:t>
      </w:r>
      <w:r>
        <w:rPr>
          <w:rFonts w:hint="eastAsia" w:ascii="宋体" w:hAnsi="宋体" w:eastAsia="宋体" w:cs="宋体"/>
          <w:bCs/>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5072395">
      <w:pPr>
        <w:spacing w:before="145" w:beforeLines="50" w:after="145" w:afterLines="50" w:line="30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 （</w:t>
      </w:r>
      <w:r>
        <w:rPr>
          <w:rFonts w:hint="eastAsia" w:ascii="宋体" w:hAnsi="宋体" w:eastAsia="宋体" w:cs="宋体"/>
          <w:bCs/>
          <w:i/>
          <w:iCs/>
          <w:sz w:val="24"/>
          <w:highlight w:val="none"/>
          <w:u w:val="single"/>
        </w:rPr>
        <w:t>标的名称</w:t>
      </w:r>
      <w:r>
        <w:rPr>
          <w:rFonts w:hint="eastAsia" w:ascii="宋体" w:hAnsi="宋体" w:eastAsia="宋体" w:cs="宋体"/>
          <w:bCs/>
          <w:sz w:val="24"/>
          <w:highlight w:val="none"/>
        </w:rPr>
        <w:t>） ，属于（</w:t>
      </w:r>
      <w:r>
        <w:rPr>
          <w:rFonts w:hint="eastAsia" w:ascii="宋体" w:hAnsi="宋体" w:eastAsia="宋体" w:cs="宋体"/>
          <w:bCs/>
          <w:i/>
          <w:iCs/>
          <w:sz w:val="24"/>
          <w:highlight w:val="none"/>
          <w:u w:val="single"/>
        </w:rPr>
        <w:t>采购文件中明确的所属行业</w:t>
      </w:r>
      <w:r>
        <w:rPr>
          <w:rFonts w:hint="eastAsia" w:ascii="宋体" w:hAnsi="宋体" w:eastAsia="宋体" w:cs="宋体"/>
          <w:bCs/>
          <w:sz w:val="24"/>
          <w:highlight w:val="none"/>
        </w:rPr>
        <w:t>）；承建（承接）企业为（</w:t>
      </w:r>
      <w:r>
        <w:rPr>
          <w:rFonts w:hint="eastAsia" w:ascii="宋体" w:hAnsi="宋体" w:eastAsia="宋体" w:cs="宋体"/>
          <w:bCs/>
          <w:i/>
          <w:iCs/>
          <w:sz w:val="24"/>
          <w:highlight w:val="none"/>
          <w:u w:val="single"/>
        </w:rPr>
        <w:t>企业名称</w:t>
      </w:r>
      <w:r>
        <w:rPr>
          <w:rFonts w:hint="eastAsia" w:ascii="宋体" w:hAnsi="宋体" w:eastAsia="宋体" w:cs="宋体"/>
          <w:bCs/>
          <w:sz w:val="24"/>
          <w:highlight w:val="none"/>
        </w:rPr>
        <w:t>），从业人员</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rPr>
        <w:t>人，营业收入为</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rPr>
        <w:t>万元，资产总额为</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rPr>
        <w:t>万元，属于</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rPr>
        <w:t>（</w:t>
      </w:r>
      <w:r>
        <w:rPr>
          <w:rFonts w:hint="eastAsia" w:ascii="宋体" w:hAnsi="宋体" w:eastAsia="宋体" w:cs="宋体"/>
          <w:bCs/>
          <w:i/>
          <w:iCs/>
          <w:sz w:val="24"/>
          <w:highlight w:val="none"/>
          <w:u w:val="single"/>
        </w:rPr>
        <w:t>中型企业、小型企业、微型企业</w:t>
      </w:r>
      <w:r>
        <w:rPr>
          <w:rFonts w:hint="eastAsia" w:ascii="宋体" w:hAnsi="宋体" w:eastAsia="宋体" w:cs="宋体"/>
          <w:bCs/>
          <w:sz w:val="24"/>
          <w:highlight w:val="none"/>
        </w:rPr>
        <w:t>）；</w:t>
      </w:r>
    </w:p>
    <w:p w14:paraId="151C4DCC">
      <w:pPr>
        <w:spacing w:before="145" w:beforeLines="50" w:after="145" w:afterLines="50" w:line="30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 （</w:t>
      </w:r>
      <w:r>
        <w:rPr>
          <w:rFonts w:hint="eastAsia" w:ascii="宋体" w:hAnsi="宋体" w:eastAsia="宋体" w:cs="宋体"/>
          <w:bCs/>
          <w:i/>
          <w:iCs/>
          <w:sz w:val="24"/>
          <w:highlight w:val="none"/>
          <w:u w:val="single"/>
        </w:rPr>
        <w:t>标的名称</w:t>
      </w:r>
      <w:r>
        <w:rPr>
          <w:rFonts w:hint="eastAsia" w:ascii="宋体" w:hAnsi="宋体" w:eastAsia="宋体" w:cs="宋体"/>
          <w:bCs/>
          <w:sz w:val="24"/>
          <w:highlight w:val="none"/>
        </w:rPr>
        <w:t>） ，属于（</w:t>
      </w:r>
      <w:r>
        <w:rPr>
          <w:rFonts w:hint="eastAsia" w:ascii="宋体" w:hAnsi="宋体" w:eastAsia="宋体" w:cs="宋体"/>
          <w:bCs/>
          <w:i/>
          <w:iCs/>
          <w:sz w:val="24"/>
          <w:highlight w:val="none"/>
          <w:u w:val="single"/>
        </w:rPr>
        <w:t>采购文件中明确的所属行业</w:t>
      </w:r>
      <w:r>
        <w:rPr>
          <w:rFonts w:hint="eastAsia" w:ascii="宋体" w:hAnsi="宋体" w:eastAsia="宋体" w:cs="宋体"/>
          <w:bCs/>
          <w:sz w:val="24"/>
          <w:highlight w:val="none"/>
        </w:rPr>
        <w:t>）；承建（承接）企业为（</w:t>
      </w:r>
      <w:r>
        <w:rPr>
          <w:rFonts w:hint="eastAsia" w:ascii="宋体" w:hAnsi="宋体" w:eastAsia="宋体" w:cs="宋体"/>
          <w:bCs/>
          <w:i/>
          <w:iCs/>
          <w:sz w:val="24"/>
          <w:highlight w:val="none"/>
          <w:u w:val="single"/>
        </w:rPr>
        <w:t>企业名称</w:t>
      </w:r>
      <w:r>
        <w:rPr>
          <w:rFonts w:hint="eastAsia" w:ascii="宋体" w:hAnsi="宋体" w:eastAsia="宋体" w:cs="宋体"/>
          <w:bCs/>
          <w:sz w:val="24"/>
          <w:highlight w:val="none"/>
        </w:rPr>
        <w:t>），从业人员</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rPr>
        <w:t>人，营业收入为</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rPr>
        <w:t>万元，资产总额为</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rPr>
        <w:t>万元，属于</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rPr>
        <w:t>（</w:t>
      </w:r>
      <w:r>
        <w:rPr>
          <w:rFonts w:hint="eastAsia" w:ascii="宋体" w:hAnsi="宋体" w:eastAsia="宋体" w:cs="宋体"/>
          <w:bCs/>
          <w:i/>
          <w:iCs/>
          <w:sz w:val="24"/>
          <w:highlight w:val="none"/>
          <w:u w:val="single"/>
        </w:rPr>
        <w:t>中型企业、小型企业、微型企业</w:t>
      </w:r>
      <w:r>
        <w:rPr>
          <w:rFonts w:hint="eastAsia" w:ascii="宋体" w:hAnsi="宋体" w:eastAsia="宋体" w:cs="宋体"/>
          <w:bCs/>
          <w:sz w:val="24"/>
          <w:highlight w:val="none"/>
        </w:rPr>
        <w:t>）；</w:t>
      </w:r>
    </w:p>
    <w:p w14:paraId="7C24E87E">
      <w:pPr>
        <w:spacing w:before="145" w:beforeLines="50" w:after="145" w:afterLines="50" w:line="300" w:lineRule="auto"/>
        <w:rPr>
          <w:rFonts w:hint="eastAsia" w:ascii="宋体" w:hAnsi="宋体" w:eastAsia="宋体" w:cs="宋体"/>
          <w:bCs/>
          <w:sz w:val="24"/>
          <w:highlight w:val="none"/>
        </w:rPr>
      </w:pPr>
      <w:r>
        <w:rPr>
          <w:rFonts w:hint="eastAsia" w:ascii="宋体" w:hAnsi="宋体" w:eastAsia="宋体" w:cs="宋体"/>
          <w:bCs/>
          <w:sz w:val="24"/>
          <w:highlight w:val="none"/>
        </w:rPr>
        <w:t>……</w:t>
      </w:r>
    </w:p>
    <w:p w14:paraId="30AC5063">
      <w:pPr>
        <w:spacing w:before="145" w:beforeLines="50" w:after="145" w:afterLines="50" w:line="30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以上企业，不属于大企业的分支机构，不存在控股股东为大企业的情形，也不存在与大企业的负责人为同一人的情形。</w:t>
      </w:r>
    </w:p>
    <w:p w14:paraId="0DD711A6">
      <w:pPr>
        <w:spacing w:before="145" w:beforeLines="50" w:after="145" w:afterLines="50" w:line="30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本企业对上述声明内容的真实性负责。如有虚假，将依法承担相应责任。</w:t>
      </w:r>
    </w:p>
    <w:p w14:paraId="086EAB27">
      <w:pPr>
        <w:spacing w:before="145" w:beforeLines="50" w:after="145" w:afterLines="50" w:line="300" w:lineRule="auto"/>
        <w:rPr>
          <w:rFonts w:hint="eastAsia" w:ascii="宋体" w:hAnsi="宋体" w:eastAsia="宋体" w:cs="宋体"/>
          <w:bCs/>
          <w:sz w:val="24"/>
          <w:highlight w:val="none"/>
        </w:rPr>
      </w:pPr>
    </w:p>
    <w:p w14:paraId="2E716C86">
      <w:pPr>
        <w:spacing w:before="145" w:beforeLines="50" w:after="145" w:afterLines="50" w:line="300" w:lineRule="auto"/>
        <w:rPr>
          <w:rFonts w:hint="eastAsia" w:ascii="宋体" w:hAnsi="宋体" w:eastAsia="宋体" w:cs="宋体"/>
          <w:bCs/>
          <w:sz w:val="24"/>
          <w:highlight w:val="none"/>
        </w:rPr>
      </w:pPr>
    </w:p>
    <w:p w14:paraId="4E4C29A9">
      <w:pPr>
        <w:spacing w:before="145" w:beforeLines="50" w:after="145" w:afterLines="50" w:line="300" w:lineRule="auto"/>
        <w:ind w:firstLine="4320" w:firstLineChars="1800"/>
        <w:rPr>
          <w:rFonts w:hint="eastAsia" w:ascii="宋体" w:hAnsi="宋体" w:eastAsia="宋体" w:cs="宋体"/>
          <w:bCs/>
          <w:sz w:val="24"/>
          <w:highlight w:val="none"/>
        </w:rPr>
      </w:pPr>
      <w:r>
        <w:rPr>
          <w:rFonts w:hint="eastAsia" w:ascii="宋体" w:hAnsi="宋体" w:eastAsia="宋体" w:cs="宋体"/>
          <w:bCs/>
          <w:sz w:val="24"/>
          <w:highlight w:val="none"/>
        </w:rPr>
        <w:t>企业名称（盖章）：</w:t>
      </w:r>
    </w:p>
    <w:p w14:paraId="4676C192">
      <w:pPr>
        <w:spacing w:before="145" w:beforeLines="50" w:after="145" w:afterLines="50" w:line="300" w:lineRule="auto"/>
        <w:ind w:firstLine="4320" w:firstLineChars="1800"/>
        <w:rPr>
          <w:rFonts w:hint="eastAsia" w:ascii="宋体" w:hAnsi="宋体" w:eastAsia="宋体" w:cs="宋体"/>
          <w:bCs/>
          <w:sz w:val="24"/>
          <w:highlight w:val="none"/>
        </w:rPr>
      </w:pPr>
      <w:r>
        <w:rPr>
          <w:rFonts w:hint="eastAsia" w:ascii="宋体" w:hAnsi="宋体" w:eastAsia="宋体" w:cs="宋体"/>
          <w:bCs/>
          <w:sz w:val="24"/>
          <w:highlight w:val="none"/>
        </w:rPr>
        <w:t>日期：</w:t>
      </w:r>
    </w:p>
    <w:p w14:paraId="4AC92354">
      <w:pPr>
        <w:pStyle w:val="15"/>
        <w:ind w:left="0" w:leftChars="0" w:firstLine="0" w:firstLineChars="0"/>
        <w:rPr>
          <w:rFonts w:hint="eastAsia" w:ascii="宋体" w:hAnsi="宋体" w:eastAsia="宋体" w:cs="宋体"/>
          <w:highlight w:val="none"/>
          <w:lang w:val="en-US" w:eastAsia="zh-CN"/>
        </w:rPr>
      </w:pPr>
    </w:p>
    <w:p w14:paraId="5CE10BCC">
      <w:pPr>
        <w:rPr>
          <w:rFonts w:hint="eastAsia" w:ascii="宋体" w:hAnsi="宋体" w:eastAsia="宋体" w:cs="宋体"/>
          <w:highlight w:val="none"/>
          <w:lang w:val="en-US" w:eastAsia="zh-CN"/>
        </w:rPr>
      </w:pPr>
    </w:p>
    <w:p w14:paraId="5F8504AF">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18"/>
          <w:highlight w:val="none"/>
        </w:rPr>
      </w:pPr>
      <w:r>
        <w:rPr>
          <w:rFonts w:hint="eastAsia" w:ascii="宋体" w:hAnsi="宋体" w:eastAsia="宋体" w:cs="宋体"/>
          <w:b/>
          <w:bCs/>
          <w:sz w:val="18"/>
          <w:highlight w:val="none"/>
          <w:lang w:val="en-US" w:eastAsia="zh-CN"/>
        </w:rPr>
        <w:t>备注：1、</w:t>
      </w:r>
      <w:r>
        <w:rPr>
          <w:rFonts w:hint="eastAsia" w:ascii="宋体" w:hAnsi="宋体" w:eastAsia="宋体" w:cs="宋体"/>
          <w:b/>
          <w:bCs/>
          <w:sz w:val="18"/>
          <w:highlight w:val="none"/>
        </w:rPr>
        <w:t>从业人员、营业收入、资产总额填报上一年度数据，无上一年度数据的新成立企业可不填报。</w:t>
      </w:r>
    </w:p>
    <w:p w14:paraId="08C23334">
      <w:pPr>
        <w:keepNext w:val="0"/>
        <w:keepLines w:val="0"/>
        <w:pageBreakBefore w:val="0"/>
        <w:widowControl/>
        <w:kinsoku/>
        <w:wordWrap/>
        <w:overflowPunct/>
        <w:topLinePunct w:val="0"/>
        <w:autoSpaceDE/>
        <w:autoSpaceDN/>
        <w:bidi w:val="0"/>
        <w:adjustRightInd/>
        <w:snapToGrid/>
        <w:spacing w:line="400" w:lineRule="exact"/>
        <w:ind w:firstLine="542" w:firstLineChars="300"/>
        <w:jc w:val="both"/>
        <w:textAlignment w:val="auto"/>
        <w:rPr>
          <w:rFonts w:hint="eastAsia" w:ascii="宋体" w:hAnsi="宋体" w:eastAsia="宋体" w:cs="宋体"/>
          <w:b/>
          <w:bCs/>
          <w:sz w:val="18"/>
          <w:szCs w:val="22"/>
          <w:highlight w:val="none"/>
          <w:lang w:val="en-US" w:eastAsia="zh-CN"/>
        </w:rPr>
      </w:pPr>
      <w:r>
        <w:rPr>
          <w:rFonts w:hint="eastAsia" w:ascii="宋体" w:hAnsi="宋体" w:eastAsia="宋体" w:cs="宋体"/>
          <w:b/>
          <w:bCs/>
          <w:sz w:val="18"/>
          <w:szCs w:val="22"/>
          <w:highlight w:val="none"/>
          <w:lang w:val="en-US" w:eastAsia="zh-CN"/>
        </w:rPr>
        <w:t>2、投标人为中小企业时需提供本声明函，并完整填写从业人员、营业收入、资产总额等内容，否则评审时不能享受相应的价格扣除。</w:t>
      </w:r>
    </w:p>
    <w:p w14:paraId="703C86A6">
      <w:pPr>
        <w:adjustRightInd w:val="0"/>
        <w:snapToGrid w:val="0"/>
        <w:spacing w:line="360" w:lineRule="auto"/>
        <w:rPr>
          <w:rFonts w:hint="eastAsia" w:ascii="宋体" w:hAnsi="宋体"/>
          <w:color w:val="auto"/>
          <w:sz w:val="24"/>
          <w:szCs w:val="24"/>
          <w:highlight w:val="none"/>
        </w:rPr>
      </w:pPr>
    </w:p>
    <w:p w14:paraId="11CD507E">
      <w:pPr>
        <w:pStyle w:val="5"/>
        <w:rPr>
          <w:rFonts w:hint="eastAsia"/>
          <w:color w:val="auto"/>
          <w:highlight w:val="none"/>
        </w:rPr>
      </w:pPr>
    </w:p>
    <w:p w14:paraId="6C958608">
      <w:pPr>
        <w:adjustRightInd w:val="0"/>
        <w:snapToGrid w:val="0"/>
        <w:spacing w:line="360" w:lineRule="auto"/>
        <w:rPr>
          <w:rFonts w:hint="eastAsia" w:ascii="宋体" w:hAnsi="宋体"/>
          <w:color w:val="auto"/>
          <w:sz w:val="24"/>
          <w:szCs w:val="24"/>
          <w:highlight w:val="none"/>
        </w:rPr>
      </w:pPr>
    </w:p>
    <w:p w14:paraId="3AEAB68C">
      <w:pPr>
        <w:pStyle w:val="187"/>
        <w:widowControl/>
        <w:rPr>
          <w:rFonts w:hint="eastAsia"/>
          <w:color w:val="auto"/>
          <w:sz w:val="24"/>
          <w:highlight w:val="none"/>
        </w:rPr>
      </w:pPr>
      <w:r>
        <w:rPr>
          <w:rFonts w:hint="eastAsia"/>
          <w:color w:val="auto"/>
          <w:sz w:val="24"/>
          <w:highlight w:val="none"/>
        </w:rPr>
        <w:br w:type="page"/>
      </w:r>
      <w:r>
        <w:rPr>
          <w:rFonts w:hint="eastAsia"/>
          <w:color w:val="auto"/>
          <w:sz w:val="24"/>
          <w:highlight w:val="none"/>
        </w:rPr>
        <w:t>附：</w:t>
      </w:r>
    </w:p>
    <w:p w14:paraId="64F04298">
      <w:pPr>
        <w:pStyle w:val="2"/>
        <w:keepNext w:val="0"/>
        <w:keepLines w:val="0"/>
        <w:widowControl/>
        <w:spacing w:before="0" w:after="0" w:line="630" w:lineRule="atLeast"/>
        <w:textAlignment w:val="baseline"/>
        <w:rPr>
          <w:rFonts w:cs="Arial"/>
          <w:b/>
          <w:color w:val="auto"/>
          <w:sz w:val="42"/>
          <w:szCs w:val="42"/>
          <w:highlight w:val="none"/>
        </w:rPr>
      </w:pPr>
      <w:bookmarkStart w:id="364" w:name="_Toc29413"/>
      <w:bookmarkStart w:id="365" w:name="_Toc12085"/>
      <w:bookmarkStart w:id="366" w:name="_Toc6700"/>
      <w:bookmarkStart w:id="367" w:name="_Toc14985"/>
      <w:bookmarkStart w:id="368" w:name="_Toc5220"/>
      <w:bookmarkStart w:id="369" w:name="_Toc103806954"/>
      <w:r>
        <w:rPr>
          <w:rFonts w:hint="eastAsia" w:cs="Arial"/>
          <w:b/>
          <w:color w:val="auto"/>
          <w:sz w:val="36"/>
          <w:szCs w:val="36"/>
          <w:highlight w:val="none"/>
        </w:rPr>
        <w:t>关</w:t>
      </w:r>
      <w:r>
        <w:rPr>
          <w:rFonts w:cs="Arial"/>
          <w:b/>
          <w:color w:val="auto"/>
          <w:sz w:val="36"/>
          <w:szCs w:val="36"/>
          <w:highlight w:val="none"/>
        </w:rPr>
        <w:t>于印发中小企业划型标准规定的通知工信部联企业〔2011〕300号</w:t>
      </w:r>
      <w:bookmarkEnd w:id="364"/>
      <w:bookmarkEnd w:id="365"/>
      <w:bookmarkEnd w:id="366"/>
      <w:bookmarkEnd w:id="367"/>
      <w:bookmarkEnd w:id="368"/>
      <w:bookmarkEnd w:id="369"/>
    </w:p>
    <w:p w14:paraId="7251EB1C">
      <w:pPr>
        <w:pStyle w:val="35"/>
        <w:spacing w:before="0" w:beforeAutospacing="0" w:afterAutospacing="0" w:line="360" w:lineRule="auto"/>
        <w:ind w:firstLine="480" w:firstLineChars="200"/>
        <w:textAlignment w:val="baseline"/>
        <w:rPr>
          <w:color w:val="auto"/>
          <w:kern w:val="2"/>
          <w:szCs w:val="24"/>
          <w:highlight w:val="none"/>
        </w:rPr>
      </w:pPr>
      <w:r>
        <w:rPr>
          <w:color w:val="auto"/>
          <w:kern w:val="2"/>
          <w:szCs w:val="24"/>
          <w:highlight w:val="none"/>
        </w:rPr>
        <w:t>各省、自治区、直辖市人民政府，国务院各部委、各直属机构及有关单位：</w:t>
      </w:r>
    </w:p>
    <w:p w14:paraId="0E3F9C42">
      <w:pPr>
        <w:pStyle w:val="35"/>
        <w:spacing w:before="0" w:beforeAutospacing="0" w:afterAutospacing="0" w:line="360" w:lineRule="auto"/>
        <w:ind w:firstLine="480" w:firstLineChars="200"/>
        <w:textAlignment w:val="baseline"/>
        <w:rPr>
          <w:color w:val="auto"/>
          <w:kern w:val="2"/>
          <w:szCs w:val="24"/>
          <w:highlight w:val="none"/>
        </w:rPr>
      </w:pPr>
      <w:r>
        <w:rPr>
          <w:color w:val="auto"/>
          <w:kern w:val="2"/>
          <w:szCs w:val="24"/>
          <w:highlight w:val="none"/>
        </w:rPr>
        <w:t>为贯彻落实《中华人民共和国中小企业促进法》和《国务院关于进一步促进中小企业发展的若干意见》（国发〔2009〕36号），工业和信息化部、国家统计局、发展改革委、财政部研究制定了《中小企业划型标准规定》。</w:t>
      </w:r>
    </w:p>
    <w:p w14:paraId="5830CADC">
      <w:pPr>
        <w:pStyle w:val="35"/>
        <w:spacing w:before="0" w:beforeAutospacing="0" w:afterAutospacing="0" w:line="360" w:lineRule="auto"/>
        <w:ind w:firstLine="480" w:firstLineChars="200"/>
        <w:textAlignment w:val="baseline"/>
        <w:rPr>
          <w:color w:val="auto"/>
          <w:kern w:val="2"/>
          <w:szCs w:val="24"/>
          <w:highlight w:val="none"/>
        </w:rPr>
      </w:pPr>
      <w:r>
        <w:rPr>
          <w:color w:val="auto"/>
          <w:kern w:val="2"/>
          <w:szCs w:val="24"/>
          <w:highlight w:val="none"/>
        </w:rPr>
        <w:t>经国务院同意，现印发给你们，请遵照执行。</w:t>
      </w:r>
    </w:p>
    <w:p w14:paraId="1DF8BBB9">
      <w:pPr>
        <w:pStyle w:val="35"/>
        <w:spacing w:before="0" w:beforeAutospacing="0" w:afterAutospacing="0" w:line="360" w:lineRule="auto"/>
        <w:ind w:firstLine="480" w:firstLineChars="200"/>
        <w:textAlignment w:val="baseline"/>
        <w:rPr>
          <w:rFonts w:ascii="Arial" w:hAnsi="Arial" w:cs="Arial"/>
          <w:b/>
          <w:bCs/>
          <w:color w:val="auto"/>
          <w:sz w:val="27"/>
          <w:szCs w:val="27"/>
          <w:highlight w:val="none"/>
        </w:rPr>
      </w:pPr>
      <w:r>
        <w:rPr>
          <w:color w:val="auto"/>
          <w:kern w:val="2"/>
          <w:szCs w:val="24"/>
          <w:highlight w:val="none"/>
        </w:rPr>
        <w:t>附件：</w:t>
      </w:r>
    </w:p>
    <w:p w14:paraId="37C6F2A2">
      <w:pPr>
        <w:pStyle w:val="35"/>
        <w:spacing w:before="0" w:beforeAutospacing="0" w:afterAutospacing="0"/>
        <w:ind w:firstLine="540"/>
        <w:jc w:val="center"/>
        <w:textAlignment w:val="baseline"/>
        <w:rPr>
          <w:rFonts w:ascii="Arial" w:hAnsi="Arial" w:cs="Arial"/>
          <w:color w:val="auto"/>
          <w:sz w:val="27"/>
          <w:szCs w:val="27"/>
          <w:highlight w:val="none"/>
        </w:rPr>
      </w:pPr>
      <w:r>
        <w:rPr>
          <w:rFonts w:ascii="Arial" w:hAnsi="Arial" w:cs="Arial"/>
          <w:b/>
          <w:bCs/>
          <w:color w:val="auto"/>
          <w:sz w:val="27"/>
          <w:szCs w:val="27"/>
          <w:highlight w:val="none"/>
        </w:rPr>
        <w:t>中小企业划型标准规定</w:t>
      </w:r>
    </w:p>
    <w:p w14:paraId="0C16DB64">
      <w:pPr>
        <w:pStyle w:val="35"/>
        <w:spacing w:before="0" w:beforeAutospacing="0" w:afterAutospacing="0" w:line="360" w:lineRule="auto"/>
        <w:ind w:firstLine="480" w:firstLineChars="200"/>
        <w:textAlignment w:val="baseline"/>
        <w:rPr>
          <w:color w:val="auto"/>
          <w:kern w:val="2"/>
          <w:szCs w:val="24"/>
          <w:highlight w:val="none"/>
        </w:rPr>
      </w:pPr>
      <w:r>
        <w:rPr>
          <w:color w:val="auto"/>
          <w:kern w:val="2"/>
          <w:szCs w:val="24"/>
          <w:highlight w:val="none"/>
        </w:rPr>
        <w:t>一、根据《中华人民共和国中小企业促进法》和《国务院关于进一步促进中小企业发展的若干意见》(国发〔2009〕36号)，制定本规定。</w:t>
      </w:r>
    </w:p>
    <w:p w14:paraId="61DB2CA2">
      <w:pPr>
        <w:pStyle w:val="35"/>
        <w:spacing w:before="0" w:beforeAutospacing="0" w:afterAutospacing="0" w:line="360" w:lineRule="auto"/>
        <w:ind w:firstLine="480" w:firstLineChars="200"/>
        <w:textAlignment w:val="baseline"/>
        <w:rPr>
          <w:color w:val="auto"/>
          <w:kern w:val="2"/>
          <w:szCs w:val="24"/>
          <w:highlight w:val="none"/>
        </w:rPr>
      </w:pPr>
      <w:r>
        <w:rPr>
          <w:color w:val="auto"/>
          <w:kern w:val="2"/>
          <w:szCs w:val="24"/>
          <w:highlight w:val="none"/>
        </w:rPr>
        <w:t>二、中小企业划分为中型、小型、微型三种类型，具体标准根据企业从业人员、营业收入、资产总额等指标，结合行业特点制定。</w:t>
      </w:r>
    </w:p>
    <w:p w14:paraId="5917F471">
      <w:pPr>
        <w:pStyle w:val="35"/>
        <w:spacing w:before="0" w:beforeAutospacing="0" w:afterAutospacing="0" w:line="360" w:lineRule="auto"/>
        <w:ind w:firstLine="480" w:firstLineChars="200"/>
        <w:textAlignment w:val="baseline"/>
        <w:rPr>
          <w:color w:val="auto"/>
          <w:kern w:val="2"/>
          <w:szCs w:val="24"/>
          <w:highlight w:val="none"/>
        </w:rPr>
      </w:pPr>
      <w:r>
        <w:rPr>
          <w:color w:val="auto"/>
          <w:kern w:val="2"/>
          <w:szCs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w:t>
      </w:r>
      <w:r>
        <w:rPr>
          <w:rFonts w:hint="eastAsia"/>
          <w:color w:val="auto"/>
          <w:kern w:val="2"/>
          <w:szCs w:val="24"/>
          <w:highlight w:val="none"/>
          <w:lang w:eastAsia="zh-CN"/>
        </w:rPr>
        <w:t>其他未列明行业（社会工作）</w:t>
      </w:r>
      <w:r>
        <w:rPr>
          <w:color w:val="auto"/>
          <w:kern w:val="2"/>
          <w:szCs w:val="24"/>
          <w:highlight w:val="none"/>
        </w:rPr>
        <w:t>，房地产开发经营，物业管理，租赁和商务服务业，其他未列明行业（包括科学研究和技术服务业，水利、环境和公共设施管理业，居民服务、修理和其他服务业，社会工作，文化、体育和娱乐业等）。</w:t>
      </w:r>
    </w:p>
    <w:p w14:paraId="60AB5B87">
      <w:pPr>
        <w:pStyle w:val="35"/>
        <w:spacing w:before="0" w:beforeAutospacing="0" w:afterAutospacing="0" w:line="360" w:lineRule="auto"/>
        <w:ind w:firstLine="480" w:firstLineChars="200"/>
        <w:textAlignment w:val="baseline"/>
        <w:rPr>
          <w:color w:val="auto"/>
          <w:kern w:val="2"/>
          <w:szCs w:val="24"/>
          <w:highlight w:val="none"/>
        </w:rPr>
      </w:pPr>
      <w:r>
        <w:rPr>
          <w:color w:val="auto"/>
          <w:kern w:val="2"/>
          <w:szCs w:val="24"/>
          <w:highlight w:val="none"/>
        </w:rPr>
        <w:t>四、各行业划型标准为：</w:t>
      </w:r>
    </w:p>
    <w:p w14:paraId="22785535">
      <w:pPr>
        <w:pStyle w:val="35"/>
        <w:spacing w:before="0" w:beforeAutospacing="0" w:afterAutospacing="0" w:line="360" w:lineRule="auto"/>
        <w:ind w:firstLine="480" w:firstLineChars="200"/>
        <w:textAlignment w:val="baseline"/>
        <w:rPr>
          <w:color w:val="auto"/>
          <w:kern w:val="2"/>
          <w:szCs w:val="24"/>
          <w:highlight w:val="none"/>
        </w:rPr>
      </w:pPr>
      <w:r>
        <w:rPr>
          <w:color w:val="auto"/>
          <w:kern w:val="2"/>
          <w:szCs w:val="24"/>
          <w:highlight w:val="none"/>
        </w:rPr>
        <w:t>（一）农、林、牧、渔业。营业收入20000万元以下的为中小微型企业。其中，营业收入500万元及以上的为中型企业，营业收入50万元及以上的为小型企业，营业收入50万元以下的为微型企业。</w:t>
      </w:r>
    </w:p>
    <w:p w14:paraId="6256CD23">
      <w:pPr>
        <w:pStyle w:val="35"/>
        <w:spacing w:before="0" w:beforeAutospacing="0" w:afterAutospacing="0" w:line="360" w:lineRule="auto"/>
        <w:ind w:firstLine="480" w:firstLineChars="200"/>
        <w:textAlignment w:val="baseline"/>
        <w:rPr>
          <w:color w:val="auto"/>
          <w:kern w:val="2"/>
          <w:szCs w:val="24"/>
          <w:highlight w:val="none"/>
        </w:rPr>
      </w:pPr>
      <w:r>
        <w:rPr>
          <w:color w:val="auto"/>
          <w:kern w:val="2"/>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0D5091B">
      <w:pPr>
        <w:pStyle w:val="35"/>
        <w:spacing w:before="0" w:beforeAutospacing="0" w:afterAutospacing="0" w:line="360" w:lineRule="auto"/>
        <w:ind w:firstLine="480" w:firstLineChars="200"/>
        <w:textAlignment w:val="baseline"/>
        <w:rPr>
          <w:color w:val="auto"/>
          <w:kern w:val="2"/>
          <w:szCs w:val="24"/>
          <w:highlight w:val="none"/>
        </w:rPr>
      </w:pPr>
      <w:r>
        <w:rPr>
          <w:color w:val="auto"/>
          <w:kern w:val="2"/>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4D10DA5">
      <w:pPr>
        <w:pStyle w:val="35"/>
        <w:spacing w:before="0" w:beforeAutospacing="0" w:afterAutospacing="0" w:line="360" w:lineRule="auto"/>
        <w:ind w:firstLine="480" w:firstLineChars="200"/>
        <w:textAlignment w:val="baseline"/>
        <w:rPr>
          <w:color w:val="auto"/>
          <w:kern w:val="2"/>
          <w:szCs w:val="24"/>
          <w:highlight w:val="none"/>
        </w:rPr>
      </w:pPr>
      <w:r>
        <w:rPr>
          <w:color w:val="auto"/>
          <w:kern w:val="2"/>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1DF00FE">
      <w:pPr>
        <w:pStyle w:val="35"/>
        <w:spacing w:before="0" w:beforeAutospacing="0" w:afterAutospacing="0" w:line="360" w:lineRule="auto"/>
        <w:ind w:firstLine="480" w:firstLineChars="200"/>
        <w:textAlignment w:val="baseline"/>
        <w:rPr>
          <w:color w:val="auto"/>
          <w:kern w:val="2"/>
          <w:szCs w:val="24"/>
          <w:highlight w:val="none"/>
        </w:rPr>
      </w:pPr>
      <w:r>
        <w:rPr>
          <w:color w:val="auto"/>
          <w:kern w:val="2"/>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961E408">
      <w:pPr>
        <w:pStyle w:val="35"/>
        <w:spacing w:before="0" w:beforeAutospacing="0" w:afterAutospacing="0" w:line="360" w:lineRule="auto"/>
        <w:ind w:firstLine="480" w:firstLineChars="200"/>
        <w:textAlignment w:val="baseline"/>
        <w:rPr>
          <w:color w:val="auto"/>
          <w:kern w:val="2"/>
          <w:szCs w:val="24"/>
          <w:highlight w:val="none"/>
        </w:rPr>
      </w:pPr>
      <w:r>
        <w:rPr>
          <w:color w:val="auto"/>
          <w:kern w:val="2"/>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5C91727">
      <w:pPr>
        <w:pStyle w:val="35"/>
        <w:spacing w:before="0" w:beforeAutospacing="0" w:afterAutospacing="0" w:line="360" w:lineRule="auto"/>
        <w:ind w:firstLine="480" w:firstLineChars="200"/>
        <w:textAlignment w:val="baseline"/>
        <w:rPr>
          <w:color w:val="auto"/>
          <w:kern w:val="2"/>
          <w:szCs w:val="24"/>
          <w:highlight w:val="none"/>
        </w:rPr>
      </w:pPr>
      <w:r>
        <w:rPr>
          <w:color w:val="auto"/>
          <w:kern w:val="2"/>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961182E">
      <w:pPr>
        <w:pStyle w:val="35"/>
        <w:spacing w:before="0" w:beforeAutospacing="0" w:afterAutospacing="0" w:line="360" w:lineRule="auto"/>
        <w:ind w:firstLine="480" w:firstLineChars="200"/>
        <w:textAlignment w:val="baseline"/>
        <w:rPr>
          <w:color w:val="auto"/>
          <w:kern w:val="2"/>
          <w:szCs w:val="24"/>
          <w:highlight w:val="none"/>
        </w:rPr>
      </w:pPr>
      <w:r>
        <w:rPr>
          <w:color w:val="auto"/>
          <w:kern w:val="2"/>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67D30F5">
      <w:pPr>
        <w:pStyle w:val="35"/>
        <w:spacing w:before="0" w:beforeAutospacing="0" w:afterAutospacing="0" w:line="360" w:lineRule="auto"/>
        <w:ind w:firstLine="480" w:firstLineChars="200"/>
        <w:textAlignment w:val="baseline"/>
        <w:rPr>
          <w:color w:val="auto"/>
          <w:kern w:val="2"/>
          <w:szCs w:val="24"/>
          <w:highlight w:val="none"/>
        </w:rPr>
      </w:pPr>
      <w:r>
        <w:rPr>
          <w:color w:val="auto"/>
          <w:kern w:val="2"/>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BF2A745">
      <w:pPr>
        <w:pStyle w:val="35"/>
        <w:spacing w:before="0" w:beforeAutospacing="0" w:afterAutospacing="0" w:line="360" w:lineRule="auto"/>
        <w:ind w:firstLine="480" w:firstLineChars="200"/>
        <w:textAlignment w:val="baseline"/>
        <w:rPr>
          <w:color w:val="auto"/>
          <w:kern w:val="2"/>
          <w:szCs w:val="24"/>
          <w:highlight w:val="none"/>
        </w:rPr>
      </w:pPr>
      <w:r>
        <w:rPr>
          <w:color w:val="auto"/>
          <w:kern w:val="2"/>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637B74F">
      <w:pPr>
        <w:pStyle w:val="35"/>
        <w:spacing w:before="0" w:beforeAutospacing="0" w:afterAutospacing="0" w:line="360" w:lineRule="auto"/>
        <w:ind w:firstLine="480" w:firstLineChars="200"/>
        <w:textAlignment w:val="baseline"/>
        <w:rPr>
          <w:color w:val="auto"/>
          <w:kern w:val="2"/>
          <w:szCs w:val="24"/>
          <w:highlight w:val="none"/>
        </w:rPr>
      </w:pPr>
      <w:r>
        <w:rPr>
          <w:color w:val="auto"/>
          <w:kern w:val="2"/>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C838FCF">
      <w:pPr>
        <w:pStyle w:val="35"/>
        <w:spacing w:before="0" w:beforeAutospacing="0" w:afterAutospacing="0" w:line="360" w:lineRule="auto"/>
        <w:ind w:firstLine="480" w:firstLineChars="200"/>
        <w:textAlignment w:val="baseline"/>
        <w:rPr>
          <w:color w:val="auto"/>
          <w:kern w:val="2"/>
          <w:szCs w:val="24"/>
          <w:highlight w:val="none"/>
        </w:rPr>
      </w:pPr>
      <w:r>
        <w:rPr>
          <w:color w:val="auto"/>
          <w:kern w:val="2"/>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F6C5002">
      <w:pPr>
        <w:pStyle w:val="35"/>
        <w:spacing w:before="0" w:beforeAutospacing="0" w:afterAutospacing="0" w:line="360" w:lineRule="auto"/>
        <w:ind w:firstLine="480" w:firstLineChars="200"/>
        <w:textAlignment w:val="baseline"/>
        <w:rPr>
          <w:color w:val="auto"/>
          <w:kern w:val="2"/>
          <w:szCs w:val="24"/>
          <w:highlight w:val="none"/>
        </w:rPr>
      </w:pPr>
      <w:r>
        <w:rPr>
          <w:color w:val="auto"/>
          <w:kern w:val="2"/>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8ADCBA8">
      <w:pPr>
        <w:pStyle w:val="35"/>
        <w:spacing w:before="0" w:beforeAutospacing="0" w:afterAutospacing="0" w:line="360" w:lineRule="auto"/>
        <w:ind w:firstLine="480" w:firstLineChars="200"/>
        <w:textAlignment w:val="baseline"/>
        <w:rPr>
          <w:color w:val="auto"/>
          <w:kern w:val="2"/>
          <w:szCs w:val="24"/>
          <w:highlight w:val="none"/>
        </w:rPr>
      </w:pPr>
      <w:r>
        <w:rPr>
          <w:color w:val="auto"/>
          <w:kern w:val="2"/>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CB21491">
      <w:pPr>
        <w:pStyle w:val="35"/>
        <w:spacing w:before="0" w:beforeAutospacing="0" w:afterAutospacing="0" w:line="360" w:lineRule="auto"/>
        <w:ind w:firstLine="480" w:firstLineChars="200"/>
        <w:textAlignment w:val="baseline"/>
        <w:rPr>
          <w:color w:val="auto"/>
          <w:kern w:val="2"/>
          <w:szCs w:val="24"/>
          <w:highlight w:val="none"/>
        </w:rPr>
      </w:pPr>
      <w:r>
        <w:rPr>
          <w:color w:val="auto"/>
          <w:kern w:val="2"/>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D7C21AA">
      <w:pPr>
        <w:pStyle w:val="35"/>
        <w:spacing w:before="0" w:beforeAutospacing="0" w:afterAutospacing="0" w:line="360" w:lineRule="auto"/>
        <w:ind w:firstLine="480" w:firstLineChars="200"/>
        <w:textAlignment w:val="baseline"/>
        <w:rPr>
          <w:color w:val="auto"/>
          <w:kern w:val="2"/>
          <w:szCs w:val="24"/>
          <w:highlight w:val="none"/>
        </w:rPr>
      </w:pPr>
      <w:r>
        <w:rPr>
          <w:color w:val="auto"/>
          <w:kern w:val="2"/>
          <w:szCs w:val="24"/>
          <w:highlight w:val="none"/>
        </w:rPr>
        <w:t>（十六）其他未列明行业。从业人员300人以下的为中小微型企业。其中，从业人员100人及以上的为中型企业；从业人员10人及以上的为小型企业；从业人员10人以下的为微型企业。</w:t>
      </w:r>
    </w:p>
    <w:p w14:paraId="0A47D813">
      <w:pPr>
        <w:pStyle w:val="35"/>
        <w:spacing w:before="0" w:beforeAutospacing="0" w:afterAutospacing="0" w:line="360" w:lineRule="auto"/>
        <w:ind w:firstLine="480" w:firstLineChars="200"/>
        <w:textAlignment w:val="baseline"/>
        <w:rPr>
          <w:color w:val="auto"/>
          <w:kern w:val="2"/>
          <w:szCs w:val="24"/>
          <w:highlight w:val="none"/>
        </w:rPr>
      </w:pPr>
      <w:r>
        <w:rPr>
          <w:color w:val="auto"/>
          <w:kern w:val="2"/>
          <w:szCs w:val="24"/>
          <w:highlight w:val="none"/>
        </w:rPr>
        <w:t>五、企业类型的划分以统计部门的统计数据为依据。</w:t>
      </w:r>
    </w:p>
    <w:p w14:paraId="70A95856">
      <w:pPr>
        <w:pStyle w:val="35"/>
        <w:spacing w:before="0" w:beforeAutospacing="0" w:afterAutospacing="0" w:line="360" w:lineRule="auto"/>
        <w:ind w:firstLine="480" w:firstLineChars="200"/>
        <w:textAlignment w:val="baseline"/>
        <w:rPr>
          <w:color w:val="auto"/>
          <w:kern w:val="2"/>
          <w:szCs w:val="24"/>
          <w:highlight w:val="none"/>
        </w:rPr>
      </w:pPr>
      <w:r>
        <w:rPr>
          <w:color w:val="auto"/>
          <w:kern w:val="2"/>
          <w:szCs w:val="24"/>
          <w:highlight w:val="none"/>
        </w:rPr>
        <w:t>六、本规定适用于在中华人民共和国境内依法设立的各类所有制和各种组织形式的企业。个体工商户和本规定以外的行业，参照本规定进行划型。</w:t>
      </w:r>
    </w:p>
    <w:p w14:paraId="27369F9B">
      <w:pPr>
        <w:pStyle w:val="35"/>
        <w:spacing w:before="0" w:beforeAutospacing="0" w:afterAutospacing="0" w:line="360" w:lineRule="auto"/>
        <w:ind w:firstLine="480" w:firstLineChars="200"/>
        <w:textAlignment w:val="baseline"/>
        <w:rPr>
          <w:color w:val="auto"/>
          <w:kern w:val="2"/>
          <w:szCs w:val="24"/>
          <w:highlight w:val="none"/>
        </w:rPr>
      </w:pPr>
      <w:r>
        <w:rPr>
          <w:color w:val="auto"/>
          <w:kern w:val="2"/>
          <w:szCs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7DC06155">
      <w:pPr>
        <w:pStyle w:val="35"/>
        <w:spacing w:before="0" w:beforeAutospacing="0" w:afterAutospacing="0" w:line="360" w:lineRule="auto"/>
        <w:ind w:firstLine="480" w:firstLineChars="200"/>
        <w:textAlignment w:val="baseline"/>
        <w:rPr>
          <w:color w:val="auto"/>
          <w:kern w:val="2"/>
          <w:szCs w:val="24"/>
          <w:highlight w:val="none"/>
        </w:rPr>
      </w:pPr>
      <w:r>
        <w:rPr>
          <w:color w:val="auto"/>
          <w:kern w:val="2"/>
          <w:szCs w:val="24"/>
          <w:highlight w:val="none"/>
        </w:rPr>
        <w:t>八、本规定由工业和信息化部、国家统计局会同有关部门根据《国民经济行业分类》修订情况和企业发展变化情况适时修订。</w:t>
      </w:r>
    </w:p>
    <w:p w14:paraId="66BA64BE">
      <w:pPr>
        <w:pStyle w:val="35"/>
        <w:spacing w:before="0" w:beforeAutospacing="0" w:afterAutospacing="0" w:line="360" w:lineRule="auto"/>
        <w:ind w:firstLine="480" w:firstLineChars="200"/>
        <w:textAlignment w:val="baseline"/>
        <w:rPr>
          <w:color w:val="auto"/>
          <w:kern w:val="2"/>
          <w:szCs w:val="24"/>
          <w:highlight w:val="none"/>
        </w:rPr>
      </w:pPr>
      <w:r>
        <w:rPr>
          <w:color w:val="auto"/>
          <w:kern w:val="2"/>
          <w:szCs w:val="24"/>
          <w:highlight w:val="none"/>
        </w:rPr>
        <w:t>九、本规定由工业和信息化部、国家统计局会同有关部门负责解释。</w:t>
      </w:r>
    </w:p>
    <w:p w14:paraId="449538B9">
      <w:pPr>
        <w:pStyle w:val="187"/>
        <w:widowControl/>
        <w:rPr>
          <w:rFonts w:ascii="宋体" w:hAnsi="宋体"/>
          <w:color w:val="auto"/>
          <w:sz w:val="24"/>
          <w:highlight w:val="none"/>
        </w:rPr>
      </w:pPr>
      <w:r>
        <w:rPr>
          <w:rFonts w:ascii="宋体" w:hAnsi="宋体"/>
          <w:color w:val="auto"/>
          <w:sz w:val="24"/>
          <w:highlight w:val="none"/>
        </w:rPr>
        <w:t>十、本规定自发布之日起执行，原国家经贸委、原国家计委、财政部和国家统计局2003年颁布的《中小企业标准暂行规定》同时废止。</w:t>
      </w:r>
    </w:p>
    <w:p w14:paraId="7457C69E">
      <w:pPr>
        <w:adjustRightInd w:val="0"/>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br w:type="page"/>
      </w:r>
    </w:p>
    <w:p w14:paraId="6C35515F">
      <w:pPr>
        <w:pStyle w:val="160"/>
        <w:jc w:val="center"/>
        <w:rPr>
          <w:rFonts w:hint="eastAsia" w:cs="Times New Roman"/>
          <w:color w:val="auto"/>
          <w:kern w:val="2"/>
          <w:highlight w:val="none"/>
        </w:rPr>
      </w:pPr>
    </w:p>
    <w:p w14:paraId="54D9BD36">
      <w:pPr>
        <w:pStyle w:val="160"/>
        <w:jc w:val="center"/>
        <w:rPr>
          <w:rFonts w:hint="eastAsia" w:cs="Times New Roman"/>
          <w:color w:val="auto"/>
          <w:kern w:val="2"/>
          <w:highlight w:val="none"/>
        </w:rPr>
      </w:pPr>
      <w:r>
        <w:rPr>
          <w:rFonts w:hint="eastAsia" w:cs="Times New Roman"/>
          <w:color w:val="auto"/>
          <w:kern w:val="2"/>
          <w:highlight w:val="none"/>
        </w:rPr>
        <w:t>监狱企业证明文件（如适用）</w:t>
      </w:r>
    </w:p>
    <w:p w14:paraId="4F591819">
      <w:pPr>
        <w:pStyle w:val="142"/>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 xml:space="preserve"> </w:t>
      </w:r>
    </w:p>
    <w:p w14:paraId="2C953B55">
      <w:pPr>
        <w:pStyle w:val="142"/>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 xml:space="preserve"> </w:t>
      </w:r>
    </w:p>
    <w:p w14:paraId="6E10576B">
      <w:pPr>
        <w:pStyle w:val="142"/>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 xml:space="preserve"> </w:t>
      </w:r>
    </w:p>
    <w:p w14:paraId="5382CFD4">
      <w:pPr>
        <w:pStyle w:val="142"/>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 xml:space="preserve"> </w:t>
      </w:r>
    </w:p>
    <w:p w14:paraId="347983BC">
      <w:pPr>
        <w:pStyle w:val="142"/>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 xml:space="preserve"> </w:t>
      </w:r>
    </w:p>
    <w:p w14:paraId="4A977FAC">
      <w:pPr>
        <w:pStyle w:val="142"/>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 xml:space="preserve"> </w:t>
      </w:r>
    </w:p>
    <w:p w14:paraId="6384744E">
      <w:pPr>
        <w:pStyle w:val="142"/>
        <w:jc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投标人如是监狱企业，提供相关证明文件。</w:t>
      </w:r>
    </w:p>
    <w:p w14:paraId="36E1B266">
      <w:pPr>
        <w:pStyle w:val="142"/>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 xml:space="preserve"> </w:t>
      </w:r>
    </w:p>
    <w:p w14:paraId="64C59E43">
      <w:pPr>
        <w:pStyle w:val="142"/>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 xml:space="preserve"> </w:t>
      </w:r>
    </w:p>
    <w:p w14:paraId="74C6D00C">
      <w:pPr>
        <w:pStyle w:val="142"/>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 xml:space="preserve"> </w:t>
      </w:r>
    </w:p>
    <w:p w14:paraId="6EDC3890">
      <w:pPr>
        <w:pStyle w:val="142"/>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 xml:space="preserve"> </w:t>
      </w:r>
    </w:p>
    <w:p w14:paraId="4EB37716">
      <w:pPr>
        <w:pStyle w:val="89"/>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投标人（盖章）： </w:t>
      </w:r>
    </w:p>
    <w:p w14:paraId="69531D4A">
      <w:pPr>
        <w:pStyle w:val="142"/>
        <w:spacing w:before="1"/>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 xml:space="preserve">  </w:t>
      </w:r>
    </w:p>
    <w:p w14:paraId="532858CF">
      <w:pPr>
        <w:pStyle w:val="89"/>
        <w:spacing w:before="35"/>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日期： </w:t>
      </w:r>
    </w:p>
    <w:p w14:paraId="1683813E">
      <w:pPr>
        <w:pStyle w:val="160"/>
        <w:spacing w:line="340" w:lineRule="exact"/>
        <w:jc w:val="center"/>
        <w:rPr>
          <w:rFonts w:hint="eastAsia" w:cs="Times New Roman"/>
          <w:color w:val="auto"/>
          <w:kern w:val="2"/>
          <w:highlight w:val="none"/>
        </w:rPr>
      </w:pPr>
      <w:r>
        <w:rPr>
          <w:rFonts w:hint="eastAsia" w:cs="Times New Roman"/>
          <w:color w:val="auto"/>
          <w:kern w:val="2"/>
          <w:highlight w:val="none"/>
        </w:rPr>
        <w:br w:type="page"/>
      </w:r>
      <w:r>
        <w:rPr>
          <w:rFonts w:hint="eastAsia" w:cs="Times New Roman"/>
          <w:color w:val="auto"/>
          <w:kern w:val="2"/>
          <w:highlight w:val="none"/>
        </w:rPr>
        <w:t>残疾人福利性单位声明函（如适用）</w:t>
      </w:r>
    </w:p>
    <w:p w14:paraId="7A440A91">
      <w:pPr>
        <w:pStyle w:val="141"/>
        <w:spacing w:before="123" w:line="340" w:lineRule="exact"/>
        <w:ind w:left="0" w:right="12"/>
        <w:jc w:val="center"/>
        <w:rPr>
          <w:rFonts w:hint="eastAsia" w:cs="Times New Roman"/>
          <w:color w:val="auto"/>
          <w:kern w:val="2"/>
          <w:sz w:val="24"/>
          <w:szCs w:val="24"/>
          <w:highlight w:val="none"/>
        </w:rPr>
      </w:pPr>
      <w:r>
        <w:rPr>
          <w:rFonts w:hint="eastAsia" w:cs="Times New Roman"/>
          <w:color w:val="auto"/>
          <w:kern w:val="2"/>
          <w:sz w:val="24"/>
          <w:szCs w:val="24"/>
          <w:highlight w:val="none"/>
        </w:rPr>
        <w:t xml:space="preserve"> </w:t>
      </w:r>
    </w:p>
    <w:p w14:paraId="1F7F82C4">
      <w:pPr>
        <w:pStyle w:val="142"/>
        <w:spacing w:before="84" w:line="340" w:lineRule="exact"/>
        <w:ind w:left="62" w:right="72"/>
        <w:jc w:val="center"/>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 xml:space="preserve">残疾人福利性单位声明函 </w:t>
      </w:r>
    </w:p>
    <w:p w14:paraId="4418109C">
      <w:pPr>
        <w:pStyle w:val="142"/>
        <w:spacing w:line="340" w:lineRule="exac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 xml:space="preserve"> </w:t>
      </w:r>
    </w:p>
    <w:p w14:paraId="425B44E5">
      <w:pPr>
        <w:pStyle w:val="89"/>
        <w:spacing w:before="35" w:line="340" w:lineRule="exact"/>
        <w:ind w:right="274" w:firstLine="444"/>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本单位郑重声明，根据《财政部民政部中国残疾人联合会关于促进残疾人就业政府 采购政策的通知》（财库〔2017〕141 号）的规定，本单位为符合条件的残疾人福利性单 位，且本单位参加______单位的______项目采购活动提供本单位制造的货物（由本单位承 担工程/提供服务），或者提供其他残疾人福利性单位制造的货物（不包括使用非残疾人 福利性单位注册商标的货物）。 </w:t>
      </w:r>
    </w:p>
    <w:p w14:paraId="25DA1EDC">
      <w:pPr>
        <w:pStyle w:val="89"/>
        <w:spacing w:before="46" w:line="340" w:lineRule="exact"/>
        <w:ind w:right="464"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本单位对上述声明的真实性负责。如有虚假，将依法承担相应责任。 </w:t>
      </w:r>
    </w:p>
    <w:p w14:paraId="071520D1">
      <w:pPr>
        <w:pStyle w:val="142"/>
        <w:spacing w:before="10" w:line="340" w:lineRule="exac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 xml:space="preserve"> </w:t>
      </w:r>
    </w:p>
    <w:p w14:paraId="23912D2E">
      <w:pPr>
        <w:pStyle w:val="89"/>
        <w:spacing w:line="340" w:lineRule="exact"/>
        <w:ind w:right="1716"/>
        <w:jc w:val="righ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投标人（盖章）： </w:t>
      </w:r>
    </w:p>
    <w:p w14:paraId="0634EF5A">
      <w:pPr>
        <w:pStyle w:val="89"/>
        <w:spacing w:line="340" w:lineRule="exact"/>
        <w:ind w:right="1728"/>
        <w:jc w:val="righ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日 期： </w:t>
      </w:r>
    </w:p>
    <w:p w14:paraId="72FDFF1C">
      <w:pPr>
        <w:pStyle w:val="142"/>
        <w:spacing w:line="340" w:lineRule="exac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 xml:space="preserve"> </w:t>
      </w:r>
    </w:p>
    <w:p w14:paraId="030953AF">
      <w:pPr>
        <w:pStyle w:val="142"/>
        <w:spacing w:line="340" w:lineRule="exac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 xml:space="preserve"> </w:t>
      </w:r>
    </w:p>
    <w:p w14:paraId="50B49971">
      <w:pPr>
        <w:pStyle w:val="142"/>
        <w:spacing w:before="38" w:line="340" w:lineRule="exact"/>
        <w:ind w:left="157"/>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备注：享受政府采购支持政策的残疾人福利性单位应当同时满足以下条件：</w:t>
      </w:r>
    </w:p>
    <w:p w14:paraId="716CED32">
      <w:pPr>
        <w:pStyle w:val="142"/>
        <w:spacing w:before="36" w:line="340" w:lineRule="exact"/>
        <w:ind w:left="157" w:right="273" w:firstLine="399"/>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（1）安置的残疾人占本单位在职职工人数的比例不低于 25%（含 25%），并且安置的残疾人 人数不少于 10 人（含 10 人）；</w:t>
      </w:r>
    </w:p>
    <w:p w14:paraId="210A9A08">
      <w:pPr>
        <w:pStyle w:val="142"/>
        <w:spacing w:before="5" w:line="340" w:lineRule="exact"/>
        <w:ind w:left="557"/>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（2）依法与安置的每位残疾人签订了一年以上（含一年）的劳动合同或服务协议；</w:t>
      </w:r>
    </w:p>
    <w:p w14:paraId="56E37CE1">
      <w:pPr>
        <w:pStyle w:val="142"/>
        <w:spacing w:before="21" w:line="340" w:lineRule="exact"/>
        <w:ind w:left="157" w:right="373" w:firstLine="399"/>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（3）为安置的每位残疾人按月足额缴纳了基本养老保险、基本医疗保险、失业保险、工伤保 险和生育保险等社会保险费；</w:t>
      </w:r>
    </w:p>
    <w:p w14:paraId="122489F4">
      <w:pPr>
        <w:pStyle w:val="142"/>
        <w:spacing w:before="20" w:line="340" w:lineRule="exact"/>
        <w:ind w:left="157" w:right="373" w:firstLine="399"/>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（4）通过银行等金融机构向安置的每位残疾人，按月支付了不低于单位所在区县适用的经省 级人民政府批准的月最低工资标准的工资；</w:t>
      </w:r>
    </w:p>
    <w:p w14:paraId="54D514BB">
      <w:pPr>
        <w:pStyle w:val="142"/>
        <w:spacing w:before="20" w:line="340" w:lineRule="exact"/>
        <w:ind w:left="157" w:right="373" w:firstLine="399"/>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（5）提供本单位制造的货物、承担的工程或者服务（以下简称产品），或者提供其他残疾人 福利性单位制造的货物（不包括使用非残疾人福利性单位注册商标的货物）。</w:t>
      </w:r>
    </w:p>
    <w:p w14:paraId="411EDBB2">
      <w:pPr>
        <w:pStyle w:val="142"/>
        <w:spacing w:before="20" w:line="340" w:lineRule="exact"/>
        <w:ind w:left="157" w:right="373" w:firstLine="399"/>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前款所称残疾人是指法定劳动年龄内，持有《中华人民共和国残疾人证》或者《中华人民共和 国残疾军人证（1 至 8 级）》的自然人，包括具有劳动条件和劳动意愿的精神残疾人。在职职工人 数是指与残疾人福利性单位建立劳动关系并依法签订劳动合同或者服务协议的雇员人数。</w:t>
      </w:r>
    </w:p>
    <w:p w14:paraId="496DA556">
      <w:pPr>
        <w:pStyle w:val="188"/>
        <w:ind w:firstLine="560" w:firstLineChars="200"/>
        <w:rPr>
          <w:rFonts w:hint="eastAsia" w:ascii="宋体" w:hAnsi="宋体"/>
          <w:color w:val="auto"/>
          <w:highlight w:val="none"/>
        </w:rPr>
      </w:pPr>
    </w:p>
    <w:p w14:paraId="2D349BBA">
      <w:pPr>
        <w:pStyle w:val="130"/>
        <w:outlineLvl w:val="2"/>
        <w:rPr>
          <w:rFonts w:ascii="宋体" w:hAnsi="宋体"/>
          <w:color w:val="auto"/>
          <w:sz w:val="28"/>
          <w:highlight w:val="none"/>
        </w:rPr>
      </w:pPr>
    </w:p>
    <w:p w14:paraId="40C1B905">
      <w:pPr>
        <w:pStyle w:val="131"/>
        <w:outlineLvl w:val="2"/>
        <w:rPr>
          <w:color w:val="auto"/>
          <w:highlight w:val="none"/>
        </w:rPr>
      </w:pPr>
    </w:p>
    <w:p w14:paraId="456EA623">
      <w:pPr>
        <w:pStyle w:val="186"/>
        <w:rPr>
          <w:rFonts w:hint="eastAsia" w:ascii="宋体" w:hAnsi="宋体"/>
          <w:color w:val="auto"/>
          <w:kern w:val="0"/>
          <w:sz w:val="28"/>
          <w:highlight w:val="none"/>
        </w:rPr>
      </w:pPr>
    </w:p>
    <w:p w14:paraId="5BB7C557">
      <w:pPr>
        <w:pStyle w:val="186"/>
        <w:rPr>
          <w:color w:val="auto"/>
          <w:highlight w:val="none"/>
        </w:rPr>
      </w:pPr>
      <w:r>
        <w:rPr>
          <w:color w:val="auto"/>
          <w:highlight w:val="none"/>
        </w:rPr>
        <w:br w:type="page"/>
      </w:r>
      <w:bookmarkStart w:id="370" w:name="_Toc27814"/>
      <w:r>
        <w:rPr>
          <w:rFonts w:ascii="黑体" w:hAnsi="黑体" w:eastAsia="黑体"/>
          <w:b/>
          <w:color w:val="auto"/>
          <w:kern w:val="0"/>
          <w:sz w:val="32"/>
          <w:szCs w:val="24"/>
          <w:highlight w:val="none"/>
        </w:rPr>
        <w:t>（</w:t>
      </w:r>
      <w:r>
        <w:rPr>
          <w:rFonts w:hint="eastAsia" w:ascii="黑体" w:hAnsi="黑体" w:eastAsia="黑体"/>
          <w:b/>
          <w:color w:val="auto"/>
          <w:kern w:val="0"/>
          <w:sz w:val="32"/>
          <w:szCs w:val="24"/>
          <w:highlight w:val="none"/>
        </w:rPr>
        <w:t>二</w:t>
      </w:r>
      <w:r>
        <w:rPr>
          <w:rFonts w:ascii="黑体" w:hAnsi="黑体" w:eastAsia="黑体"/>
          <w:b/>
          <w:color w:val="auto"/>
          <w:kern w:val="0"/>
          <w:sz w:val="32"/>
          <w:szCs w:val="24"/>
          <w:highlight w:val="none"/>
        </w:rPr>
        <w:t>）</w:t>
      </w:r>
      <w:r>
        <w:rPr>
          <w:rFonts w:hint="eastAsia" w:ascii="黑体" w:hAnsi="黑体" w:eastAsia="黑体"/>
          <w:b/>
          <w:color w:val="auto"/>
          <w:kern w:val="0"/>
          <w:sz w:val="32"/>
          <w:szCs w:val="24"/>
          <w:highlight w:val="none"/>
        </w:rPr>
        <w:t>、</w:t>
      </w:r>
      <w:r>
        <w:rPr>
          <w:rFonts w:ascii="黑体" w:hAnsi="黑体" w:eastAsia="黑体"/>
          <w:b/>
          <w:color w:val="auto"/>
          <w:kern w:val="0"/>
          <w:sz w:val="32"/>
          <w:szCs w:val="24"/>
          <w:highlight w:val="none"/>
        </w:rPr>
        <w:t>不参与围标串标承诺书</w:t>
      </w:r>
      <w:bookmarkEnd w:id="370"/>
    </w:p>
    <w:p w14:paraId="0DD47339">
      <w:pPr>
        <w:pStyle w:val="171"/>
        <w:spacing w:line="640" w:lineRule="exact"/>
        <w:ind w:firstLine="480" w:firstLineChars="200"/>
        <w:rPr>
          <w:rFonts w:ascii="宋体" w:hAnsi="宋体" w:cs="仿宋"/>
          <w:color w:val="auto"/>
          <w:sz w:val="24"/>
          <w:highlight w:val="none"/>
          <w:lang w:val="en-US" w:eastAsia="zh-CN"/>
        </w:rPr>
      </w:pPr>
      <w:r>
        <w:rPr>
          <w:rFonts w:hint="eastAsia" w:ascii="宋体" w:hAnsi="宋体" w:cs="仿宋"/>
          <w:color w:val="auto"/>
          <w:sz w:val="24"/>
          <w:highlight w:val="none"/>
          <w:lang w:val="en-US" w:eastAsia="zh-CN"/>
        </w:rPr>
        <w:t>本人作为</w:t>
      </w:r>
      <w:r>
        <w:rPr>
          <w:rFonts w:hint="eastAsia" w:ascii="宋体" w:hAnsi="宋体" w:cs="仿宋"/>
          <w:color w:val="auto"/>
          <w:sz w:val="24"/>
          <w:highlight w:val="none"/>
          <w:u w:val="single"/>
          <w:lang w:val="en-US" w:eastAsia="zh-CN"/>
        </w:rPr>
        <w:t xml:space="preserve">（单位名称）                    </w:t>
      </w:r>
      <w:r>
        <w:rPr>
          <w:rFonts w:hint="eastAsia" w:ascii="宋体" w:hAnsi="宋体" w:cs="仿宋"/>
          <w:color w:val="auto"/>
          <w:sz w:val="24"/>
          <w:highlight w:val="none"/>
          <w:lang w:val="en-US" w:eastAsia="zh-CN"/>
        </w:rPr>
        <w:t>的法人，清楚知晓我公司本项目投标活动，对以下事项作出承诺：</w:t>
      </w:r>
    </w:p>
    <w:p w14:paraId="40CAB72D">
      <w:pPr>
        <w:pStyle w:val="171"/>
        <w:spacing w:line="640" w:lineRule="exact"/>
        <w:ind w:firstLine="480" w:firstLineChars="200"/>
        <w:rPr>
          <w:rFonts w:ascii="宋体" w:hAnsi="宋体" w:cs="仿宋"/>
          <w:color w:val="auto"/>
          <w:sz w:val="24"/>
          <w:highlight w:val="none"/>
          <w:lang w:val="en-US" w:eastAsia="zh-CN"/>
        </w:rPr>
      </w:pPr>
      <w:r>
        <w:rPr>
          <w:rFonts w:hint="eastAsia" w:ascii="宋体" w:hAnsi="宋体" w:cs="仿宋"/>
          <w:color w:val="auto"/>
          <w:sz w:val="24"/>
          <w:highlight w:val="none"/>
          <w:lang w:val="en-US" w:eastAsia="zh-CN"/>
        </w:rPr>
        <w:t>一、我单位遵循公开、公平、公正、诚实守信的原则，依法依规参与本项目竞标。</w:t>
      </w:r>
    </w:p>
    <w:p w14:paraId="63DA51AE">
      <w:pPr>
        <w:pStyle w:val="171"/>
        <w:spacing w:line="640" w:lineRule="exact"/>
        <w:ind w:firstLine="480" w:firstLineChars="200"/>
        <w:rPr>
          <w:rFonts w:ascii="宋体" w:hAnsi="宋体" w:cs="仿宋"/>
          <w:color w:val="auto"/>
          <w:sz w:val="24"/>
          <w:highlight w:val="none"/>
          <w:lang w:val="en-US" w:eastAsia="zh-CN"/>
        </w:rPr>
      </w:pPr>
      <w:r>
        <w:rPr>
          <w:rFonts w:hint="eastAsia" w:ascii="宋体" w:hAnsi="宋体" w:cs="仿宋"/>
          <w:color w:val="auto"/>
          <w:sz w:val="24"/>
          <w:highlight w:val="none"/>
          <w:lang w:val="en-US" w:eastAsia="zh-CN"/>
        </w:rPr>
        <w:t>二、我单位在本项目招标投标活动中，未参与围标串标。</w:t>
      </w:r>
    </w:p>
    <w:p w14:paraId="1402C31D">
      <w:pPr>
        <w:pStyle w:val="171"/>
        <w:spacing w:line="640" w:lineRule="exact"/>
        <w:ind w:firstLine="480" w:firstLineChars="200"/>
        <w:rPr>
          <w:rFonts w:ascii="宋体" w:hAnsi="宋体"/>
          <w:b/>
          <w:color w:val="auto"/>
          <w:sz w:val="24"/>
          <w:highlight w:val="none"/>
          <w:lang w:val="en-US" w:eastAsia="zh-CN"/>
        </w:rPr>
      </w:pPr>
      <w:r>
        <w:rPr>
          <w:rFonts w:hint="eastAsia" w:ascii="宋体" w:hAnsi="宋体" w:cs="仿宋"/>
          <w:color w:val="auto"/>
          <w:sz w:val="24"/>
          <w:highlight w:val="none"/>
          <w:lang w:val="en-US" w:eastAsia="zh-CN"/>
        </w:rPr>
        <w:t>三、我单位如被查实在本项目招标投标活动中存在围标串标的，递交投标文件行为作为实施串通投标违法行为的关键环节，本人承担直接责任人员法律责任，接受相应行政处罚和失信惩戒。</w:t>
      </w:r>
    </w:p>
    <w:p w14:paraId="0EED61A7">
      <w:pPr>
        <w:pStyle w:val="171"/>
        <w:spacing w:line="640" w:lineRule="exact"/>
        <w:jc w:val="left"/>
        <w:rPr>
          <w:rFonts w:ascii="宋体" w:hAnsi="宋体"/>
          <w:color w:val="auto"/>
          <w:sz w:val="24"/>
          <w:highlight w:val="none"/>
          <w:lang w:val="en-US" w:eastAsia="zh-CN"/>
        </w:rPr>
      </w:pPr>
      <w:r>
        <w:rPr>
          <w:rFonts w:hint="eastAsia" w:ascii="宋体" w:hAnsi="宋体"/>
          <w:color w:val="auto"/>
          <w:sz w:val="24"/>
          <w:highlight w:val="none"/>
          <w:lang w:val="en-US" w:eastAsia="zh-CN"/>
        </w:rPr>
        <w:t xml:space="preserve">    </w:t>
      </w:r>
    </w:p>
    <w:p w14:paraId="29E8A3C6">
      <w:pPr>
        <w:pStyle w:val="171"/>
        <w:spacing w:line="640" w:lineRule="exact"/>
        <w:jc w:val="left"/>
        <w:rPr>
          <w:rFonts w:ascii="宋体" w:hAnsi="宋体"/>
          <w:color w:val="auto"/>
          <w:sz w:val="24"/>
          <w:highlight w:val="none"/>
          <w:lang w:val="en-US" w:eastAsia="zh-CN"/>
        </w:rPr>
      </w:pPr>
      <w:r>
        <w:rPr>
          <w:rFonts w:hint="eastAsia" w:ascii="宋体" w:hAnsi="宋体"/>
          <w:color w:val="auto"/>
          <w:sz w:val="24"/>
          <w:highlight w:val="none"/>
          <w:lang w:val="en-US" w:eastAsia="zh-CN"/>
        </w:rPr>
        <w:t>供应商单位名称：</w:t>
      </w:r>
    </w:p>
    <w:p w14:paraId="0408CFF5">
      <w:pPr>
        <w:pStyle w:val="171"/>
        <w:spacing w:line="640" w:lineRule="exact"/>
        <w:jc w:val="left"/>
        <w:rPr>
          <w:rFonts w:ascii="宋体" w:hAnsi="宋体"/>
          <w:color w:val="auto"/>
          <w:sz w:val="24"/>
          <w:highlight w:val="none"/>
          <w:lang w:val="en-US" w:eastAsia="zh-CN"/>
        </w:rPr>
      </w:pPr>
      <w:r>
        <w:rPr>
          <w:rFonts w:hint="eastAsia" w:ascii="宋体" w:hAnsi="宋体"/>
          <w:color w:val="auto"/>
          <w:sz w:val="24"/>
          <w:highlight w:val="none"/>
          <w:lang w:val="en-US" w:eastAsia="zh-CN"/>
        </w:rPr>
        <w:t>供应商法人签名：</w:t>
      </w:r>
    </w:p>
    <w:p w14:paraId="56D1D518">
      <w:pPr>
        <w:pStyle w:val="171"/>
        <w:spacing w:line="640" w:lineRule="exact"/>
        <w:jc w:val="left"/>
        <w:rPr>
          <w:rFonts w:ascii="仿宋_GB2312" w:hAnsi="华文中宋" w:eastAsia="仿宋_GB2312"/>
          <w:color w:val="auto"/>
          <w:sz w:val="24"/>
          <w:highlight w:val="none"/>
          <w:lang w:val="en-US" w:eastAsia="zh-CN"/>
        </w:rPr>
      </w:pPr>
      <w:r>
        <w:rPr>
          <w:rFonts w:hint="eastAsia" w:ascii="仿宋_GB2312" w:hAnsi="华文中宋" w:eastAsia="仿宋_GB2312"/>
          <w:color w:val="auto"/>
          <w:sz w:val="24"/>
          <w:highlight w:val="none"/>
          <w:lang w:val="en-US" w:eastAsia="zh-CN"/>
        </w:rPr>
        <w:t xml:space="preserve">                                  </w:t>
      </w:r>
    </w:p>
    <w:p w14:paraId="5928B60B">
      <w:pPr>
        <w:pStyle w:val="171"/>
        <w:spacing w:line="640" w:lineRule="exact"/>
        <w:jc w:val="left"/>
        <w:rPr>
          <w:rFonts w:ascii="仿宋_GB2312" w:hAnsi="华文中宋" w:eastAsia="仿宋_GB2312"/>
          <w:color w:val="auto"/>
          <w:sz w:val="24"/>
          <w:highlight w:val="none"/>
          <w:lang w:val="en-US" w:eastAsia="zh-CN"/>
        </w:rPr>
      </w:pPr>
    </w:p>
    <w:p w14:paraId="32F532AE">
      <w:pPr>
        <w:pStyle w:val="171"/>
        <w:spacing w:line="640" w:lineRule="exact"/>
        <w:ind w:firstLine="4080" w:firstLineChars="1700"/>
        <w:jc w:val="left"/>
        <w:rPr>
          <w:rFonts w:ascii="宋体" w:hAnsi="宋体"/>
          <w:color w:val="auto"/>
          <w:sz w:val="24"/>
          <w:highlight w:val="none"/>
          <w:lang w:val="en-US" w:eastAsia="zh-CN"/>
        </w:rPr>
      </w:pPr>
      <w:r>
        <w:rPr>
          <w:rFonts w:hint="eastAsia" w:ascii="仿宋_GB2312" w:hAnsi="华文中宋" w:eastAsia="仿宋_GB2312"/>
          <w:color w:val="auto"/>
          <w:sz w:val="24"/>
          <w:highlight w:val="none"/>
          <w:lang w:val="en-US" w:eastAsia="zh-CN"/>
        </w:rPr>
        <w:t xml:space="preserve">    </w:t>
      </w:r>
      <w:r>
        <w:rPr>
          <w:rFonts w:hint="eastAsia" w:ascii="宋体" w:hAnsi="宋体"/>
          <w:color w:val="auto"/>
          <w:sz w:val="24"/>
          <w:highlight w:val="none"/>
          <w:lang w:val="en-US" w:eastAsia="zh-CN"/>
        </w:rPr>
        <w:t xml:space="preserve">  盖章</w:t>
      </w:r>
    </w:p>
    <w:p w14:paraId="225FE50E">
      <w:pPr>
        <w:pStyle w:val="171"/>
        <w:spacing w:line="640" w:lineRule="exact"/>
        <w:ind w:firstLine="4320" w:firstLineChars="1800"/>
        <w:jc w:val="left"/>
        <w:rPr>
          <w:rFonts w:ascii="宋体" w:hAnsi="宋体"/>
          <w:color w:val="auto"/>
          <w:sz w:val="24"/>
          <w:highlight w:val="none"/>
          <w:lang w:val="en-US" w:eastAsia="zh-CN"/>
        </w:rPr>
      </w:pPr>
      <w:r>
        <w:rPr>
          <w:rFonts w:hint="eastAsia" w:ascii="宋体" w:hAnsi="宋体"/>
          <w:color w:val="auto"/>
          <w:sz w:val="24"/>
          <w:highlight w:val="none"/>
          <w:lang w:val="en-US" w:eastAsia="zh-CN"/>
        </w:rPr>
        <w:t xml:space="preserve"> 年   月   日</w:t>
      </w:r>
    </w:p>
    <w:p w14:paraId="2A920A35">
      <w:pPr>
        <w:pStyle w:val="134"/>
        <w:numPr>
          <w:ilvl w:val="0"/>
          <w:numId w:val="0"/>
        </w:numPr>
        <w:outlineLvl w:val="1"/>
        <w:rPr>
          <w:color w:val="auto"/>
          <w:highlight w:val="none"/>
        </w:rPr>
      </w:pPr>
      <w:r>
        <w:rPr>
          <w:rFonts w:ascii="宋体" w:hAnsi="宋体" w:eastAsia="宋体"/>
          <w:color w:val="auto"/>
          <w:highlight w:val="none"/>
        </w:rPr>
        <w:br w:type="page"/>
      </w:r>
      <w:bookmarkStart w:id="371" w:name="_Toc26137"/>
      <w:bookmarkStart w:id="372" w:name="_Toc30723"/>
      <w:r>
        <w:rPr>
          <w:rFonts w:hint="eastAsia" w:ascii="宋体" w:hAnsi="宋体" w:eastAsia="宋体"/>
          <w:color w:val="auto"/>
          <w:highlight w:val="none"/>
          <w:lang w:val="en-US" w:eastAsia="zh-CN"/>
        </w:rPr>
        <w:t>二、</w:t>
      </w:r>
      <w:r>
        <w:rPr>
          <w:rFonts w:hint="eastAsia"/>
          <w:color w:val="auto"/>
          <w:highlight w:val="none"/>
          <w:lang w:val="en-US" w:eastAsia="zh-CN"/>
        </w:rPr>
        <w:t>报价</w:t>
      </w:r>
      <w:r>
        <w:rPr>
          <w:color w:val="auto"/>
          <w:highlight w:val="none"/>
        </w:rPr>
        <w:t>文件组成</w:t>
      </w:r>
      <w:bookmarkEnd w:id="371"/>
      <w:bookmarkEnd w:id="372"/>
    </w:p>
    <w:p w14:paraId="31133C95">
      <w:pPr>
        <w:pStyle w:val="134"/>
        <w:outlineLvl w:val="1"/>
        <w:rPr>
          <w:color w:val="auto"/>
          <w:highlight w:val="none"/>
        </w:rPr>
      </w:pPr>
    </w:p>
    <w:p w14:paraId="32D0EE45">
      <w:pPr>
        <w:pStyle w:val="134"/>
        <w:outlineLvl w:val="1"/>
        <w:rPr>
          <w:color w:val="auto"/>
          <w:highlight w:val="none"/>
        </w:rPr>
      </w:pPr>
    </w:p>
    <w:p w14:paraId="4CF941AD">
      <w:pPr>
        <w:pStyle w:val="134"/>
        <w:outlineLvl w:val="1"/>
        <w:rPr>
          <w:color w:val="auto"/>
          <w:highlight w:val="none"/>
        </w:rPr>
      </w:pPr>
    </w:p>
    <w:p w14:paraId="3065D7A5">
      <w:pPr>
        <w:pStyle w:val="134"/>
        <w:outlineLvl w:val="1"/>
        <w:rPr>
          <w:color w:val="auto"/>
          <w:highlight w:val="none"/>
        </w:rPr>
      </w:pPr>
    </w:p>
    <w:p w14:paraId="5D2AEB3A">
      <w:pPr>
        <w:pStyle w:val="134"/>
        <w:outlineLvl w:val="1"/>
        <w:rPr>
          <w:color w:val="auto"/>
          <w:highlight w:val="none"/>
        </w:rPr>
      </w:pPr>
    </w:p>
    <w:p w14:paraId="71A80CA1">
      <w:pPr>
        <w:pStyle w:val="134"/>
        <w:outlineLvl w:val="1"/>
        <w:rPr>
          <w:color w:val="auto"/>
          <w:highlight w:val="none"/>
        </w:rPr>
      </w:pPr>
    </w:p>
    <w:p w14:paraId="45A5E435">
      <w:pPr>
        <w:pStyle w:val="134"/>
        <w:outlineLvl w:val="1"/>
        <w:rPr>
          <w:color w:val="auto"/>
          <w:highlight w:val="none"/>
        </w:rPr>
      </w:pPr>
    </w:p>
    <w:p w14:paraId="5FBB95D5">
      <w:pPr>
        <w:pStyle w:val="134"/>
        <w:outlineLvl w:val="1"/>
        <w:rPr>
          <w:color w:val="auto"/>
          <w:highlight w:val="none"/>
        </w:rPr>
      </w:pPr>
    </w:p>
    <w:p w14:paraId="366B4603">
      <w:pPr>
        <w:pStyle w:val="134"/>
        <w:outlineLvl w:val="1"/>
        <w:rPr>
          <w:color w:val="auto"/>
          <w:highlight w:val="none"/>
        </w:rPr>
      </w:pPr>
    </w:p>
    <w:p w14:paraId="5484AFFB">
      <w:pPr>
        <w:pStyle w:val="134"/>
        <w:outlineLvl w:val="1"/>
        <w:rPr>
          <w:color w:val="auto"/>
          <w:highlight w:val="none"/>
        </w:rPr>
      </w:pPr>
    </w:p>
    <w:p w14:paraId="7C0D9230">
      <w:pPr>
        <w:pStyle w:val="134"/>
        <w:outlineLvl w:val="1"/>
        <w:rPr>
          <w:color w:val="auto"/>
          <w:highlight w:val="none"/>
        </w:rPr>
      </w:pPr>
    </w:p>
    <w:p w14:paraId="3D760EBE">
      <w:pPr>
        <w:pStyle w:val="134"/>
        <w:outlineLvl w:val="1"/>
        <w:rPr>
          <w:color w:val="auto"/>
          <w:highlight w:val="none"/>
        </w:rPr>
      </w:pPr>
    </w:p>
    <w:p w14:paraId="6A1D097F">
      <w:pPr>
        <w:pStyle w:val="134"/>
        <w:outlineLvl w:val="1"/>
        <w:rPr>
          <w:color w:val="auto"/>
          <w:highlight w:val="none"/>
        </w:rPr>
      </w:pPr>
    </w:p>
    <w:p w14:paraId="2C514E9D">
      <w:pPr>
        <w:pStyle w:val="134"/>
        <w:outlineLvl w:val="1"/>
        <w:rPr>
          <w:color w:val="auto"/>
          <w:highlight w:val="none"/>
        </w:rPr>
      </w:pPr>
    </w:p>
    <w:p w14:paraId="3FAE555E">
      <w:pPr>
        <w:pStyle w:val="134"/>
        <w:outlineLvl w:val="1"/>
        <w:rPr>
          <w:color w:val="auto"/>
          <w:highlight w:val="none"/>
        </w:rPr>
      </w:pPr>
    </w:p>
    <w:p w14:paraId="01A9C50E">
      <w:pPr>
        <w:pStyle w:val="134"/>
        <w:outlineLvl w:val="1"/>
        <w:rPr>
          <w:color w:val="auto"/>
          <w:highlight w:val="none"/>
        </w:rPr>
      </w:pPr>
    </w:p>
    <w:p w14:paraId="6EF8428B">
      <w:pPr>
        <w:pStyle w:val="134"/>
        <w:outlineLvl w:val="1"/>
        <w:rPr>
          <w:color w:val="auto"/>
          <w:highlight w:val="none"/>
        </w:rPr>
      </w:pPr>
    </w:p>
    <w:p w14:paraId="034A03ED">
      <w:pPr>
        <w:pStyle w:val="134"/>
        <w:outlineLvl w:val="1"/>
        <w:rPr>
          <w:color w:val="auto"/>
          <w:highlight w:val="none"/>
        </w:rPr>
      </w:pPr>
    </w:p>
    <w:p w14:paraId="1ED05653">
      <w:pPr>
        <w:pStyle w:val="134"/>
        <w:outlineLvl w:val="1"/>
        <w:rPr>
          <w:color w:val="auto"/>
          <w:highlight w:val="none"/>
        </w:rPr>
      </w:pPr>
    </w:p>
    <w:p w14:paraId="295FEBD2">
      <w:pPr>
        <w:pStyle w:val="134"/>
        <w:outlineLvl w:val="1"/>
        <w:rPr>
          <w:color w:val="auto"/>
          <w:highlight w:val="none"/>
        </w:rPr>
      </w:pPr>
    </w:p>
    <w:p w14:paraId="0818C05A">
      <w:pPr>
        <w:pStyle w:val="134"/>
        <w:outlineLvl w:val="1"/>
        <w:rPr>
          <w:color w:val="auto"/>
          <w:highlight w:val="none"/>
        </w:rPr>
      </w:pPr>
    </w:p>
    <w:p w14:paraId="3C05AB30">
      <w:pPr>
        <w:pStyle w:val="134"/>
        <w:outlineLvl w:val="1"/>
        <w:rPr>
          <w:color w:val="auto"/>
          <w:highlight w:val="none"/>
        </w:rPr>
      </w:pPr>
    </w:p>
    <w:p w14:paraId="1C5CA033">
      <w:pPr>
        <w:pStyle w:val="134"/>
        <w:outlineLvl w:val="1"/>
        <w:rPr>
          <w:color w:val="auto"/>
          <w:highlight w:val="none"/>
        </w:rPr>
      </w:pPr>
    </w:p>
    <w:p w14:paraId="20A75B7D">
      <w:pPr>
        <w:pStyle w:val="134"/>
        <w:outlineLvl w:val="1"/>
        <w:rPr>
          <w:color w:val="auto"/>
          <w:highlight w:val="none"/>
        </w:rPr>
      </w:pPr>
    </w:p>
    <w:p w14:paraId="09F31A1E">
      <w:pPr>
        <w:pStyle w:val="134"/>
        <w:outlineLvl w:val="1"/>
        <w:rPr>
          <w:color w:val="auto"/>
          <w:highlight w:val="none"/>
        </w:rPr>
      </w:pPr>
    </w:p>
    <w:p w14:paraId="332258DB">
      <w:pPr>
        <w:pStyle w:val="134"/>
        <w:outlineLvl w:val="1"/>
        <w:rPr>
          <w:color w:val="auto"/>
          <w:highlight w:val="none"/>
        </w:rPr>
      </w:pPr>
    </w:p>
    <w:p w14:paraId="0FF071A4">
      <w:pPr>
        <w:pStyle w:val="134"/>
        <w:outlineLvl w:val="1"/>
        <w:rPr>
          <w:color w:val="auto"/>
          <w:highlight w:val="none"/>
        </w:rPr>
      </w:pPr>
    </w:p>
    <w:p w14:paraId="01072950">
      <w:pPr>
        <w:pStyle w:val="134"/>
        <w:outlineLvl w:val="1"/>
        <w:rPr>
          <w:color w:val="auto"/>
          <w:highlight w:val="none"/>
        </w:rPr>
      </w:pPr>
    </w:p>
    <w:p w14:paraId="16F11A5D">
      <w:pPr>
        <w:pStyle w:val="134"/>
        <w:outlineLvl w:val="1"/>
        <w:rPr>
          <w:color w:val="auto"/>
          <w:highlight w:val="none"/>
        </w:rPr>
      </w:pPr>
    </w:p>
    <w:p w14:paraId="0737E5A9">
      <w:pPr>
        <w:pStyle w:val="134"/>
        <w:outlineLvl w:val="1"/>
        <w:rPr>
          <w:color w:val="auto"/>
          <w:highlight w:val="none"/>
        </w:rPr>
      </w:pPr>
    </w:p>
    <w:p w14:paraId="1C449AD4">
      <w:pPr>
        <w:pStyle w:val="134"/>
        <w:outlineLvl w:val="1"/>
        <w:rPr>
          <w:color w:val="auto"/>
          <w:highlight w:val="none"/>
        </w:rPr>
      </w:pPr>
    </w:p>
    <w:p w14:paraId="0993D814">
      <w:pPr>
        <w:pStyle w:val="134"/>
        <w:outlineLvl w:val="1"/>
        <w:rPr>
          <w:color w:val="auto"/>
          <w:highlight w:val="none"/>
        </w:rPr>
      </w:pPr>
    </w:p>
    <w:p w14:paraId="31D1D03C">
      <w:pPr>
        <w:pStyle w:val="132"/>
        <w:outlineLvl w:val="2"/>
        <w:rPr>
          <w:color w:val="auto"/>
          <w:highlight w:val="none"/>
        </w:rPr>
      </w:pPr>
      <w:bookmarkStart w:id="373" w:name="_Toc32354"/>
      <w:bookmarkStart w:id="374" w:name="_Toc16202"/>
      <w:r>
        <w:rPr>
          <w:color w:val="auto"/>
          <w:highlight w:val="none"/>
        </w:rPr>
        <w:t>（</w:t>
      </w:r>
      <w:r>
        <w:rPr>
          <w:rFonts w:hint="eastAsia"/>
          <w:color w:val="auto"/>
          <w:highlight w:val="none"/>
          <w:lang w:val="en-US" w:eastAsia="zh-CN"/>
        </w:rPr>
        <w:t>一</w:t>
      </w:r>
      <w:r>
        <w:rPr>
          <w:color w:val="auto"/>
          <w:highlight w:val="none"/>
        </w:rPr>
        <w:t>）开标一览表</w:t>
      </w:r>
      <w:bookmarkEnd w:id="373"/>
      <w:bookmarkEnd w:id="374"/>
    </w:p>
    <w:tbl>
      <w:tblPr>
        <w:tblStyle w:val="40"/>
        <w:tblpPr w:leftFromText="180" w:rightFromText="180" w:vertAnchor="text" w:horzAnchor="page" w:tblpX="1680" w:tblpY="604"/>
        <w:tblOverlap w:val="never"/>
        <w:tblW w:w="8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6981"/>
      </w:tblGrid>
      <w:tr w14:paraId="2927B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747" w:type="dxa"/>
            <w:gridSpan w:val="2"/>
            <w:noWrap w:val="0"/>
            <w:vAlign w:val="center"/>
          </w:tcPr>
          <w:p w14:paraId="6687D470">
            <w:pPr>
              <w:widowControl/>
              <w:spacing w:line="240" w:lineRule="auto"/>
              <w:jc w:val="left"/>
              <w:rPr>
                <w:rFonts w:hint="eastAsia" w:hAnsi="宋体" w:eastAsia="宋体" w:cs="宋体"/>
                <w:color w:val="auto"/>
                <w:kern w:val="2"/>
                <w:sz w:val="24"/>
                <w:szCs w:val="24"/>
                <w:highlight w:val="none"/>
                <w:lang w:eastAsia="zh-CN" w:bidi="ar"/>
              </w:rPr>
            </w:pPr>
            <w:r>
              <w:rPr>
                <w:rFonts w:hint="eastAsia" w:hAnsi="宋体" w:cs="宋体"/>
                <w:color w:val="auto"/>
                <w:sz w:val="24"/>
                <w:szCs w:val="24"/>
                <w:highlight w:val="none"/>
                <w:lang w:bidi="ar"/>
              </w:rPr>
              <w:t>项目名称</w:t>
            </w:r>
            <w:r>
              <w:rPr>
                <w:rFonts w:hint="eastAsia" w:hAnsi="宋体" w:cs="宋体"/>
                <w:color w:val="auto"/>
                <w:sz w:val="24"/>
                <w:szCs w:val="24"/>
                <w:highlight w:val="none"/>
                <w:lang w:eastAsia="zh-CN" w:bidi="ar"/>
              </w:rPr>
              <w:t>：</w:t>
            </w:r>
          </w:p>
        </w:tc>
      </w:tr>
      <w:tr w14:paraId="6B825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747" w:type="dxa"/>
            <w:gridSpan w:val="2"/>
            <w:noWrap w:val="0"/>
            <w:vAlign w:val="center"/>
          </w:tcPr>
          <w:p w14:paraId="58282F5F">
            <w:pPr>
              <w:widowControl/>
              <w:spacing w:line="240" w:lineRule="auto"/>
              <w:rPr>
                <w:rFonts w:hint="eastAsia" w:hAnsi="宋体" w:eastAsia="宋体" w:cs="宋体"/>
                <w:color w:val="auto"/>
                <w:sz w:val="24"/>
                <w:szCs w:val="24"/>
                <w:highlight w:val="none"/>
                <w:lang w:eastAsia="zh-CN"/>
              </w:rPr>
            </w:pPr>
            <w:r>
              <w:rPr>
                <w:rFonts w:hint="eastAsia" w:hAnsi="宋体" w:cs="宋体"/>
                <w:color w:val="auto"/>
                <w:sz w:val="24"/>
                <w:szCs w:val="24"/>
                <w:highlight w:val="none"/>
                <w:lang w:bidi="ar"/>
              </w:rPr>
              <w:t>项目编号</w:t>
            </w:r>
            <w:r>
              <w:rPr>
                <w:rFonts w:hint="eastAsia" w:hAnsi="宋体" w:cs="宋体"/>
                <w:color w:val="auto"/>
                <w:sz w:val="24"/>
                <w:szCs w:val="24"/>
                <w:highlight w:val="none"/>
                <w:lang w:eastAsia="zh-CN" w:bidi="ar"/>
              </w:rPr>
              <w:t>：</w:t>
            </w:r>
          </w:p>
        </w:tc>
      </w:tr>
      <w:tr w14:paraId="4497A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766" w:type="dxa"/>
            <w:noWrap w:val="0"/>
            <w:vAlign w:val="center"/>
          </w:tcPr>
          <w:p w14:paraId="2D0A38FD">
            <w:pPr>
              <w:widowControl/>
              <w:spacing w:line="240" w:lineRule="auto"/>
              <w:jc w:val="center"/>
              <w:rPr>
                <w:rFonts w:hint="eastAsia"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投标报价（元）</w:t>
            </w:r>
          </w:p>
        </w:tc>
        <w:tc>
          <w:tcPr>
            <w:tcW w:w="6981" w:type="dxa"/>
            <w:noWrap w:val="0"/>
            <w:vAlign w:val="center"/>
          </w:tcPr>
          <w:p w14:paraId="2D232FB0">
            <w:pPr>
              <w:widowControl/>
              <w:spacing w:line="240" w:lineRule="auto"/>
              <w:jc w:val="center"/>
              <w:rPr>
                <w:rFonts w:hAnsi="宋体" w:cs="宋体"/>
                <w:bCs/>
                <w:color w:val="auto"/>
                <w:sz w:val="24"/>
                <w:szCs w:val="24"/>
                <w:highlight w:val="none"/>
              </w:rPr>
            </w:pPr>
          </w:p>
        </w:tc>
      </w:tr>
      <w:tr w14:paraId="58886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766" w:type="dxa"/>
            <w:noWrap w:val="0"/>
            <w:vAlign w:val="center"/>
          </w:tcPr>
          <w:p w14:paraId="7352D68A">
            <w:pPr>
              <w:widowControl/>
              <w:spacing w:line="240" w:lineRule="auto"/>
              <w:jc w:val="center"/>
              <w:rPr>
                <w:rFonts w:hint="eastAsia"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服务期限</w:t>
            </w:r>
          </w:p>
        </w:tc>
        <w:tc>
          <w:tcPr>
            <w:tcW w:w="6981" w:type="dxa"/>
            <w:noWrap w:val="0"/>
            <w:vAlign w:val="center"/>
          </w:tcPr>
          <w:p w14:paraId="39991777">
            <w:pPr>
              <w:widowControl/>
              <w:spacing w:line="240" w:lineRule="auto"/>
              <w:jc w:val="center"/>
              <w:rPr>
                <w:rFonts w:hAnsi="宋体" w:cs="宋体"/>
                <w:bCs/>
                <w:color w:val="auto"/>
                <w:sz w:val="24"/>
                <w:szCs w:val="24"/>
                <w:highlight w:val="none"/>
              </w:rPr>
            </w:pPr>
            <w:r>
              <w:rPr>
                <w:rFonts w:hint="eastAsia" w:hAnsi="宋体" w:cs="宋体"/>
                <w:bCs/>
                <w:color w:val="auto"/>
                <w:sz w:val="24"/>
                <w:szCs w:val="24"/>
                <w:highlight w:val="none"/>
              </w:rPr>
              <w:t>自签订合同之日起20个工作日内，完成项目建议书、可行性研究报告和初步设计三合一方案编制工作</w:t>
            </w:r>
            <w:r>
              <w:rPr>
                <w:rFonts w:hint="eastAsia" w:hAnsi="宋体" w:cs="宋体"/>
                <w:bCs/>
                <w:color w:val="auto"/>
                <w:sz w:val="24"/>
                <w:szCs w:val="24"/>
                <w:highlight w:val="none"/>
                <w:lang w:eastAsia="zh-CN"/>
              </w:rPr>
              <w:t>，</w:t>
            </w:r>
            <w:r>
              <w:rPr>
                <w:rFonts w:hint="eastAsia" w:ascii="宋体" w:hAnsi="宋体" w:eastAsia="宋体" w:cs="宋体"/>
                <w:color w:val="auto"/>
                <w:kern w:val="0"/>
                <w:sz w:val="24"/>
                <w:szCs w:val="24"/>
                <w:highlight w:val="none"/>
                <w:lang w:val="en-US" w:eastAsia="zh-CN"/>
              </w:rPr>
              <w:t>最终成果报项目应满足项目立项审批需要</w:t>
            </w:r>
            <w:r>
              <w:rPr>
                <w:rFonts w:hint="eastAsia" w:hAnsi="宋体" w:cs="宋体"/>
                <w:bCs/>
                <w:color w:val="auto"/>
                <w:sz w:val="24"/>
                <w:szCs w:val="24"/>
                <w:highlight w:val="none"/>
              </w:rPr>
              <w:t>。</w:t>
            </w:r>
          </w:p>
        </w:tc>
      </w:tr>
      <w:tr w14:paraId="32FC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766" w:type="dxa"/>
            <w:noWrap w:val="0"/>
            <w:vAlign w:val="center"/>
          </w:tcPr>
          <w:p w14:paraId="72223E22">
            <w:pPr>
              <w:widowControl/>
              <w:spacing w:line="240" w:lineRule="auto"/>
              <w:jc w:val="center"/>
              <w:rPr>
                <w:rFonts w:hint="eastAsia"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备注</w:t>
            </w:r>
          </w:p>
        </w:tc>
        <w:tc>
          <w:tcPr>
            <w:tcW w:w="6981" w:type="dxa"/>
            <w:noWrap w:val="0"/>
            <w:vAlign w:val="center"/>
          </w:tcPr>
          <w:p w14:paraId="482EE5CD">
            <w:pPr>
              <w:widowControl/>
              <w:spacing w:line="240" w:lineRule="auto"/>
              <w:jc w:val="center"/>
              <w:rPr>
                <w:rFonts w:hAnsi="宋体" w:cs="宋体"/>
                <w:bCs/>
                <w:color w:val="auto"/>
                <w:sz w:val="24"/>
                <w:szCs w:val="24"/>
                <w:highlight w:val="none"/>
              </w:rPr>
            </w:pPr>
          </w:p>
        </w:tc>
      </w:tr>
    </w:tbl>
    <w:p w14:paraId="4DF61CB6">
      <w:pPr>
        <w:pStyle w:val="166"/>
        <w:spacing w:line="360" w:lineRule="auto"/>
        <w:rPr>
          <w:rFonts w:hint="eastAsia" w:ascii="仿宋_GB2312" w:hAnsi="宋体"/>
          <w:b/>
          <w:color w:val="auto"/>
          <w:sz w:val="32"/>
          <w:szCs w:val="32"/>
          <w:highlight w:val="none"/>
        </w:rPr>
      </w:pPr>
    </w:p>
    <w:p w14:paraId="74FA32D6">
      <w:pPr>
        <w:pStyle w:val="166"/>
        <w:spacing w:line="360" w:lineRule="auto"/>
        <w:rPr>
          <w:rFonts w:hint="eastAsia" w:ascii="宋体" w:hAnsi="宋体"/>
          <w:color w:val="auto"/>
          <w:sz w:val="28"/>
          <w:highlight w:val="none"/>
        </w:rPr>
      </w:pPr>
    </w:p>
    <w:p w14:paraId="043E3A77">
      <w:pPr>
        <w:pStyle w:val="166"/>
        <w:spacing w:line="360" w:lineRule="auto"/>
        <w:ind w:firstLine="480" w:firstLineChars="200"/>
        <w:rPr>
          <w:rFonts w:ascii="宋体" w:hAnsi="宋体"/>
          <w:color w:val="auto"/>
          <w:sz w:val="24"/>
          <w:szCs w:val="24"/>
          <w:highlight w:val="none"/>
        </w:rPr>
      </w:pPr>
    </w:p>
    <w:p w14:paraId="216A5FF1">
      <w:pPr>
        <w:pStyle w:val="166"/>
        <w:spacing w:line="360" w:lineRule="auto"/>
        <w:ind w:firstLine="480" w:firstLineChars="200"/>
        <w:rPr>
          <w:rFonts w:ascii="宋体" w:hAnsi="宋体"/>
          <w:color w:val="auto"/>
          <w:sz w:val="24"/>
          <w:szCs w:val="24"/>
          <w:highlight w:val="none"/>
        </w:rPr>
      </w:pPr>
    </w:p>
    <w:p w14:paraId="340E02A6">
      <w:pPr>
        <w:pStyle w:val="166"/>
        <w:spacing w:line="360" w:lineRule="auto"/>
        <w:ind w:firstLine="480" w:firstLineChars="200"/>
        <w:rPr>
          <w:rFonts w:ascii="宋体" w:hAnsi="宋体"/>
          <w:color w:val="auto"/>
          <w:sz w:val="24"/>
          <w:szCs w:val="24"/>
          <w:highlight w:val="none"/>
        </w:rPr>
      </w:pPr>
    </w:p>
    <w:p w14:paraId="07667886">
      <w:pPr>
        <w:pStyle w:val="166"/>
        <w:spacing w:line="360" w:lineRule="auto"/>
        <w:ind w:firstLine="480" w:firstLineChars="200"/>
        <w:rPr>
          <w:rFonts w:ascii="宋体" w:hAnsi="宋体"/>
          <w:color w:val="auto"/>
          <w:sz w:val="24"/>
          <w:szCs w:val="24"/>
          <w:highlight w:val="none"/>
        </w:rPr>
      </w:pPr>
    </w:p>
    <w:p w14:paraId="55C39A25">
      <w:pPr>
        <w:pStyle w:val="166"/>
        <w:spacing w:line="360" w:lineRule="auto"/>
        <w:ind w:firstLine="480" w:firstLineChars="200"/>
        <w:rPr>
          <w:color w:val="auto"/>
          <w:sz w:val="24"/>
          <w:szCs w:val="24"/>
          <w:highlight w:val="none"/>
          <w:u w:val="single"/>
        </w:rPr>
      </w:pPr>
    </w:p>
    <w:p w14:paraId="6D57D84C">
      <w:pPr>
        <w:pStyle w:val="190"/>
        <w:adjustRightInd w:val="0"/>
        <w:snapToGrid w:val="0"/>
        <w:spacing w:line="500" w:lineRule="exact"/>
        <w:rPr>
          <w:rFonts w:ascii="宋体" w:hAnsi="宋体"/>
          <w:color w:val="auto"/>
          <w:sz w:val="24"/>
          <w:szCs w:val="24"/>
          <w:highlight w:val="none"/>
        </w:rPr>
      </w:pPr>
      <w:r>
        <w:rPr>
          <w:rFonts w:hint="eastAsia" w:ascii="宋体" w:hAnsi="宋体"/>
          <w:color w:val="auto"/>
          <w:sz w:val="24"/>
          <w:szCs w:val="24"/>
          <w:highlight w:val="none"/>
        </w:rPr>
        <w:t>供应商名称（</w:t>
      </w:r>
      <w:r>
        <w:rPr>
          <w:rFonts w:hint="eastAsia" w:ascii="宋体" w:hAnsi="宋体" w:cs="宋体"/>
          <w:color w:val="auto"/>
          <w:sz w:val="24"/>
          <w:szCs w:val="24"/>
          <w:highlight w:val="none"/>
        </w:rPr>
        <w:t>盖章</w:t>
      </w:r>
      <w:r>
        <w:rPr>
          <w:rFonts w:hint="eastAsia" w:ascii="宋体" w:hAnsi="宋体"/>
          <w:color w:val="auto"/>
          <w:sz w:val="24"/>
          <w:szCs w:val="24"/>
          <w:highlight w:val="none"/>
        </w:rPr>
        <w:t>）：</w:t>
      </w:r>
    </w:p>
    <w:p w14:paraId="3F226809">
      <w:pPr>
        <w:pStyle w:val="190"/>
        <w:adjustRightInd w:val="0"/>
        <w:snapToGrid w:val="0"/>
        <w:spacing w:line="500" w:lineRule="exact"/>
        <w:rPr>
          <w:rFonts w:hint="eastAsia" w:ascii="宋体" w:hAnsi="宋体"/>
          <w:color w:val="auto"/>
          <w:sz w:val="24"/>
          <w:szCs w:val="24"/>
          <w:highlight w:val="none"/>
        </w:rPr>
      </w:pPr>
      <w:r>
        <w:rPr>
          <w:rFonts w:hint="eastAsia" w:ascii="宋体" w:hAnsi="宋体"/>
          <w:color w:val="auto"/>
          <w:sz w:val="24"/>
          <w:szCs w:val="24"/>
          <w:highlight w:val="none"/>
        </w:rPr>
        <w:t>供应商法定代表人（签字或盖章）：</w:t>
      </w:r>
    </w:p>
    <w:p w14:paraId="4001E95C">
      <w:pPr>
        <w:pStyle w:val="190"/>
        <w:adjustRightInd w:val="0"/>
        <w:snapToGrid w:val="0"/>
        <w:spacing w:line="500" w:lineRule="exact"/>
        <w:rPr>
          <w:color w:val="auto"/>
          <w:sz w:val="24"/>
          <w:szCs w:val="24"/>
          <w:highlight w:val="none"/>
        </w:rPr>
      </w:pPr>
      <w:r>
        <w:rPr>
          <w:rFonts w:hint="eastAsia" w:ascii="宋体" w:hAnsi="宋体"/>
          <w:color w:val="auto"/>
          <w:sz w:val="24"/>
          <w:szCs w:val="24"/>
          <w:highlight w:val="none"/>
        </w:rPr>
        <w:t>日期：年 月 日</w:t>
      </w:r>
    </w:p>
    <w:p w14:paraId="4C657244">
      <w:pPr>
        <w:pStyle w:val="166"/>
        <w:spacing w:line="360" w:lineRule="auto"/>
        <w:ind w:firstLine="560" w:firstLineChars="200"/>
        <w:rPr>
          <w:rFonts w:ascii="宋体" w:hAnsi="宋体"/>
          <w:color w:val="auto"/>
          <w:sz w:val="28"/>
          <w:highlight w:val="none"/>
        </w:rPr>
      </w:pPr>
    </w:p>
    <w:p w14:paraId="16659835">
      <w:pPr>
        <w:pStyle w:val="166"/>
        <w:spacing w:line="360" w:lineRule="auto"/>
        <w:ind w:firstLine="560" w:firstLineChars="200"/>
        <w:rPr>
          <w:rFonts w:ascii="宋体" w:hAnsi="宋体"/>
          <w:color w:val="auto"/>
          <w:sz w:val="28"/>
          <w:highlight w:val="none"/>
        </w:rPr>
      </w:pPr>
    </w:p>
    <w:p w14:paraId="07B65464">
      <w:pPr>
        <w:pStyle w:val="166"/>
        <w:spacing w:line="360" w:lineRule="auto"/>
        <w:ind w:firstLine="560" w:firstLineChars="200"/>
        <w:rPr>
          <w:rFonts w:ascii="宋体" w:hAnsi="宋体"/>
          <w:color w:val="auto"/>
          <w:sz w:val="28"/>
          <w:highlight w:val="none"/>
        </w:rPr>
      </w:pPr>
    </w:p>
    <w:p w14:paraId="1AB6E382">
      <w:pPr>
        <w:pStyle w:val="166"/>
        <w:spacing w:line="360" w:lineRule="auto"/>
        <w:ind w:firstLine="560" w:firstLineChars="200"/>
        <w:rPr>
          <w:rFonts w:ascii="宋体" w:hAnsi="宋体"/>
          <w:color w:val="auto"/>
          <w:sz w:val="28"/>
          <w:highlight w:val="none"/>
        </w:rPr>
      </w:pPr>
    </w:p>
    <w:p w14:paraId="7E5DA00D">
      <w:pPr>
        <w:pStyle w:val="166"/>
        <w:spacing w:line="360" w:lineRule="auto"/>
        <w:ind w:firstLine="560" w:firstLineChars="200"/>
        <w:rPr>
          <w:rFonts w:ascii="宋体" w:hAnsi="宋体"/>
          <w:color w:val="auto"/>
          <w:sz w:val="28"/>
          <w:highlight w:val="none"/>
        </w:rPr>
      </w:pPr>
    </w:p>
    <w:p w14:paraId="14494FE4">
      <w:pPr>
        <w:pStyle w:val="166"/>
        <w:spacing w:line="360" w:lineRule="auto"/>
        <w:ind w:firstLine="560" w:firstLineChars="200"/>
        <w:rPr>
          <w:rFonts w:ascii="宋体" w:hAnsi="宋体"/>
          <w:color w:val="auto"/>
          <w:sz w:val="28"/>
          <w:highlight w:val="none"/>
        </w:rPr>
      </w:pPr>
    </w:p>
    <w:p w14:paraId="3E893F3C">
      <w:pPr>
        <w:pStyle w:val="166"/>
        <w:spacing w:line="360" w:lineRule="auto"/>
        <w:ind w:firstLine="560" w:firstLineChars="200"/>
        <w:rPr>
          <w:rFonts w:ascii="宋体" w:hAnsi="宋体"/>
          <w:color w:val="auto"/>
          <w:sz w:val="28"/>
          <w:highlight w:val="none"/>
        </w:rPr>
      </w:pPr>
    </w:p>
    <w:p w14:paraId="6F8B8FF5">
      <w:pPr>
        <w:pStyle w:val="134"/>
        <w:numPr>
          <w:ilvl w:val="0"/>
          <w:numId w:val="0"/>
        </w:numPr>
        <w:outlineLvl w:val="1"/>
        <w:rPr>
          <w:color w:val="auto"/>
          <w:highlight w:val="none"/>
        </w:rPr>
      </w:pPr>
      <w:bookmarkStart w:id="375" w:name="_Toc30835"/>
      <w:bookmarkStart w:id="376" w:name="_Toc31624"/>
      <w:r>
        <w:rPr>
          <w:rFonts w:hint="eastAsia"/>
          <w:color w:val="auto"/>
          <w:highlight w:val="none"/>
          <w:lang w:val="en-US" w:eastAsia="zh-CN"/>
        </w:rPr>
        <w:t>三、</w:t>
      </w:r>
      <w:r>
        <w:rPr>
          <w:color w:val="auto"/>
          <w:highlight w:val="none"/>
        </w:rPr>
        <w:t>商务文件组成</w:t>
      </w:r>
      <w:bookmarkEnd w:id="375"/>
      <w:bookmarkEnd w:id="376"/>
    </w:p>
    <w:p w14:paraId="65206D30">
      <w:pPr>
        <w:pStyle w:val="158"/>
        <w:outlineLvl w:val="2"/>
        <w:rPr>
          <w:color w:val="auto"/>
          <w:highlight w:val="none"/>
        </w:rPr>
      </w:pPr>
      <w:r>
        <w:rPr>
          <w:color w:val="auto"/>
          <w:highlight w:val="none"/>
        </w:rPr>
        <w:br w:type="page"/>
      </w:r>
      <w:bookmarkStart w:id="377" w:name="_Toc31478"/>
      <w:bookmarkStart w:id="378" w:name="_Toc7438"/>
      <w:r>
        <w:rPr>
          <w:color w:val="auto"/>
          <w:highlight w:val="none"/>
        </w:rPr>
        <w:t>（一）竞争性磋商函</w:t>
      </w:r>
      <w:bookmarkEnd w:id="377"/>
      <w:bookmarkEnd w:id="378"/>
    </w:p>
    <w:p w14:paraId="0A7BC16E">
      <w:pPr>
        <w:pStyle w:val="143"/>
        <w:adjustRightInd w:val="0"/>
        <w:snapToGrid w:val="0"/>
        <w:spacing w:line="400" w:lineRule="exact"/>
        <w:jc w:val="left"/>
        <w:rPr>
          <w:rFonts w:hint="eastAsia" w:ascii="宋体" w:hAnsi="宋体"/>
          <w:color w:val="auto"/>
          <w:sz w:val="28"/>
          <w:szCs w:val="28"/>
          <w:highlight w:val="none"/>
          <w:u w:val="single"/>
        </w:rPr>
      </w:pPr>
    </w:p>
    <w:p w14:paraId="1AF6B3A3">
      <w:pPr>
        <w:pStyle w:val="143"/>
        <w:keepNext w:val="0"/>
        <w:keepLines w:val="0"/>
        <w:pageBreakBefore w:val="0"/>
        <w:widowControl w:val="0"/>
        <w:kinsoku/>
        <w:wordWrap/>
        <w:overflowPunct/>
        <w:topLinePunct w:val="0"/>
        <w:bidi w:val="0"/>
        <w:adjustRightInd w:val="0"/>
        <w:snapToGrid w:val="0"/>
        <w:spacing w:line="324" w:lineRule="auto"/>
        <w:jc w:val="left"/>
        <w:textAlignment w:val="auto"/>
        <w:rPr>
          <w:rFonts w:ascii="宋体" w:hAnsi="宋体"/>
          <w:color w:val="auto"/>
          <w:sz w:val="24"/>
          <w:szCs w:val="24"/>
          <w:highlight w:val="none"/>
        </w:rPr>
      </w:pPr>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val="en-US" w:eastAsia="zh-CN"/>
        </w:rPr>
        <w:t>采购人或</w:t>
      </w:r>
      <w:r>
        <w:rPr>
          <w:rFonts w:hint="eastAsia" w:ascii="宋体" w:hAnsi="宋体"/>
          <w:color w:val="auto"/>
          <w:sz w:val="24"/>
          <w:szCs w:val="24"/>
          <w:highlight w:val="none"/>
          <w:u w:val="single"/>
        </w:rPr>
        <w:t>代理机构名称）</w:t>
      </w:r>
      <w:r>
        <w:rPr>
          <w:rFonts w:hint="eastAsia" w:ascii="宋体" w:hAnsi="宋体"/>
          <w:color w:val="auto"/>
          <w:sz w:val="24"/>
          <w:szCs w:val="24"/>
          <w:highlight w:val="none"/>
        </w:rPr>
        <w:t>：</w:t>
      </w:r>
    </w:p>
    <w:p w14:paraId="40478DEF">
      <w:pPr>
        <w:pStyle w:val="143"/>
        <w:keepNext w:val="0"/>
        <w:keepLines w:val="0"/>
        <w:pageBreakBefore w:val="0"/>
        <w:widowControl w:val="0"/>
        <w:kinsoku/>
        <w:wordWrap/>
        <w:overflowPunct/>
        <w:topLinePunct w:val="0"/>
        <w:autoSpaceDE w:val="0"/>
        <w:autoSpaceDN w:val="0"/>
        <w:bidi w:val="0"/>
        <w:adjustRightInd w:val="0"/>
        <w:spacing w:line="324" w:lineRule="auto"/>
        <w:ind w:right="26" w:firstLine="480" w:firstLineChars="200"/>
        <w:jc w:val="left"/>
        <w:textAlignment w:val="auto"/>
        <w:rPr>
          <w:rFonts w:ascii="宋体" w:hAnsi="宋体"/>
          <w:color w:val="auto"/>
          <w:kern w:val="0"/>
          <w:sz w:val="24"/>
          <w:szCs w:val="24"/>
          <w:highlight w:val="none"/>
        </w:rPr>
      </w:pPr>
      <w:r>
        <w:rPr>
          <w:rFonts w:hint="eastAsia" w:ascii="宋体" w:hAnsi="宋体"/>
          <w:color w:val="auto"/>
          <w:kern w:val="0"/>
          <w:sz w:val="24"/>
          <w:szCs w:val="24"/>
          <w:highlight w:val="none"/>
        </w:rPr>
        <w:t>依据贵方</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(采购项目名称/采购项目编号) </w:t>
      </w:r>
      <w:r>
        <w:rPr>
          <w:rFonts w:hint="eastAsia" w:ascii="宋体" w:hAnsi="宋体"/>
          <w:color w:val="auto"/>
          <w:kern w:val="0"/>
          <w:sz w:val="24"/>
          <w:szCs w:val="24"/>
          <w:highlight w:val="none"/>
        </w:rPr>
        <w:t>项目招标采购服务的磋商邀请，我方代表</w:t>
      </w:r>
      <w:r>
        <w:rPr>
          <w:rFonts w:hint="eastAsia" w:ascii="宋体" w:hAnsi="宋体"/>
          <w:color w:val="auto"/>
          <w:kern w:val="0"/>
          <w:sz w:val="24"/>
          <w:szCs w:val="24"/>
          <w:highlight w:val="none"/>
          <w:u w:val="single"/>
        </w:rPr>
        <w:t xml:space="preserve"> </w:t>
      </w:r>
      <w:r>
        <w:rPr>
          <w:rFonts w:ascii="宋体" w:hAnsi="宋体"/>
          <w:color w:val="auto"/>
          <w:kern w:val="0"/>
          <w:sz w:val="24"/>
          <w:szCs w:val="24"/>
          <w:highlight w:val="none"/>
          <w:u w:val="single"/>
        </w:rPr>
        <w:t xml:space="preserve"> </w:t>
      </w:r>
      <w:r>
        <w:rPr>
          <w:rFonts w:hint="eastAsia" w:ascii="宋体" w:hAnsi="宋体"/>
          <w:color w:val="auto"/>
          <w:sz w:val="24"/>
          <w:szCs w:val="24"/>
          <w:highlight w:val="none"/>
          <w:u w:val="single"/>
        </w:rPr>
        <w:t>（姓名、职务）</w:t>
      </w:r>
      <w:r>
        <w:rPr>
          <w:rFonts w:hint="eastAsia" w:ascii="宋体" w:hAnsi="宋体"/>
          <w:color w:val="auto"/>
          <w:kern w:val="0"/>
          <w:sz w:val="24"/>
          <w:szCs w:val="24"/>
          <w:highlight w:val="none"/>
        </w:rPr>
        <w:t>经正式授权并代表供应商</w:t>
      </w:r>
      <w:r>
        <w:rPr>
          <w:rFonts w:hint="eastAsia" w:ascii="宋体" w:hAnsi="宋体"/>
          <w:color w:val="auto"/>
          <w:kern w:val="0"/>
          <w:sz w:val="24"/>
          <w:szCs w:val="24"/>
          <w:highlight w:val="none"/>
          <w:u w:val="single"/>
        </w:rPr>
        <w:t xml:space="preserve"> </w:t>
      </w:r>
      <w:r>
        <w:rPr>
          <w:rFonts w:ascii="宋体" w:hAnsi="宋体"/>
          <w:color w:val="auto"/>
          <w:kern w:val="0"/>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（供应商名称、地址）</w:t>
      </w:r>
      <w:r>
        <w:rPr>
          <w:rFonts w:hint="eastAsia" w:ascii="宋体" w:hAnsi="宋体"/>
          <w:color w:val="auto"/>
          <w:kern w:val="0"/>
          <w:sz w:val="24"/>
          <w:szCs w:val="24"/>
          <w:highlight w:val="none"/>
        </w:rPr>
        <w:t>提交下述响应文件。提交电子响应文件。</w:t>
      </w:r>
    </w:p>
    <w:p w14:paraId="28D86844">
      <w:pPr>
        <w:pStyle w:val="143"/>
        <w:keepNext w:val="0"/>
        <w:keepLines w:val="0"/>
        <w:pageBreakBefore w:val="0"/>
        <w:widowControl w:val="0"/>
        <w:kinsoku/>
        <w:wordWrap/>
        <w:overflowPunct/>
        <w:topLinePunct w:val="0"/>
        <w:autoSpaceDE w:val="0"/>
        <w:autoSpaceDN w:val="0"/>
        <w:bidi w:val="0"/>
        <w:adjustRightInd w:val="0"/>
        <w:spacing w:line="324" w:lineRule="auto"/>
        <w:ind w:right="246" w:firstLine="480" w:firstLineChars="200"/>
        <w:jc w:val="left"/>
        <w:textAlignment w:val="auto"/>
        <w:rPr>
          <w:rFonts w:ascii="宋体" w:hAnsi="宋体"/>
          <w:color w:val="auto"/>
          <w:kern w:val="0"/>
          <w:sz w:val="24"/>
          <w:szCs w:val="24"/>
          <w:highlight w:val="none"/>
        </w:rPr>
      </w:pPr>
      <w:r>
        <w:rPr>
          <w:rFonts w:ascii="宋体" w:hAnsi="宋体"/>
          <w:color w:val="auto"/>
          <w:kern w:val="0"/>
          <w:sz w:val="24"/>
          <w:szCs w:val="24"/>
          <w:highlight w:val="none"/>
        </w:rPr>
        <w:t>1</w:t>
      </w:r>
      <w:r>
        <w:rPr>
          <w:rFonts w:hint="eastAsia" w:ascii="宋体" w:hAnsi="宋体"/>
          <w:color w:val="auto"/>
          <w:kern w:val="0"/>
          <w:sz w:val="24"/>
          <w:szCs w:val="24"/>
          <w:highlight w:val="none"/>
        </w:rPr>
        <w:t>．磋商报价表；</w:t>
      </w:r>
    </w:p>
    <w:p w14:paraId="448330D9">
      <w:pPr>
        <w:pStyle w:val="143"/>
        <w:keepNext w:val="0"/>
        <w:keepLines w:val="0"/>
        <w:pageBreakBefore w:val="0"/>
        <w:widowControl w:val="0"/>
        <w:kinsoku/>
        <w:wordWrap/>
        <w:overflowPunct/>
        <w:topLinePunct w:val="0"/>
        <w:autoSpaceDE w:val="0"/>
        <w:autoSpaceDN w:val="0"/>
        <w:bidi w:val="0"/>
        <w:adjustRightInd w:val="0"/>
        <w:spacing w:line="324" w:lineRule="auto"/>
        <w:ind w:right="246" w:firstLine="480" w:firstLineChars="200"/>
        <w:jc w:val="left"/>
        <w:textAlignment w:val="auto"/>
        <w:rPr>
          <w:rFonts w:ascii="宋体" w:hAnsi="宋体"/>
          <w:color w:val="auto"/>
          <w:kern w:val="0"/>
          <w:sz w:val="24"/>
          <w:szCs w:val="24"/>
          <w:highlight w:val="none"/>
        </w:rPr>
      </w:pPr>
      <w:r>
        <w:rPr>
          <w:rFonts w:hint="eastAsia" w:ascii="宋体" w:hAnsi="宋体"/>
          <w:color w:val="auto"/>
          <w:kern w:val="0"/>
          <w:sz w:val="24"/>
          <w:szCs w:val="24"/>
          <w:highlight w:val="none"/>
          <w:lang w:val="en-US" w:eastAsia="zh-CN"/>
        </w:rPr>
        <w:t>2</w:t>
      </w:r>
      <w:r>
        <w:rPr>
          <w:rFonts w:hint="eastAsia" w:ascii="宋体" w:hAnsi="宋体"/>
          <w:color w:val="auto"/>
          <w:kern w:val="0"/>
          <w:sz w:val="24"/>
          <w:szCs w:val="24"/>
          <w:highlight w:val="none"/>
        </w:rPr>
        <w:t>．所投服务清单；</w:t>
      </w:r>
    </w:p>
    <w:p w14:paraId="7C8A41A8">
      <w:pPr>
        <w:pStyle w:val="143"/>
        <w:keepNext w:val="0"/>
        <w:keepLines w:val="0"/>
        <w:pageBreakBefore w:val="0"/>
        <w:widowControl w:val="0"/>
        <w:kinsoku/>
        <w:wordWrap/>
        <w:overflowPunct/>
        <w:topLinePunct w:val="0"/>
        <w:autoSpaceDE w:val="0"/>
        <w:autoSpaceDN w:val="0"/>
        <w:bidi w:val="0"/>
        <w:adjustRightInd w:val="0"/>
        <w:spacing w:line="324" w:lineRule="auto"/>
        <w:ind w:right="246" w:firstLine="480" w:firstLineChars="200"/>
        <w:jc w:val="left"/>
        <w:textAlignment w:val="auto"/>
        <w:rPr>
          <w:rFonts w:ascii="宋体" w:hAnsi="宋体"/>
          <w:color w:val="auto"/>
          <w:kern w:val="0"/>
          <w:sz w:val="24"/>
          <w:szCs w:val="24"/>
          <w:highlight w:val="none"/>
        </w:rPr>
      </w:pPr>
      <w:r>
        <w:rPr>
          <w:rFonts w:hint="eastAsia" w:ascii="宋体" w:hAnsi="宋体"/>
          <w:color w:val="auto"/>
          <w:kern w:val="0"/>
          <w:sz w:val="24"/>
          <w:szCs w:val="24"/>
          <w:highlight w:val="none"/>
          <w:lang w:val="en-US" w:eastAsia="zh-CN"/>
        </w:rPr>
        <w:t>3</w:t>
      </w:r>
      <w:r>
        <w:rPr>
          <w:rFonts w:hint="eastAsia" w:ascii="宋体" w:hAnsi="宋体"/>
          <w:color w:val="auto"/>
          <w:kern w:val="0"/>
          <w:sz w:val="24"/>
          <w:szCs w:val="24"/>
          <w:highlight w:val="none"/>
        </w:rPr>
        <w:t>．按磋商文件供应商须知和技术规格要求提供的有关文件；</w:t>
      </w:r>
    </w:p>
    <w:p w14:paraId="2DECD2B1">
      <w:pPr>
        <w:pStyle w:val="143"/>
        <w:keepNext w:val="0"/>
        <w:keepLines w:val="0"/>
        <w:pageBreakBefore w:val="0"/>
        <w:widowControl w:val="0"/>
        <w:kinsoku/>
        <w:wordWrap/>
        <w:overflowPunct/>
        <w:topLinePunct w:val="0"/>
        <w:autoSpaceDE w:val="0"/>
        <w:autoSpaceDN w:val="0"/>
        <w:bidi w:val="0"/>
        <w:adjustRightInd w:val="0"/>
        <w:spacing w:line="324" w:lineRule="auto"/>
        <w:ind w:right="246" w:firstLine="480" w:firstLineChars="200"/>
        <w:jc w:val="left"/>
        <w:textAlignment w:val="auto"/>
        <w:rPr>
          <w:rFonts w:ascii="宋体" w:hAnsi="宋体"/>
          <w:color w:val="auto"/>
          <w:kern w:val="0"/>
          <w:sz w:val="24"/>
          <w:szCs w:val="24"/>
          <w:highlight w:val="none"/>
        </w:rPr>
      </w:pPr>
      <w:r>
        <w:rPr>
          <w:rFonts w:hint="eastAsia" w:ascii="宋体" w:hAnsi="宋体"/>
          <w:color w:val="auto"/>
          <w:kern w:val="0"/>
          <w:sz w:val="24"/>
          <w:szCs w:val="24"/>
          <w:highlight w:val="none"/>
          <w:lang w:val="en-US" w:eastAsia="zh-CN"/>
        </w:rPr>
        <w:t>4</w:t>
      </w:r>
      <w:r>
        <w:rPr>
          <w:rFonts w:hint="eastAsia" w:ascii="宋体" w:hAnsi="宋体"/>
          <w:color w:val="auto"/>
          <w:kern w:val="0"/>
          <w:sz w:val="24"/>
          <w:szCs w:val="24"/>
          <w:highlight w:val="none"/>
        </w:rPr>
        <w:t>．资格证明文件；</w:t>
      </w:r>
    </w:p>
    <w:p w14:paraId="162DD5C9">
      <w:pPr>
        <w:pStyle w:val="143"/>
        <w:keepNext w:val="0"/>
        <w:keepLines w:val="0"/>
        <w:pageBreakBefore w:val="0"/>
        <w:widowControl w:val="0"/>
        <w:kinsoku/>
        <w:wordWrap/>
        <w:overflowPunct/>
        <w:topLinePunct w:val="0"/>
        <w:autoSpaceDE w:val="0"/>
        <w:autoSpaceDN w:val="0"/>
        <w:bidi w:val="0"/>
        <w:adjustRightInd w:val="0"/>
        <w:spacing w:line="324" w:lineRule="auto"/>
        <w:ind w:right="32" w:firstLine="480" w:firstLineChars="200"/>
        <w:jc w:val="left"/>
        <w:textAlignment w:val="auto"/>
        <w:rPr>
          <w:rFonts w:ascii="宋体" w:hAnsi="宋体"/>
          <w:color w:val="auto"/>
          <w:kern w:val="0"/>
          <w:sz w:val="24"/>
          <w:szCs w:val="24"/>
          <w:highlight w:val="none"/>
        </w:rPr>
      </w:pPr>
      <w:r>
        <w:rPr>
          <w:rFonts w:hint="eastAsia" w:ascii="宋体" w:hAnsi="宋体"/>
          <w:color w:val="auto"/>
          <w:kern w:val="0"/>
          <w:sz w:val="24"/>
          <w:szCs w:val="24"/>
          <w:highlight w:val="none"/>
          <w:lang w:val="en-US" w:eastAsia="zh-CN"/>
        </w:rPr>
        <w:t>5</w:t>
      </w:r>
      <w:r>
        <w:rPr>
          <w:rFonts w:hint="eastAsia" w:ascii="宋体" w:hAnsi="宋体"/>
          <w:color w:val="auto"/>
          <w:kern w:val="0"/>
          <w:sz w:val="24"/>
          <w:szCs w:val="24"/>
          <w:highlight w:val="none"/>
        </w:rPr>
        <w:t>．按磋商文件的规定递交的磋商保证金。</w:t>
      </w:r>
    </w:p>
    <w:p w14:paraId="6D85DECC">
      <w:pPr>
        <w:pStyle w:val="143"/>
        <w:keepNext w:val="0"/>
        <w:keepLines w:val="0"/>
        <w:pageBreakBefore w:val="0"/>
        <w:widowControl w:val="0"/>
        <w:kinsoku/>
        <w:wordWrap/>
        <w:overflowPunct/>
        <w:topLinePunct w:val="0"/>
        <w:autoSpaceDE w:val="0"/>
        <w:autoSpaceDN w:val="0"/>
        <w:bidi w:val="0"/>
        <w:adjustRightInd w:val="0"/>
        <w:spacing w:line="324" w:lineRule="auto"/>
        <w:ind w:right="246"/>
        <w:jc w:val="left"/>
        <w:textAlignment w:val="auto"/>
        <w:rPr>
          <w:rFonts w:ascii="宋体" w:hAnsi="宋体"/>
          <w:color w:val="auto"/>
          <w:kern w:val="0"/>
          <w:sz w:val="24"/>
          <w:szCs w:val="24"/>
          <w:highlight w:val="none"/>
        </w:rPr>
      </w:pPr>
      <w:r>
        <w:rPr>
          <w:rFonts w:hint="eastAsia" w:ascii="宋体" w:hAnsi="宋体"/>
          <w:color w:val="auto"/>
          <w:kern w:val="0"/>
          <w:sz w:val="24"/>
          <w:szCs w:val="24"/>
          <w:highlight w:val="none"/>
        </w:rPr>
        <w:t>在此，我方宣布同意如下：</w:t>
      </w:r>
    </w:p>
    <w:p w14:paraId="41341F7A">
      <w:pPr>
        <w:pStyle w:val="143"/>
        <w:keepNext w:val="0"/>
        <w:keepLines w:val="0"/>
        <w:pageBreakBefore w:val="0"/>
        <w:widowControl w:val="0"/>
        <w:kinsoku/>
        <w:wordWrap/>
        <w:overflowPunct/>
        <w:topLinePunct w:val="0"/>
        <w:autoSpaceDE w:val="0"/>
        <w:autoSpaceDN w:val="0"/>
        <w:bidi w:val="0"/>
        <w:adjustRightInd w:val="0"/>
        <w:spacing w:line="324" w:lineRule="auto"/>
        <w:ind w:right="246" w:firstLine="480" w:firstLineChars="200"/>
        <w:jc w:val="left"/>
        <w:textAlignment w:val="auto"/>
        <w:rPr>
          <w:rFonts w:ascii="宋体" w:hAnsi="宋体"/>
          <w:color w:val="auto"/>
          <w:kern w:val="0"/>
          <w:sz w:val="24"/>
          <w:szCs w:val="24"/>
          <w:highlight w:val="none"/>
        </w:rPr>
      </w:pPr>
      <w:r>
        <w:rPr>
          <w:rFonts w:hint="eastAsia" w:ascii="宋体" w:hAnsi="宋体"/>
          <w:color w:val="auto"/>
          <w:kern w:val="0"/>
          <w:sz w:val="24"/>
          <w:szCs w:val="24"/>
          <w:highlight w:val="none"/>
        </w:rPr>
        <w:t>1．所附《磋商报价表》中规定的应提交和交付的</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u w:val="single"/>
          <w:lang w:val="en-US" w:eastAsia="zh-CN"/>
        </w:rPr>
        <w:t>编</w:t>
      </w:r>
      <w:r>
        <w:rPr>
          <w:rFonts w:hint="eastAsia" w:ascii="宋体" w:hAnsi="宋体"/>
          <w:color w:val="auto"/>
          <w:kern w:val="0"/>
          <w:sz w:val="24"/>
          <w:szCs w:val="24"/>
          <w:highlight w:val="none"/>
          <w:u w:val="single"/>
        </w:rPr>
        <w:t xml:space="preserve">号） </w:t>
      </w:r>
      <w:r>
        <w:rPr>
          <w:rFonts w:hint="eastAsia" w:ascii="宋体" w:hAnsi="宋体"/>
          <w:color w:val="auto"/>
          <w:kern w:val="0"/>
          <w:sz w:val="24"/>
          <w:szCs w:val="24"/>
          <w:highlight w:val="none"/>
          <w:lang w:val="en-US" w:eastAsia="zh-CN"/>
        </w:rPr>
        <w:t xml:space="preserve"> </w:t>
      </w:r>
      <w:r>
        <w:rPr>
          <w:rFonts w:hint="eastAsia" w:ascii="宋体" w:hAnsi="宋体"/>
          <w:color w:val="auto"/>
          <w:kern w:val="0"/>
          <w:sz w:val="24"/>
          <w:szCs w:val="24"/>
          <w:highlight w:val="none"/>
        </w:rPr>
        <w:t>投标总价为</w:t>
      </w:r>
      <w:r>
        <w:rPr>
          <w:rFonts w:hint="eastAsia" w:ascii="宋体" w:hAnsi="宋体"/>
          <w:color w:val="auto"/>
          <w:kern w:val="0"/>
          <w:sz w:val="24"/>
          <w:szCs w:val="24"/>
          <w:highlight w:val="none"/>
          <w:u w:val="single"/>
        </w:rPr>
        <w:t>（注明币种，并用文字和数字表示的投标总价）</w:t>
      </w:r>
      <w:r>
        <w:rPr>
          <w:rFonts w:hint="eastAsia" w:ascii="宋体" w:hAnsi="宋体"/>
          <w:color w:val="auto"/>
          <w:kern w:val="0"/>
          <w:sz w:val="24"/>
          <w:szCs w:val="24"/>
          <w:highlight w:val="none"/>
        </w:rPr>
        <w:t>。</w:t>
      </w:r>
    </w:p>
    <w:p w14:paraId="4C0403C2">
      <w:pPr>
        <w:pStyle w:val="143"/>
        <w:keepNext w:val="0"/>
        <w:keepLines w:val="0"/>
        <w:pageBreakBefore w:val="0"/>
        <w:widowControl w:val="0"/>
        <w:kinsoku/>
        <w:wordWrap/>
        <w:overflowPunct/>
        <w:topLinePunct w:val="0"/>
        <w:autoSpaceDE w:val="0"/>
        <w:autoSpaceDN w:val="0"/>
        <w:bidi w:val="0"/>
        <w:adjustRightInd w:val="0"/>
        <w:spacing w:line="324" w:lineRule="auto"/>
        <w:ind w:right="246" w:firstLine="480" w:firstLineChars="200"/>
        <w:jc w:val="left"/>
        <w:textAlignment w:val="auto"/>
        <w:rPr>
          <w:rFonts w:ascii="宋体" w:hAnsi="宋体"/>
          <w:color w:val="auto"/>
          <w:kern w:val="0"/>
          <w:sz w:val="24"/>
          <w:szCs w:val="24"/>
          <w:highlight w:val="none"/>
        </w:rPr>
      </w:pPr>
      <w:r>
        <w:rPr>
          <w:rFonts w:hint="eastAsia" w:ascii="宋体" w:hAnsi="宋体"/>
          <w:color w:val="auto"/>
          <w:kern w:val="0"/>
          <w:sz w:val="24"/>
          <w:szCs w:val="24"/>
          <w:highlight w:val="none"/>
        </w:rPr>
        <w:t>2．将按磋商文件的约定履行合同责任和义务。</w:t>
      </w:r>
    </w:p>
    <w:p w14:paraId="7F6B60CC">
      <w:pPr>
        <w:pStyle w:val="143"/>
        <w:keepNext w:val="0"/>
        <w:keepLines w:val="0"/>
        <w:pageBreakBefore w:val="0"/>
        <w:widowControl w:val="0"/>
        <w:kinsoku/>
        <w:wordWrap/>
        <w:overflowPunct/>
        <w:topLinePunct w:val="0"/>
        <w:autoSpaceDE w:val="0"/>
        <w:autoSpaceDN w:val="0"/>
        <w:bidi w:val="0"/>
        <w:adjustRightInd w:val="0"/>
        <w:spacing w:line="324" w:lineRule="auto"/>
        <w:ind w:right="246" w:firstLine="480" w:firstLineChars="200"/>
        <w:jc w:val="left"/>
        <w:textAlignment w:val="auto"/>
        <w:rPr>
          <w:rFonts w:ascii="宋体" w:hAnsi="宋体"/>
          <w:color w:val="auto"/>
          <w:kern w:val="0"/>
          <w:sz w:val="24"/>
          <w:szCs w:val="24"/>
          <w:highlight w:val="none"/>
        </w:rPr>
      </w:pPr>
      <w:r>
        <w:rPr>
          <w:rFonts w:hint="eastAsia" w:ascii="宋体" w:hAnsi="宋体"/>
          <w:color w:val="auto"/>
          <w:kern w:val="0"/>
          <w:sz w:val="24"/>
          <w:szCs w:val="24"/>
          <w:highlight w:val="none"/>
        </w:rPr>
        <w:t>3．已详细审查全部磋商文件，包括</w:t>
      </w:r>
      <w:r>
        <w:rPr>
          <w:rFonts w:hint="eastAsia" w:ascii="宋体" w:hAnsi="宋体"/>
          <w:color w:val="auto"/>
          <w:kern w:val="0"/>
          <w:sz w:val="24"/>
          <w:szCs w:val="24"/>
          <w:highlight w:val="none"/>
          <w:u w:val="single"/>
        </w:rPr>
        <w:t>（修正或补充文件）</w:t>
      </w:r>
      <w:r>
        <w:rPr>
          <w:rFonts w:hint="eastAsia" w:ascii="宋体" w:hAnsi="宋体"/>
          <w:color w:val="auto"/>
          <w:kern w:val="0"/>
          <w:sz w:val="24"/>
          <w:szCs w:val="24"/>
          <w:highlight w:val="none"/>
        </w:rPr>
        <w:t>（如有），对此无异议。</w:t>
      </w:r>
    </w:p>
    <w:p w14:paraId="2443B74C">
      <w:pPr>
        <w:pStyle w:val="143"/>
        <w:keepNext w:val="0"/>
        <w:keepLines w:val="0"/>
        <w:pageBreakBefore w:val="0"/>
        <w:widowControl w:val="0"/>
        <w:kinsoku/>
        <w:wordWrap/>
        <w:overflowPunct/>
        <w:topLinePunct w:val="0"/>
        <w:autoSpaceDE w:val="0"/>
        <w:autoSpaceDN w:val="0"/>
        <w:bidi w:val="0"/>
        <w:adjustRightInd w:val="0"/>
        <w:spacing w:line="324" w:lineRule="auto"/>
        <w:ind w:right="246" w:firstLine="480" w:firstLineChars="200"/>
        <w:jc w:val="left"/>
        <w:textAlignment w:val="auto"/>
        <w:rPr>
          <w:rFonts w:ascii="宋体" w:hAnsi="宋体"/>
          <w:color w:val="auto"/>
          <w:kern w:val="0"/>
          <w:sz w:val="24"/>
          <w:szCs w:val="24"/>
          <w:highlight w:val="none"/>
        </w:rPr>
      </w:pPr>
      <w:r>
        <w:rPr>
          <w:rFonts w:hint="eastAsia" w:ascii="宋体" w:hAnsi="宋体"/>
          <w:color w:val="auto"/>
          <w:kern w:val="0"/>
          <w:sz w:val="24"/>
          <w:szCs w:val="24"/>
          <w:highlight w:val="none"/>
        </w:rPr>
        <w:t>4．本投标有效期为自开标日起，共</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u w:val="single"/>
          <w:lang w:val="en-US" w:eastAsia="zh-CN"/>
        </w:rPr>
        <w:t>60</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个日历日。</w:t>
      </w:r>
    </w:p>
    <w:p w14:paraId="4C34F449">
      <w:pPr>
        <w:pStyle w:val="143"/>
        <w:keepNext w:val="0"/>
        <w:keepLines w:val="0"/>
        <w:pageBreakBefore w:val="0"/>
        <w:widowControl w:val="0"/>
        <w:kinsoku/>
        <w:wordWrap/>
        <w:overflowPunct/>
        <w:topLinePunct w:val="0"/>
        <w:autoSpaceDE w:val="0"/>
        <w:autoSpaceDN w:val="0"/>
        <w:bidi w:val="0"/>
        <w:adjustRightInd w:val="0"/>
        <w:spacing w:line="324" w:lineRule="auto"/>
        <w:ind w:right="246" w:firstLine="480" w:firstLineChars="200"/>
        <w:jc w:val="left"/>
        <w:textAlignment w:val="auto"/>
        <w:rPr>
          <w:rFonts w:ascii="宋体" w:hAnsi="宋体"/>
          <w:color w:val="auto"/>
          <w:kern w:val="0"/>
          <w:sz w:val="24"/>
          <w:szCs w:val="24"/>
          <w:highlight w:val="none"/>
        </w:rPr>
      </w:pPr>
      <w:r>
        <w:rPr>
          <w:rFonts w:hint="eastAsia" w:ascii="宋体" w:hAnsi="宋体"/>
          <w:color w:val="auto"/>
          <w:kern w:val="0"/>
          <w:sz w:val="24"/>
          <w:szCs w:val="24"/>
          <w:highlight w:val="none"/>
        </w:rPr>
        <w:t>5．接受磋商文件所列须知中1</w:t>
      </w:r>
      <w:r>
        <w:rPr>
          <w:rFonts w:ascii="宋体" w:hAnsi="宋体"/>
          <w:color w:val="auto"/>
          <w:kern w:val="0"/>
          <w:sz w:val="24"/>
          <w:szCs w:val="24"/>
          <w:highlight w:val="none"/>
        </w:rPr>
        <w:t>3</w:t>
      </w:r>
      <w:r>
        <w:rPr>
          <w:rFonts w:hint="eastAsia" w:ascii="宋体" w:hAnsi="宋体"/>
          <w:color w:val="auto"/>
          <w:kern w:val="0"/>
          <w:sz w:val="24"/>
          <w:szCs w:val="24"/>
          <w:highlight w:val="none"/>
        </w:rPr>
        <w:t>（条）关于没收投标保证金的约定。</w:t>
      </w:r>
    </w:p>
    <w:p w14:paraId="30419BBA">
      <w:pPr>
        <w:pStyle w:val="143"/>
        <w:keepNext w:val="0"/>
        <w:keepLines w:val="0"/>
        <w:pageBreakBefore w:val="0"/>
        <w:widowControl w:val="0"/>
        <w:kinsoku/>
        <w:wordWrap/>
        <w:overflowPunct/>
        <w:topLinePunct w:val="0"/>
        <w:autoSpaceDE w:val="0"/>
        <w:autoSpaceDN w:val="0"/>
        <w:bidi w:val="0"/>
        <w:adjustRightInd w:val="0"/>
        <w:spacing w:line="324" w:lineRule="auto"/>
        <w:ind w:right="246" w:firstLine="480" w:firstLineChars="200"/>
        <w:jc w:val="left"/>
        <w:textAlignment w:val="auto"/>
        <w:rPr>
          <w:rFonts w:ascii="宋体" w:hAnsi="宋体"/>
          <w:color w:val="auto"/>
          <w:kern w:val="0"/>
          <w:sz w:val="24"/>
          <w:szCs w:val="24"/>
          <w:highlight w:val="none"/>
        </w:rPr>
      </w:pPr>
      <w:r>
        <w:rPr>
          <w:rFonts w:hint="eastAsia" w:ascii="宋体" w:hAnsi="宋体"/>
          <w:color w:val="auto"/>
          <w:kern w:val="0"/>
          <w:sz w:val="24"/>
          <w:szCs w:val="24"/>
          <w:highlight w:val="none"/>
        </w:rPr>
        <w:t>6．同意提供按照贵方可能要求的与其投标有关的一切数据或资料。</w:t>
      </w:r>
    </w:p>
    <w:p w14:paraId="20D51DB3">
      <w:pPr>
        <w:pStyle w:val="143"/>
        <w:keepNext w:val="0"/>
        <w:keepLines w:val="0"/>
        <w:pageBreakBefore w:val="0"/>
        <w:widowControl w:val="0"/>
        <w:kinsoku/>
        <w:wordWrap/>
        <w:overflowPunct/>
        <w:topLinePunct w:val="0"/>
        <w:autoSpaceDE w:val="0"/>
        <w:autoSpaceDN w:val="0"/>
        <w:bidi w:val="0"/>
        <w:adjustRightInd w:val="0"/>
        <w:spacing w:line="324" w:lineRule="auto"/>
        <w:ind w:right="246" w:firstLine="480" w:firstLineChars="200"/>
        <w:jc w:val="left"/>
        <w:textAlignment w:val="auto"/>
        <w:rPr>
          <w:rFonts w:ascii="宋体" w:hAnsi="宋体"/>
          <w:color w:val="auto"/>
          <w:kern w:val="0"/>
          <w:sz w:val="24"/>
          <w:szCs w:val="24"/>
          <w:highlight w:val="none"/>
        </w:rPr>
      </w:pPr>
      <w:r>
        <w:rPr>
          <w:rFonts w:hint="eastAsia" w:ascii="宋体" w:hAnsi="宋体"/>
          <w:color w:val="auto"/>
          <w:kern w:val="0"/>
          <w:sz w:val="24"/>
          <w:szCs w:val="24"/>
          <w:highlight w:val="none"/>
        </w:rPr>
        <w:t>7.与本投标有关的一切正式往来信函请寄：。</w:t>
      </w:r>
    </w:p>
    <w:p w14:paraId="13672C3E">
      <w:pPr>
        <w:pStyle w:val="143"/>
        <w:keepNext w:val="0"/>
        <w:keepLines w:val="0"/>
        <w:pageBreakBefore w:val="0"/>
        <w:widowControl w:val="0"/>
        <w:kinsoku/>
        <w:wordWrap/>
        <w:overflowPunct/>
        <w:topLinePunct w:val="0"/>
        <w:bidi w:val="0"/>
        <w:adjustRightInd w:val="0"/>
        <w:snapToGrid w:val="0"/>
        <w:spacing w:line="324" w:lineRule="auto"/>
        <w:ind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8.其他：</w:t>
      </w:r>
    </w:p>
    <w:p w14:paraId="10894A9F">
      <w:pPr>
        <w:pStyle w:val="143"/>
        <w:keepNext w:val="0"/>
        <w:keepLines w:val="0"/>
        <w:pageBreakBefore w:val="0"/>
        <w:widowControl w:val="0"/>
        <w:kinsoku/>
        <w:wordWrap/>
        <w:overflowPunct/>
        <w:topLinePunct w:val="0"/>
        <w:bidi w:val="0"/>
        <w:adjustRightInd w:val="0"/>
        <w:snapToGrid w:val="0"/>
        <w:spacing w:line="324" w:lineRule="auto"/>
        <w:ind w:firstLine="360" w:firstLineChars="150"/>
        <w:jc w:val="left"/>
        <w:textAlignment w:val="auto"/>
        <w:rPr>
          <w:rFonts w:ascii="宋体" w:hAnsi="宋体"/>
          <w:color w:val="auto"/>
          <w:sz w:val="24"/>
          <w:szCs w:val="24"/>
          <w:highlight w:val="none"/>
          <w:u w:val="single"/>
        </w:rPr>
      </w:pPr>
      <w:r>
        <w:rPr>
          <w:rFonts w:hint="eastAsia" w:ascii="宋体" w:hAnsi="宋体"/>
          <w:color w:val="auto"/>
          <w:sz w:val="24"/>
          <w:szCs w:val="24"/>
          <w:highlight w:val="none"/>
        </w:rPr>
        <w:t>供应商名称(</w:t>
      </w:r>
      <w:r>
        <w:rPr>
          <w:rFonts w:hint="eastAsia" w:ascii="宋体" w:hAnsi="宋体" w:cs="宋体"/>
          <w:color w:val="auto"/>
          <w:sz w:val="24"/>
          <w:szCs w:val="24"/>
          <w:highlight w:val="none"/>
        </w:rPr>
        <w:t>盖章</w:t>
      </w:r>
      <w:r>
        <w:rPr>
          <w:rFonts w:hint="eastAsia" w:ascii="宋体" w:hAnsi="宋体"/>
          <w:color w:val="auto"/>
          <w:sz w:val="24"/>
          <w:szCs w:val="24"/>
          <w:highlight w:val="none"/>
        </w:rPr>
        <w:t xml:space="preserve">)： </w:t>
      </w:r>
    </w:p>
    <w:p w14:paraId="63025C24">
      <w:pPr>
        <w:pStyle w:val="143"/>
        <w:keepNext w:val="0"/>
        <w:keepLines w:val="0"/>
        <w:pageBreakBefore w:val="0"/>
        <w:widowControl w:val="0"/>
        <w:kinsoku/>
        <w:wordWrap/>
        <w:overflowPunct/>
        <w:topLinePunct w:val="0"/>
        <w:bidi w:val="0"/>
        <w:adjustRightInd w:val="0"/>
        <w:snapToGrid w:val="0"/>
        <w:spacing w:line="324" w:lineRule="auto"/>
        <w:ind w:firstLine="360" w:firstLineChars="150"/>
        <w:jc w:val="left"/>
        <w:textAlignment w:val="auto"/>
        <w:rPr>
          <w:rFonts w:ascii="宋体" w:hAnsi="宋体"/>
          <w:color w:val="auto"/>
          <w:sz w:val="24"/>
          <w:szCs w:val="24"/>
          <w:highlight w:val="none"/>
          <w:u w:val="single"/>
        </w:rPr>
      </w:pPr>
      <w:r>
        <w:rPr>
          <w:rFonts w:hint="eastAsia" w:ascii="宋体" w:hAnsi="宋体"/>
          <w:color w:val="auto"/>
          <w:sz w:val="24"/>
          <w:szCs w:val="24"/>
          <w:highlight w:val="none"/>
        </w:rPr>
        <w:t>法定代表人(签字或盖章)：</w:t>
      </w:r>
    </w:p>
    <w:p w14:paraId="4569CE55">
      <w:pPr>
        <w:pStyle w:val="143"/>
        <w:keepNext w:val="0"/>
        <w:keepLines w:val="0"/>
        <w:pageBreakBefore w:val="0"/>
        <w:widowControl w:val="0"/>
        <w:kinsoku/>
        <w:wordWrap/>
        <w:overflowPunct/>
        <w:topLinePunct w:val="0"/>
        <w:autoSpaceDE w:val="0"/>
        <w:autoSpaceDN w:val="0"/>
        <w:bidi w:val="0"/>
        <w:adjustRightInd w:val="0"/>
        <w:spacing w:line="324" w:lineRule="auto"/>
        <w:ind w:right="246" w:firstLine="360" w:firstLineChars="150"/>
        <w:jc w:val="left"/>
        <w:textAlignment w:val="auto"/>
        <w:rPr>
          <w:rFonts w:ascii="宋体" w:hAnsi="宋体"/>
          <w:color w:val="auto"/>
          <w:kern w:val="0"/>
          <w:sz w:val="24"/>
          <w:szCs w:val="24"/>
          <w:highlight w:val="none"/>
        </w:rPr>
      </w:pPr>
      <w:r>
        <w:rPr>
          <w:rFonts w:hint="eastAsia" w:ascii="宋体" w:hAnsi="宋体"/>
          <w:color w:val="auto"/>
          <w:kern w:val="0"/>
          <w:sz w:val="24"/>
          <w:szCs w:val="24"/>
          <w:highlight w:val="none"/>
        </w:rPr>
        <w:t>地    址：</w:t>
      </w:r>
    </w:p>
    <w:p w14:paraId="46C3FC1D">
      <w:pPr>
        <w:pStyle w:val="143"/>
        <w:keepNext w:val="0"/>
        <w:keepLines w:val="0"/>
        <w:pageBreakBefore w:val="0"/>
        <w:widowControl w:val="0"/>
        <w:kinsoku/>
        <w:wordWrap/>
        <w:overflowPunct/>
        <w:topLinePunct w:val="0"/>
        <w:autoSpaceDE w:val="0"/>
        <w:autoSpaceDN w:val="0"/>
        <w:bidi w:val="0"/>
        <w:adjustRightInd w:val="0"/>
        <w:spacing w:line="324" w:lineRule="auto"/>
        <w:ind w:right="33" w:firstLine="360" w:firstLineChars="150"/>
        <w:jc w:val="left"/>
        <w:textAlignment w:val="auto"/>
        <w:rPr>
          <w:rFonts w:ascii="宋体" w:hAnsi="宋体"/>
          <w:color w:val="auto"/>
          <w:kern w:val="0"/>
          <w:sz w:val="24"/>
          <w:szCs w:val="24"/>
          <w:highlight w:val="none"/>
        </w:rPr>
      </w:pPr>
      <w:r>
        <w:rPr>
          <w:rFonts w:hint="eastAsia" w:ascii="宋体" w:hAnsi="宋体"/>
          <w:color w:val="auto"/>
          <w:kern w:val="0"/>
          <w:sz w:val="24"/>
          <w:szCs w:val="24"/>
          <w:highlight w:val="none"/>
        </w:rPr>
        <w:t>电    话：</w:t>
      </w:r>
    </w:p>
    <w:p w14:paraId="2284D4F8">
      <w:pPr>
        <w:pStyle w:val="143"/>
        <w:keepNext w:val="0"/>
        <w:keepLines w:val="0"/>
        <w:pageBreakBefore w:val="0"/>
        <w:widowControl w:val="0"/>
        <w:kinsoku/>
        <w:wordWrap/>
        <w:overflowPunct/>
        <w:topLinePunct w:val="0"/>
        <w:autoSpaceDE w:val="0"/>
        <w:autoSpaceDN w:val="0"/>
        <w:bidi w:val="0"/>
        <w:adjustRightInd w:val="0"/>
        <w:spacing w:line="324" w:lineRule="auto"/>
        <w:ind w:right="246" w:firstLine="360" w:firstLineChars="150"/>
        <w:jc w:val="left"/>
        <w:textAlignment w:val="auto"/>
        <w:rPr>
          <w:rFonts w:ascii="宋体" w:hAnsi="宋体"/>
          <w:color w:val="auto"/>
          <w:kern w:val="0"/>
          <w:sz w:val="24"/>
          <w:szCs w:val="24"/>
          <w:highlight w:val="none"/>
        </w:rPr>
      </w:pPr>
      <w:r>
        <w:rPr>
          <w:rFonts w:hint="eastAsia" w:ascii="宋体" w:hAnsi="宋体"/>
          <w:color w:val="auto"/>
          <w:kern w:val="0"/>
          <w:sz w:val="24"/>
          <w:szCs w:val="24"/>
          <w:highlight w:val="none"/>
        </w:rPr>
        <w:t>电子函件：</w:t>
      </w:r>
    </w:p>
    <w:p w14:paraId="430BAC53">
      <w:pPr>
        <w:pStyle w:val="143"/>
        <w:keepNext w:val="0"/>
        <w:keepLines w:val="0"/>
        <w:pageBreakBefore w:val="0"/>
        <w:widowControl w:val="0"/>
        <w:kinsoku/>
        <w:wordWrap/>
        <w:overflowPunct/>
        <w:topLinePunct w:val="0"/>
        <w:bidi w:val="0"/>
        <w:adjustRightInd w:val="0"/>
        <w:snapToGrid w:val="0"/>
        <w:spacing w:line="324" w:lineRule="auto"/>
        <w:ind w:firstLine="360" w:firstLineChars="150"/>
        <w:jc w:val="left"/>
        <w:textAlignment w:val="auto"/>
        <w:rPr>
          <w:rFonts w:ascii="宋体" w:hAnsi="宋体"/>
          <w:color w:val="auto"/>
          <w:sz w:val="24"/>
          <w:szCs w:val="24"/>
          <w:highlight w:val="none"/>
        </w:rPr>
      </w:pPr>
      <w:r>
        <w:rPr>
          <w:rFonts w:hint="eastAsia" w:ascii="宋体" w:hAnsi="宋体"/>
          <w:color w:val="auto"/>
          <w:sz w:val="24"/>
          <w:szCs w:val="24"/>
          <w:highlight w:val="none"/>
        </w:rPr>
        <w:t>日期：</w:t>
      </w:r>
    </w:p>
    <w:p w14:paraId="771F528A">
      <w:pPr>
        <w:pStyle w:val="143"/>
        <w:adjustRightInd w:val="0"/>
        <w:snapToGrid w:val="0"/>
        <w:spacing w:line="276" w:lineRule="auto"/>
        <w:ind w:firstLine="360" w:firstLineChars="150"/>
        <w:jc w:val="left"/>
        <w:rPr>
          <w:rFonts w:ascii="宋体" w:hAnsi="宋体"/>
          <w:color w:val="auto"/>
          <w:sz w:val="24"/>
          <w:szCs w:val="24"/>
          <w:highlight w:val="none"/>
        </w:rPr>
      </w:pPr>
    </w:p>
    <w:p w14:paraId="522D8E59">
      <w:pPr>
        <w:pStyle w:val="143"/>
        <w:adjustRightInd w:val="0"/>
        <w:snapToGrid w:val="0"/>
        <w:spacing w:line="276" w:lineRule="auto"/>
        <w:jc w:val="left"/>
        <w:rPr>
          <w:rFonts w:ascii="宋体" w:hAnsi="宋体"/>
          <w:color w:val="auto"/>
          <w:sz w:val="24"/>
          <w:szCs w:val="24"/>
          <w:highlight w:val="none"/>
        </w:rPr>
      </w:pPr>
    </w:p>
    <w:p w14:paraId="598D2C30">
      <w:pPr>
        <w:pStyle w:val="84"/>
        <w:widowControl/>
        <w:spacing w:line="360" w:lineRule="auto"/>
        <w:ind w:left="0" w:leftChars="0"/>
        <w:rPr>
          <w:rFonts w:hint="eastAsia" w:hAnsi="宋体" w:cs="宋体"/>
          <w:b/>
          <w:color w:val="auto"/>
          <w:sz w:val="24"/>
          <w:highlight w:val="none"/>
        </w:rPr>
      </w:pPr>
      <w:r>
        <w:rPr>
          <w:rFonts w:hint="eastAsia" w:hAnsi="宋体" w:cs="宋体"/>
          <w:b/>
          <w:color w:val="auto"/>
          <w:sz w:val="24"/>
          <w:highlight w:val="none"/>
        </w:rPr>
        <w:t>说明：除可填报项目外，对本投标函的任何修改将被视为非实质性响应投标，从而导致该投标被拒绝。</w:t>
      </w:r>
    </w:p>
    <w:p w14:paraId="3EDCCDBA">
      <w:pPr>
        <w:pStyle w:val="86"/>
      </w:pPr>
    </w:p>
    <w:p w14:paraId="19F784ED">
      <w:pPr>
        <w:pStyle w:val="158"/>
        <w:outlineLvl w:val="1"/>
        <w:rPr>
          <w:color w:val="auto"/>
          <w:highlight w:val="none"/>
          <w:lang w:val="en-US"/>
        </w:rPr>
      </w:pPr>
      <w:bookmarkStart w:id="379" w:name="_Toc5943"/>
      <w:bookmarkStart w:id="380" w:name="_Toc18291"/>
      <w:bookmarkStart w:id="381" w:name="_Toc27817"/>
      <w:bookmarkStart w:id="382" w:name="_Toc256000057"/>
      <w:r>
        <w:rPr>
          <w:color w:val="auto"/>
          <w:highlight w:val="none"/>
          <w:lang w:eastAsia="zh-CN"/>
        </w:rPr>
        <w:t>（</w:t>
      </w:r>
      <w:r>
        <w:rPr>
          <w:rFonts w:hint="eastAsia"/>
          <w:color w:val="auto"/>
          <w:highlight w:val="none"/>
          <w:lang w:val="en-US" w:eastAsia="zh-CN"/>
        </w:rPr>
        <w:t>二</w:t>
      </w:r>
      <w:r>
        <w:rPr>
          <w:color w:val="auto"/>
          <w:highlight w:val="none"/>
          <w:lang w:eastAsia="zh-CN"/>
        </w:rPr>
        <w:t>）法定代表人身份证明及授权委托书</w:t>
      </w:r>
      <w:bookmarkEnd w:id="379"/>
      <w:bookmarkEnd w:id="380"/>
      <w:bookmarkEnd w:id="381"/>
    </w:p>
    <w:p w14:paraId="46FBD677">
      <w:pPr>
        <w:pStyle w:val="188"/>
        <w:widowControl/>
        <w:adjustRightInd w:val="0"/>
        <w:snapToGrid w:val="0"/>
        <w:spacing w:line="500" w:lineRule="exact"/>
        <w:ind w:firstLine="480" w:firstLineChars="200"/>
        <w:jc w:val="center"/>
        <w:rPr>
          <w:color w:val="auto"/>
          <w:sz w:val="24"/>
          <w:szCs w:val="24"/>
          <w:highlight w:val="none"/>
        </w:rPr>
      </w:pPr>
      <w:bookmarkStart w:id="383" w:name="_Toc32594"/>
      <w:r>
        <w:rPr>
          <w:color w:val="auto"/>
          <w:sz w:val="24"/>
          <w:szCs w:val="24"/>
          <w:highlight w:val="none"/>
        </w:rPr>
        <w:t>法定代表人资格证明文件</w:t>
      </w:r>
      <w:bookmarkEnd w:id="383"/>
    </w:p>
    <w:p w14:paraId="6C6A3613">
      <w:pPr>
        <w:pStyle w:val="188"/>
        <w:widowControl/>
        <w:adjustRightInd w:val="0"/>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采购人或</w:t>
      </w:r>
      <w:r>
        <w:rPr>
          <w:rFonts w:hint="eastAsia" w:ascii="宋体" w:hAnsi="宋体" w:cs="宋体"/>
          <w:color w:val="auto"/>
          <w:sz w:val="24"/>
          <w:szCs w:val="24"/>
          <w:highlight w:val="none"/>
          <w:u w:val="single"/>
        </w:rPr>
        <w:t>代理机构名称）</w:t>
      </w:r>
      <w:r>
        <w:rPr>
          <w:rFonts w:hint="eastAsia" w:ascii="宋体" w:hAnsi="宋体" w:cs="宋体"/>
          <w:color w:val="auto"/>
          <w:sz w:val="24"/>
          <w:szCs w:val="24"/>
          <w:highlight w:val="none"/>
        </w:rPr>
        <w:t>：</w:t>
      </w:r>
    </w:p>
    <w:p w14:paraId="0340CC29">
      <w:pPr>
        <w:pStyle w:val="188"/>
        <w:widowControl/>
        <w:adjustRightInd w:val="0"/>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兹有</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同志为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公司法定代表人，代表我公司办理一切社会公务事宜，具有法律效力。 </w:t>
      </w:r>
    </w:p>
    <w:p w14:paraId="16D1E01E">
      <w:pPr>
        <w:pStyle w:val="188"/>
        <w:widowControl/>
        <w:adjustRightInd w:val="0"/>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附法定代表人基本情况： </w:t>
      </w:r>
    </w:p>
    <w:p w14:paraId="71C0B237">
      <w:pPr>
        <w:pStyle w:val="188"/>
        <w:widowControl/>
        <w:adjustRightInd w:val="0"/>
        <w:snapToGrid w:val="0"/>
        <w:spacing w:line="50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姓名：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性别：</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职务：</w:t>
      </w:r>
      <w:r>
        <w:rPr>
          <w:rFonts w:hint="eastAsia" w:ascii="宋体" w:hAnsi="宋体" w:cs="宋体"/>
          <w:color w:val="auto"/>
          <w:sz w:val="24"/>
          <w:szCs w:val="24"/>
          <w:highlight w:val="none"/>
          <w:u w:val="single"/>
        </w:rPr>
        <w:t xml:space="preserve">         </w:t>
      </w:r>
    </w:p>
    <w:p w14:paraId="5672A930">
      <w:pPr>
        <w:pStyle w:val="188"/>
        <w:widowControl/>
        <w:adjustRightInd w:val="0"/>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身份证号码：</w:t>
      </w:r>
      <w:r>
        <w:rPr>
          <w:rFonts w:hint="eastAsia" w:ascii="宋体" w:hAnsi="宋体" w:cs="宋体"/>
          <w:color w:val="auto"/>
          <w:sz w:val="24"/>
          <w:szCs w:val="24"/>
          <w:highlight w:val="none"/>
          <w:u w:val="single"/>
        </w:rPr>
        <w:t xml:space="preserve">                     </w:t>
      </w:r>
    </w:p>
    <w:p w14:paraId="08B91213">
      <w:pPr>
        <w:pStyle w:val="188"/>
        <w:widowControl/>
        <w:adjustRightInd w:val="0"/>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通讯地址：</w:t>
      </w:r>
      <w:r>
        <w:rPr>
          <w:rFonts w:hint="eastAsia" w:ascii="宋体" w:hAnsi="宋体" w:cs="宋体"/>
          <w:color w:val="auto"/>
          <w:sz w:val="24"/>
          <w:szCs w:val="24"/>
          <w:highlight w:val="none"/>
          <w:u w:val="single"/>
        </w:rPr>
        <w:t xml:space="preserve">                       </w:t>
      </w:r>
    </w:p>
    <w:p w14:paraId="568C8038">
      <w:pPr>
        <w:pStyle w:val="188"/>
        <w:widowControl/>
        <w:adjustRightInd w:val="0"/>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电话号码：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邮政编码：</w:t>
      </w:r>
      <w:r>
        <w:rPr>
          <w:rFonts w:hint="eastAsia" w:ascii="宋体" w:hAnsi="宋体" w:cs="宋体"/>
          <w:color w:val="auto"/>
          <w:sz w:val="24"/>
          <w:szCs w:val="24"/>
          <w:highlight w:val="none"/>
          <w:u w:val="single"/>
        </w:rPr>
        <w:t xml:space="preserve">               </w:t>
      </w:r>
    </w:p>
    <w:p w14:paraId="06667B26">
      <w:pPr>
        <w:pStyle w:val="188"/>
        <w:widowControl/>
        <w:adjustRightInd w:val="0"/>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tbl>
      <w:tblPr>
        <w:tblStyle w:val="40"/>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9"/>
      </w:tblGrid>
      <w:tr w14:paraId="179C9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9" w:type="dxa"/>
            <w:tcBorders>
              <w:top w:val="single" w:color="auto" w:sz="4" w:space="0"/>
              <w:left w:val="single" w:color="auto" w:sz="4" w:space="0"/>
              <w:bottom w:val="single" w:color="auto" w:sz="4" w:space="0"/>
              <w:right w:val="single" w:color="auto" w:sz="4" w:space="0"/>
            </w:tcBorders>
            <w:noWrap w:val="0"/>
            <w:vAlign w:val="top"/>
          </w:tcPr>
          <w:p w14:paraId="35EE5A3A">
            <w:pPr>
              <w:pStyle w:val="188"/>
              <w:widowControl/>
              <w:adjustRightInd w:val="0"/>
              <w:snapToGrid w:val="0"/>
              <w:spacing w:line="500" w:lineRule="exact"/>
              <w:jc w:val="center"/>
              <w:rPr>
                <w:rFonts w:hint="eastAsia" w:ascii="宋体" w:hAnsi="宋体" w:cs="宋体"/>
                <w:color w:val="auto"/>
                <w:sz w:val="24"/>
                <w:szCs w:val="24"/>
                <w:highlight w:val="none"/>
              </w:rPr>
            </w:pPr>
          </w:p>
          <w:p w14:paraId="5ED3CEC8">
            <w:pPr>
              <w:pStyle w:val="188"/>
              <w:widowControl/>
              <w:adjustRightInd w:val="0"/>
              <w:snapToGrid w:val="0"/>
              <w:spacing w:line="500" w:lineRule="exact"/>
              <w:jc w:val="center"/>
              <w:rPr>
                <w:rFonts w:hint="eastAsia" w:ascii="宋体" w:hAnsi="宋体" w:cs="宋体"/>
                <w:color w:val="auto"/>
                <w:sz w:val="24"/>
                <w:szCs w:val="24"/>
                <w:highlight w:val="none"/>
              </w:rPr>
            </w:pPr>
          </w:p>
          <w:p w14:paraId="32DFA7A3">
            <w:pPr>
              <w:pStyle w:val="188"/>
              <w:widowControl/>
              <w:adjustRightInd w:val="0"/>
              <w:snapToGrid w:val="0"/>
              <w:spacing w:line="5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法定代表人《居民身份证》扫描件</w:t>
            </w:r>
          </w:p>
        </w:tc>
      </w:tr>
    </w:tbl>
    <w:p w14:paraId="415273E1">
      <w:pPr>
        <w:pStyle w:val="188"/>
        <w:widowControl/>
        <w:adjustRightInd w:val="0"/>
        <w:snapToGrid w:val="0"/>
        <w:spacing w:line="500" w:lineRule="exact"/>
        <w:rPr>
          <w:rFonts w:hint="eastAsia" w:ascii="宋体" w:hAnsi="宋体" w:cs="宋体"/>
          <w:color w:val="auto"/>
          <w:sz w:val="24"/>
          <w:szCs w:val="24"/>
          <w:highlight w:val="none"/>
        </w:rPr>
      </w:pPr>
    </w:p>
    <w:p w14:paraId="58B2FDDE">
      <w:pPr>
        <w:pStyle w:val="188"/>
        <w:widowControl/>
        <w:tabs>
          <w:tab w:val="left" w:pos="750"/>
        </w:tabs>
        <w:adjustRightInd w:val="0"/>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rPr>
        <w:tab/>
      </w:r>
      <w:r>
        <w:rPr>
          <w:rFonts w:hint="eastAsia" w:ascii="宋体" w:hAnsi="宋体" w:cs="宋体"/>
          <w:color w:val="auto"/>
          <w:sz w:val="24"/>
          <w:szCs w:val="24"/>
          <w:highlight w:val="none"/>
        </w:rPr>
        <w:t>供应商名称（盖章）：</w:t>
      </w:r>
      <w:r>
        <w:rPr>
          <w:rFonts w:hint="eastAsia" w:ascii="宋体" w:hAnsi="宋体" w:cs="宋体"/>
          <w:color w:val="auto"/>
          <w:sz w:val="24"/>
          <w:szCs w:val="24"/>
          <w:highlight w:val="none"/>
          <w:u w:val="single"/>
        </w:rPr>
        <w:t xml:space="preserve">           </w:t>
      </w:r>
    </w:p>
    <w:p w14:paraId="12CF1504">
      <w:pPr>
        <w:pStyle w:val="188"/>
        <w:widowControl/>
        <w:tabs>
          <w:tab w:val="left" w:pos="750"/>
        </w:tabs>
        <w:adjustRightInd w:val="0"/>
        <w:snapToGrid w:val="0"/>
        <w:spacing w:line="500" w:lineRule="exact"/>
        <w:rPr>
          <w:rFonts w:hint="eastAsia" w:ascii="宋体" w:hAnsi="宋体" w:cs="宋体"/>
          <w:color w:val="auto"/>
          <w:sz w:val="24"/>
          <w:szCs w:val="24"/>
          <w:highlight w:val="none"/>
        </w:rPr>
      </w:pPr>
    </w:p>
    <w:p w14:paraId="3BE863ED">
      <w:pPr>
        <w:pStyle w:val="188"/>
        <w:widowControl/>
        <w:tabs>
          <w:tab w:val="left" w:pos="750"/>
        </w:tabs>
        <w:adjustRightInd w:val="0"/>
        <w:snapToGrid w:val="0"/>
        <w:spacing w:line="50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法定代表人（盖章或签字） ：</w:t>
      </w:r>
      <w:r>
        <w:rPr>
          <w:rFonts w:hint="eastAsia" w:ascii="宋体" w:hAnsi="宋体" w:cs="宋体"/>
          <w:color w:val="auto"/>
          <w:sz w:val="24"/>
          <w:szCs w:val="24"/>
          <w:highlight w:val="none"/>
          <w:u w:val="single"/>
        </w:rPr>
        <w:t xml:space="preserve">           </w:t>
      </w:r>
    </w:p>
    <w:p w14:paraId="2DB2F475">
      <w:pPr>
        <w:pStyle w:val="188"/>
        <w:widowControl/>
        <w:tabs>
          <w:tab w:val="left" w:pos="750"/>
        </w:tabs>
        <w:adjustRightInd w:val="0"/>
        <w:snapToGrid w:val="0"/>
        <w:spacing w:line="500" w:lineRule="exact"/>
        <w:rPr>
          <w:rFonts w:hint="eastAsia" w:ascii="宋体" w:hAnsi="宋体" w:cs="宋体"/>
          <w:color w:val="auto"/>
          <w:sz w:val="24"/>
          <w:szCs w:val="24"/>
          <w:highlight w:val="none"/>
        </w:rPr>
      </w:pPr>
    </w:p>
    <w:p w14:paraId="02759F1E">
      <w:pPr>
        <w:pStyle w:val="188"/>
        <w:widowControl/>
        <w:tabs>
          <w:tab w:val="left" w:pos="750"/>
        </w:tabs>
        <w:adjustRightInd w:val="0"/>
        <w:snapToGrid w:val="0"/>
        <w:spacing w:line="500" w:lineRule="exact"/>
        <w:ind w:firstLine="720" w:firstLineChars="300"/>
        <w:rPr>
          <w:color w:val="auto"/>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43E4EBE4">
      <w:pPr>
        <w:pStyle w:val="209"/>
        <w:widowControl/>
        <w:outlineLvl w:val="9"/>
        <w:rPr>
          <w:b w:val="0"/>
          <w:color w:val="auto"/>
          <w:highlight w:val="none"/>
        </w:rPr>
      </w:pPr>
      <w:r>
        <w:rPr>
          <w:b w:val="0"/>
          <w:color w:val="auto"/>
          <w:highlight w:val="none"/>
        </w:rPr>
        <w:t xml:space="preserve"> </w:t>
      </w:r>
    </w:p>
    <w:p w14:paraId="57433CD5">
      <w:pPr>
        <w:pStyle w:val="188"/>
        <w:widowControl/>
        <w:spacing w:line="500" w:lineRule="exact"/>
        <w:ind w:firstLine="560" w:firstLineChars="200"/>
        <w:jc w:val="center"/>
        <w:rPr>
          <w:color w:val="auto"/>
          <w:sz w:val="24"/>
          <w:szCs w:val="24"/>
          <w:highlight w:val="none"/>
        </w:rPr>
      </w:pPr>
      <w:r>
        <w:rPr>
          <w:rFonts w:hint="eastAsia" w:ascii="宋体" w:hAnsi="宋体"/>
          <w:color w:val="auto"/>
          <w:szCs w:val="28"/>
          <w:highlight w:val="none"/>
          <w:lang w:bidi="ar"/>
        </w:rPr>
        <w:br w:type="page"/>
      </w:r>
      <w:bookmarkStart w:id="384" w:name="_Toc16720"/>
      <w:r>
        <w:rPr>
          <w:color w:val="auto"/>
          <w:sz w:val="24"/>
          <w:szCs w:val="24"/>
          <w:highlight w:val="none"/>
        </w:rPr>
        <w:t>法定代表人授权书</w:t>
      </w:r>
      <w:bookmarkEnd w:id="384"/>
    </w:p>
    <w:p w14:paraId="303B14BF">
      <w:pPr>
        <w:pStyle w:val="188"/>
        <w:widowControl/>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采购人或</w:t>
      </w:r>
      <w:r>
        <w:rPr>
          <w:rFonts w:hint="eastAsia" w:ascii="宋体" w:hAnsi="宋体" w:cs="宋体"/>
          <w:color w:val="auto"/>
          <w:sz w:val="24"/>
          <w:szCs w:val="24"/>
          <w:highlight w:val="none"/>
          <w:u w:val="single"/>
        </w:rPr>
        <w:t>代理机构名称）</w:t>
      </w:r>
      <w:r>
        <w:rPr>
          <w:rFonts w:hint="eastAsia" w:ascii="宋体" w:hAnsi="宋体" w:cs="宋体"/>
          <w:color w:val="auto"/>
          <w:sz w:val="24"/>
          <w:szCs w:val="24"/>
          <w:highlight w:val="none"/>
        </w:rPr>
        <w:t>：</w:t>
      </w:r>
    </w:p>
    <w:p w14:paraId="50FE844F">
      <w:pPr>
        <w:pStyle w:val="188"/>
        <w:widowControl/>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兹授权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同志为我公司参加贵单位组织的编号为</w:t>
      </w:r>
      <w:r>
        <w:rPr>
          <w:rFonts w:hint="eastAsia" w:ascii="宋体" w:hAnsi="宋体" w:cs="宋体"/>
          <w:color w:val="auto"/>
          <w:sz w:val="24"/>
          <w:szCs w:val="24"/>
          <w:highlight w:val="none"/>
          <w:u w:val="single"/>
        </w:rPr>
        <w:t>（项目编号）</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（项 目 名 称）</w:t>
      </w:r>
      <w:r>
        <w:rPr>
          <w:rFonts w:hint="eastAsia" w:ascii="宋体" w:hAnsi="宋体" w:cs="宋体"/>
          <w:color w:val="auto"/>
          <w:sz w:val="24"/>
          <w:szCs w:val="24"/>
          <w:highlight w:val="none"/>
        </w:rPr>
        <w:t>采购活动的投标代表人，全权代表我公司处理在该项目采购活动中的一切事宜。代理期限从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日起至</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日止。 </w:t>
      </w:r>
    </w:p>
    <w:p w14:paraId="58782745">
      <w:pPr>
        <w:pStyle w:val="188"/>
        <w:widowControl/>
        <w:spacing w:line="500" w:lineRule="exact"/>
        <w:rPr>
          <w:rFonts w:hint="eastAsia" w:ascii="宋体" w:hAnsi="宋体" w:cs="宋体"/>
          <w:color w:val="auto"/>
          <w:sz w:val="24"/>
          <w:szCs w:val="24"/>
          <w:highlight w:val="none"/>
        </w:rPr>
      </w:pPr>
    </w:p>
    <w:p w14:paraId="7F4DB7BA">
      <w:pPr>
        <w:pStyle w:val="188"/>
        <w:widowControl/>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供应商（盖章）：</w:t>
      </w:r>
      <w:r>
        <w:rPr>
          <w:rFonts w:hint="eastAsia" w:ascii="宋体" w:hAnsi="宋体" w:cs="宋体"/>
          <w:color w:val="auto"/>
          <w:sz w:val="24"/>
          <w:szCs w:val="24"/>
          <w:highlight w:val="none"/>
          <w:u w:val="single"/>
        </w:rPr>
        <w:t xml:space="preserve">               </w:t>
      </w:r>
    </w:p>
    <w:p w14:paraId="3B4A4003">
      <w:pPr>
        <w:pStyle w:val="188"/>
        <w:widowControl/>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法定代表人（盖章或签字）：</w:t>
      </w:r>
      <w:r>
        <w:rPr>
          <w:rFonts w:hint="eastAsia" w:ascii="宋体" w:hAnsi="宋体" w:cs="宋体"/>
          <w:color w:val="auto"/>
          <w:sz w:val="24"/>
          <w:szCs w:val="24"/>
          <w:highlight w:val="none"/>
          <w:u w:val="single"/>
        </w:rPr>
        <w:t xml:space="preserve">       </w:t>
      </w:r>
    </w:p>
    <w:p w14:paraId="697D2C10">
      <w:pPr>
        <w:pStyle w:val="188"/>
        <w:widowControl/>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签发日期：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1818D517">
      <w:pPr>
        <w:pStyle w:val="188"/>
        <w:widowControl/>
        <w:spacing w:line="500" w:lineRule="exact"/>
        <w:rPr>
          <w:rFonts w:hint="eastAsia" w:ascii="宋体" w:hAnsi="宋体" w:cs="宋体"/>
          <w:color w:val="auto"/>
          <w:sz w:val="24"/>
          <w:szCs w:val="24"/>
          <w:highlight w:val="none"/>
        </w:rPr>
      </w:pPr>
    </w:p>
    <w:p w14:paraId="15E88690">
      <w:pPr>
        <w:pStyle w:val="188"/>
        <w:widowControl/>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附：</w:t>
      </w:r>
    </w:p>
    <w:p w14:paraId="6BD67E87">
      <w:pPr>
        <w:pStyle w:val="188"/>
        <w:widowControl/>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代理人工作单位：</w:t>
      </w:r>
      <w:r>
        <w:rPr>
          <w:rFonts w:hint="eastAsia" w:ascii="宋体" w:hAnsi="宋体" w:cs="宋体"/>
          <w:color w:val="auto"/>
          <w:sz w:val="24"/>
          <w:szCs w:val="24"/>
          <w:highlight w:val="none"/>
          <w:u w:val="single"/>
        </w:rPr>
        <w:t xml:space="preserve">                          </w:t>
      </w:r>
    </w:p>
    <w:p w14:paraId="23764694">
      <w:pPr>
        <w:pStyle w:val="188"/>
        <w:widowControl/>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职务：</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性别：</w:t>
      </w:r>
      <w:r>
        <w:rPr>
          <w:rFonts w:hint="eastAsia" w:ascii="宋体" w:hAnsi="宋体" w:cs="宋体"/>
          <w:color w:val="auto"/>
          <w:sz w:val="24"/>
          <w:szCs w:val="24"/>
          <w:highlight w:val="none"/>
          <w:u w:val="single"/>
        </w:rPr>
        <w:t xml:space="preserve">      </w:t>
      </w:r>
    </w:p>
    <w:p w14:paraId="17339546">
      <w:pPr>
        <w:pStyle w:val="188"/>
        <w:widowControl/>
        <w:adjustRightInd w:val="0"/>
        <w:snapToGrid w:val="0"/>
        <w:spacing w:line="500" w:lineRule="exac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身份证号码：</w:t>
      </w:r>
      <w:r>
        <w:rPr>
          <w:rFonts w:hint="eastAsia" w:ascii="宋体" w:hAnsi="宋体" w:cs="宋体"/>
          <w:color w:val="auto"/>
          <w:sz w:val="24"/>
          <w:szCs w:val="24"/>
          <w:highlight w:val="none"/>
          <w:u w:val="single"/>
        </w:rPr>
        <w:t xml:space="preserve">                              </w:t>
      </w:r>
    </w:p>
    <w:p w14:paraId="1D3CC6A6">
      <w:pPr>
        <w:pStyle w:val="188"/>
        <w:widowControl/>
        <w:adjustRightInd w:val="0"/>
        <w:snapToGrid w:val="0"/>
        <w:spacing w:line="500" w:lineRule="exact"/>
        <w:ind w:left="-88" w:leftChars="-42" w:firstLine="600" w:firstLineChars="250"/>
        <w:rPr>
          <w:rFonts w:hint="eastAsia" w:ascii="宋体" w:hAnsi="宋体" w:cs="宋体"/>
          <w:color w:val="auto"/>
          <w:sz w:val="24"/>
          <w:szCs w:val="24"/>
          <w:highlight w:val="none"/>
          <w:u w:val="single"/>
        </w:rPr>
      </w:pPr>
    </w:p>
    <w:tbl>
      <w:tblPr>
        <w:tblStyle w:val="40"/>
        <w:tblW w:w="4496" w:type="pct"/>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8"/>
      </w:tblGrid>
      <w:tr w14:paraId="1E99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5000" w:type="pct"/>
            <w:tcBorders>
              <w:top w:val="single" w:color="auto" w:sz="4" w:space="0"/>
              <w:left w:val="single" w:color="auto" w:sz="4" w:space="0"/>
              <w:bottom w:val="single" w:color="auto" w:sz="4" w:space="0"/>
              <w:right w:val="single" w:color="auto" w:sz="4" w:space="0"/>
            </w:tcBorders>
            <w:noWrap w:val="0"/>
            <w:vAlign w:val="top"/>
          </w:tcPr>
          <w:p w14:paraId="39064E87">
            <w:pPr>
              <w:pStyle w:val="188"/>
              <w:widowControl/>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粘贴被授权人身份证（扫描件）</w:t>
            </w:r>
          </w:p>
        </w:tc>
      </w:tr>
      <w:bookmarkEnd w:id="382"/>
    </w:tbl>
    <w:p w14:paraId="40578581">
      <w:pPr>
        <w:pStyle w:val="121"/>
        <w:widowControl/>
        <w:spacing w:line="360" w:lineRule="auto"/>
        <w:ind w:right="48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4E2D5A99">
      <w:pPr>
        <w:pStyle w:val="121"/>
        <w:widowControl/>
        <w:spacing w:line="360" w:lineRule="auto"/>
        <w:ind w:right="480"/>
        <w:rPr>
          <w:color w:val="auto"/>
          <w:szCs w:val="21"/>
          <w:highlight w:val="none"/>
        </w:rPr>
      </w:pPr>
    </w:p>
    <w:p w14:paraId="0968A1A3">
      <w:pPr>
        <w:pStyle w:val="121"/>
        <w:widowControl/>
        <w:spacing w:line="360" w:lineRule="auto"/>
        <w:ind w:right="480"/>
        <w:rPr>
          <w:rFonts w:hint="eastAsia"/>
          <w:color w:val="auto"/>
          <w:szCs w:val="21"/>
          <w:highlight w:val="none"/>
        </w:rPr>
      </w:pPr>
    </w:p>
    <w:p w14:paraId="2661F5A2">
      <w:pPr>
        <w:pStyle w:val="121"/>
        <w:widowControl/>
        <w:spacing w:line="360" w:lineRule="auto"/>
        <w:ind w:right="480"/>
        <w:rPr>
          <w:rFonts w:hint="eastAsia"/>
          <w:color w:val="auto"/>
          <w:szCs w:val="21"/>
          <w:highlight w:val="none"/>
        </w:rPr>
      </w:pPr>
    </w:p>
    <w:p w14:paraId="65169A35">
      <w:pPr>
        <w:pStyle w:val="121"/>
        <w:widowControl/>
        <w:spacing w:line="360" w:lineRule="auto"/>
        <w:ind w:right="480"/>
        <w:rPr>
          <w:rFonts w:hint="eastAsia"/>
          <w:color w:val="auto"/>
          <w:szCs w:val="21"/>
          <w:highlight w:val="none"/>
        </w:rPr>
      </w:pPr>
    </w:p>
    <w:p w14:paraId="707B6CE8">
      <w:pPr>
        <w:pStyle w:val="121"/>
        <w:widowControl/>
        <w:spacing w:line="360" w:lineRule="auto"/>
        <w:ind w:right="480"/>
        <w:rPr>
          <w:rFonts w:hint="eastAsia"/>
          <w:color w:val="auto"/>
          <w:szCs w:val="21"/>
          <w:highlight w:val="none"/>
        </w:rPr>
      </w:pPr>
    </w:p>
    <w:p w14:paraId="352FA4CC">
      <w:pPr>
        <w:pStyle w:val="121"/>
        <w:widowControl/>
        <w:spacing w:line="360" w:lineRule="auto"/>
        <w:ind w:right="480"/>
        <w:rPr>
          <w:rFonts w:hint="eastAsia"/>
          <w:color w:val="auto"/>
          <w:szCs w:val="21"/>
          <w:highlight w:val="none"/>
        </w:rPr>
      </w:pPr>
    </w:p>
    <w:p w14:paraId="39C05C6E">
      <w:pPr>
        <w:pStyle w:val="121"/>
        <w:widowControl/>
        <w:spacing w:line="360" w:lineRule="auto"/>
        <w:ind w:right="480"/>
        <w:rPr>
          <w:rFonts w:hint="eastAsia"/>
          <w:color w:val="auto"/>
          <w:szCs w:val="21"/>
          <w:highlight w:val="none"/>
        </w:rPr>
      </w:pPr>
    </w:p>
    <w:p w14:paraId="5AF9A11F">
      <w:pPr>
        <w:pStyle w:val="121"/>
        <w:widowControl/>
        <w:spacing w:line="360" w:lineRule="auto"/>
        <w:ind w:right="480"/>
        <w:rPr>
          <w:color w:val="auto"/>
          <w:szCs w:val="21"/>
          <w:highlight w:val="none"/>
        </w:rPr>
      </w:pPr>
    </w:p>
    <w:p w14:paraId="44A5C5C4">
      <w:pPr>
        <w:pStyle w:val="201"/>
        <w:outlineLvl w:val="1"/>
        <w:rPr>
          <w:rFonts w:hint="eastAsia" w:hAnsi="宋体"/>
          <w:color w:val="auto"/>
          <w:highlight w:val="none"/>
          <w:lang w:val="en-US" w:eastAsia="zh-CN" w:bidi="ar"/>
        </w:rPr>
      </w:pPr>
    </w:p>
    <w:p w14:paraId="53E8886B">
      <w:pPr>
        <w:pStyle w:val="177"/>
        <w:outlineLvl w:val="2"/>
        <w:rPr>
          <w:color w:val="auto"/>
          <w:highlight w:val="none"/>
        </w:rPr>
      </w:pPr>
      <w:bookmarkStart w:id="385" w:name="_Toc31874"/>
      <w:bookmarkStart w:id="386" w:name="_Toc17329"/>
      <w:r>
        <w:rPr>
          <w:color w:val="auto"/>
          <w:highlight w:val="none"/>
        </w:rPr>
        <w:t>（三）投标保证金</w:t>
      </w:r>
      <w:bookmarkEnd w:id="385"/>
      <w:bookmarkEnd w:id="386"/>
    </w:p>
    <w:p w14:paraId="53714357">
      <w:pPr>
        <w:pStyle w:val="153"/>
        <w:widowControl/>
        <w:rPr>
          <w:color w:val="auto"/>
          <w:highlight w:val="none"/>
        </w:rPr>
      </w:pPr>
    </w:p>
    <w:p w14:paraId="679B791E">
      <w:pPr>
        <w:pStyle w:val="185"/>
        <w:tabs>
          <w:tab w:val="left" w:pos="8786"/>
        </w:tabs>
        <w:spacing w:after="0" w:line="360" w:lineRule="auto"/>
        <w:rPr>
          <w:rFonts w:hint="eastAsia"/>
          <w:color w:val="auto"/>
          <w:highlight w:val="none"/>
        </w:rPr>
      </w:pPr>
      <w:r>
        <w:rPr>
          <w:rFonts w:hint="eastAsia" w:ascii="宋体" w:hAnsi="宋体"/>
          <w:b/>
          <w:color w:val="auto"/>
          <w:sz w:val="24"/>
          <w:highlight w:val="none"/>
        </w:rPr>
        <w:t>说明：此处上传投标保证金缴纳证明文件：银行转账凭证或电子担保凭证。</w:t>
      </w:r>
    </w:p>
    <w:p w14:paraId="7E98EA75">
      <w:pPr>
        <w:pStyle w:val="211"/>
        <w:outlineLvl w:val="2"/>
        <w:rPr>
          <w:color w:val="auto"/>
          <w:sz w:val="24"/>
          <w:highlight w:val="none"/>
        </w:rPr>
      </w:pPr>
    </w:p>
    <w:p w14:paraId="0CE9A2C0">
      <w:pPr>
        <w:pStyle w:val="211"/>
        <w:outlineLvl w:val="2"/>
        <w:rPr>
          <w:color w:val="auto"/>
          <w:highlight w:val="none"/>
        </w:rPr>
      </w:pPr>
      <w:r>
        <w:rPr>
          <w:color w:val="auto"/>
          <w:highlight w:val="none"/>
        </w:rPr>
        <w:br w:type="page"/>
      </w:r>
      <w:bookmarkStart w:id="387" w:name="_Toc25640"/>
      <w:bookmarkStart w:id="388" w:name="_Toc16235"/>
      <w:r>
        <w:rPr>
          <w:color w:val="auto"/>
          <w:highlight w:val="none"/>
        </w:rPr>
        <w:t>（</w:t>
      </w:r>
      <w:r>
        <w:rPr>
          <w:rFonts w:hint="eastAsia"/>
          <w:color w:val="auto"/>
          <w:highlight w:val="none"/>
          <w:lang w:val="en-US" w:eastAsia="zh-CN"/>
        </w:rPr>
        <w:t>四</w:t>
      </w:r>
      <w:r>
        <w:rPr>
          <w:color w:val="auto"/>
          <w:highlight w:val="none"/>
        </w:rPr>
        <w:t>）商务条款响应、偏离说明表</w:t>
      </w:r>
      <w:bookmarkEnd w:id="387"/>
      <w:bookmarkEnd w:id="388"/>
    </w:p>
    <w:p w14:paraId="3BB321EC">
      <w:pPr>
        <w:pStyle w:val="195"/>
        <w:adjustRightInd w:val="0"/>
        <w:snapToGrid w:val="0"/>
        <w:spacing w:line="500" w:lineRule="exact"/>
        <w:rPr>
          <w:rFonts w:hint="eastAsia" w:ascii="仿宋_GB2312" w:hAnsi="宋体"/>
          <w:b/>
          <w:color w:val="auto"/>
          <w:sz w:val="32"/>
          <w:szCs w:val="32"/>
          <w:highlight w:val="none"/>
        </w:rPr>
      </w:pPr>
    </w:p>
    <w:p w14:paraId="7CF0BF1A">
      <w:pPr>
        <w:pStyle w:val="195"/>
        <w:adjustRightInd w:val="0"/>
        <w:snapToGrid w:val="0"/>
        <w:spacing w:line="500" w:lineRule="exact"/>
        <w:rPr>
          <w:rFonts w:ascii="宋体" w:hAnsi="宋体"/>
          <w:color w:val="auto"/>
          <w:sz w:val="24"/>
          <w:szCs w:val="24"/>
          <w:highlight w:val="none"/>
        </w:rPr>
      </w:pPr>
      <w:r>
        <w:rPr>
          <w:rFonts w:hint="eastAsia" w:ascii="宋体" w:hAnsi="宋体"/>
          <w:color w:val="auto"/>
          <w:sz w:val="24"/>
          <w:szCs w:val="24"/>
          <w:highlight w:val="none"/>
        </w:rPr>
        <w:t>采购项目编号：</w:t>
      </w:r>
    </w:p>
    <w:p w14:paraId="10E89A96">
      <w:pPr>
        <w:pStyle w:val="195"/>
        <w:adjustRightInd w:val="0"/>
        <w:snapToGrid w:val="0"/>
        <w:spacing w:line="500" w:lineRule="exact"/>
        <w:rPr>
          <w:rFonts w:ascii="宋体" w:hAnsi="宋体"/>
          <w:color w:val="auto"/>
          <w:sz w:val="24"/>
          <w:szCs w:val="24"/>
          <w:highlight w:val="none"/>
          <w:u w:val="single"/>
        </w:rPr>
      </w:pPr>
      <w:r>
        <w:rPr>
          <w:rFonts w:hint="eastAsia" w:ascii="宋体" w:hAnsi="宋体"/>
          <w:color w:val="auto"/>
          <w:sz w:val="24"/>
          <w:szCs w:val="24"/>
          <w:highlight w:val="none"/>
        </w:rPr>
        <w:t>采购项目名称：</w:t>
      </w:r>
    </w:p>
    <w:p w14:paraId="43D04B7D">
      <w:pPr>
        <w:pStyle w:val="195"/>
        <w:ind w:firstLine="480" w:firstLineChars="200"/>
        <w:rPr>
          <w:rFonts w:ascii="宋体" w:hAnsi="宋体"/>
          <w:color w:val="auto"/>
          <w:sz w:val="24"/>
          <w:szCs w:val="24"/>
          <w:highlight w:val="none"/>
        </w:rPr>
      </w:pPr>
    </w:p>
    <w:tbl>
      <w:tblPr>
        <w:tblStyle w:val="40"/>
        <w:tblW w:w="83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2422"/>
        <w:gridCol w:w="2422"/>
        <w:gridCol w:w="1418"/>
        <w:gridCol w:w="1418"/>
      </w:tblGrid>
      <w:tr w14:paraId="70090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0" w:type="dxa"/>
            <w:shd w:val="pct10" w:color="auto" w:fill="auto"/>
            <w:noWrap w:val="0"/>
            <w:vAlign w:val="center"/>
          </w:tcPr>
          <w:p w14:paraId="1E7FFF67">
            <w:pPr>
              <w:pStyle w:val="195"/>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2422" w:type="dxa"/>
            <w:shd w:val="pct10" w:color="auto" w:fill="auto"/>
            <w:noWrap w:val="0"/>
            <w:vAlign w:val="center"/>
          </w:tcPr>
          <w:p w14:paraId="4F00D95C">
            <w:pPr>
              <w:pStyle w:val="195"/>
              <w:jc w:val="center"/>
              <w:rPr>
                <w:rFonts w:ascii="宋体" w:hAnsi="宋体"/>
                <w:color w:val="auto"/>
                <w:sz w:val="24"/>
                <w:szCs w:val="24"/>
                <w:highlight w:val="none"/>
              </w:rPr>
            </w:pPr>
            <w:r>
              <w:rPr>
                <w:rFonts w:hint="eastAsia" w:ascii="宋体" w:hAnsi="宋体"/>
                <w:color w:val="auto"/>
                <w:sz w:val="24"/>
                <w:szCs w:val="24"/>
                <w:highlight w:val="none"/>
              </w:rPr>
              <w:t>磋商文件条款内容</w:t>
            </w:r>
          </w:p>
        </w:tc>
        <w:tc>
          <w:tcPr>
            <w:tcW w:w="2422" w:type="dxa"/>
            <w:shd w:val="pct10" w:color="auto" w:fill="auto"/>
            <w:noWrap w:val="0"/>
            <w:vAlign w:val="center"/>
          </w:tcPr>
          <w:p w14:paraId="1C58A571">
            <w:pPr>
              <w:pStyle w:val="195"/>
              <w:jc w:val="center"/>
              <w:rPr>
                <w:rFonts w:ascii="宋体" w:hAnsi="宋体"/>
                <w:color w:val="auto"/>
                <w:sz w:val="24"/>
                <w:szCs w:val="24"/>
                <w:highlight w:val="none"/>
              </w:rPr>
            </w:pPr>
            <w:r>
              <w:rPr>
                <w:rFonts w:hint="eastAsia" w:ascii="宋体" w:hAnsi="宋体"/>
                <w:color w:val="auto"/>
                <w:sz w:val="24"/>
                <w:szCs w:val="24"/>
                <w:highlight w:val="none"/>
              </w:rPr>
              <w:t>响应文件条款部分</w:t>
            </w:r>
          </w:p>
        </w:tc>
        <w:tc>
          <w:tcPr>
            <w:tcW w:w="1418" w:type="dxa"/>
            <w:shd w:val="pct10" w:color="auto" w:fill="auto"/>
            <w:noWrap w:val="0"/>
            <w:vAlign w:val="center"/>
          </w:tcPr>
          <w:p w14:paraId="12894536">
            <w:pPr>
              <w:pStyle w:val="195"/>
              <w:jc w:val="center"/>
              <w:rPr>
                <w:rFonts w:ascii="宋体" w:hAnsi="宋体"/>
                <w:color w:val="auto"/>
                <w:sz w:val="24"/>
                <w:szCs w:val="24"/>
                <w:highlight w:val="none"/>
              </w:rPr>
            </w:pPr>
            <w:r>
              <w:rPr>
                <w:rFonts w:hint="eastAsia" w:ascii="宋体" w:hAnsi="宋体"/>
                <w:color w:val="auto"/>
                <w:sz w:val="24"/>
                <w:szCs w:val="24"/>
                <w:highlight w:val="none"/>
              </w:rPr>
              <w:t>偏离说明</w:t>
            </w:r>
          </w:p>
        </w:tc>
        <w:tc>
          <w:tcPr>
            <w:tcW w:w="1418" w:type="dxa"/>
            <w:shd w:val="pct10" w:color="auto" w:fill="auto"/>
            <w:noWrap w:val="0"/>
            <w:vAlign w:val="top"/>
          </w:tcPr>
          <w:p w14:paraId="7F33D121">
            <w:pPr>
              <w:pStyle w:val="195"/>
              <w:jc w:val="center"/>
              <w:rPr>
                <w:rFonts w:ascii="宋体" w:hAnsi="宋体"/>
                <w:color w:val="auto"/>
                <w:sz w:val="24"/>
                <w:szCs w:val="24"/>
                <w:highlight w:val="none"/>
              </w:rPr>
            </w:pPr>
            <w:r>
              <w:rPr>
                <w:rFonts w:hint="eastAsia" w:ascii="宋体" w:hAnsi="宋体"/>
                <w:color w:val="auto"/>
                <w:sz w:val="24"/>
                <w:szCs w:val="24"/>
                <w:highlight w:val="none"/>
              </w:rPr>
              <w:t>响应文件中对应的页码</w:t>
            </w:r>
          </w:p>
        </w:tc>
      </w:tr>
      <w:tr w14:paraId="797C4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0" w:type="dxa"/>
            <w:noWrap w:val="0"/>
            <w:vAlign w:val="center"/>
          </w:tcPr>
          <w:p w14:paraId="038F49C4">
            <w:pPr>
              <w:pStyle w:val="195"/>
              <w:jc w:val="center"/>
              <w:rPr>
                <w:rFonts w:ascii="宋体" w:hAnsi="宋体" w:cs="仿宋_GB2312"/>
                <w:b/>
                <w:color w:val="auto"/>
                <w:sz w:val="24"/>
                <w:szCs w:val="24"/>
                <w:highlight w:val="none"/>
              </w:rPr>
            </w:pPr>
          </w:p>
        </w:tc>
        <w:tc>
          <w:tcPr>
            <w:tcW w:w="2422" w:type="dxa"/>
            <w:noWrap w:val="0"/>
            <w:vAlign w:val="center"/>
          </w:tcPr>
          <w:p w14:paraId="2B06659D">
            <w:pPr>
              <w:pStyle w:val="195"/>
              <w:jc w:val="center"/>
              <w:rPr>
                <w:rFonts w:ascii="宋体" w:hAnsi="宋体" w:cs="仿宋_GB2312"/>
                <w:color w:val="auto"/>
                <w:sz w:val="24"/>
                <w:szCs w:val="24"/>
                <w:highlight w:val="none"/>
              </w:rPr>
            </w:pPr>
          </w:p>
        </w:tc>
        <w:tc>
          <w:tcPr>
            <w:tcW w:w="2422" w:type="dxa"/>
            <w:noWrap w:val="0"/>
            <w:vAlign w:val="center"/>
          </w:tcPr>
          <w:p w14:paraId="718C3392">
            <w:pPr>
              <w:pStyle w:val="195"/>
              <w:jc w:val="center"/>
              <w:rPr>
                <w:rFonts w:ascii="宋体" w:hAnsi="宋体" w:cs="仿宋_GB2312"/>
                <w:color w:val="auto"/>
                <w:sz w:val="24"/>
                <w:szCs w:val="24"/>
                <w:highlight w:val="none"/>
              </w:rPr>
            </w:pPr>
          </w:p>
        </w:tc>
        <w:tc>
          <w:tcPr>
            <w:tcW w:w="1418" w:type="dxa"/>
            <w:noWrap w:val="0"/>
            <w:vAlign w:val="center"/>
          </w:tcPr>
          <w:p w14:paraId="57E1B97E">
            <w:pPr>
              <w:pStyle w:val="195"/>
              <w:jc w:val="center"/>
              <w:rPr>
                <w:rFonts w:ascii="宋体" w:hAnsi="宋体" w:cs="仿宋_GB2312"/>
                <w:color w:val="auto"/>
                <w:sz w:val="24"/>
                <w:szCs w:val="24"/>
                <w:highlight w:val="none"/>
              </w:rPr>
            </w:pPr>
          </w:p>
        </w:tc>
        <w:tc>
          <w:tcPr>
            <w:tcW w:w="1418" w:type="dxa"/>
            <w:noWrap w:val="0"/>
            <w:vAlign w:val="center"/>
          </w:tcPr>
          <w:p w14:paraId="372E103F">
            <w:pPr>
              <w:pStyle w:val="195"/>
              <w:jc w:val="center"/>
              <w:rPr>
                <w:rFonts w:ascii="宋体" w:hAnsi="宋体" w:cs="仿宋_GB2312"/>
                <w:color w:val="auto"/>
                <w:sz w:val="24"/>
                <w:szCs w:val="24"/>
                <w:highlight w:val="none"/>
              </w:rPr>
            </w:pPr>
          </w:p>
        </w:tc>
      </w:tr>
      <w:tr w14:paraId="04F14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0" w:type="dxa"/>
            <w:noWrap w:val="0"/>
            <w:vAlign w:val="center"/>
          </w:tcPr>
          <w:p w14:paraId="7A910ADC">
            <w:pPr>
              <w:pStyle w:val="195"/>
              <w:jc w:val="center"/>
              <w:rPr>
                <w:rFonts w:ascii="宋体" w:hAnsi="宋体" w:cs="仿宋_GB2312"/>
                <w:b/>
                <w:color w:val="auto"/>
                <w:sz w:val="24"/>
                <w:szCs w:val="24"/>
                <w:highlight w:val="none"/>
              </w:rPr>
            </w:pPr>
          </w:p>
        </w:tc>
        <w:tc>
          <w:tcPr>
            <w:tcW w:w="2422" w:type="dxa"/>
            <w:noWrap w:val="0"/>
            <w:vAlign w:val="center"/>
          </w:tcPr>
          <w:p w14:paraId="04F9E0A4">
            <w:pPr>
              <w:pStyle w:val="195"/>
              <w:jc w:val="center"/>
              <w:rPr>
                <w:rFonts w:ascii="宋体" w:hAnsi="宋体" w:cs="仿宋_GB2312"/>
                <w:color w:val="auto"/>
                <w:sz w:val="24"/>
                <w:szCs w:val="24"/>
                <w:highlight w:val="none"/>
              </w:rPr>
            </w:pPr>
          </w:p>
        </w:tc>
        <w:tc>
          <w:tcPr>
            <w:tcW w:w="2422" w:type="dxa"/>
            <w:noWrap w:val="0"/>
            <w:vAlign w:val="center"/>
          </w:tcPr>
          <w:p w14:paraId="3EF2FEA8">
            <w:pPr>
              <w:pStyle w:val="195"/>
              <w:jc w:val="center"/>
              <w:rPr>
                <w:rFonts w:ascii="宋体" w:hAnsi="宋体" w:cs="仿宋_GB2312"/>
                <w:color w:val="auto"/>
                <w:sz w:val="24"/>
                <w:szCs w:val="24"/>
                <w:highlight w:val="none"/>
              </w:rPr>
            </w:pPr>
          </w:p>
        </w:tc>
        <w:tc>
          <w:tcPr>
            <w:tcW w:w="1418" w:type="dxa"/>
            <w:noWrap w:val="0"/>
            <w:vAlign w:val="center"/>
          </w:tcPr>
          <w:p w14:paraId="4A397E2B">
            <w:pPr>
              <w:pStyle w:val="195"/>
              <w:jc w:val="center"/>
              <w:rPr>
                <w:rFonts w:ascii="宋体" w:hAnsi="宋体" w:cs="仿宋_GB2312"/>
                <w:color w:val="auto"/>
                <w:sz w:val="24"/>
                <w:szCs w:val="24"/>
                <w:highlight w:val="none"/>
              </w:rPr>
            </w:pPr>
          </w:p>
        </w:tc>
        <w:tc>
          <w:tcPr>
            <w:tcW w:w="1418" w:type="dxa"/>
            <w:noWrap w:val="0"/>
            <w:vAlign w:val="center"/>
          </w:tcPr>
          <w:p w14:paraId="4E9688CB">
            <w:pPr>
              <w:pStyle w:val="195"/>
              <w:jc w:val="center"/>
              <w:rPr>
                <w:rFonts w:ascii="宋体" w:hAnsi="宋体" w:cs="仿宋_GB2312"/>
                <w:color w:val="auto"/>
                <w:sz w:val="24"/>
                <w:szCs w:val="24"/>
                <w:highlight w:val="none"/>
              </w:rPr>
            </w:pPr>
          </w:p>
        </w:tc>
      </w:tr>
      <w:tr w14:paraId="7A667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0" w:type="dxa"/>
            <w:noWrap w:val="0"/>
            <w:vAlign w:val="center"/>
          </w:tcPr>
          <w:p w14:paraId="315D4285">
            <w:pPr>
              <w:pStyle w:val="195"/>
              <w:jc w:val="center"/>
              <w:rPr>
                <w:rFonts w:ascii="宋体" w:hAnsi="宋体" w:cs="仿宋_GB2312"/>
                <w:b/>
                <w:color w:val="auto"/>
                <w:sz w:val="24"/>
                <w:szCs w:val="24"/>
                <w:highlight w:val="none"/>
              </w:rPr>
            </w:pPr>
          </w:p>
        </w:tc>
        <w:tc>
          <w:tcPr>
            <w:tcW w:w="2422" w:type="dxa"/>
            <w:noWrap w:val="0"/>
            <w:vAlign w:val="center"/>
          </w:tcPr>
          <w:p w14:paraId="66056F7D">
            <w:pPr>
              <w:pStyle w:val="195"/>
              <w:jc w:val="center"/>
              <w:rPr>
                <w:rFonts w:ascii="宋体" w:hAnsi="宋体" w:cs="仿宋_GB2312"/>
                <w:color w:val="auto"/>
                <w:sz w:val="24"/>
                <w:szCs w:val="24"/>
                <w:highlight w:val="none"/>
              </w:rPr>
            </w:pPr>
          </w:p>
        </w:tc>
        <w:tc>
          <w:tcPr>
            <w:tcW w:w="2422" w:type="dxa"/>
            <w:noWrap w:val="0"/>
            <w:vAlign w:val="center"/>
          </w:tcPr>
          <w:p w14:paraId="01D79C8A">
            <w:pPr>
              <w:pStyle w:val="195"/>
              <w:jc w:val="center"/>
              <w:rPr>
                <w:rFonts w:ascii="宋体" w:hAnsi="宋体" w:cs="仿宋_GB2312"/>
                <w:color w:val="auto"/>
                <w:sz w:val="24"/>
                <w:szCs w:val="24"/>
                <w:highlight w:val="none"/>
              </w:rPr>
            </w:pPr>
          </w:p>
        </w:tc>
        <w:tc>
          <w:tcPr>
            <w:tcW w:w="1418" w:type="dxa"/>
            <w:noWrap w:val="0"/>
            <w:vAlign w:val="center"/>
          </w:tcPr>
          <w:p w14:paraId="1C20EFAF">
            <w:pPr>
              <w:pStyle w:val="195"/>
              <w:jc w:val="center"/>
              <w:rPr>
                <w:rFonts w:ascii="宋体" w:hAnsi="宋体" w:cs="仿宋_GB2312"/>
                <w:color w:val="auto"/>
                <w:sz w:val="24"/>
                <w:szCs w:val="24"/>
                <w:highlight w:val="none"/>
              </w:rPr>
            </w:pPr>
          </w:p>
        </w:tc>
        <w:tc>
          <w:tcPr>
            <w:tcW w:w="1418" w:type="dxa"/>
            <w:noWrap w:val="0"/>
            <w:vAlign w:val="center"/>
          </w:tcPr>
          <w:p w14:paraId="5D3BF6EA">
            <w:pPr>
              <w:pStyle w:val="195"/>
              <w:jc w:val="center"/>
              <w:rPr>
                <w:rFonts w:ascii="宋体" w:hAnsi="宋体" w:cs="仿宋_GB2312"/>
                <w:color w:val="auto"/>
                <w:sz w:val="24"/>
                <w:szCs w:val="24"/>
                <w:highlight w:val="none"/>
              </w:rPr>
            </w:pPr>
          </w:p>
        </w:tc>
      </w:tr>
      <w:tr w14:paraId="4974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0" w:type="dxa"/>
            <w:noWrap w:val="0"/>
            <w:vAlign w:val="center"/>
          </w:tcPr>
          <w:p w14:paraId="735A1401">
            <w:pPr>
              <w:pStyle w:val="195"/>
              <w:jc w:val="center"/>
              <w:rPr>
                <w:rFonts w:ascii="宋体" w:hAnsi="宋体" w:cs="仿宋_GB2312"/>
                <w:b/>
                <w:color w:val="auto"/>
                <w:sz w:val="24"/>
                <w:szCs w:val="24"/>
                <w:highlight w:val="none"/>
              </w:rPr>
            </w:pPr>
          </w:p>
        </w:tc>
        <w:tc>
          <w:tcPr>
            <w:tcW w:w="2422" w:type="dxa"/>
            <w:noWrap w:val="0"/>
            <w:vAlign w:val="center"/>
          </w:tcPr>
          <w:p w14:paraId="1C6A2A56">
            <w:pPr>
              <w:pStyle w:val="195"/>
              <w:jc w:val="center"/>
              <w:rPr>
                <w:rFonts w:ascii="宋体" w:hAnsi="宋体" w:cs="仿宋_GB2312"/>
                <w:color w:val="auto"/>
                <w:sz w:val="24"/>
                <w:szCs w:val="24"/>
                <w:highlight w:val="none"/>
              </w:rPr>
            </w:pPr>
          </w:p>
        </w:tc>
        <w:tc>
          <w:tcPr>
            <w:tcW w:w="2422" w:type="dxa"/>
            <w:noWrap w:val="0"/>
            <w:vAlign w:val="center"/>
          </w:tcPr>
          <w:p w14:paraId="1ADE85AF">
            <w:pPr>
              <w:pStyle w:val="195"/>
              <w:jc w:val="center"/>
              <w:rPr>
                <w:rFonts w:ascii="宋体" w:hAnsi="宋体" w:cs="仿宋_GB2312"/>
                <w:color w:val="auto"/>
                <w:sz w:val="24"/>
                <w:szCs w:val="24"/>
                <w:highlight w:val="none"/>
              </w:rPr>
            </w:pPr>
          </w:p>
        </w:tc>
        <w:tc>
          <w:tcPr>
            <w:tcW w:w="1418" w:type="dxa"/>
            <w:noWrap w:val="0"/>
            <w:vAlign w:val="center"/>
          </w:tcPr>
          <w:p w14:paraId="5A6AFDDA">
            <w:pPr>
              <w:pStyle w:val="195"/>
              <w:jc w:val="center"/>
              <w:rPr>
                <w:rFonts w:ascii="宋体" w:hAnsi="宋体" w:cs="仿宋_GB2312"/>
                <w:color w:val="auto"/>
                <w:sz w:val="24"/>
                <w:szCs w:val="24"/>
                <w:highlight w:val="none"/>
              </w:rPr>
            </w:pPr>
          </w:p>
        </w:tc>
        <w:tc>
          <w:tcPr>
            <w:tcW w:w="1418" w:type="dxa"/>
            <w:noWrap w:val="0"/>
            <w:vAlign w:val="center"/>
          </w:tcPr>
          <w:p w14:paraId="30340C88">
            <w:pPr>
              <w:pStyle w:val="195"/>
              <w:jc w:val="center"/>
              <w:rPr>
                <w:rFonts w:ascii="宋体" w:hAnsi="宋体" w:cs="仿宋_GB2312"/>
                <w:color w:val="auto"/>
                <w:sz w:val="24"/>
                <w:szCs w:val="24"/>
                <w:highlight w:val="none"/>
              </w:rPr>
            </w:pPr>
          </w:p>
        </w:tc>
      </w:tr>
      <w:tr w14:paraId="03FB5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0" w:type="dxa"/>
            <w:noWrap w:val="0"/>
            <w:vAlign w:val="center"/>
          </w:tcPr>
          <w:p w14:paraId="2DB1825D">
            <w:pPr>
              <w:pStyle w:val="195"/>
              <w:jc w:val="center"/>
              <w:rPr>
                <w:rFonts w:ascii="宋体" w:hAnsi="宋体" w:cs="仿宋_GB2312"/>
                <w:b/>
                <w:color w:val="auto"/>
                <w:sz w:val="24"/>
                <w:szCs w:val="24"/>
                <w:highlight w:val="none"/>
              </w:rPr>
            </w:pPr>
          </w:p>
        </w:tc>
        <w:tc>
          <w:tcPr>
            <w:tcW w:w="2422" w:type="dxa"/>
            <w:noWrap w:val="0"/>
            <w:vAlign w:val="center"/>
          </w:tcPr>
          <w:p w14:paraId="5C0504FD">
            <w:pPr>
              <w:pStyle w:val="195"/>
              <w:jc w:val="center"/>
              <w:rPr>
                <w:rFonts w:ascii="宋体" w:hAnsi="宋体" w:cs="仿宋_GB2312"/>
                <w:color w:val="auto"/>
                <w:sz w:val="24"/>
                <w:szCs w:val="24"/>
                <w:highlight w:val="none"/>
              </w:rPr>
            </w:pPr>
          </w:p>
        </w:tc>
        <w:tc>
          <w:tcPr>
            <w:tcW w:w="2422" w:type="dxa"/>
            <w:noWrap w:val="0"/>
            <w:vAlign w:val="center"/>
          </w:tcPr>
          <w:p w14:paraId="1BFB9A3B">
            <w:pPr>
              <w:pStyle w:val="195"/>
              <w:jc w:val="center"/>
              <w:rPr>
                <w:rFonts w:ascii="宋体" w:hAnsi="宋体" w:cs="仿宋_GB2312"/>
                <w:color w:val="auto"/>
                <w:sz w:val="24"/>
                <w:szCs w:val="24"/>
                <w:highlight w:val="none"/>
              </w:rPr>
            </w:pPr>
          </w:p>
        </w:tc>
        <w:tc>
          <w:tcPr>
            <w:tcW w:w="1418" w:type="dxa"/>
            <w:noWrap w:val="0"/>
            <w:vAlign w:val="center"/>
          </w:tcPr>
          <w:p w14:paraId="2ACC2AAC">
            <w:pPr>
              <w:pStyle w:val="195"/>
              <w:jc w:val="center"/>
              <w:rPr>
                <w:rFonts w:ascii="宋体" w:hAnsi="宋体" w:cs="仿宋_GB2312"/>
                <w:color w:val="auto"/>
                <w:sz w:val="24"/>
                <w:szCs w:val="24"/>
                <w:highlight w:val="none"/>
              </w:rPr>
            </w:pPr>
          </w:p>
        </w:tc>
        <w:tc>
          <w:tcPr>
            <w:tcW w:w="1418" w:type="dxa"/>
            <w:noWrap w:val="0"/>
            <w:vAlign w:val="center"/>
          </w:tcPr>
          <w:p w14:paraId="0CD3E16F">
            <w:pPr>
              <w:pStyle w:val="195"/>
              <w:jc w:val="center"/>
              <w:rPr>
                <w:rFonts w:ascii="宋体" w:hAnsi="宋体" w:cs="仿宋_GB2312"/>
                <w:color w:val="auto"/>
                <w:sz w:val="24"/>
                <w:szCs w:val="24"/>
                <w:highlight w:val="none"/>
              </w:rPr>
            </w:pPr>
          </w:p>
        </w:tc>
      </w:tr>
      <w:tr w14:paraId="4655A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0" w:type="dxa"/>
            <w:noWrap w:val="0"/>
            <w:vAlign w:val="center"/>
          </w:tcPr>
          <w:p w14:paraId="69ECC003">
            <w:pPr>
              <w:pStyle w:val="195"/>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w:t>
            </w:r>
          </w:p>
        </w:tc>
        <w:tc>
          <w:tcPr>
            <w:tcW w:w="2422" w:type="dxa"/>
            <w:noWrap w:val="0"/>
            <w:vAlign w:val="center"/>
          </w:tcPr>
          <w:p w14:paraId="57423F6E">
            <w:pPr>
              <w:pStyle w:val="195"/>
              <w:jc w:val="center"/>
              <w:rPr>
                <w:rFonts w:ascii="宋体" w:hAnsi="宋体" w:cs="仿宋_GB2312"/>
                <w:color w:val="auto"/>
                <w:sz w:val="24"/>
                <w:szCs w:val="24"/>
                <w:highlight w:val="none"/>
              </w:rPr>
            </w:pPr>
          </w:p>
        </w:tc>
        <w:tc>
          <w:tcPr>
            <w:tcW w:w="2422" w:type="dxa"/>
            <w:noWrap w:val="0"/>
            <w:vAlign w:val="center"/>
          </w:tcPr>
          <w:p w14:paraId="42E61241">
            <w:pPr>
              <w:pStyle w:val="195"/>
              <w:jc w:val="center"/>
              <w:rPr>
                <w:rFonts w:ascii="宋体" w:hAnsi="宋体" w:cs="仿宋_GB2312"/>
                <w:color w:val="auto"/>
                <w:sz w:val="24"/>
                <w:szCs w:val="24"/>
                <w:highlight w:val="none"/>
              </w:rPr>
            </w:pPr>
          </w:p>
        </w:tc>
        <w:tc>
          <w:tcPr>
            <w:tcW w:w="1418" w:type="dxa"/>
            <w:noWrap w:val="0"/>
            <w:vAlign w:val="center"/>
          </w:tcPr>
          <w:p w14:paraId="01CB434E">
            <w:pPr>
              <w:pStyle w:val="195"/>
              <w:jc w:val="center"/>
              <w:rPr>
                <w:rFonts w:ascii="宋体" w:hAnsi="宋体" w:cs="仿宋_GB2312"/>
                <w:color w:val="auto"/>
                <w:sz w:val="24"/>
                <w:szCs w:val="24"/>
                <w:highlight w:val="none"/>
              </w:rPr>
            </w:pPr>
          </w:p>
        </w:tc>
        <w:tc>
          <w:tcPr>
            <w:tcW w:w="1418" w:type="dxa"/>
            <w:noWrap w:val="0"/>
            <w:vAlign w:val="center"/>
          </w:tcPr>
          <w:p w14:paraId="36AF7CC7">
            <w:pPr>
              <w:pStyle w:val="195"/>
              <w:jc w:val="center"/>
              <w:rPr>
                <w:rFonts w:ascii="宋体" w:hAnsi="宋体" w:cs="仿宋_GB2312"/>
                <w:color w:val="auto"/>
                <w:sz w:val="24"/>
                <w:szCs w:val="24"/>
                <w:highlight w:val="none"/>
              </w:rPr>
            </w:pPr>
          </w:p>
        </w:tc>
      </w:tr>
    </w:tbl>
    <w:p w14:paraId="76551029">
      <w:pPr>
        <w:pStyle w:val="195"/>
        <w:adjustRightInd w:val="0"/>
        <w:snapToGrid w:val="0"/>
        <w:spacing w:line="360" w:lineRule="auto"/>
        <w:ind w:left="720" w:hanging="720" w:hangingChars="300"/>
        <w:rPr>
          <w:rFonts w:hint="eastAsia" w:ascii="宋体" w:hAnsi="宋体" w:cs="Corbel"/>
          <w:color w:val="auto"/>
          <w:sz w:val="24"/>
          <w:szCs w:val="24"/>
          <w:highlight w:val="none"/>
        </w:rPr>
      </w:pPr>
      <w:r>
        <w:rPr>
          <w:rFonts w:hint="eastAsia" w:ascii="宋体" w:hAnsi="宋体" w:cs="Corbel"/>
          <w:color w:val="auto"/>
          <w:sz w:val="24"/>
          <w:szCs w:val="24"/>
          <w:highlight w:val="none"/>
        </w:rPr>
        <w:t>说明：供应商须对照</w:t>
      </w:r>
      <w:r>
        <w:rPr>
          <w:rFonts w:hint="eastAsia" w:ascii="宋体" w:hAnsi="宋体"/>
          <w:color w:val="auto"/>
          <w:sz w:val="24"/>
          <w:szCs w:val="24"/>
          <w:highlight w:val="none"/>
        </w:rPr>
        <w:t>招标文件</w:t>
      </w:r>
      <w:r>
        <w:rPr>
          <w:rFonts w:hint="eastAsia" w:ascii="宋体" w:hAnsi="宋体" w:cs="Corbel"/>
          <w:color w:val="auto"/>
          <w:sz w:val="24"/>
          <w:szCs w:val="24"/>
          <w:highlight w:val="none"/>
        </w:rPr>
        <w:t>中商务要求的条款进行逐项说明是否满足要求，如全部满足，可填写“无”。</w:t>
      </w:r>
    </w:p>
    <w:p w14:paraId="29A855C0">
      <w:pPr>
        <w:pStyle w:val="195"/>
        <w:adjustRightInd w:val="0"/>
        <w:snapToGrid w:val="0"/>
        <w:spacing w:line="300" w:lineRule="auto"/>
        <w:ind w:firstLine="560" w:firstLineChars="200"/>
        <w:rPr>
          <w:rFonts w:ascii="宋体" w:hAnsi="宋体" w:cs="Corbel"/>
          <w:color w:val="auto"/>
          <w:sz w:val="28"/>
          <w:szCs w:val="28"/>
          <w:highlight w:val="none"/>
        </w:rPr>
      </w:pPr>
    </w:p>
    <w:p w14:paraId="2E63096B">
      <w:pPr>
        <w:pStyle w:val="211"/>
        <w:outlineLvl w:val="2"/>
        <w:rPr>
          <w:color w:val="auto"/>
          <w:highlight w:val="none"/>
        </w:rPr>
      </w:pPr>
      <w:r>
        <w:rPr>
          <w:color w:val="auto"/>
          <w:highlight w:val="none"/>
        </w:rPr>
        <w:br w:type="page"/>
      </w:r>
      <w:bookmarkStart w:id="389" w:name="_Toc7908"/>
      <w:bookmarkStart w:id="390" w:name="_Toc5119"/>
      <w:r>
        <w:rPr>
          <w:color w:val="auto"/>
          <w:highlight w:val="none"/>
        </w:rPr>
        <w:t>（</w:t>
      </w:r>
      <w:r>
        <w:rPr>
          <w:rFonts w:hint="eastAsia"/>
          <w:color w:val="auto"/>
          <w:highlight w:val="none"/>
          <w:lang w:val="en-US" w:eastAsia="zh-CN"/>
        </w:rPr>
        <w:t>五</w:t>
      </w:r>
      <w:r>
        <w:rPr>
          <w:color w:val="auto"/>
          <w:highlight w:val="none"/>
        </w:rPr>
        <w:t>）供应商类似项目业绩表</w:t>
      </w:r>
      <w:bookmarkEnd w:id="389"/>
      <w:bookmarkEnd w:id="390"/>
    </w:p>
    <w:p w14:paraId="1EF9082F">
      <w:pPr>
        <w:pStyle w:val="121"/>
        <w:adjustRightInd w:val="0"/>
        <w:snapToGrid w:val="0"/>
        <w:spacing w:line="500" w:lineRule="exact"/>
        <w:rPr>
          <w:rFonts w:ascii="宋体" w:hAnsi="宋体"/>
          <w:color w:val="auto"/>
          <w:sz w:val="24"/>
          <w:szCs w:val="24"/>
          <w:highlight w:val="none"/>
        </w:rPr>
      </w:pPr>
      <w:r>
        <w:rPr>
          <w:rFonts w:hint="eastAsia" w:ascii="宋体" w:hAnsi="宋体"/>
          <w:color w:val="auto"/>
          <w:sz w:val="24"/>
          <w:szCs w:val="24"/>
          <w:highlight w:val="none"/>
        </w:rPr>
        <w:t>采购项目编号：</w:t>
      </w:r>
    </w:p>
    <w:p w14:paraId="15D8DAB1">
      <w:pPr>
        <w:pStyle w:val="121"/>
        <w:adjustRightInd w:val="0"/>
        <w:snapToGrid w:val="0"/>
        <w:spacing w:line="500" w:lineRule="exact"/>
        <w:rPr>
          <w:rFonts w:ascii="宋体" w:hAnsi="宋体"/>
          <w:color w:val="auto"/>
          <w:sz w:val="24"/>
          <w:szCs w:val="24"/>
          <w:highlight w:val="none"/>
          <w:u w:val="single"/>
        </w:rPr>
      </w:pPr>
      <w:r>
        <w:rPr>
          <w:rFonts w:hint="eastAsia" w:ascii="宋体" w:hAnsi="宋体"/>
          <w:color w:val="auto"/>
          <w:sz w:val="24"/>
          <w:szCs w:val="24"/>
          <w:highlight w:val="none"/>
        </w:rPr>
        <w:t>采购项目名称：</w:t>
      </w:r>
    </w:p>
    <w:p w14:paraId="5C1B2326">
      <w:pPr>
        <w:pStyle w:val="121"/>
        <w:ind w:firstLine="480" w:firstLineChars="200"/>
        <w:rPr>
          <w:rFonts w:ascii="宋体" w:hAnsi="宋体"/>
          <w:color w:val="auto"/>
          <w:sz w:val="24"/>
          <w:szCs w:val="24"/>
          <w:highlight w:val="none"/>
        </w:rPr>
      </w:pPr>
    </w:p>
    <w:tbl>
      <w:tblPr>
        <w:tblStyle w:val="40"/>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200"/>
      </w:tblGrid>
      <w:tr w14:paraId="5687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908" w:type="dxa"/>
            <w:noWrap w:val="0"/>
            <w:vAlign w:val="center"/>
          </w:tcPr>
          <w:p w14:paraId="51E580D2">
            <w:pPr>
              <w:pStyle w:val="121"/>
              <w:jc w:val="center"/>
              <w:rPr>
                <w:rFonts w:ascii="宋体" w:hAnsi="宋体"/>
                <w:color w:val="auto"/>
                <w:sz w:val="24"/>
                <w:szCs w:val="24"/>
                <w:highlight w:val="none"/>
              </w:rPr>
            </w:pPr>
            <w:r>
              <w:rPr>
                <w:rFonts w:hint="eastAsia" w:ascii="宋体" w:hAnsi="宋体"/>
                <w:color w:val="auto"/>
                <w:sz w:val="24"/>
                <w:szCs w:val="24"/>
                <w:highlight w:val="none"/>
              </w:rPr>
              <w:t>项目名称</w:t>
            </w:r>
          </w:p>
        </w:tc>
        <w:tc>
          <w:tcPr>
            <w:tcW w:w="7200" w:type="dxa"/>
            <w:noWrap w:val="0"/>
            <w:vAlign w:val="top"/>
          </w:tcPr>
          <w:p w14:paraId="56E6F28C">
            <w:pPr>
              <w:pStyle w:val="121"/>
              <w:jc w:val="center"/>
              <w:rPr>
                <w:rFonts w:ascii="宋体" w:hAnsi="宋体"/>
                <w:color w:val="auto"/>
                <w:sz w:val="24"/>
                <w:szCs w:val="24"/>
                <w:highlight w:val="none"/>
              </w:rPr>
            </w:pPr>
          </w:p>
        </w:tc>
      </w:tr>
      <w:tr w14:paraId="49546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noWrap w:val="0"/>
            <w:vAlign w:val="center"/>
          </w:tcPr>
          <w:p w14:paraId="79288C75">
            <w:pPr>
              <w:pStyle w:val="121"/>
              <w:jc w:val="center"/>
              <w:rPr>
                <w:rFonts w:ascii="宋体" w:hAnsi="宋体"/>
                <w:color w:val="auto"/>
                <w:sz w:val="24"/>
                <w:szCs w:val="24"/>
                <w:highlight w:val="none"/>
              </w:rPr>
            </w:pPr>
            <w:r>
              <w:rPr>
                <w:rFonts w:hint="eastAsia" w:ascii="宋体" w:hAnsi="宋体"/>
                <w:color w:val="auto"/>
                <w:sz w:val="24"/>
                <w:szCs w:val="24"/>
                <w:highlight w:val="none"/>
              </w:rPr>
              <w:t>项目单位名称</w:t>
            </w:r>
          </w:p>
        </w:tc>
        <w:tc>
          <w:tcPr>
            <w:tcW w:w="7200" w:type="dxa"/>
            <w:noWrap w:val="0"/>
            <w:vAlign w:val="top"/>
          </w:tcPr>
          <w:p w14:paraId="6E5441E1">
            <w:pPr>
              <w:pStyle w:val="121"/>
              <w:jc w:val="center"/>
              <w:rPr>
                <w:rFonts w:ascii="宋体" w:hAnsi="宋体"/>
                <w:color w:val="auto"/>
                <w:sz w:val="24"/>
                <w:szCs w:val="24"/>
                <w:highlight w:val="none"/>
              </w:rPr>
            </w:pPr>
          </w:p>
        </w:tc>
      </w:tr>
      <w:tr w14:paraId="17BF5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noWrap w:val="0"/>
            <w:vAlign w:val="center"/>
          </w:tcPr>
          <w:p w14:paraId="5333F194">
            <w:pPr>
              <w:pStyle w:val="121"/>
              <w:jc w:val="center"/>
              <w:rPr>
                <w:rFonts w:ascii="宋体" w:hAnsi="宋体"/>
                <w:color w:val="auto"/>
                <w:sz w:val="24"/>
                <w:szCs w:val="24"/>
                <w:highlight w:val="none"/>
              </w:rPr>
            </w:pPr>
            <w:r>
              <w:rPr>
                <w:rFonts w:hint="eastAsia" w:ascii="宋体" w:hAnsi="宋体"/>
                <w:color w:val="auto"/>
                <w:sz w:val="24"/>
                <w:szCs w:val="24"/>
                <w:highlight w:val="none"/>
              </w:rPr>
              <w:t>项目单位联系人姓名及联系方式</w:t>
            </w:r>
          </w:p>
        </w:tc>
        <w:tc>
          <w:tcPr>
            <w:tcW w:w="7200" w:type="dxa"/>
            <w:noWrap w:val="0"/>
            <w:vAlign w:val="top"/>
          </w:tcPr>
          <w:p w14:paraId="72023DCE">
            <w:pPr>
              <w:pStyle w:val="121"/>
              <w:jc w:val="center"/>
              <w:rPr>
                <w:rFonts w:ascii="宋体" w:hAnsi="宋体"/>
                <w:color w:val="auto"/>
                <w:sz w:val="24"/>
                <w:szCs w:val="24"/>
                <w:highlight w:val="none"/>
              </w:rPr>
            </w:pPr>
          </w:p>
        </w:tc>
      </w:tr>
      <w:tr w14:paraId="07FC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908" w:type="dxa"/>
            <w:noWrap w:val="0"/>
            <w:vAlign w:val="center"/>
          </w:tcPr>
          <w:p w14:paraId="2E9026B8">
            <w:pPr>
              <w:pStyle w:val="121"/>
              <w:jc w:val="center"/>
              <w:rPr>
                <w:rFonts w:ascii="宋体" w:hAnsi="宋体"/>
                <w:color w:val="auto"/>
                <w:sz w:val="24"/>
                <w:szCs w:val="24"/>
                <w:highlight w:val="none"/>
              </w:rPr>
            </w:pPr>
            <w:r>
              <w:rPr>
                <w:rFonts w:hint="eastAsia" w:ascii="宋体" w:hAnsi="宋体"/>
                <w:color w:val="auto"/>
                <w:sz w:val="24"/>
                <w:szCs w:val="24"/>
                <w:highlight w:val="none"/>
              </w:rPr>
              <w:t>合同金额</w:t>
            </w:r>
          </w:p>
        </w:tc>
        <w:tc>
          <w:tcPr>
            <w:tcW w:w="7200" w:type="dxa"/>
            <w:noWrap w:val="0"/>
            <w:vAlign w:val="top"/>
          </w:tcPr>
          <w:p w14:paraId="6E26F90C">
            <w:pPr>
              <w:pStyle w:val="121"/>
              <w:jc w:val="center"/>
              <w:rPr>
                <w:rFonts w:ascii="宋体" w:hAnsi="宋体"/>
                <w:color w:val="auto"/>
                <w:sz w:val="24"/>
                <w:szCs w:val="24"/>
                <w:highlight w:val="none"/>
              </w:rPr>
            </w:pPr>
          </w:p>
        </w:tc>
      </w:tr>
      <w:tr w14:paraId="5810E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908" w:type="dxa"/>
            <w:noWrap w:val="0"/>
            <w:vAlign w:val="center"/>
          </w:tcPr>
          <w:p w14:paraId="21D2C658">
            <w:pPr>
              <w:pStyle w:val="121"/>
              <w:jc w:val="center"/>
              <w:rPr>
                <w:rFonts w:ascii="宋体" w:hAnsi="宋体"/>
                <w:color w:val="auto"/>
                <w:sz w:val="24"/>
                <w:szCs w:val="24"/>
                <w:highlight w:val="none"/>
              </w:rPr>
            </w:pPr>
            <w:r>
              <w:rPr>
                <w:rFonts w:hint="eastAsia" w:ascii="宋体" w:hAnsi="宋体"/>
                <w:color w:val="auto"/>
                <w:sz w:val="24"/>
                <w:szCs w:val="24"/>
                <w:highlight w:val="none"/>
              </w:rPr>
              <w:t>项目负责人</w:t>
            </w:r>
          </w:p>
          <w:p w14:paraId="5F95C816">
            <w:pPr>
              <w:pStyle w:val="121"/>
              <w:jc w:val="center"/>
              <w:rPr>
                <w:rFonts w:ascii="宋体" w:hAnsi="宋体"/>
                <w:color w:val="auto"/>
                <w:sz w:val="24"/>
                <w:szCs w:val="24"/>
                <w:highlight w:val="none"/>
              </w:rPr>
            </w:pPr>
            <w:r>
              <w:rPr>
                <w:rFonts w:hint="eastAsia" w:ascii="宋体" w:hAnsi="宋体"/>
                <w:color w:val="auto"/>
                <w:sz w:val="24"/>
                <w:szCs w:val="24"/>
                <w:highlight w:val="none"/>
              </w:rPr>
              <w:t>姓名</w:t>
            </w:r>
          </w:p>
        </w:tc>
        <w:tc>
          <w:tcPr>
            <w:tcW w:w="7200" w:type="dxa"/>
            <w:noWrap w:val="0"/>
            <w:vAlign w:val="top"/>
          </w:tcPr>
          <w:p w14:paraId="3922FA21">
            <w:pPr>
              <w:pStyle w:val="121"/>
              <w:jc w:val="center"/>
              <w:rPr>
                <w:rFonts w:ascii="宋体" w:hAnsi="宋体"/>
                <w:color w:val="auto"/>
                <w:sz w:val="24"/>
                <w:szCs w:val="24"/>
                <w:highlight w:val="none"/>
              </w:rPr>
            </w:pPr>
          </w:p>
        </w:tc>
      </w:tr>
      <w:tr w14:paraId="0E9E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908" w:type="dxa"/>
            <w:noWrap w:val="0"/>
            <w:vAlign w:val="center"/>
          </w:tcPr>
          <w:p w14:paraId="1A92202A">
            <w:pPr>
              <w:pStyle w:val="121"/>
              <w:jc w:val="center"/>
              <w:rPr>
                <w:rFonts w:ascii="宋体" w:hAnsi="宋体"/>
                <w:color w:val="auto"/>
                <w:sz w:val="24"/>
                <w:szCs w:val="24"/>
                <w:highlight w:val="none"/>
              </w:rPr>
            </w:pPr>
            <w:r>
              <w:rPr>
                <w:rFonts w:hint="eastAsia" w:ascii="宋体" w:hAnsi="宋体"/>
                <w:color w:val="auto"/>
                <w:sz w:val="24"/>
                <w:szCs w:val="24"/>
                <w:highlight w:val="none"/>
              </w:rPr>
              <w:t>项目实施时间</w:t>
            </w:r>
          </w:p>
        </w:tc>
        <w:tc>
          <w:tcPr>
            <w:tcW w:w="7200" w:type="dxa"/>
            <w:noWrap w:val="0"/>
            <w:vAlign w:val="top"/>
          </w:tcPr>
          <w:p w14:paraId="641D269C">
            <w:pPr>
              <w:pStyle w:val="121"/>
              <w:jc w:val="center"/>
              <w:rPr>
                <w:rFonts w:ascii="宋体" w:hAnsi="宋体"/>
                <w:color w:val="auto"/>
                <w:sz w:val="24"/>
                <w:szCs w:val="24"/>
                <w:highlight w:val="none"/>
              </w:rPr>
            </w:pPr>
          </w:p>
        </w:tc>
      </w:tr>
      <w:tr w14:paraId="7143D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1908" w:type="dxa"/>
            <w:noWrap w:val="0"/>
            <w:vAlign w:val="center"/>
          </w:tcPr>
          <w:p w14:paraId="69FDA735">
            <w:pPr>
              <w:pStyle w:val="121"/>
              <w:jc w:val="center"/>
              <w:rPr>
                <w:rFonts w:ascii="宋体" w:hAnsi="宋体"/>
                <w:color w:val="auto"/>
                <w:sz w:val="24"/>
                <w:szCs w:val="24"/>
                <w:highlight w:val="none"/>
              </w:rPr>
            </w:pPr>
            <w:r>
              <w:rPr>
                <w:rFonts w:hint="eastAsia" w:ascii="宋体" w:hAnsi="宋体"/>
                <w:color w:val="auto"/>
                <w:sz w:val="24"/>
                <w:szCs w:val="24"/>
                <w:highlight w:val="none"/>
              </w:rPr>
              <w:t>项目内容说明</w:t>
            </w:r>
          </w:p>
        </w:tc>
        <w:tc>
          <w:tcPr>
            <w:tcW w:w="7200" w:type="dxa"/>
            <w:noWrap w:val="0"/>
            <w:vAlign w:val="top"/>
          </w:tcPr>
          <w:p w14:paraId="467FA308">
            <w:pPr>
              <w:pStyle w:val="121"/>
              <w:jc w:val="center"/>
              <w:rPr>
                <w:rFonts w:ascii="宋体" w:hAnsi="宋体"/>
                <w:color w:val="auto"/>
                <w:sz w:val="24"/>
                <w:szCs w:val="24"/>
                <w:highlight w:val="none"/>
              </w:rPr>
            </w:pPr>
          </w:p>
        </w:tc>
      </w:tr>
    </w:tbl>
    <w:p w14:paraId="7ACB4089">
      <w:pPr>
        <w:pStyle w:val="121"/>
        <w:autoSpaceDE w:val="0"/>
        <w:autoSpaceDN w:val="0"/>
        <w:spacing w:line="360" w:lineRule="auto"/>
        <w:rPr>
          <w:rFonts w:ascii="宋体" w:hAnsi="宋体"/>
          <w:color w:val="auto"/>
          <w:sz w:val="24"/>
          <w:szCs w:val="24"/>
          <w:highlight w:val="none"/>
        </w:rPr>
      </w:pPr>
      <w:r>
        <w:rPr>
          <w:rFonts w:hint="eastAsia" w:ascii="宋体" w:hAnsi="宋体"/>
          <w:color w:val="auto"/>
          <w:sz w:val="24"/>
          <w:szCs w:val="24"/>
          <w:highlight w:val="none"/>
        </w:rPr>
        <w:t>说明：1．每个合同须单独附表，并附上相关证明材料，否则专家在评审时将不予采信；</w:t>
      </w:r>
    </w:p>
    <w:p w14:paraId="5F736409">
      <w:pPr>
        <w:pStyle w:val="121"/>
        <w:numPr>
          <w:ilvl w:val="0"/>
          <w:numId w:val="3"/>
        </w:numPr>
        <w:spacing w:line="360" w:lineRule="auto"/>
        <w:ind w:firstLine="720" w:firstLineChars="300"/>
        <w:rPr>
          <w:rFonts w:hint="eastAsia" w:ascii="宋体" w:hAnsi="宋体"/>
          <w:color w:val="auto"/>
          <w:sz w:val="24"/>
          <w:szCs w:val="24"/>
          <w:highlight w:val="none"/>
          <w:lang w:eastAsia="zh-CN"/>
        </w:rPr>
      </w:pPr>
      <w:r>
        <w:rPr>
          <w:rFonts w:hint="eastAsia" w:ascii="宋体" w:hAnsi="宋体"/>
          <w:color w:val="auto"/>
          <w:sz w:val="24"/>
          <w:szCs w:val="24"/>
          <w:highlight w:val="none"/>
        </w:rPr>
        <w:t>项目内容请详细说明所承担的具体工作内容</w:t>
      </w:r>
      <w:r>
        <w:rPr>
          <w:rFonts w:hint="eastAsia" w:ascii="宋体" w:hAnsi="宋体"/>
          <w:color w:val="auto"/>
          <w:sz w:val="24"/>
          <w:szCs w:val="24"/>
          <w:highlight w:val="none"/>
          <w:lang w:eastAsia="zh-CN"/>
        </w:rPr>
        <w:t>。</w:t>
      </w:r>
    </w:p>
    <w:p w14:paraId="4A208B83">
      <w:pPr>
        <w:pStyle w:val="181"/>
        <w:spacing w:line="360" w:lineRule="auto"/>
        <w:ind w:firstLine="720" w:firstLineChars="300"/>
        <w:rPr>
          <w:rFonts w:ascii="宋体" w:hAnsi="宋体"/>
          <w:color w:val="auto"/>
          <w:sz w:val="24"/>
          <w:szCs w:val="24"/>
          <w:highlight w:val="none"/>
        </w:rPr>
      </w:pPr>
      <w:r>
        <w:rPr>
          <w:rFonts w:hint="eastAsia" w:ascii="宋体" w:hAnsi="宋体"/>
          <w:color w:val="auto"/>
          <w:sz w:val="24"/>
          <w:szCs w:val="24"/>
          <w:highlight w:val="none"/>
        </w:rPr>
        <w:t>3．本表后附中标通知书或合同并加盖公章。</w:t>
      </w:r>
    </w:p>
    <w:p w14:paraId="5B4FCB4F">
      <w:pPr>
        <w:pStyle w:val="121"/>
        <w:numPr>
          <w:ilvl w:val="0"/>
          <w:numId w:val="0"/>
        </w:numPr>
        <w:spacing w:line="360" w:lineRule="auto"/>
        <w:rPr>
          <w:rFonts w:hint="eastAsia" w:ascii="宋体" w:hAnsi="宋体"/>
          <w:color w:val="auto"/>
          <w:sz w:val="24"/>
          <w:szCs w:val="24"/>
          <w:highlight w:val="none"/>
          <w:lang w:eastAsia="zh-CN"/>
        </w:rPr>
      </w:pPr>
    </w:p>
    <w:p w14:paraId="296FA4BE">
      <w:pPr>
        <w:pStyle w:val="169"/>
        <w:outlineLvl w:val="2"/>
        <w:rPr>
          <w:color w:val="auto"/>
          <w:highlight w:val="none"/>
          <w:lang w:val="en-US"/>
        </w:rPr>
      </w:pPr>
    </w:p>
    <w:p w14:paraId="6CE08798">
      <w:pPr>
        <w:pStyle w:val="138"/>
        <w:widowControl/>
        <w:adjustRightInd w:val="0"/>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法定代表人（盖章或签名）：</w:t>
      </w:r>
      <w:r>
        <w:rPr>
          <w:rFonts w:hint="eastAsia" w:ascii="宋体" w:hAnsi="宋体" w:cs="宋体"/>
          <w:color w:val="auto"/>
          <w:sz w:val="24"/>
          <w:szCs w:val="24"/>
          <w:highlight w:val="none"/>
          <w:u w:val="single"/>
        </w:rPr>
        <w:t xml:space="preserve">                  </w:t>
      </w:r>
    </w:p>
    <w:p w14:paraId="01222BD4">
      <w:pPr>
        <w:pStyle w:val="138"/>
        <w:widowControl/>
        <w:adjustRightInd w:val="0"/>
        <w:snapToGrid w:val="0"/>
        <w:spacing w:line="500" w:lineRule="exac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供应商名称（盖章）：</w:t>
      </w:r>
      <w:r>
        <w:rPr>
          <w:rFonts w:hint="eastAsia" w:ascii="宋体" w:hAnsi="宋体" w:cs="宋体"/>
          <w:color w:val="auto"/>
          <w:sz w:val="24"/>
          <w:szCs w:val="24"/>
          <w:highlight w:val="none"/>
          <w:u w:val="single"/>
        </w:rPr>
        <w:t xml:space="preserve">                       </w:t>
      </w:r>
    </w:p>
    <w:p w14:paraId="333670CD">
      <w:pPr>
        <w:pStyle w:val="138"/>
        <w:widowControl/>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26FCCAA2">
      <w:pPr>
        <w:pStyle w:val="169"/>
        <w:outlineLvl w:val="2"/>
        <w:rPr>
          <w:color w:val="auto"/>
          <w:highlight w:val="none"/>
          <w:lang w:val="en-US"/>
        </w:rPr>
      </w:pPr>
    </w:p>
    <w:p w14:paraId="01E0C2A5">
      <w:pPr>
        <w:pStyle w:val="178"/>
        <w:rPr>
          <w:color w:val="auto"/>
          <w:highlight w:val="none"/>
        </w:rPr>
      </w:pPr>
    </w:p>
    <w:p w14:paraId="62C0C3C2">
      <w:pPr>
        <w:pStyle w:val="167"/>
        <w:outlineLvl w:val="1"/>
        <w:rPr>
          <w:color w:val="auto"/>
          <w:highlight w:val="none"/>
        </w:rPr>
      </w:pPr>
    </w:p>
    <w:p w14:paraId="038507AB">
      <w:pPr>
        <w:pStyle w:val="146"/>
        <w:outlineLvl w:val="2"/>
        <w:rPr>
          <w:color w:val="auto"/>
          <w:highlight w:val="none"/>
        </w:rPr>
      </w:pPr>
    </w:p>
    <w:p w14:paraId="0FD19886">
      <w:pPr>
        <w:pStyle w:val="146"/>
        <w:outlineLvl w:val="2"/>
        <w:rPr>
          <w:color w:val="auto"/>
          <w:highlight w:val="none"/>
        </w:rPr>
      </w:pPr>
    </w:p>
    <w:p w14:paraId="46671340">
      <w:pPr>
        <w:pStyle w:val="146"/>
        <w:numPr>
          <w:ilvl w:val="0"/>
          <w:numId w:val="4"/>
        </w:numPr>
        <w:outlineLvl w:val="2"/>
        <w:rPr>
          <w:color w:val="auto"/>
          <w:highlight w:val="none"/>
        </w:rPr>
      </w:pPr>
      <w:bookmarkStart w:id="391" w:name="_Toc8260"/>
      <w:r>
        <w:rPr>
          <w:rFonts w:hint="eastAsia"/>
          <w:color w:val="auto"/>
          <w:highlight w:val="none"/>
        </w:rPr>
        <w:t>项目管理</w:t>
      </w:r>
      <w:bookmarkEnd w:id="391"/>
      <w:r>
        <w:rPr>
          <w:rFonts w:hint="eastAsia"/>
          <w:color w:val="auto"/>
          <w:highlight w:val="none"/>
          <w:lang w:eastAsia="zh-CN"/>
        </w:rPr>
        <w:t>、服务、其他人员情况表</w:t>
      </w:r>
    </w:p>
    <w:p w14:paraId="40F4A84A">
      <w:pPr>
        <w:pStyle w:val="215"/>
        <w:rPr>
          <w:rFonts w:hint="eastAsia" w:cs="宋体"/>
          <w:b/>
          <w:bCs/>
          <w:color w:val="auto"/>
          <w:highlight w:val="none"/>
        </w:rPr>
      </w:pPr>
    </w:p>
    <w:p w14:paraId="58BF73B0">
      <w:pPr>
        <w:pStyle w:val="215"/>
        <w:rPr>
          <w:rFonts w:hint="eastAsia"/>
          <w:color w:val="auto"/>
          <w:highlight w:val="none"/>
        </w:rPr>
      </w:pPr>
      <w:r>
        <w:rPr>
          <w:rFonts w:hint="eastAsia" w:cs="宋体"/>
          <w:b/>
          <w:bCs/>
          <w:color w:val="auto"/>
          <w:highlight w:val="none"/>
        </w:rPr>
        <w:t xml:space="preserve">   </w:t>
      </w:r>
      <w:r>
        <w:rPr>
          <w:rFonts w:hint="eastAsia" w:cs="宋体"/>
          <w:bCs/>
          <w:color w:val="auto"/>
          <w:highlight w:val="none"/>
        </w:rPr>
        <w:t xml:space="preserve"> </w:t>
      </w:r>
      <w:r>
        <w:rPr>
          <w:rFonts w:hint="eastAsia"/>
          <w:color w:val="auto"/>
          <w:highlight w:val="none"/>
        </w:rPr>
        <w:t>项目</w:t>
      </w:r>
      <w:r>
        <w:rPr>
          <w:color w:val="auto"/>
          <w:highlight w:val="none"/>
        </w:rPr>
        <w:t>名称：</w:t>
      </w:r>
    </w:p>
    <w:p w14:paraId="369BD7F8">
      <w:pPr>
        <w:pStyle w:val="215"/>
        <w:ind w:firstLine="480" w:firstLineChars="200"/>
        <w:rPr>
          <w:rFonts w:hint="eastAsia"/>
          <w:color w:val="auto"/>
          <w:highlight w:val="none"/>
        </w:rPr>
      </w:pPr>
      <w:r>
        <w:rPr>
          <w:rFonts w:hint="eastAsia"/>
          <w:color w:val="auto"/>
          <w:highlight w:val="none"/>
        </w:rPr>
        <w:t>项目编号：</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003"/>
        <w:gridCol w:w="860"/>
        <w:gridCol w:w="860"/>
        <w:gridCol w:w="860"/>
        <w:gridCol w:w="811"/>
        <w:gridCol w:w="992"/>
        <w:gridCol w:w="992"/>
        <w:gridCol w:w="809"/>
      </w:tblGrid>
      <w:tr w14:paraId="6A567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868" w:type="dxa"/>
            <w:vMerge w:val="restart"/>
            <w:noWrap w:val="0"/>
            <w:vAlign w:val="center"/>
          </w:tcPr>
          <w:p w14:paraId="79E8BD32">
            <w:pPr>
              <w:spacing w:line="400" w:lineRule="exact"/>
              <w:jc w:val="center"/>
              <w:rPr>
                <w:rFonts w:hint="eastAsia" w:hAnsi="宋体" w:cs="宋体"/>
                <w:color w:val="auto"/>
                <w:sz w:val="24"/>
                <w:highlight w:val="none"/>
              </w:rPr>
            </w:pPr>
            <w:r>
              <w:rPr>
                <w:rFonts w:hint="eastAsia" w:hAnsi="宋体" w:cs="宋体"/>
                <w:color w:val="auto"/>
                <w:sz w:val="24"/>
                <w:highlight w:val="none"/>
              </w:rPr>
              <w:t>类别</w:t>
            </w:r>
          </w:p>
        </w:tc>
        <w:tc>
          <w:tcPr>
            <w:tcW w:w="1003" w:type="dxa"/>
            <w:noWrap w:val="0"/>
            <w:vAlign w:val="center"/>
          </w:tcPr>
          <w:p w14:paraId="554EA9CA">
            <w:pPr>
              <w:spacing w:line="400" w:lineRule="exact"/>
              <w:jc w:val="center"/>
              <w:rPr>
                <w:rFonts w:hint="eastAsia" w:hAnsi="宋体" w:cs="宋体"/>
                <w:color w:val="auto"/>
                <w:sz w:val="24"/>
                <w:highlight w:val="none"/>
              </w:rPr>
            </w:pPr>
            <w:r>
              <w:rPr>
                <w:rFonts w:hint="eastAsia" w:hAnsi="宋体" w:cs="宋体"/>
                <w:color w:val="auto"/>
                <w:sz w:val="24"/>
                <w:highlight w:val="none"/>
              </w:rPr>
              <w:t>职务</w:t>
            </w:r>
          </w:p>
        </w:tc>
        <w:tc>
          <w:tcPr>
            <w:tcW w:w="860" w:type="dxa"/>
            <w:noWrap w:val="0"/>
            <w:vAlign w:val="center"/>
          </w:tcPr>
          <w:p w14:paraId="2A8B711A">
            <w:pPr>
              <w:spacing w:line="400" w:lineRule="exact"/>
              <w:jc w:val="center"/>
              <w:rPr>
                <w:rFonts w:hint="eastAsia" w:hAnsi="宋体" w:cs="宋体"/>
                <w:color w:val="auto"/>
                <w:sz w:val="24"/>
                <w:highlight w:val="none"/>
              </w:rPr>
            </w:pPr>
            <w:r>
              <w:rPr>
                <w:rFonts w:hint="eastAsia" w:hAnsi="宋体" w:cs="宋体"/>
                <w:color w:val="auto"/>
                <w:sz w:val="24"/>
                <w:highlight w:val="none"/>
              </w:rPr>
              <w:t>姓名</w:t>
            </w:r>
          </w:p>
        </w:tc>
        <w:tc>
          <w:tcPr>
            <w:tcW w:w="860" w:type="dxa"/>
            <w:noWrap w:val="0"/>
            <w:vAlign w:val="center"/>
          </w:tcPr>
          <w:p w14:paraId="560DC730">
            <w:pPr>
              <w:spacing w:line="400" w:lineRule="exact"/>
              <w:jc w:val="center"/>
              <w:rPr>
                <w:rFonts w:hint="eastAsia" w:hAnsi="宋体" w:cs="宋体"/>
                <w:color w:val="auto"/>
                <w:sz w:val="24"/>
                <w:highlight w:val="none"/>
              </w:rPr>
            </w:pPr>
            <w:r>
              <w:rPr>
                <w:rFonts w:hint="eastAsia" w:hAnsi="宋体" w:cs="宋体"/>
                <w:color w:val="auto"/>
                <w:sz w:val="24"/>
                <w:highlight w:val="none"/>
              </w:rPr>
              <w:t>职称</w:t>
            </w:r>
          </w:p>
        </w:tc>
        <w:tc>
          <w:tcPr>
            <w:tcW w:w="860" w:type="dxa"/>
            <w:noWrap w:val="0"/>
            <w:vAlign w:val="center"/>
          </w:tcPr>
          <w:p w14:paraId="27EE88E3">
            <w:pPr>
              <w:spacing w:line="400" w:lineRule="exact"/>
              <w:jc w:val="center"/>
              <w:rPr>
                <w:rFonts w:hint="eastAsia" w:hAnsi="宋体" w:cs="宋体"/>
                <w:color w:val="auto"/>
                <w:sz w:val="24"/>
                <w:highlight w:val="none"/>
              </w:rPr>
            </w:pPr>
            <w:r>
              <w:rPr>
                <w:rFonts w:hint="eastAsia" w:hAnsi="宋体" w:cs="宋体"/>
                <w:color w:val="auto"/>
                <w:sz w:val="24"/>
                <w:highlight w:val="none"/>
              </w:rPr>
              <w:t>常住地</w:t>
            </w:r>
          </w:p>
        </w:tc>
        <w:tc>
          <w:tcPr>
            <w:tcW w:w="811" w:type="dxa"/>
            <w:noWrap w:val="0"/>
            <w:vAlign w:val="center"/>
          </w:tcPr>
          <w:p w14:paraId="51FE65C3">
            <w:pPr>
              <w:spacing w:line="400" w:lineRule="exact"/>
              <w:jc w:val="center"/>
              <w:rPr>
                <w:rFonts w:hint="eastAsia" w:hAnsi="宋体" w:cs="宋体"/>
                <w:color w:val="auto"/>
                <w:sz w:val="24"/>
                <w:highlight w:val="none"/>
              </w:rPr>
            </w:pPr>
            <w:r>
              <w:rPr>
                <w:rFonts w:hint="eastAsia" w:hAnsi="宋体" w:cs="宋体"/>
                <w:color w:val="auto"/>
                <w:sz w:val="24"/>
                <w:highlight w:val="none"/>
              </w:rPr>
              <w:t>证书名称</w:t>
            </w:r>
          </w:p>
        </w:tc>
        <w:tc>
          <w:tcPr>
            <w:tcW w:w="992" w:type="dxa"/>
            <w:noWrap w:val="0"/>
            <w:vAlign w:val="center"/>
          </w:tcPr>
          <w:p w14:paraId="2A949351">
            <w:pPr>
              <w:spacing w:line="400" w:lineRule="exact"/>
              <w:jc w:val="center"/>
              <w:rPr>
                <w:rFonts w:hint="eastAsia" w:hAnsi="宋体" w:cs="宋体"/>
                <w:color w:val="auto"/>
                <w:sz w:val="24"/>
                <w:highlight w:val="none"/>
              </w:rPr>
            </w:pPr>
            <w:r>
              <w:rPr>
                <w:rFonts w:hint="eastAsia" w:hAnsi="宋体" w:cs="宋体"/>
                <w:color w:val="auto"/>
                <w:sz w:val="24"/>
                <w:highlight w:val="none"/>
              </w:rPr>
              <w:t>级别</w:t>
            </w:r>
          </w:p>
        </w:tc>
        <w:tc>
          <w:tcPr>
            <w:tcW w:w="992" w:type="dxa"/>
            <w:noWrap w:val="0"/>
            <w:vAlign w:val="center"/>
          </w:tcPr>
          <w:p w14:paraId="75525D1C">
            <w:pPr>
              <w:spacing w:line="400" w:lineRule="exact"/>
              <w:jc w:val="center"/>
              <w:rPr>
                <w:rFonts w:hint="eastAsia" w:hAnsi="宋体" w:cs="宋体"/>
                <w:color w:val="auto"/>
                <w:sz w:val="24"/>
                <w:highlight w:val="none"/>
              </w:rPr>
            </w:pPr>
            <w:r>
              <w:rPr>
                <w:rFonts w:hint="eastAsia" w:hAnsi="宋体" w:cs="宋体"/>
                <w:color w:val="auto"/>
                <w:sz w:val="24"/>
                <w:highlight w:val="none"/>
              </w:rPr>
              <w:t>证号</w:t>
            </w:r>
          </w:p>
        </w:tc>
        <w:tc>
          <w:tcPr>
            <w:tcW w:w="809" w:type="dxa"/>
            <w:noWrap w:val="0"/>
            <w:vAlign w:val="center"/>
          </w:tcPr>
          <w:p w14:paraId="33F282E5">
            <w:pPr>
              <w:spacing w:line="400" w:lineRule="exact"/>
              <w:jc w:val="center"/>
              <w:rPr>
                <w:rFonts w:hint="eastAsia" w:hAnsi="宋体" w:cs="宋体"/>
                <w:color w:val="auto"/>
                <w:sz w:val="24"/>
                <w:highlight w:val="none"/>
              </w:rPr>
            </w:pPr>
            <w:r>
              <w:rPr>
                <w:rFonts w:hint="eastAsia" w:hAnsi="宋体" w:cs="宋体"/>
                <w:color w:val="auto"/>
                <w:sz w:val="24"/>
                <w:highlight w:val="none"/>
              </w:rPr>
              <w:t>专业</w:t>
            </w:r>
          </w:p>
        </w:tc>
      </w:tr>
      <w:tr w14:paraId="0F30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68" w:type="dxa"/>
            <w:vMerge w:val="restart"/>
            <w:noWrap w:val="0"/>
            <w:vAlign w:val="center"/>
          </w:tcPr>
          <w:p w14:paraId="3145534B">
            <w:pPr>
              <w:spacing w:line="400" w:lineRule="exact"/>
              <w:jc w:val="center"/>
              <w:rPr>
                <w:rFonts w:hint="eastAsia" w:hAnsi="宋体" w:cs="宋体"/>
                <w:color w:val="auto"/>
                <w:sz w:val="24"/>
                <w:highlight w:val="none"/>
              </w:rPr>
            </w:pPr>
            <w:r>
              <w:rPr>
                <w:rFonts w:hint="eastAsia" w:hAnsi="宋体" w:cs="宋体"/>
                <w:color w:val="auto"/>
                <w:sz w:val="24"/>
                <w:highlight w:val="none"/>
              </w:rPr>
              <w:t>管理人员</w:t>
            </w:r>
          </w:p>
        </w:tc>
        <w:tc>
          <w:tcPr>
            <w:tcW w:w="1003" w:type="dxa"/>
            <w:noWrap w:val="0"/>
            <w:vAlign w:val="top"/>
          </w:tcPr>
          <w:p w14:paraId="7DF11FCF">
            <w:pPr>
              <w:spacing w:line="400" w:lineRule="exact"/>
              <w:jc w:val="center"/>
              <w:rPr>
                <w:rFonts w:hint="eastAsia" w:hAnsi="宋体" w:cs="宋体"/>
                <w:color w:val="auto"/>
                <w:sz w:val="24"/>
                <w:highlight w:val="none"/>
              </w:rPr>
            </w:pPr>
          </w:p>
        </w:tc>
        <w:tc>
          <w:tcPr>
            <w:tcW w:w="860" w:type="dxa"/>
            <w:noWrap w:val="0"/>
            <w:vAlign w:val="top"/>
          </w:tcPr>
          <w:p w14:paraId="071B577B">
            <w:pPr>
              <w:spacing w:line="400" w:lineRule="exact"/>
              <w:jc w:val="center"/>
              <w:rPr>
                <w:rFonts w:hint="eastAsia" w:hAnsi="宋体" w:cs="宋体"/>
                <w:color w:val="auto"/>
                <w:sz w:val="24"/>
                <w:highlight w:val="none"/>
              </w:rPr>
            </w:pPr>
          </w:p>
        </w:tc>
        <w:tc>
          <w:tcPr>
            <w:tcW w:w="860" w:type="dxa"/>
            <w:noWrap w:val="0"/>
            <w:vAlign w:val="top"/>
          </w:tcPr>
          <w:p w14:paraId="127E94A6">
            <w:pPr>
              <w:spacing w:line="400" w:lineRule="exact"/>
              <w:jc w:val="center"/>
              <w:rPr>
                <w:rFonts w:hint="eastAsia" w:hAnsi="宋体" w:cs="宋体"/>
                <w:color w:val="auto"/>
                <w:sz w:val="24"/>
                <w:highlight w:val="none"/>
              </w:rPr>
            </w:pPr>
          </w:p>
        </w:tc>
        <w:tc>
          <w:tcPr>
            <w:tcW w:w="860" w:type="dxa"/>
            <w:noWrap w:val="0"/>
            <w:vAlign w:val="top"/>
          </w:tcPr>
          <w:p w14:paraId="35FAB297">
            <w:pPr>
              <w:spacing w:line="400" w:lineRule="exact"/>
              <w:jc w:val="center"/>
              <w:rPr>
                <w:rFonts w:hint="eastAsia" w:hAnsi="宋体" w:cs="宋体"/>
                <w:color w:val="auto"/>
                <w:sz w:val="24"/>
                <w:highlight w:val="none"/>
              </w:rPr>
            </w:pPr>
          </w:p>
        </w:tc>
        <w:tc>
          <w:tcPr>
            <w:tcW w:w="811" w:type="dxa"/>
            <w:noWrap w:val="0"/>
            <w:vAlign w:val="top"/>
          </w:tcPr>
          <w:p w14:paraId="0142FD96">
            <w:pPr>
              <w:spacing w:line="400" w:lineRule="exact"/>
              <w:jc w:val="center"/>
              <w:rPr>
                <w:rFonts w:hint="eastAsia" w:hAnsi="宋体" w:cs="宋体"/>
                <w:color w:val="auto"/>
                <w:sz w:val="24"/>
                <w:highlight w:val="none"/>
              </w:rPr>
            </w:pPr>
          </w:p>
        </w:tc>
        <w:tc>
          <w:tcPr>
            <w:tcW w:w="992" w:type="dxa"/>
            <w:noWrap w:val="0"/>
            <w:vAlign w:val="top"/>
          </w:tcPr>
          <w:p w14:paraId="51CB665C">
            <w:pPr>
              <w:spacing w:line="400" w:lineRule="exact"/>
              <w:jc w:val="center"/>
              <w:rPr>
                <w:rFonts w:hint="eastAsia" w:hAnsi="宋体" w:cs="宋体"/>
                <w:color w:val="auto"/>
                <w:sz w:val="24"/>
                <w:highlight w:val="none"/>
              </w:rPr>
            </w:pPr>
          </w:p>
        </w:tc>
        <w:tc>
          <w:tcPr>
            <w:tcW w:w="992" w:type="dxa"/>
            <w:noWrap w:val="0"/>
            <w:vAlign w:val="top"/>
          </w:tcPr>
          <w:p w14:paraId="5D116C83">
            <w:pPr>
              <w:spacing w:line="400" w:lineRule="exact"/>
              <w:jc w:val="center"/>
              <w:rPr>
                <w:rFonts w:hint="eastAsia" w:hAnsi="宋体" w:cs="宋体"/>
                <w:color w:val="auto"/>
                <w:sz w:val="24"/>
                <w:highlight w:val="none"/>
              </w:rPr>
            </w:pPr>
          </w:p>
        </w:tc>
        <w:tc>
          <w:tcPr>
            <w:tcW w:w="809" w:type="dxa"/>
            <w:noWrap w:val="0"/>
            <w:vAlign w:val="top"/>
          </w:tcPr>
          <w:p w14:paraId="35224A79">
            <w:pPr>
              <w:spacing w:line="400" w:lineRule="exact"/>
              <w:jc w:val="center"/>
              <w:rPr>
                <w:rFonts w:hint="eastAsia" w:hAnsi="宋体" w:cs="宋体"/>
                <w:color w:val="auto"/>
                <w:sz w:val="24"/>
                <w:highlight w:val="none"/>
              </w:rPr>
            </w:pPr>
          </w:p>
        </w:tc>
      </w:tr>
      <w:tr w14:paraId="70D8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68" w:type="dxa"/>
            <w:vMerge w:val="continue"/>
            <w:noWrap w:val="0"/>
            <w:vAlign w:val="center"/>
          </w:tcPr>
          <w:p w14:paraId="580ED7EE">
            <w:pPr>
              <w:spacing w:line="400" w:lineRule="exact"/>
              <w:jc w:val="center"/>
              <w:rPr>
                <w:rFonts w:hint="eastAsia" w:hAnsi="宋体" w:cs="宋体"/>
                <w:color w:val="auto"/>
                <w:sz w:val="24"/>
                <w:highlight w:val="none"/>
              </w:rPr>
            </w:pPr>
          </w:p>
        </w:tc>
        <w:tc>
          <w:tcPr>
            <w:tcW w:w="1003" w:type="dxa"/>
            <w:noWrap w:val="0"/>
            <w:vAlign w:val="top"/>
          </w:tcPr>
          <w:p w14:paraId="205753E5">
            <w:pPr>
              <w:spacing w:line="400" w:lineRule="exact"/>
              <w:jc w:val="center"/>
              <w:rPr>
                <w:rFonts w:hint="eastAsia" w:hAnsi="宋体" w:cs="宋体"/>
                <w:color w:val="auto"/>
                <w:sz w:val="24"/>
                <w:highlight w:val="none"/>
              </w:rPr>
            </w:pPr>
          </w:p>
        </w:tc>
        <w:tc>
          <w:tcPr>
            <w:tcW w:w="860" w:type="dxa"/>
            <w:noWrap w:val="0"/>
            <w:vAlign w:val="top"/>
          </w:tcPr>
          <w:p w14:paraId="7DA2D855">
            <w:pPr>
              <w:spacing w:line="400" w:lineRule="exact"/>
              <w:jc w:val="center"/>
              <w:rPr>
                <w:rFonts w:hint="eastAsia" w:hAnsi="宋体" w:cs="宋体"/>
                <w:color w:val="auto"/>
                <w:sz w:val="24"/>
                <w:highlight w:val="none"/>
              </w:rPr>
            </w:pPr>
          </w:p>
        </w:tc>
        <w:tc>
          <w:tcPr>
            <w:tcW w:w="860" w:type="dxa"/>
            <w:noWrap w:val="0"/>
            <w:vAlign w:val="top"/>
          </w:tcPr>
          <w:p w14:paraId="759FBE84">
            <w:pPr>
              <w:spacing w:line="400" w:lineRule="exact"/>
              <w:jc w:val="center"/>
              <w:rPr>
                <w:rFonts w:hint="eastAsia" w:hAnsi="宋体" w:cs="宋体"/>
                <w:color w:val="auto"/>
                <w:sz w:val="24"/>
                <w:highlight w:val="none"/>
              </w:rPr>
            </w:pPr>
          </w:p>
        </w:tc>
        <w:tc>
          <w:tcPr>
            <w:tcW w:w="860" w:type="dxa"/>
            <w:noWrap w:val="0"/>
            <w:vAlign w:val="top"/>
          </w:tcPr>
          <w:p w14:paraId="040180AA">
            <w:pPr>
              <w:spacing w:line="400" w:lineRule="exact"/>
              <w:jc w:val="center"/>
              <w:rPr>
                <w:rFonts w:hint="eastAsia" w:hAnsi="宋体" w:cs="宋体"/>
                <w:color w:val="auto"/>
                <w:sz w:val="24"/>
                <w:highlight w:val="none"/>
              </w:rPr>
            </w:pPr>
          </w:p>
        </w:tc>
        <w:tc>
          <w:tcPr>
            <w:tcW w:w="811" w:type="dxa"/>
            <w:noWrap w:val="0"/>
            <w:vAlign w:val="top"/>
          </w:tcPr>
          <w:p w14:paraId="62C743B7">
            <w:pPr>
              <w:spacing w:line="400" w:lineRule="exact"/>
              <w:jc w:val="center"/>
              <w:rPr>
                <w:rFonts w:hint="eastAsia" w:hAnsi="宋体" w:cs="宋体"/>
                <w:color w:val="auto"/>
                <w:sz w:val="24"/>
                <w:highlight w:val="none"/>
              </w:rPr>
            </w:pPr>
          </w:p>
        </w:tc>
        <w:tc>
          <w:tcPr>
            <w:tcW w:w="992" w:type="dxa"/>
            <w:noWrap w:val="0"/>
            <w:vAlign w:val="top"/>
          </w:tcPr>
          <w:p w14:paraId="7B9D445C">
            <w:pPr>
              <w:spacing w:line="400" w:lineRule="exact"/>
              <w:jc w:val="center"/>
              <w:rPr>
                <w:rFonts w:hint="eastAsia" w:hAnsi="宋体" w:cs="宋体"/>
                <w:color w:val="auto"/>
                <w:sz w:val="24"/>
                <w:highlight w:val="none"/>
              </w:rPr>
            </w:pPr>
          </w:p>
        </w:tc>
        <w:tc>
          <w:tcPr>
            <w:tcW w:w="992" w:type="dxa"/>
            <w:noWrap w:val="0"/>
            <w:vAlign w:val="top"/>
          </w:tcPr>
          <w:p w14:paraId="0C6BD14D">
            <w:pPr>
              <w:spacing w:line="400" w:lineRule="exact"/>
              <w:jc w:val="center"/>
              <w:rPr>
                <w:rFonts w:hint="eastAsia" w:hAnsi="宋体" w:cs="宋体"/>
                <w:color w:val="auto"/>
                <w:sz w:val="24"/>
                <w:highlight w:val="none"/>
              </w:rPr>
            </w:pPr>
          </w:p>
        </w:tc>
        <w:tc>
          <w:tcPr>
            <w:tcW w:w="809" w:type="dxa"/>
            <w:noWrap w:val="0"/>
            <w:vAlign w:val="top"/>
          </w:tcPr>
          <w:p w14:paraId="1251F318">
            <w:pPr>
              <w:spacing w:line="400" w:lineRule="exact"/>
              <w:jc w:val="center"/>
              <w:rPr>
                <w:rFonts w:hint="eastAsia" w:hAnsi="宋体" w:cs="宋体"/>
                <w:color w:val="auto"/>
                <w:sz w:val="24"/>
                <w:highlight w:val="none"/>
              </w:rPr>
            </w:pPr>
          </w:p>
        </w:tc>
      </w:tr>
      <w:tr w14:paraId="65F1D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68" w:type="dxa"/>
            <w:vMerge w:val="continue"/>
            <w:noWrap w:val="0"/>
            <w:vAlign w:val="center"/>
          </w:tcPr>
          <w:p w14:paraId="656B5C94">
            <w:pPr>
              <w:spacing w:line="400" w:lineRule="exact"/>
              <w:jc w:val="center"/>
              <w:rPr>
                <w:rFonts w:hint="eastAsia" w:hAnsi="宋体" w:cs="宋体"/>
                <w:color w:val="auto"/>
                <w:sz w:val="24"/>
                <w:highlight w:val="none"/>
              </w:rPr>
            </w:pPr>
          </w:p>
        </w:tc>
        <w:tc>
          <w:tcPr>
            <w:tcW w:w="1003" w:type="dxa"/>
            <w:noWrap w:val="0"/>
            <w:vAlign w:val="top"/>
          </w:tcPr>
          <w:p w14:paraId="4A569679">
            <w:pPr>
              <w:spacing w:line="400" w:lineRule="exact"/>
              <w:jc w:val="center"/>
              <w:rPr>
                <w:rFonts w:hint="eastAsia" w:hAnsi="宋体" w:cs="宋体"/>
                <w:color w:val="auto"/>
                <w:sz w:val="24"/>
                <w:highlight w:val="none"/>
              </w:rPr>
            </w:pPr>
          </w:p>
        </w:tc>
        <w:tc>
          <w:tcPr>
            <w:tcW w:w="860" w:type="dxa"/>
            <w:noWrap w:val="0"/>
            <w:vAlign w:val="top"/>
          </w:tcPr>
          <w:p w14:paraId="35BBB9B9">
            <w:pPr>
              <w:spacing w:line="400" w:lineRule="exact"/>
              <w:jc w:val="center"/>
              <w:rPr>
                <w:rFonts w:hint="eastAsia" w:hAnsi="宋体" w:cs="宋体"/>
                <w:color w:val="auto"/>
                <w:sz w:val="24"/>
                <w:highlight w:val="none"/>
              </w:rPr>
            </w:pPr>
          </w:p>
        </w:tc>
        <w:tc>
          <w:tcPr>
            <w:tcW w:w="860" w:type="dxa"/>
            <w:noWrap w:val="0"/>
            <w:vAlign w:val="top"/>
          </w:tcPr>
          <w:p w14:paraId="04E2DFE4">
            <w:pPr>
              <w:spacing w:line="400" w:lineRule="exact"/>
              <w:jc w:val="center"/>
              <w:rPr>
                <w:rFonts w:hint="eastAsia" w:hAnsi="宋体" w:cs="宋体"/>
                <w:color w:val="auto"/>
                <w:sz w:val="24"/>
                <w:highlight w:val="none"/>
              </w:rPr>
            </w:pPr>
          </w:p>
        </w:tc>
        <w:tc>
          <w:tcPr>
            <w:tcW w:w="860" w:type="dxa"/>
            <w:noWrap w:val="0"/>
            <w:vAlign w:val="top"/>
          </w:tcPr>
          <w:p w14:paraId="745B720F">
            <w:pPr>
              <w:spacing w:line="400" w:lineRule="exact"/>
              <w:jc w:val="center"/>
              <w:rPr>
                <w:rFonts w:hint="eastAsia" w:hAnsi="宋体" w:cs="宋体"/>
                <w:color w:val="auto"/>
                <w:sz w:val="24"/>
                <w:highlight w:val="none"/>
              </w:rPr>
            </w:pPr>
          </w:p>
        </w:tc>
        <w:tc>
          <w:tcPr>
            <w:tcW w:w="811" w:type="dxa"/>
            <w:noWrap w:val="0"/>
            <w:vAlign w:val="top"/>
          </w:tcPr>
          <w:p w14:paraId="2D7A700D">
            <w:pPr>
              <w:spacing w:line="400" w:lineRule="exact"/>
              <w:jc w:val="center"/>
              <w:rPr>
                <w:rFonts w:hint="eastAsia" w:hAnsi="宋体" w:cs="宋体"/>
                <w:color w:val="auto"/>
                <w:sz w:val="24"/>
                <w:highlight w:val="none"/>
              </w:rPr>
            </w:pPr>
          </w:p>
        </w:tc>
        <w:tc>
          <w:tcPr>
            <w:tcW w:w="992" w:type="dxa"/>
            <w:noWrap w:val="0"/>
            <w:vAlign w:val="top"/>
          </w:tcPr>
          <w:p w14:paraId="2974790B">
            <w:pPr>
              <w:spacing w:line="400" w:lineRule="exact"/>
              <w:jc w:val="center"/>
              <w:rPr>
                <w:rFonts w:hint="eastAsia" w:hAnsi="宋体" w:cs="宋体"/>
                <w:color w:val="auto"/>
                <w:sz w:val="24"/>
                <w:highlight w:val="none"/>
              </w:rPr>
            </w:pPr>
          </w:p>
        </w:tc>
        <w:tc>
          <w:tcPr>
            <w:tcW w:w="992" w:type="dxa"/>
            <w:noWrap w:val="0"/>
            <w:vAlign w:val="top"/>
          </w:tcPr>
          <w:p w14:paraId="5C17EB5C">
            <w:pPr>
              <w:spacing w:line="400" w:lineRule="exact"/>
              <w:jc w:val="center"/>
              <w:rPr>
                <w:rFonts w:hint="eastAsia" w:hAnsi="宋体" w:cs="宋体"/>
                <w:color w:val="auto"/>
                <w:sz w:val="24"/>
                <w:highlight w:val="none"/>
              </w:rPr>
            </w:pPr>
          </w:p>
        </w:tc>
        <w:tc>
          <w:tcPr>
            <w:tcW w:w="809" w:type="dxa"/>
            <w:noWrap w:val="0"/>
            <w:vAlign w:val="top"/>
          </w:tcPr>
          <w:p w14:paraId="52CF945C">
            <w:pPr>
              <w:spacing w:line="400" w:lineRule="exact"/>
              <w:jc w:val="center"/>
              <w:rPr>
                <w:rFonts w:hint="eastAsia" w:hAnsi="宋体" w:cs="宋体"/>
                <w:color w:val="auto"/>
                <w:sz w:val="24"/>
                <w:highlight w:val="none"/>
              </w:rPr>
            </w:pPr>
          </w:p>
        </w:tc>
      </w:tr>
      <w:tr w14:paraId="566F3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68" w:type="dxa"/>
            <w:vMerge w:val="restart"/>
            <w:noWrap w:val="0"/>
            <w:vAlign w:val="center"/>
          </w:tcPr>
          <w:p w14:paraId="57FB715D">
            <w:pPr>
              <w:spacing w:line="400" w:lineRule="exact"/>
              <w:jc w:val="center"/>
              <w:rPr>
                <w:rFonts w:hint="eastAsia" w:hAnsi="宋体" w:cs="宋体"/>
                <w:color w:val="auto"/>
                <w:sz w:val="24"/>
                <w:highlight w:val="none"/>
              </w:rPr>
            </w:pPr>
            <w:r>
              <w:rPr>
                <w:rFonts w:hint="eastAsia" w:hAnsi="宋体" w:cs="宋体"/>
                <w:color w:val="auto"/>
                <w:sz w:val="24"/>
                <w:highlight w:val="none"/>
              </w:rPr>
              <w:t>技术人员</w:t>
            </w:r>
          </w:p>
        </w:tc>
        <w:tc>
          <w:tcPr>
            <w:tcW w:w="1003" w:type="dxa"/>
            <w:noWrap w:val="0"/>
            <w:vAlign w:val="top"/>
          </w:tcPr>
          <w:p w14:paraId="1F06F192">
            <w:pPr>
              <w:spacing w:line="400" w:lineRule="exact"/>
              <w:jc w:val="center"/>
              <w:rPr>
                <w:rFonts w:hint="eastAsia" w:hAnsi="宋体" w:cs="宋体"/>
                <w:color w:val="auto"/>
                <w:sz w:val="24"/>
                <w:highlight w:val="none"/>
              </w:rPr>
            </w:pPr>
          </w:p>
        </w:tc>
        <w:tc>
          <w:tcPr>
            <w:tcW w:w="860" w:type="dxa"/>
            <w:noWrap w:val="0"/>
            <w:vAlign w:val="top"/>
          </w:tcPr>
          <w:p w14:paraId="2F72CAEC">
            <w:pPr>
              <w:spacing w:line="400" w:lineRule="exact"/>
              <w:jc w:val="center"/>
              <w:rPr>
                <w:rFonts w:hint="eastAsia" w:hAnsi="宋体" w:cs="宋体"/>
                <w:color w:val="auto"/>
                <w:sz w:val="24"/>
                <w:highlight w:val="none"/>
              </w:rPr>
            </w:pPr>
          </w:p>
        </w:tc>
        <w:tc>
          <w:tcPr>
            <w:tcW w:w="860" w:type="dxa"/>
            <w:noWrap w:val="0"/>
            <w:vAlign w:val="top"/>
          </w:tcPr>
          <w:p w14:paraId="224BC4D4">
            <w:pPr>
              <w:spacing w:line="400" w:lineRule="exact"/>
              <w:jc w:val="center"/>
              <w:rPr>
                <w:rFonts w:hint="eastAsia" w:hAnsi="宋体" w:cs="宋体"/>
                <w:color w:val="auto"/>
                <w:sz w:val="24"/>
                <w:highlight w:val="none"/>
              </w:rPr>
            </w:pPr>
          </w:p>
        </w:tc>
        <w:tc>
          <w:tcPr>
            <w:tcW w:w="860" w:type="dxa"/>
            <w:noWrap w:val="0"/>
            <w:vAlign w:val="top"/>
          </w:tcPr>
          <w:p w14:paraId="0326A94D">
            <w:pPr>
              <w:spacing w:line="400" w:lineRule="exact"/>
              <w:jc w:val="center"/>
              <w:rPr>
                <w:rFonts w:hint="eastAsia" w:hAnsi="宋体" w:cs="宋体"/>
                <w:color w:val="auto"/>
                <w:sz w:val="24"/>
                <w:highlight w:val="none"/>
              </w:rPr>
            </w:pPr>
          </w:p>
        </w:tc>
        <w:tc>
          <w:tcPr>
            <w:tcW w:w="811" w:type="dxa"/>
            <w:noWrap w:val="0"/>
            <w:vAlign w:val="top"/>
          </w:tcPr>
          <w:p w14:paraId="50F52A44">
            <w:pPr>
              <w:spacing w:line="400" w:lineRule="exact"/>
              <w:jc w:val="center"/>
              <w:rPr>
                <w:rFonts w:hint="eastAsia" w:hAnsi="宋体" w:cs="宋体"/>
                <w:color w:val="auto"/>
                <w:sz w:val="24"/>
                <w:highlight w:val="none"/>
              </w:rPr>
            </w:pPr>
          </w:p>
        </w:tc>
        <w:tc>
          <w:tcPr>
            <w:tcW w:w="992" w:type="dxa"/>
            <w:noWrap w:val="0"/>
            <w:vAlign w:val="top"/>
          </w:tcPr>
          <w:p w14:paraId="0716BF48">
            <w:pPr>
              <w:spacing w:line="400" w:lineRule="exact"/>
              <w:jc w:val="center"/>
              <w:rPr>
                <w:rFonts w:hint="eastAsia" w:hAnsi="宋体" w:cs="宋体"/>
                <w:color w:val="auto"/>
                <w:sz w:val="24"/>
                <w:highlight w:val="none"/>
              </w:rPr>
            </w:pPr>
          </w:p>
        </w:tc>
        <w:tc>
          <w:tcPr>
            <w:tcW w:w="992" w:type="dxa"/>
            <w:noWrap w:val="0"/>
            <w:vAlign w:val="top"/>
          </w:tcPr>
          <w:p w14:paraId="67F33AB7">
            <w:pPr>
              <w:spacing w:line="400" w:lineRule="exact"/>
              <w:jc w:val="center"/>
              <w:rPr>
                <w:rFonts w:hint="eastAsia" w:hAnsi="宋体" w:cs="宋体"/>
                <w:color w:val="auto"/>
                <w:sz w:val="24"/>
                <w:highlight w:val="none"/>
              </w:rPr>
            </w:pPr>
          </w:p>
        </w:tc>
        <w:tc>
          <w:tcPr>
            <w:tcW w:w="809" w:type="dxa"/>
            <w:noWrap w:val="0"/>
            <w:vAlign w:val="top"/>
          </w:tcPr>
          <w:p w14:paraId="45E050F9">
            <w:pPr>
              <w:spacing w:line="400" w:lineRule="exact"/>
              <w:jc w:val="center"/>
              <w:rPr>
                <w:rFonts w:hint="eastAsia" w:hAnsi="宋体" w:cs="宋体"/>
                <w:color w:val="auto"/>
                <w:sz w:val="24"/>
                <w:highlight w:val="none"/>
              </w:rPr>
            </w:pPr>
          </w:p>
        </w:tc>
      </w:tr>
      <w:tr w14:paraId="2EA1C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68" w:type="dxa"/>
            <w:vMerge w:val="continue"/>
            <w:noWrap w:val="0"/>
            <w:vAlign w:val="center"/>
          </w:tcPr>
          <w:p w14:paraId="1546EDF5">
            <w:pPr>
              <w:spacing w:line="400" w:lineRule="exact"/>
              <w:jc w:val="center"/>
              <w:rPr>
                <w:rFonts w:hint="eastAsia" w:hAnsi="宋体" w:cs="宋体"/>
                <w:color w:val="auto"/>
                <w:sz w:val="24"/>
                <w:highlight w:val="none"/>
              </w:rPr>
            </w:pPr>
          </w:p>
        </w:tc>
        <w:tc>
          <w:tcPr>
            <w:tcW w:w="1003" w:type="dxa"/>
            <w:noWrap w:val="0"/>
            <w:vAlign w:val="top"/>
          </w:tcPr>
          <w:p w14:paraId="355F51E4">
            <w:pPr>
              <w:spacing w:line="400" w:lineRule="exact"/>
              <w:jc w:val="center"/>
              <w:rPr>
                <w:rFonts w:hint="eastAsia" w:hAnsi="宋体" w:cs="宋体"/>
                <w:color w:val="auto"/>
                <w:sz w:val="24"/>
                <w:highlight w:val="none"/>
              </w:rPr>
            </w:pPr>
          </w:p>
        </w:tc>
        <w:tc>
          <w:tcPr>
            <w:tcW w:w="860" w:type="dxa"/>
            <w:noWrap w:val="0"/>
            <w:vAlign w:val="top"/>
          </w:tcPr>
          <w:p w14:paraId="56AE74AB">
            <w:pPr>
              <w:spacing w:line="400" w:lineRule="exact"/>
              <w:jc w:val="center"/>
              <w:rPr>
                <w:rFonts w:hint="eastAsia" w:hAnsi="宋体" w:cs="宋体"/>
                <w:color w:val="auto"/>
                <w:sz w:val="24"/>
                <w:highlight w:val="none"/>
              </w:rPr>
            </w:pPr>
          </w:p>
        </w:tc>
        <w:tc>
          <w:tcPr>
            <w:tcW w:w="860" w:type="dxa"/>
            <w:noWrap w:val="0"/>
            <w:vAlign w:val="top"/>
          </w:tcPr>
          <w:p w14:paraId="08F3574C">
            <w:pPr>
              <w:spacing w:line="400" w:lineRule="exact"/>
              <w:jc w:val="center"/>
              <w:rPr>
                <w:rFonts w:hint="eastAsia" w:hAnsi="宋体" w:cs="宋体"/>
                <w:color w:val="auto"/>
                <w:sz w:val="24"/>
                <w:highlight w:val="none"/>
              </w:rPr>
            </w:pPr>
          </w:p>
        </w:tc>
        <w:tc>
          <w:tcPr>
            <w:tcW w:w="860" w:type="dxa"/>
            <w:noWrap w:val="0"/>
            <w:vAlign w:val="top"/>
          </w:tcPr>
          <w:p w14:paraId="74CB56E6">
            <w:pPr>
              <w:spacing w:line="400" w:lineRule="exact"/>
              <w:jc w:val="center"/>
              <w:rPr>
                <w:rFonts w:hint="eastAsia" w:hAnsi="宋体" w:cs="宋体"/>
                <w:color w:val="auto"/>
                <w:sz w:val="24"/>
                <w:highlight w:val="none"/>
              </w:rPr>
            </w:pPr>
          </w:p>
        </w:tc>
        <w:tc>
          <w:tcPr>
            <w:tcW w:w="811" w:type="dxa"/>
            <w:noWrap w:val="0"/>
            <w:vAlign w:val="top"/>
          </w:tcPr>
          <w:p w14:paraId="4AA8E550">
            <w:pPr>
              <w:spacing w:line="400" w:lineRule="exact"/>
              <w:jc w:val="center"/>
              <w:rPr>
                <w:rFonts w:hint="eastAsia" w:hAnsi="宋体" w:cs="宋体"/>
                <w:color w:val="auto"/>
                <w:sz w:val="24"/>
                <w:highlight w:val="none"/>
              </w:rPr>
            </w:pPr>
          </w:p>
        </w:tc>
        <w:tc>
          <w:tcPr>
            <w:tcW w:w="992" w:type="dxa"/>
            <w:noWrap w:val="0"/>
            <w:vAlign w:val="top"/>
          </w:tcPr>
          <w:p w14:paraId="25C54126">
            <w:pPr>
              <w:spacing w:line="400" w:lineRule="exact"/>
              <w:jc w:val="center"/>
              <w:rPr>
                <w:rFonts w:hint="eastAsia" w:hAnsi="宋体" w:cs="宋体"/>
                <w:color w:val="auto"/>
                <w:sz w:val="24"/>
                <w:highlight w:val="none"/>
              </w:rPr>
            </w:pPr>
          </w:p>
        </w:tc>
        <w:tc>
          <w:tcPr>
            <w:tcW w:w="992" w:type="dxa"/>
            <w:noWrap w:val="0"/>
            <w:vAlign w:val="top"/>
          </w:tcPr>
          <w:p w14:paraId="36DD2B3D">
            <w:pPr>
              <w:spacing w:line="400" w:lineRule="exact"/>
              <w:jc w:val="center"/>
              <w:rPr>
                <w:rFonts w:hint="eastAsia" w:hAnsi="宋体" w:cs="宋体"/>
                <w:color w:val="auto"/>
                <w:sz w:val="24"/>
                <w:highlight w:val="none"/>
              </w:rPr>
            </w:pPr>
          </w:p>
        </w:tc>
        <w:tc>
          <w:tcPr>
            <w:tcW w:w="809" w:type="dxa"/>
            <w:noWrap w:val="0"/>
            <w:vAlign w:val="top"/>
          </w:tcPr>
          <w:p w14:paraId="47373E85">
            <w:pPr>
              <w:spacing w:line="400" w:lineRule="exact"/>
              <w:jc w:val="center"/>
              <w:rPr>
                <w:rFonts w:hint="eastAsia" w:hAnsi="宋体" w:cs="宋体"/>
                <w:color w:val="auto"/>
                <w:sz w:val="24"/>
                <w:highlight w:val="none"/>
              </w:rPr>
            </w:pPr>
          </w:p>
        </w:tc>
      </w:tr>
      <w:tr w14:paraId="7200D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68" w:type="dxa"/>
            <w:vMerge w:val="continue"/>
            <w:noWrap w:val="0"/>
            <w:vAlign w:val="center"/>
          </w:tcPr>
          <w:p w14:paraId="6F634955">
            <w:pPr>
              <w:spacing w:line="400" w:lineRule="exact"/>
              <w:jc w:val="center"/>
              <w:rPr>
                <w:rFonts w:hint="eastAsia" w:hAnsi="宋体" w:cs="宋体"/>
                <w:color w:val="auto"/>
                <w:sz w:val="24"/>
                <w:highlight w:val="none"/>
              </w:rPr>
            </w:pPr>
          </w:p>
        </w:tc>
        <w:tc>
          <w:tcPr>
            <w:tcW w:w="1003" w:type="dxa"/>
            <w:noWrap w:val="0"/>
            <w:vAlign w:val="top"/>
          </w:tcPr>
          <w:p w14:paraId="6C6C49F2">
            <w:pPr>
              <w:spacing w:line="400" w:lineRule="exact"/>
              <w:jc w:val="center"/>
              <w:rPr>
                <w:rFonts w:hint="eastAsia" w:hAnsi="宋体" w:cs="宋体"/>
                <w:color w:val="auto"/>
                <w:sz w:val="24"/>
                <w:highlight w:val="none"/>
              </w:rPr>
            </w:pPr>
          </w:p>
        </w:tc>
        <w:tc>
          <w:tcPr>
            <w:tcW w:w="860" w:type="dxa"/>
            <w:noWrap w:val="0"/>
            <w:vAlign w:val="top"/>
          </w:tcPr>
          <w:p w14:paraId="7B045346">
            <w:pPr>
              <w:spacing w:line="400" w:lineRule="exact"/>
              <w:jc w:val="center"/>
              <w:rPr>
                <w:rFonts w:hint="eastAsia" w:hAnsi="宋体" w:cs="宋体"/>
                <w:color w:val="auto"/>
                <w:sz w:val="24"/>
                <w:highlight w:val="none"/>
              </w:rPr>
            </w:pPr>
          </w:p>
        </w:tc>
        <w:tc>
          <w:tcPr>
            <w:tcW w:w="860" w:type="dxa"/>
            <w:noWrap w:val="0"/>
            <w:vAlign w:val="top"/>
          </w:tcPr>
          <w:p w14:paraId="47FB0DA3">
            <w:pPr>
              <w:spacing w:line="400" w:lineRule="exact"/>
              <w:jc w:val="center"/>
              <w:rPr>
                <w:rFonts w:hint="eastAsia" w:hAnsi="宋体" w:cs="宋体"/>
                <w:color w:val="auto"/>
                <w:sz w:val="24"/>
                <w:highlight w:val="none"/>
              </w:rPr>
            </w:pPr>
          </w:p>
        </w:tc>
        <w:tc>
          <w:tcPr>
            <w:tcW w:w="860" w:type="dxa"/>
            <w:noWrap w:val="0"/>
            <w:vAlign w:val="top"/>
          </w:tcPr>
          <w:p w14:paraId="1FBEC451">
            <w:pPr>
              <w:spacing w:line="400" w:lineRule="exact"/>
              <w:jc w:val="center"/>
              <w:rPr>
                <w:rFonts w:hint="eastAsia" w:hAnsi="宋体" w:cs="宋体"/>
                <w:color w:val="auto"/>
                <w:sz w:val="24"/>
                <w:highlight w:val="none"/>
              </w:rPr>
            </w:pPr>
          </w:p>
        </w:tc>
        <w:tc>
          <w:tcPr>
            <w:tcW w:w="811" w:type="dxa"/>
            <w:noWrap w:val="0"/>
            <w:vAlign w:val="top"/>
          </w:tcPr>
          <w:p w14:paraId="5041B5A2">
            <w:pPr>
              <w:spacing w:line="400" w:lineRule="exact"/>
              <w:jc w:val="center"/>
              <w:rPr>
                <w:rFonts w:hint="eastAsia" w:hAnsi="宋体" w:cs="宋体"/>
                <w:color w:val="auto"/>
                <w:sz w:val="24"/>
                <w:highlight w:val="none"/>
              </w:rPr>
            </w:pPr>
          </w:p>
        </w:tc>
        <w:tc>
          <w:tcPr>
            <w:tcW w:w="992" w:type="dxa"/>
            <w:noWrap w:val="0"/>
            <w:vAlign w:val="top"/>
          </w:tcPr>
          <w:p w14:paraId="5BFA4E02">
            <w:pPr>
              <w:spacing w:line="400" w:lineRule="exact"/>
              <w:jc w:val="center"/>
              <w:rPr>
                <w:rFonts w:hint="eastAsia" w:hAnsi="宋体" w:cs="宋体"/>
                <w:color w:val="auto"/>
                <w:sz w:val="24"/>
                <w:highlight w:val="none"/>
              </w:rPr>
            </w:pPr>
          </w:p>
        </w:tc>
        <w:tc>
          <w:tcPr>
            <w:tcW w:w="992" w:type="dxa"/>
            <w:noWrap w:val="0"/>
            <w:vAlign w:val="top"/>
          </w:tcPr>
          <w:p w14:paraId="2F2E321F">
            <w:pPr>
              <w:spacing w:line="400" w:lineRule="exact"/>
              <w:jc w:val="center"/>
              <w:rPr>
                <w:rFonts w:hint="eastAsia" w:hAnsi="宋体" w:cs="宋体"/>
                <w:color w:val="auto"/>
                <w:sz w:val="24"/>
                <w:highlight w:val="none"/>
              </w:rPr>
            </w:pPr>
          </w:p>
        </w:tc>
        <w:tc>
          <w:tcPr>
            <w:tcW w:w="809" w:type="dxa"/>
            <w:noWrap w:val="0"/>
            <w:vAlign w:val="top"/>
          </w:tcPr>
          <w:p w14:paraId="0602B5EE">
            <w:pPr>
              <w:spacing w:line="400" w:lineRule="exact"/>
              <w:jc w:val="center"/>
              <w:rPr>
                <w:rFonts w:hint="eastAsia" w:hAnsi="宋体" w:cs="宋体"/>
                <w:color w:val="auto"/>
                <w:sz w:val="24"/>
                <w:highlight w:val="none"/>
              </w:rPr>
            </w:pPr>
          </w:p>
        </w:tc>
      </w:tr>
      <w:tr w14:paraId="3DC6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68" w:type="dxa"/>
            <w:vMerge w:val="restart"/>
            <w:noWrap w:val="0"/>
            <w:vAlign w:val="center"/>
          </w:tcPr>
          <w:p w14:paraId="5E53E75E">
            <w:pPr>
              <w:spacing w:line="400" w:lineRule="exact"/>
              <w:jc w:val="center"/>
              <w:rPr>
                <w:rFonts w:hint="eastAsia" w:hAnsi="宋体" w:cs="宋体"/>
                <w:color w:val="auto"/>
                <w:sz w:val="24"/>
                <w:highlight w:val="none"/>
              </w:rPr>
            </w:pPr>
            <w:r>
              <w:rPr>
                <w:rFonts w:hint="eastAsia" w:hAnsi="宋体" w:cs="宋体"/>
                <w:color w:val="auto"/>
                <w:sz w:val="24"/>
                <w:highlight w:val="none"/>
              </w:rPr>
              <w:t>售后服务人员</w:t>
            </w:r>
          </w:p>
        </w:tc>
        <w:tc>
          <w:tcPr>
            <w:tcW w:w="1003" w:type="dxa"/>
            <w:noWrap w:val="0"/>
            <w:vAlign w:val="top"/>
          </w:tcPr>
          <w:p w14:paraId="57AB03F8">
            <w:pPr>
              <w:spacing w:line="400" w:lineRule="exact"/>
              <w:jc w:val="center"/>
              <w:rPr>
                <w:rFonts w:hint="eastAsia" w:hAnsi="宋体" w:cs="宋体"/>
                <w:color w:val="auto"/>
                <w:sz w:val="24"/>
                <w:highlight w:val="none"/>
              </w:rPr>
            </w:pPr>
          </w:p>
        </w:tc>
        <w:tc>
          <w:tcPr>
            <w:tcW w:w="860" w:type="dxa"/>
            <w:noWrap w:val="0"/>
            <w:vAlign w:val="top"/>
          </w:tcPr>
          <w:p w14:paraId="3F97D846">
            <w:pPr>
              <w:spacing w:line="400" w:lineRule="exact"/>
              <w:jc w:val="center"/>
              <w:rPr>
                <w:rFonts w:hint="eastAsia" w:hAnsi="宋体" w:cs="宋体"/>
                <w:color w:val="auto"/>
                <w:sz w:val="24"/>
                <w:highlight w:val="none"/>
              </w:rPr>
            </w:pPr>
          </w:p>
        </w:tc>
        <w:tc>
          <w:tcPr>
            <w:tcW w:w="860" w:type="dxa"/>
            <w:noWrap w:val="0"/>
            <w:vAlign w:val="top"/>
          </w:tcPr>
          <w:p w14:paraId="62CF63C6">
            <w:pPr>
              <w:spacing w:line="400" w:lineRule="exact"/>
              <w:jc w:val="center"/>
              <w:rPr>
                <w:rFonts w:hint="eastAsia" w:hAnsi="宋体" w:cs="宋体"/>
                <w:color w:val="auto"/>
                <w:sz w:val="24"/>
                <w:highlight w:val="none"/>
              </w:rPr>
            </w:pPr>
          </w:p>
        </w:tc>
        <w:tc>
          <w:tcPr>
            <w:tcW w:w="860" w:type="dxa"/>
            <w:noWrap w:val="0"/>
            <w:vAlign w:val="top"/>
          </w:tcPr>
          <w:p w14:paraId="31B49203">
            <w:pPr>
              <w:spacing w:line="400" w:lineRule="exact"/>
              <w:jc w:val="center"/>
              <w:rPr>
                <w:rFonts w:hint="eastAsia" w:hAnsi="宋体" w:cs="宋体"/>
                <w:color w:val="auto"/>
                <w:sz w:val="24"/>
                <w:highlight w:val="none"/>
              </w:rPr>
            </w:pPr>
          </w:p>
        </w:tc>
        <w:tc>
          <w:tcPr>
            <w:tcW w:w="811" w:type="dxa"/>
            <w:noWrap w:val="0"/>
            <w:vAlign w:val="top"/>
          </w:tcPr>
          <w:p w14:paraId="25BF30CF">
            <w:pPr>
              <w:spacing w:line="400" w:lineRule="exact"/>
              <w:jc w:val="center"/>
              <w:rPr>
                <w:rFonts w:hint="eastAsia" w:hAnsi="宋体" w:cs="宋体"/>
                <w:color w:val="auto"/>
                <w:sz w:val="24"/>
                <w:highlight w:val="none"/>
              </w:rPr>
            </w:pPr>
          </w:p>
        </w:tc>
        <w:tc>
          <w:tcPr>
            <w:tcW w:w="992" w:type="dxa"/>
            <w:noWrap w:val="0"/>
            <w:vAlign w:val="top"/>
          </w:tcPr>
          <w:p w14:paraId="129D407F">
            <w:pPr>
              <w:spacing w:line="400" w:lineRule="exact"/>
              <w:jc w:val="center"/>
              <w:rPr>
                <w:rFonts w:hint="eastAsia" w:hAnsi="宋体" w:cs="宋体"/>
                <w:color w:val="auto"/>
                <w:sz w:val="24"/>
                <w:highlight w:val="none"/>
              </w:rPr>
            </w:pPr>
          </w:p>
        </w:tc>
        <w:tc>
          <w:tcPr>
            <w:tcW w:w="992" w:type="dxa"/>
            <w:noWrap w:val="0"/>
            <w:vAlign w:val="top"/>
          </w:tcPr>
          <w:p w14:paraId="491ABC17">
            <w:pPr>
              <w:spacing w:line="400" w:lineRule="exact"/>
              <w:jc w:val="center"/>
              <w:rPr>
                <w:rFonts w:hint="eastAsia" w:hAnsi="宋体" w:cs="宋体"/>
                <w:color w:val="auto"/>
                <w:sz w:val="24"/>
                <w:highlight w:val="none"/>
              </w:rPr>
            </w:pPr>
          </w:p>
        </w:tc>
        <w:tc>
          <w:tcPr>
            <w:tcW w:w="809" w:type="dxa"/>
            <w:noWrap w:val="0"/>
            <w:vAlign w:val="top"/>
          </w:tcPr>
          <w:p w14:paraId="308F3A3B">
            <w:pPr>
              <w:spacing w:line="400" w:lineRule="exact"/>
              <w:jc w:val="center"/>
              <w:rPr>
                <w:rFonts w:hint="eastAsia" w:hAnsi="宋体" w:cs="宋体"/>
                <w:color w:val="auto"/>
                <w:sz w:val="24"/>
                <w:highlight w:val="none"/>
              </w:rPr>
            </w:pPr>
          </w:p>
        </w:tc>
      </w:tr>
      <w:tr w14:paraId="144B2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68" w:type="dxa"/>
            <w:vMerge w:val="continue"/>
            <w:noWrap w:val="0"/>
            <w:vAlign w:val="top"/>
          </w:tcPr>
          <w:p w14:paraId="649765B0">
            <w:pPr>
              <w:spacing w:line="400" w:lineRule="exact"/>
              <w:jc w:val="center"/>
              <w:rPr>
                <w:rFonts w:hint="eastAsia" w:hAnsi="宋体" w:cs="宋体"/>
                <w:color w:val="auto"/>
                <w:sz w:val="24"/>
                <w:highlight w:val="none"/>
              </w:rPr>
            </w:pPr>
          </w:p>
        </w:tc>
        <w:tc>
          <w:tcPr>
            <w:tcW w:w="1003" w:type="dxa"/>
            <w:noWrap w:val="0"/>
            <w:vAlign w:val="top"/>
          </w:tcPr>
          <w:p w14:paraId="28040C72">
            <w:pPr>
              <w:spacing w:line="400" w:lineRule="exact"/>
              <w:jc w:val="center"/>
              <w:rPr>
                <w:rFonts w:hint="eastAsia" w:hAnsi="宋体" w:cs="宋体"/>
                <w:color w:val="auto"/>
                <w:sz w:val="24"/>
                <w:highlight w:val="none"/>
              </w:rPr>
            </w:pPr>
          </w:p>
        </w:tc>
        <w:tc>
          <w:tcPr>
            <w:tcW w:w="860" w:type="dxa"/>
            <w:noWrap w:val="0"/>
            <w:vAlign w:val="top"/>
          </w:tcPr>
          <w:p w14:paraId="0122340B">
            <w:pPr>
              <w:spacing w:line="400" w:lineRule="exact"/>
              <w:jc w:val="center"/>
              <w:rPr>
                <w:rFonts w:hint="eastAsia" w:hAnsi="宋体" w:cs="宋体"/>
                <w:b/>
                <w:bCs/>
                <w:color w:val="auto"/>
                <w:sz w:val="24"/>
                <w:highlight w:val="none"/>
              </w:rPr>
            </w:pPr>
          </w:p>
        </w:tc>
        <w:tc>
          <w:tcPr>
            <w:tcW w:w="860" w:type="dxa"/>
            <w:noWrap w:val="0"/>
            <w:vAlign w:val="top"/>
          </w:tcPr>
          <w:p w14:paraId="6069144A">
            <w:pPr>
              <w:spacing w:line="400" w:lineRule="exact"/>
              <w:jc w:val="center"/>
              <w:rPr>
                <w:rFonts w:hint="eastAsia" w:hAnsi="宋体" w:cs="宋体"/>
                <w:b/>
                <w:bCs/>
                <w:color w:val="auto"/>
                <w:sz w:val="24"/>
                <w:highlight w:val="none"/>
              </w:rPr>
            </w:pPr>
          </w:p>
        </w:tc>
        <w:tc>
          <w:tcPr>
            <w:tcW w:w="860" w:type="dxa"/>
            <w:noWrap w:val="0"/>
            <w:vAlign w:val="top"/>
          </w:tcPr>
          <w:p w14:paraId="263F053E">
            <w:pPr>
              <w:spacing w:line="400" w:lineRule="exact"/>
              <w:jc w:val="center"/>
              <w:rPr>
                <w:rFonts w:hint="eastAsia" w:hAnsi="宋体" w:cs="宋体"/>
                <w:b/>
                <w:bCs/>
                <w:color w:val="auto"/>
                <w:sz w:val="24"/>
                <w:highlight w:val="none"/>
              </w:rPr>
            </w:pPr>
          </w:p>
        </w:tc>
        <w:tc>
          <w:tcPr>
            <w:tcW w:w="811" w:type="dxa"/>
            <w:noWrap w:val="0"/>
            <w:vAlign w:val="top"/>
          </w:tcPr>
          <w:p w14:paraId="0347F60C">
            <w:pPr>
              <w:spacing w:line="400" w:lineRule="exact"/>
              <w:jc w:val="center"/>
              <w:rPr>
                <w:rFonts w:hint="eastAsia" w:hAnsi="宋体" w:cs="宋体"/>
                <w:b/>
                <w:bCs/>
                <w:color w:val="auto"/>
                <w:sz w:val="24"/>
                <w:highlight w:val="none"/>
              </w:rPr>
            </w:pPr>
          </w:p>
        </w:tc>
        <w:tc>
          <w:tcPr>
            <w:tcW w:w="992" w:type="dxa"/>
            <w:noWrap w:val="0"/>
            <w:vAlign w:val="top"/>
          </w:tcPr>
          <w:p w14:paraId="2D034CDB">
            <w:pPr>
              <w:spacing w:line="400" w:lineRule="exact"/>
              <w:jc w:val="center"/>
              <w:rPr>
                <w:rFonts w:hint="eastAsia" w:hAnsi="宋体" w:cs="宋体"/>
                <w:b/>
                <w:bCs/>
                <w:color w:val="auto"/>
                <w:sz w:val="24"/>
                <w:highlight w:val="none"/>
              </w:rPr>
            </w:pPr>
          </w:p>
        </w:tc>
        <w:tc>
          <w:tcPr>
            <w:tcW w:w="992" w:type="dxa"/>
            <w:noWrap w:val="0"/>
            <w:vAlign w:val="top"/>
          </w:tcPr>
          <w:p w14:paraId="45AB771B">
            <w:pPr>
              <w:spacing w:line="400" w:lineRule="exact"/>
              <w:jc w:val="center"/>
              <w:rPr>
                <w:rFonts w:hint="eastAsia" w:hAnsi="宋体" w:cs="宋体"/>
                <w:b/>
                <w:bCs/>
                <w:color w:val="auto"/>
                <w:sz w:val="24"/>
                <w:highlight w:val="none"/>
              </w:rPr>
            </w:pPr>
          </w:p>
        </w:tc>
        <w:tc>
          <w:tcPr>
            <w:tcW w:w="809" w:type="dxa"/>
            <w:noWrap w:val="0"/>
            <w:vAlign w:val="top"/>
          </w:tcPr>
          <w:p w14:paraId="38869272">
            <w:pPr>
              <w:spacing w:line="400" w:lineRule="exact"/>
              <w:jc w:val="center"/>
              <w:rPr>
                <w:rFonts w:hint="eastAsia" w:hAnsi="宋体" w:cs="宋体"/>
                <w:b/>
                <w:bCs/>
                <w:color w:val="auto"/>
                <w:sz w:val="24"/>
                <w:highlight w:val="none"/>
              </w:rPr>
            </w:pPr>
          </w:p>
        </w:tc>
      </w:tr>
      <w:tr w14:paraId="061A5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68" w:type="dxa"/>
            <w:vMerge w:val="continue"/>
            <w:noWrap w:val="0"/>
            <w:vAlign w:val="top"/>
          </w:tcPr>
          <w:p w14:paraId="1BC15552">
            <w:pPr>
              <w:spacing w:line="400" w:lineRule="exact"/>
              <w:jc w:val="center"/>
              <w:rPr>
                <w:rFonts w:hint="eastAsia" w:hAnsi="宋体" w:cs="宋体"/>
                <w:color w:val="auto"/>
                <w:sz w:val="24"/>
                <w:highlight w:val="none"/>
              </w:rPr>
            </w:pPr>
          </w:p>
        </w:tc>
        <w:tc>
          <w:tcPr>
            <w:tcW w:w="1003" w:type="dxa"/>
            <w:noWrap w:val="0"/>
            <w:vAlign w:val="top"/>
          </w:tcPr>
          <w:p w14:paraId="547F949D">
            <w:pPr>
              <w:spacing w:line="400" w:lineRule="exact"/>
              <w:jc w:val="center"/>
              <w:rPr>
                <w:rFonts w:hint="eastAsia" w:hAnsi="宋体" w:cs="宋体"/>
                <w:color w:val="auto"/>
                <w:sz w:val="24"/>
                <w:highlight w:val="none"/>
              </w:rPr>
            </w:pPr>
          </w:p>
        </w:tc>
        <w:tc>
          <w:tcPr>
            <w:tcW w:w="860" w:type="dxa"/>
            <w:noWrap w:val="0"/>
            <w:vAlign w:val="top"/>
          </w:tcPr>
          <w:p w14:paraId="494C1A91">
            <w:pPr>
              <w:spacing w:line="400" w:lineRule="exact"/>
              <w:jc w:val="center"/>
              <w:rPr>
                <w:rFonts w:hint="eastAsia" w:hAnsi="宋体" w:cs="宋体"/>
                <w:b/>
                <w:bCs/>
                <w:color w:val="auto"/>
                <w:sz w:val="24"/>
                <w:highlight w:val="none"/>
              </w:rPr>
            </w:pPr>
          </w:p>
        </w:tc>
        <w:tc>
          <w:tcPr>
            <w:tcW w:w="860" w:type="dxa"/>
            <w:noWrap w:val="0"/>
            <w:vAlign w:val="top"/>
          </w:tcPr>
          <w:p w14:paraId="4521ACE9">
            <w:pPr>
              <w:spacing w:line="400" w:lineRule="exact"/>
              <w:jc w:val="center"/>
              <w:rPr>
                <w:rFonts w:hint="eastAsia" w:hAnsi="宋体" w:cs="宋体"/>
                <w:b/>
                <w:bCs/>
                <w:color w:val="auto"/>
                <w:sz w:val="24"/>
                <w:highlight w:val="none"/>
              </w:rPr>
            </w:pPr>
          </w:p>
        </w:tc>
        <w:tc>
          <w:tcPr>
            <w:tcW w:w="860" w:type="dxa"/>
            <w:noWrap w:val="0"/>
            <w:vAlign w:val="top"/>
          </w:tcPr>
          <w:p w14:paraId="589A13BC">
            <w:pPr>
              <w:spacing w:line="400" w:lineRule="exact"/>
              <w:jc w:val="center"/>
              <w:rPr>
                <w:rFonts w:hint="eastAsia" w:hAnsi="宋体" w:cs="宋体"/>
                <w:b/>
                <w:bCs/>
                <w:color w:val="auto"/>
                <w:sz w:val="24"/>
                <w:highlight w:val="none"/>
              </w:rPr>
            </w:pPr>
          </w:p>
        </w:tc>
        <w:tc>
          <w:tcPr>
            <w:tcW w:w="811" w:type="dxa"/>
            <w:noWrap w:val="0"/>
            <w:vAlign w:val="top"/>
          </w:tcPr>
          <w:p w14:paraId="0B785BDA">
            <w:pPr>
              <w:spacing w:line="400" w:lineRule="exact"/>
              <w:jc w:val="center"/>
              <w:rPr>
                <w:rFonts w:hint="eastAsia" w:hAnsi="宋体" w:cs="宋体"/>
                <w:b/>
                <w:bCs/>
                <w:color w:val="auto"/>
                <w:sz w:val="24"/>
                <w:highlight w:val="none"/>
              </w:rPr>
            </w:pPr>
          </w:p>
        </w:tc>
        <w:tc>
          <w:tcPr>
            <w:tcW w:w="992" w:type="dxa"/>
            <w:noWrap w:val="0"/>
            <w:vAlign w:val="top"/>
          </w:tcPr>
          <w:p w14:paraId="479D682F">
            <w:pPr>
              <w:spacing w:line="400" w:lineRule="exact"/>
              <w:jc w:val="center"/>
              <w:rPr>
                <w:rFonts w:hint="eastAsia" w:hAnsi="宋体" w:cs="宋体"/>
                <w:b/>
                <w:bCs/>
                <w:color w:val="auto"/>
                <w:sz w:val="24"/>
                <w:highlight w:val="none"/>
              </w:rPr>
            </w:pPr>
          </w:p>
        </w:tc>
        <w:tc>
          <w:tcPr>
            <w:tcW w:w="992" w:type="dxa"/>
            <w:noWrap w:val="0"/>
            <w:vAlign w:val="top"/>
          </w:tcPr>
          <w:p w14:paraId="0B9D235B">
            <w:pPr>
              <w:spacing w:line="400" w:lineRule="exact"/>
              <w:jc w:val="center"/>
              <w:rPr>
                <w:rFonts w:hint="eastAsia" w:hAnsi="宋体" w:cs="宋体"/>
                <w:b/>
                <w:bCs/>
                <w:color w:val="auto"/>
                <w:sz w:val="24"/>
                <w:highlight w:val="none"/>
              </w:rPr>
            </w:pPr>
          </w:p>
        </w:tc>
        <w:tc>
          <w:tcPr>
            <w:tcW w:w="809" w:type="dxa"/>
            <w:noWrap w:val="0"/>
            <w:vAlign w:val="top"/>
          </w:tcPr>
          <w:p w14:paraId="501A7157">
            <w:pPr>
              <w:spacing w:line="400" w:lineRule="exact"/>
              <w:jc w:val="center"/>
              <w:rPr>
                <w:rFonts w:hint="eastAsia" w:hAnsi="宋体" w:cs="宋体"/>
                <w:b/>
                <w:bCs/>
                <w:color w:val="auto"/>
                <w:sz w:val="24"/>
                <w:highlight w:val="none"/>
              </w:rPr>
            </w:pPr>
          </w:p>
        </w:tc>
      </w:tr>
    </w:tbl>
    <w:p w14:paraId="243FD1B8">
      <w:pPr>
        <w:spacing w:line="400" w:lineRule="exact"/>
        <w:ind w:firstLine="723" w:firstLineChars="300"/>
        <w:rPr>
          <w:rFonts w:hAnsi="宋体" w:cs="宋体"/>
          <w:color w:val="auto"/>
          <w:sz w:val="24"/>
          <w:szCs w:val="24"/>
          <w:highlight w:val="none"/>
        </w:rPr>
      </w:pPr>
      <w:r>
        <w:rPr>
          <w:rFonts w:hint="eastAsia" w:hAnsi="宋体" w:cs="宋体"/>
          <w:b/>
          <w:bCs/>
          <w:color w:val="auto"/>
          <w:sz w:val="24"/>
          <w:highlight w:val="none"/>
        </w:rPr>
        <w:t>注：以上提供相关人员证明材料。</w:t>
      </w:r>
    </w:p>
    <w:p w14:paraId="5C07297A">
      <w:pPr>
        <w:spacing w:line="400" w:lineRule="exact"/>
        <w:rPr>
          <w:rFonts w:hAnsi="宋体" w:cs="宋体"/>
          <w:color w:val="auto"/>
          <w:sz w:val="24"/>
          <w:szCs w:val="24"/>
          <w:highlight w:val="none"/>
        </w:rPr>
      </w:pPr>
    </w:p>
    <w:p w14:paraId="262F7908">
      <w:pPr>
        <w:spacing w:line="400" w:lineRule="exact"/>
        <w:rPr>
          <w:rFonts w:hint="eastAsia" w:hAnsi="宋体" w:cs="宋体"/>
          <w:color w:val="auto"/>
          <w:sz w:val="24"/>
          <w:szCs w:val="24"/>
          <w:highlight w:val="none"/>
        </w:rPr>
      </w:pPr>
    </w:p>
    <w:p w14:paraId="6912794E">
      <w:pPr>
        <w:spacing w:line="360" w:lineRule="auto"/>
        <w:ind w:firstLine="480" w:firstLineChars="200"/>
        <w:rPr>
          <w:rFonts w:hint="eastAsia" w:hAnsi="宋体"/>
          <w:color w:val="auto"/>
          <w:sz w:val="24"/>
          <w:highlight w:val="none"/>
        </w:rPr>
      </w:pPr>
      <w:r>
        <w:rPr>
          <w:rFonts w:hint="eastAsia" w:hAnsi="宋体"/>
          <w:bCs/>
          <w:color w:val="auto"/>
          <w:sz w:val="24"/>
          <w:szCs w:val="24"/>
          <w:highlight w:val="none"/>
        </w:rPr>
        <w:t>供应商</w:t>
      </w:r>
      <w:r>
        <w:rPr>
          <w:rFonts w:hint="eastAsia" w:hAnsi="宋体" w:cs="宋体"/>
          <w:color w:val="auto"/>
          <w:sz w:val="24"/>
          <w:highlight w:val="none"/>
        </w:rPr>
        <w:t>名称：</w:t>
      </w:r>
      <w:r>
        <w:rPr>
          <w:rFonts w:hint="eastAsia" w:hAnsi="宋体" w:cs="宋体"/>
          <w:color w:val="auto"/>
          <w:sz w:val="24"/>
          <w:highlight w:val="none"/>
          <w:u w:val="single"/>
        </w:rPr>
        <w:t xml:space="preserve">              </w:t>
      </w:r>
      <w:r>
        <w:rPr>
          <w:rFonts w:hint="eastAsia" w:hAnsi="宋体" w:cs="宋体"/>
          <w:color w:val="auto"/>
          <w:sz w:val="24"/>
          <w:highlight w:val="none"/>
        </w:rPr>
        <w:t>(盖章)</w:t>
      </w:r>
    </w:p>
    <w:p w14:paraId="26BA7F93">
      <w:pPr>
        <w:adjustRightInd w:val="0"/>
        <w:spacing w:line="360" w:lineRule="auto"/>
        <w:ind w:firstLine="480" w:firstLineChars="200"/>
        <w:jc w:val="left"/>
        <w:rPr>
          <w:rFonts w:hint="eastAsia" w:hAnsi="宋体" w:cs="宋体"/>
          <w:color w:val="auto"/>
          <w:sz w:val="24"/>
          <w:highlight w:val="none"/>
        </w:rPr>
      </w:pPr>
      <w:r>
        <w:rPr>
          <w:rFonts w:hint="eastAsia" w:hAnsi="宋体" w:cs="宋体"/>
          <w:color w:val="auto"/>
          <w:sz w:val="24"/>
          <w:highlight w:val="none"/>
        </w:rPr>
        <w:t>法定代表人/单位负责人或被授权人(签字或</w:t>
      </w:r>
      <w:r>
        <w:rPr>
          <w:rFonts w:hAnsi="宋体" w:cs="宋体"/>
          <w:color w:val="auto"/>
          <w:sz w:val="24"/>
          <w:highlight w:val="none"/>
        </w:rPr>
        <w:t>盖章</w:t>
      </w:r>
      <w:r>
        <w:rPr>
          <w:rFonts w:hint="eastAsia" w:hAnsi="宋体" w:cs="宋体"/>
          <w:color w:val="auto"/>
          <w:sz w:val="24"/>
          <w:highlight w:val="none"/>
        </w:rPr>
        <w:t>)</w:t>
      </w:r>
      <w:r>
        <w:rPr>
          <w:rFonts w:hint="eastAsia" w:hAnsi="宋体" w:cs="宋体"/>
          <w:bCs/>
          <w:color w:val="auto"/>
          <w:sz w:val="24"/>
          <w:highlight w:val="none"/>
        </w:rPr>
        <w:t>：</w:t>
      </w:r>
      <w:r>
        <w:rPr>
          <w:rFonts w:hint="eastAsia" w:hAnsi="宋体" w:cs="宋体"/>
          <w:color w:val="auto"/>
          <w:sz w:val="24"/>
          <w:highlight w:val="none"/>
          <w:u w:val="single"/>
        </w:rPr>
        <w:t xml:space="preserve">              </w:t>
      </w:r>
    </w:p>
    <w:p w14:paraId="4A3E5404">
      <w:pPr>
        <w:spacing w:line="360" w:lineRule="auto"/>
        <w:ind w:firstLine="480"/>
        <w:rPr>
          <w:rFonts w:hint="eastAsia" w:hAnsi="宋体" w:cs="宋体"/>
          <w:color w:val="auto"/>
          <w:sz w:val="24"/>
          <w:highlight w:val="none"/>
          <w:u w:val="single"/>
        </w:rPr>
      </w:pPr>
      <w:r>
        <w:rPr>
          <w:rFonts w:hint="eastAsia" w:hAnsi="宋体" w:cs="宋体"/>
          <w:bCs/>
          <w:color w:val="auto"/>
          <w:sz w:val="24"/>
          <w:highlight w:val="none"/>
        </w:rPr>
        <w:t>日期</w:t>
      </w:r>
      <w:r>
        <w:rPr>
          <w:rFonts w:hint="eastAsia" w:hAnsi="宋体" w:cs="宋体"/>
          <w:bCs/>
          <w:color w:val="auto"/>
          <w:sz w:val="24"/>
          <w:highlight w:val="none"/>
          <w:lang w:eastAsia="zh-CN"/>
        </w:rPr>
        <w:t>:</w:t>
      </w:r>
      <w:r>
        <w:rPr>
          <w:rFonts w:hint="eastAsia" w:hAnsi="宋体" w:cs="宋体"/>
          <w:color w:val="auto"/>
          <w:sz w:val="24"/>
          <w:highlight w:val="none"/>
          <w:u w:val="single"/>
        </w:rPr>
        <w:t xml:space="preserve">             </w:t>
      </w:r>
    </w:p>
    <w:p w14:paraId="59C73278">
      <w:pPr>
        <w:spacing w:line="360" w:lineRule="auto"/>
        <w:ind w:firstLine="480"/>
        <w:rPr>
          <w:rFonts w:hint="eastAsia" w:hAnsi="宋体" w:cs="宋体"/>
          <w:color w:val="auto"/>
          <w:sz w:val="24"/>
          <w:highlight w:val="none"/>
          <w:u w:val="single"/>
        </w:rPr>
      </w:pPr>
    </w:p>
    <w:p w14:paraId="01173643">
      <w:pPr>
        <w:pStyle w:val="146"/>
        <w:outlineLvl w:val="2"/>
        <w:rPr>
          <w:color w:val="auto"/>
          <w:highlight w:val="none"/>
        </w:rPr>
      </w:pPr>
    </w:p>
    <w:p w14:paraId="620C4238">
      <w:pPr>
        <w:pStyle w:val="134"/>
        <w:numPr>
          <w:ilvl w:val="0"/>
          <w:numId w:val="0"/>
        </w:numPr>
        <w:outlineLvl w:val="1"/>
        <w:rPr>
          <w:color w:val="auto"/>
          <w:highlight w:val="none"/>
        </w:rPr>
      </w:pPr>
      <w:r>
        <w:rPr>
          <w:color w:val="auto"/>
          <w:highlight w:val="none"/>
        </w:rPr>
        <w:br w:type="page"/>
      </w:r>
      <w:bookmarkStart w:id="392" w:name="_Toc30628"/>
      <w:bookmarkStart w:id="393" w:name="_Toc5537"/>
      <w:bookmarkStart w:id="394" w:name="_Toc256000054"/>
      <w:r>
        <w:rPr>
          <w:rFonts w:hint="eastAsia"/>
          <w:color w:val="auto"/>
          <w:highlight w:val="none"/>
          <w:lang w:val="en-US" w:eastAsia="zh-CN"/>
        </w:rPr>
        <w:t>四、技术</w:t>
      </w:r>
      <w:r>
        <w:rPr>
          <w:color w:val="auto"/>
          <w:highlight w:val="none"/>
        </w:rPr>
        <w:t>文件组成</w:t>
      </w:r>
      <w:bookmarkEnd w:id="392"/>
    </w:p>
    <w:p w14:paraId="7CCB92FF">
      <w:pPr>
        <w:pStyle w:val="146"/>
        <w:outlineLvl w:val="2"/>
        <w:rPr>
          <w:color w:val="auto"/>
          <w:highlight w:val="none"/>
        </w:rPr>
      </w:pPr>
      <w:r>
        <w:rPr>
          <w:color w:val="auto"/>
          <w:highlight w:val="none"/>
        </w:rPr>
        <w:br w:type="page"/>
      </w:r>
    </w:p>
    <w:p w14:paraId="300043C3">
      <w:pPr>
        <w:pStyle w:val="146"/>
        <w:outlineLvl w:val="2"/>
        <w:rPr>
          <w:color w:val="auto"/>
          <w:highlight w:val="none"/>
        </w:rPr>
      </w:pPr>
      <w:bookmarkStart w:id="395" w:name="_Toc28268"/>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color w:val="auto"/>
          <w:highlight w:val="none"/>
        </w:rPr>
        <w:t>投标人自行编写的技术文件</w:t>
      </w:r>
      <w:bookmarkEnd w:id="395"/>
    </w:p>
    <w:p w14:paraId="305A438B">
      <w:pPr>
        <w:pStyle w:val="121"/>
        <w:spacing w:line="360" w:lineRule="auto"/>
        <w:rPr>
          <w:rFonts w:hint="eastAsia" w:ascii="宋体" w:hAnsi="宋体" w:eastAsia="宋体" w:cs="Times New Roman"/>
          <w:bCs/>
          <w:color w:val="auto"/>
          <w:sz w:val="24"/>
          <w:highlight w:val="none"/>
        </w:rPr>
      </w:pPr>
    </w:p>
    <w:p w14:paraId="3DCD7273">
      <w:pPr>
        <w:pStyle w:val="121"/>
        <w:spacing w:line="360" w:lineRule="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包含但不限于以下内容：</w:t>
      </w:r>
    </w:p>
    <w:p w14:paraId="675CAAED">
      <w:pPr>
        <w:pStyle w:val="121"/>
        <w:spacing w:line="360" w:lineRule="auto"/>
        <w:rPr>
          <w:rFonts w:hint="eastAsia" w:ascii="宋体" w:hAnsi="宋体" w:eastAsia="宋体" w:cs="Times New Roman"/>
          <w:bCs/>
          <w:color w:val="auto"/>
          <w:sz w:val="24"/>
          <w:highlight w:val="none"/>
          <w:lang w:val="en-US" w:eastAsia="zh-CN"/>
        </w:rPr>
      </w:pPr>
    </w:p>
    <w:p w14:paraId="5F4B4534">
      <w:pPr>
        <w:pStyle w:val="121"/>
        <w:spacing w:line="360" w:lineRule="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①项目需求分析；</w:t>
      </w:r>
    </w:p>
    <w:p w14:paraId="19826C3F">
      <w:pPr>
        <w:pStyle w:val="121"/>
        <w:spacing w:line="360" w:lineRule="auto"/>
        <w:rPr>
          <w:rFonts w:hint="eastAsia" w:ascii="宋体" w:hAnsi="宋体" w:eastAsia="宋体" w:cs="Times New Roman"/>
          <w:bCs/>
          <w:color w:val="auto"/>
          <w:sz w:val="24"/>
          <w:highlight w:val="none"/>
          <w:lang w:val="en-US" w:eastAsia="zh-CN"/>
        </w:rPr>
      </w:pPr>
    </w:p>
    <w:p w14:paraId="6A784B9C">
      <w:pPr>
        <w:pStyle w:val="121"/>
        <w:spacing w:line="360" w:lineRule="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②项目总体设计方案；</w:t>
      </w:r>
    </w:p>
    <w:p w14:paraId="0E85DCA9">
      <w:pPr>
        <w:pStyle w:val="121"/>
        <w:spacing w:line="360" w:lineRule="auto"/>
        <w:rPr>
          <w:rFonts w:hint="eastAsia" w:ascii="宋体" w:hAnsi="宋体" w:eastAsia="宋体" w:cs="Times New Roman"/>
          <w:bCs/>
          <w:color w:val="auto"/>
          <w:sz w:val="24"/>
          <w:highlight w:val="none"/>
          <w:lang w:val="en-US" w:eastAsia="zh-CN"/>
        </w:rPr>
      </w:pPr>
    </w:p>
    <w:p w14:paraId="09BCB417">
      <w:pPr>
        <w:pStyle w:val="121"/>
        <w:spacing w:line="360" w:lineRule="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③项目实施计划；</w:t>
      </w:r>
    </w:p>
    <w:p w14:paraId="3FADBC00">
      <w:pPr>
        <w:pStyle w:val="121"/>
        <w:spacing w:line="360" w:lineRule="auto"/>
        <w:rPr>
          <w:rFonts w:hint="eastAsia" w:ascii="宋体" w:hAnsi="宋体" w:eastAsia="宋体" w:cs="Times New Roman"/>
          <w:bCs/>
          <w:color w:val="auto"/>
          <w:sz w:val="24"/>
          <w:highlight w:val="none"/>
          <w:lang w:val="en-US" w:eastAsia="zh-CN"/>
        </w:rPr>
      </w:pPr>
    </w:p>
    <w:p w14:paraId="6E6B5E62">
      <w:pPr>
        <w:pStyle w:val="121"/>
        <w:spacing w:line="360" w:lineRule="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④质量和服务保障措施；</w:t>
      </w:r>
    </w:p>
    <w:p w14:paraId="69996DE9">
      <w:pPr>
        <w:pStyle w:val="121"/>
        <w:spacing w:line="360" w:lineRule="auto"/>
        <w:rPr>
          <w:rFonts w:hint="eastAsia" w:ascii="宋体" w:hAnsi="宋体" w:eastAsia="宋体" w:cs="Times New Roman"/>
          <w:bCs/>
          <w:color w:val="auto"/>
          <w:sz w:val="24"/>
          <w:highlight w:val="yellow"/>
          <w:lang w:val="en-US" w:eastAsia="zh-CN"/>
        </w:rPr>
      </w:pPr>
    </w:p>
    <w:p w14:paraId="16E28943">
      <w:pPr>
        <w:pStyle w:val="121"/>
        <w:spacing w:line="360" w:lineRule="auto"/>
        <w:rPr>
          <w:color w:val="auto"/>
          <w:highlight w:val="none"/>
        </w:rPr>
      </w:pPr>
      <w:r>
        <w:rPr>
          <w:rFonts w:hint="eastAsia"/>
          <w:color w:val="auto"/>
          <w:highlight w:val="none"/>
          <w:lang w:eastAsia="zh-CN"/>
        </w:rPr>
        <w:br w:type="page"/>
      </w:r>
      <w:bookmarkEnd w:id="393"/>
      <w:bookmarkEnd w:id="394"/>
      <w:bookmarkStart w:id="396" w:name="_Toc32527"/>
      <w:bookmarkStart w:id="397" w:name="_Toc22021"/>
      <w:r>
        <w:rPr>
          <w:rFonts w:ascii="黑体" w:hAnsi="黑体" w:eastAsia="黑体" w:cs="Times New Roman"/>
          <w:b/>
          <w:color w:val="auto"/>
          <w:kern w:val="2"/>
          <w:sz w:val="32"/>
          <w:szCs w:val="24"/>
          <w:highlight w:val="none"/>
          <w:lang w:val="en-US" w:eastAsia="zh-CN" w:bidi="ar-SA"/>
        </w:rPr>
        <w:t>（</w:t>
      </w:r>
      <w:r>
        <w:rPr>
          <w:rFonts w:hint="eastAsia" w:ascii="黑体" w:hAnsi="黑体" w:eastAsia="黑体" w:cs="Times New Roman"/>
          <w:b/>
          <w:color w:val="auto"/>
          <w:kern w:val="2"/>
          <w:sz w:val="32"/>
          <w:szCs w:val="24"/>
          <w:highlight w:val="none"/>
          <w:lang w:val="en-US" w:eastAsia="zh-CN" w:bidi="ar-SA"/>
        </w:rPr>
        <w:t>二</w:t>
      </w:r>
      <w:r>
        <w:rPr>
          <w:rFonts w:ascii="黑体" w:hAnsi="黑体" w:eastAsia="黑体" w:cs="Times New Roman"/>
          <w:b/>
          <w:color w:val="auto"/>
          <w:kern w:val="2"/>
          <w:sz w:val="32"/>
          <w:szCs w:val="24"/>
          <w:highlight w:val="none"/>
          <w:lang w:val="en-US" w:eastAsia="zh-CN" w:bidi="ar-SA"/>
        </w:rPr>
        <w:t>）技术条款响应、偏离说明表</w:t>
      </w:r>
      <w:bookmarkEnd w:id="396"/>
      <w:bookmarkEnd w:id="397"/>
    </w:p>
    <w:p w14:paraId="59846308">
      <w:pPr>
        <w:pStyle w:val="112"/>
        <w:adjustRightInd w:val="0"/>
        <w:snapToGrid w:val="0"/>
        <w:spacing w:line="500" w:lineRule="exact"/>
        <w:rPr>
          <w:rFonts w:ascii="宋体" w:hAnsi="宋体"/>
          <w:color w:val="auto"/>
          <w:sz w:val="28"/>
          <w:szCs w:val="28"/>
          <w:highlight w:val="none"/>
        </w:rPr>
      </w:pPr>
    </w:p>
    <w:p w14:paraId="4B3B7786">
      <w:pPr>
        <w:pStyle w:val="112"/>
        <w:adjustRightInd w:val="0"/>
        <w:snapToGrid w:val="0"/>
        <w:spacing w:line="500" w:lineRule="exact"/>
        <w:rPr>
          <w:rFonts w:ascii="宋体" w:hAnsi="宋体"/>
          <w:color w:val="auto"/>
          <w:sz w:val="24"/>
          <w:szCs w:val="24"/>
          <w:highlight w:val="none"/>
        </w:rPr>
      </w:pPr>
      <w:r>
        <w:rPr>
          <w:rFonts w:hint="eastAsia" w:ascii="宋体" w:hAnsi="宋体"/>
          <w:color w:val="auto"/>
          <w:sz w:val="24"/>
          <w:szCs w:val="24"/>
          <w:highlight w:val="none"/>
        </w:rPr>
        <w:t>采购项目编号：</w:t>
      </w:r>
    </w:p>
    <w:p w14:paraId="2A66B2FC">
      <w:pPr>
        <w:pStyle w:val="112"/>
        <w:adjustRightInd w:val="0"/>
        <w:snapToGrid w:val="0"/>
        <w:spacing w:line="500" w:lineRule="exact"/>
        <w:rPr>
          <w:rFonts w:ascii="宋体" w:hAnsi="宋体"/>
          <w:color w:val="auto"/>
          <w:sz w:val="24"/>
          <w:szCs w:val="24"/>
          <w:highlight w:val="none"/>
          <w:u w:val="single"/>
        </w:rPr>
      </w:pPr>
      <w:r>
        <w:rPr>
          <w:rFonts w:hint="eastAsia" w:ascii="宋体" w:hAnsi="宋体"/>
          <w:color w:val="auto"/>
          <w:sz w:val="24"/>
          <w:szCs w:val="24"/>
          <w:highlight w:val="none"/>
        </w:rPr>
        <w:t>采购项目名称：</w:t>
      </w:r>
    </w:p>
    <w:p w14:paraId="1AAACC29">
      <w:pPr>
        <w:pStyle w:val="111"/>
        <w:ind w:firstLine="480"/>
        <w:rPr>
          <w:rFonts w:ascii="宋体" w:hAnsi="宋体"/>
          <w:color w:val="auto"/>
          <w:sz w:val="24"/>
          <w:szCs w:val="24"/>
          <w:highlight w:val="none"/>
        </w:rPr>
      </w:pPr>
    </w:p>
    <w:tbl>
      <w:tblPr>
        <w:tblStyle w:val="40"/>
        <w:tblW w:w="83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2422"/>
        <w:gridCol w:w="2422"/>
        <w:gridCol w:w="1418"/>
        <w:gridCol w:w="1418"/>
      </w:tblGrid>
      <w:tr w14:paraId="7A9A1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0" w:type="dxa"/>
            <w:shd w:val="pct10" w:color="auto" w:fill="auto"/>
            <w:noWrap w:val="0"/>
            <w:vAlign w:val="center"/>
          </w:tcPr>
          <w:p w14:paraId="68B6687E">
            <w:pPr>
              <w:pStyle w:val="112"/>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2422" w:type="dxa"/>
            <w:shd w:val="pct10" w:color="auto" w:fill="auto"/>
            <w:noWrap w:val="0"/>
            <w:vAlign w:val="center"/>
          </w:tcPr>
          <w:p w14:paraId="7432A883">
            <w:pPr>
              <w:pStyle w:val="112"/>
              <w:jc w:val="center"/>
              <w:rPr>
                <w:rFonts w:ascii="宋体" w:hAnsi="宋体"/>
                <w:color w:val="auto"/>
                <w:sz w:val="24"/>
                <w:szCs w:val="24"/>
                <w:highlight w:val="none"/>
              </w:rPr>
            </w:pPr>
            <w:r>
              <w:rPr>
                <w:rFonts w:hint="eastAsia" w:ascii="宋体" w:hAnsi="宋体"/>
                <w:color w:val="auto"/>
                <w:sz w:val="24"/>
                <w:szCs w:val="24"/>
                <w:highlight w:val="none"/>
              </w:rPr>
              <w:t>磋商文件中条款内容</w:t>
            </w:r>
          </w:p>
        </w:tc>
        <w:tc>
          <w:tcPr>
            <w:tcW w:w="2422" w:type="dxa"/>
            <w:shd w:val="pct10" w:color="auto" w:fill="auto"/>
            <w:noWrap w:val="0"/>
            <w:vAlign w:val="center"/>
          </w:tcPr>
          <w:p w14:paraId="1BBF0876">
            <w:pPr>
              <w:pStyle w:val="112"/>
              <w:jc w:val="center"/>
              <w:rPr>
                <w:rFonts w:ascii="宋体" w:hAnsi="宋体"/>
                <w:color w:val="auto"/>
                <w:sz w:val="24"/>
                <w:szCs w:val="24"/>
                <w:highlight w:val="none"/>
              </w:rPr>
            </w:pPr>
            <w:r>
              <w:rPr>
                <w:rFonts w:hint="eastAsia" w:ascii="宋体" w:hAnsi="宋体"/>
                <w:color w:val="auto"/>
                <w:sz w:val="24"/>
                <w:szCs w:val="24"/>
                <w:highlight w:val="none"/>
              </w:rPr>
              <w:t>响应文件条款部分</w:t>
            </w:r>
          </w:p>
        </w:tc>
        <w:tc>
          <w:tcPr>
            <w:tcW w:w="1418" w:type="dxa"/>
            <w:shd w:val="pct10" w:color="auto" w:fill="auto"/>
            <w:noWrap w:val="0"/>
            <w:vAlign w:val="center"/>
          </w:tcPr>
          <w:p w14:paraId="2634BC69">
            <w:pPr>
              <w:pStyle w:val="112"/>
              <w:jc w:val="center"/>
              <w:rPr>
                <w:rFonts w:ascii="宋体" w:hAnsi="宋体"/>
                <w:color w:val="auto"/>
                <w:sz w:val="24"/>
                <w:szCs w:val="24"/>
                <w:highlight w:val="none"/>
              </w:rPr>
            </w:pPr>
            <w:r>
              <w:rPr>
                <w:rFonts w:hint="eastAsia" w:ascii="宋体" w:hAnsi="宋体"/>
                <w:color w:val="auto"/>
                <w:sz w:val="24"/>
                <w:szCs w:val="24"/>
                <w:highlight w:val="none"/>
              </w:rPr>
              <w:t>偏离说明</w:t>
            </w:r>
          </w:p>
        </w:tc>
        <w:tc>
          <w:tcPr>
            <w:tcW w:w="1418" w:type="dxa"/>
            <w:shd w:val="pct10" w:color="auto" w:fill="auto"/>
            <w:noWrap w:val="0"/>
            <w:vAlign w:val="top"/>
          </w:tcPr>
          <w:p w14:paraId="1B9F3995">
            <w:pPr>
              <w:pStyle w:val="112"/>
              <w:jc w:val="center"/>
              <w:rPr>
                <w:rFonts w:ascii="宋体" w:hAnsi="宋体"/>
                <w:color w:val="auto"/>
                <w:sz w:val="24"/>
                <w:szCs w:val="24"/>
                <w:highlight w:val="none"/>
              </w:rPr>
            </w:pPr>
            <w:r>
              <w:rPr>
                <w:rFonts w:hint="eastAsia" w:ascii="宋体" w:hAnsi="宋体"/>
                <w:color w:val="auto"/>
                <w:sz w:val="24"/>
                <w:szCs w:val="24"/>
                <w:highlight w:val="none"/>
              </w:rPr>
              <w:t>响应文件中对应的页码</w:t>
            </w:r>
          </w:p>
        </w:tc>
      </w:tr>
      <w:tr w14:paraId="58AB0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0" w:type="dxa"/>
            <w:noWrap w:val="0"/>
            <w:vAlign w:val="center"/>
          </w:tcPr>
          <w:p w14:paraId="28CDD7FF">
            <w:pPr>
              <w:pStyle w:val="112"/>
              <w:jc w:val="center"/>
              <w:rPr>
                <w:rFonts w:ascii="宋体" w:hAnsi="宋体" w:cs="仿宋_GB2312"/>
                <w:b/>
                <w:color w:val="auto"/>
                <w:sz w:val="24"/>
                <w:szCs w:val="24"/>
                <w:highlight w:val="none"/>
              </w:rPr>
            </w:pPr>
          </w:p>
        </w:tc>
        <w:tc>
          <w:tcPr>
            <w:tcW w:w="2422" w:type="dxa"/>
            <w:noWrap w:val="0"/>
            <w:vAlign w:val="center"/>
          </w:tcPr>
          <w:p w14:paraId="432A7DFA">
            <w:pPr>
              <w:pStyle w:val="112"/>
              <w:jc w:val="center"/>
              <w:rPr>
                <w:rFonts w:ascii="宋体" w:hAnsi="宋体" w:cs="仿宋_GB2312"/>
                <w:color w:val="auto"/>
                <w:sz w:val="24"/>
                <w:szCs w:val="24"/>
                <w:highlight w:val="none"/>
              </w:rPr>
            </w:pPr>
          </w:p>
        </w:tc>
        <w:tc>
          <w:tcPr>
            <w:tcW w:w="2422" w:type="dxa"/>
            <w:noWrap w:val="0"/>
            <w:vAlign w:val="center"/>
          </w:tcPr>
          <w:p w14:paraId="34D2B202">
            <w:pPr>
              <w:pStyle w:val="112"/>
              <w:jc w:val="center"/>
              <w:rPr>
                <w:rFonts w:ascii="宋体" w:hAnsi="宋体" w:cs="仿宋_GB2312"/>
                <w:color w:val="auto"/>
                <w:sz w:val="24"/>
                <w:szCs w:val="24"/>
                <w:highlight w:val="none"/>
              </w:rPr>
            </w:pPr>
          </w:p>
        </w:tc>
        <w:tc>
          <w:tcPr>
            <w:tcW w:w="1418" w:type="dxa"/>
            <w:noWrap w:val="0"/>
            <w:vAlign w:val="center"/>
          </w:tcPr>
          <w:p w14:paraId="1F07A318">
            <w:pPr>
              <w:pStyle w:val="112"/>
              <w:jc w:val="center"/>
              <w:rPr>
                <w:rFonts w:ascii="宋体" w:hAnsi="宋体" w:cs="仿宋_GB2312"/>
                <w:color w:val="auto"/>
                <w:sz w:val="24"/>
                <w:szCs w:val="24"/>
                <w:highlight w:val="none"/>
              </w:rPr>
            </w:pPr>
          </w:p>
        </w:tc>
        <w:tc>
          <w:tcPr>
            <w:tcW w:w="1418" w:type="dxa"/>
            <w:noWrap w:val="0"/>
            <w:vAlign w:val="center"/>
          </w:tcPr>
          <w:p w14:paraId="418B37EC">
            <w:pPr>
              <w:pStyle w:val="112"/>
              <w:jc w:val="center"/>
              <w:rPr>
                <w:rFonts w:ascii="宋体" w:hAnsi="宋体" w:cs="仿宋_GB2312"/>
                <w:color w:val="auto"/>
                <w:sz w:val="24"/>
                <w:szCs w:val="24"/>
                <w:highlight w:val="none"/>
              </w:rPr>
            </w:pPr>
          </w:p>
        </w:tc>
      </w:tr>
      <w:tr w14:paraId="046BD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0" w:type="dxa"/>
            <w:noWrap w:val="0"/>
            <w:vAlign w:val="center"/>
          </w:tcPr>
          <w:p w14:paraId="184E0410">
            <w:pPr>
              <w:pStyle w:val="112"/>
              <w:jc w:val="center"/>
              <w:rPr>
                <w:rFonts w:ascii="宋体" w:hAnsi="宋体" w:cs="仿宋_GB2312"/>
                <w:b/>
                <w:color w:val="auto"/>
                <w:sz w:val="24"/>
                <w:szCs w:val="24"/>
                <w:highlight w:val="none"/>
              </w:rPr>
            </w:pPr>
          </w:p>
        </w:tc>
        <w:tc>
          <w:tcPr>
            <w:tcW w:w="2422" w:type="dxa"/>
            <w:noWrap w:val="0"/>
            <w:vAlign w:val="center"/>
          </w:tcPr>
          <w:p w14:paraId="0D24C962">
            <w:pPr>
              <w:pStyle w:val="112"/>
              <w:jc w:val="center"/>
              <w:rPr>
                <w:rFonts w:ascii="宋体" w:hAnsi="宋体" w:cs="仿宋_GB2312"/>
                <w:color w:val="auto"/>
                <w:sz w:val="24"/>
                <w:szCs w:val="24"/>
                <w:highlight w:val="none"/>
              </w:rPr>
            </w:pPr>
          </w:p>
        </w:tc>
        <w:tc>
          <w:tcPr>
            <w:tcW w:w="2422" w:type="dxa"/>
            <w:noWrap w:val="0"/>
            <w:vAlign w:val="center"/>
          </w:tcPr>
          <w:p w14:paraId="1486D52D">
            <w:pPr>
              <w:pStyle w:val="112"/>
              <w:jc w:val="center"/>
              <w:rPr>
                <w:rFonts w:ascii="宋体" w:hAnsi="宋体" w:cs="仿宋_GB2312"/>
                <w:color w:val="auto"/>
                <w:sz w:val="24"/>
                <w:szCs w:val="24"/>
                <w:highlight w:val="none"/>
              </w:rPr>
            </w:pPr>
          </w:p>
        </w:tc>
        <w:tc>
          <w:tcPr>
            <w:tcW w:w="1418" w:type="dxa"/>
            <w:noWrap w:val="0"/>
            <w:vAlign w:val="center"/>
          </w:tcPr>
          <w:p w14:paraId="50223D24">
            <w:pPr>
              <w:pStyle w:val="112"/>
              <w:jc w:val="center"/>
              <w:rPr>
                <w:rFonts w:ascii="宋体" w:hAnsi="宋体" w:cs="仿宋_GB2312"/>
                <w:color w:val="auto"/>
                <w:sz w:val="24"/>
                <w:szCs w:val="24"/>
                <w:highlight w:val="none"/>
              </w:rPr>
            </w:pPr>
          </w:p>
        </w:tc>
        <w:tc>
          <w:tcPr>
            <w:tcW w:w="1418" w:type="dxa"/>
            <w:noWrap w:val="0"/>
            <w:vAlign w:val="center"/>
          </w:tcPr>
          <w:p w14:paraId="3D1C0A76">
            <w:pPr>
              <w:pStyle w:val="112"/>
              <w:jc w:val="center"/>
              <w:rPr>
                <w:rFonts w:ascii="宋体" w:hAnsi="宋体" w:cs="仿宋_GB2312"/>
                <w:color w:val="auto"/>
                <w:sz w:val="24"/>
                <w:szCs w:val="24"/>
                <w:highlight w:val="none"/>
              </w:rPr>
            </w:pPr>
          </w:p>
        </w:tc>
      </w:tr>
      <w:tr w14:paraId="1DF88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0" w:type="dxa"/>
            <w:noWrap w:val="0"/>
            <w:vAlign w:val="center"/>
          </w:tcPr>
          <w:p w14:paraId="3163C04F">
            <w:pPr>
              <w:pStyle w:val="112"/>
              <w:jc w:val="center"/>
              <w:rPr>
                <w:rFonts w:ascii="宋体" w:hAnsi="宋体" w:cs="仿宋_GB2312"/>
                <w:b/>
                <w:color w:val="auto"/>
                <w:sz w:val="24"/>
                <w:szCs w:val="24"/>
                <w:highlight w:val="none"/>
              </w:rPr>
            </w:pPr>
          </w:p>
        </w:tc>
        <w:tc>
          <w:tcPr>
            <w:tcW w:w="2422" w:type="dxa"/>
            <w:noWrap w:val="0"/>
            <w:vAlign w:val="center"/>
          </w:tcPr>
          <w:p w14:paraId="71EF7C06">
            <w:pPr>
              <w:pStyle w:val="112"/>
              <w:jc w:val="center"/>
              <w:rPr>
                <w:rFonts w:ascii="宋体" w:hAnsi="宋体" w:cs="仿宋_GB2312"/>
                <w:color w:val="auto"/>
                <w:sz w:val="24"/>
                <w:szCs w:val="24"/>
                <w:highlight w:val="none"/>
              </w:rPr>
            </w:pPr>
          </w:p>
        </w:tc>
        <w:tc>
          <w:tcPr>
            <w:tcW w:w="2422" w:type="dxa"/>
            <w:noWrap w:val="0"/>
            <w:vAlign w:val="center"/>
          </w:tcPr>
          <w:p w14:paraId="064D6A66">
            <w:pPr>
              <w:pStyle w:val="112"/>
              <w:jc w:val="center"/>
              <w:rPr>
                <w:rFonts w:ascii="宋体" w:hAnsi="宋体" w:cs="仿宋_GB2312"/>
                <w:color w:val="auto"/>
                <w:sz w:val="24"/>
                <w:szCs w:val="24"/>
                <w:highlight w:val="none"/>
              </w:rPr>
            </w:pPr>
          </w:p>
        </w:tc>
        <w:tc>
          <w:tcPr>
            <w:tcW w:w="1418" w:type="dxa"/>
            <w:noWrap w:val="0"/>
            <w:vAlign w:val="center"/>
          </w:tcPr>
          <w:p w14:paraId="113A888B">
            <w:pPr>
              <w:pStyle w:val="112"/>
              <w:jc w:val="center"/>
              <w:rPr>
                <w:rFonts w:ascii="宋体" w:hAnsi="宋体" w:cs="仿宋_GB2312"/>
                <w:color w:val="auto"/>
                <w:sz w:val="24"/>
                <w:szCs w:val="24"/>
                <w:highlight w:val="none"/>
              </w:rPr>
            </w:pPr>
          </w:p>
        </w:tc>
        <w:tc>
          <w:tcPr>
            <w:tcW w:w="1418" w:type="dxa"/>
            <w:noWrap w:val="0"/>
            <w:vAlign w:val="center"/>
          </w:tcPr>
          <w:p w14:paraId="15123639">
            <w:pPr>
              <w:pStyle w:val="112"/>
              <w:jc w:val="center"/>
              <w:rPr>
                <w:rFonts w:ascii="宋体" w:hAnsi="宋体" w:cs="仿宋_GB2312"/>
                <w:color w:val="auto"/>
                <w:sz w:val="24"/>
                <w:szCs w:val="24"/>
                <w:highlight w:val="none"/>
              </w:rPr>
            </w:pPr>
          </w:p>
        </w:tc>
      </w:tr>
      <w:tr w14:paraId="69F3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0" w:type="dxa"/>
            <w:noWrap w:val="0"/>
            <w:vAlign w:val="center"/>
          </w:tcPr>
          <w:p w14:paraId="052247C8">
            <w:pPr>
              <w:pStyle w:val="112"/>
              <w:jc w:val="center"/>
              <w:rPr>
                <w:rFonts w:ascii="宋体" w:hAnsi="宋体" w:cs="仿宋_GB2312"/>
                <w:b/>
                <w:color w:val="auto"/>
                <w:sz w:val="24"/>
                <w:szCs w:val="24"/>
                <w:highlight w:val="none"/>
              </w:rPr>
            </w:pPr>
          </w:p>
        </w:tc>
        <w:tc>
          <w:tcPr>
            <w:tcW w:w="2422" w:type="dxa"/>
            <w:noWrap w:val="0"/>
            <w:vAlign w:val="center"/>
          </w:tcPr>
          <w:p w14:paraId="6D8C8CE1">
            <w:pPr>
              <w:pStyle w:val="112"/>
              <w:jc w:val="center"/>
              <w:rPr>
                <w:rFonts w:ascii="宋体" w:hAnsi="宋体" w:cs="仿宋_GB2312"/>
                <w:color w:val="auto"/>
                <w:sz w:val="24"/>
                <w:szCs w:val="24"/>
                <w:highlight w:val="none"/>
              </w:rPr>
            </w:pPr>
          </w:p>
        </w:tc>
        <w:tc>
          <w:tcPr>
            <w:tcW w:w="2422" w:type="dxa"/>
            <w:noWrap w:val="0"/>
            <w:vAlign w:val="center"/>
          </w:tcPr>
          <w:p w14:paraId="45F2F3FB">
            <w:pPr>
              <w:pStyle w:val="112"/>
              <w:jc w:val="center"/>
              <w:rPr>
                <w:rFonts w:ascii="宋体" w:hAnsi="宋体" w:cs="仿宋_GB2312"/>
                <w:color w:val="auto"/>
                <w:sz w:val="24"/>
                <w:szCs w:val="24"/>
                <w:highlight w:val="none"/>
              </w:rPr>
            </w:pPr>
          </w:p>
        </w:tc>
        <w:tc>
          <w:tcPr>
            <w:tcW w:w="1418" w:type="dxa"/>
            <w:noWrap w:val="0"/>
            <w:vAlign w:val="center"/>
          </w:tcPr>
          <w:p w14:paraId="159DB8AB">
            <w:pPr>
              <w:pStyle w:val="112"/>
              <w:jc w:val="center"/>
              <w:rPr>
                <w:rFonts w:ascii="宋体" w:hAnsi="宋体" w:cs="仿宋_GB2312"/>
                <w:color w:val="auto"/>
                <w:sz w:val="24"/>
                <w:szCs w:val="24"/>
                <w:highlight w:val="none"/>
              </w:rPr>
            </w:pPr>
          </w:p>
        </w:tc>
        <w:tc>
          <w:tcPr>
            <w:tcW w:w="1418" w:type="dxa"/>
            <w:noWrap w:val="0"/>
            <w:vAlign w:val="center"/>
          </w:tcPr>
          <w:p w14:paraId="546892F5">
            <w:pPr>
              <w:pStyle w:val="112"/>
              <w:jc w:val="center"/>
              <w:rPr>
                <w:rFonts w:ascii="宋体" w:hAnsi="宋体" w:cs="仿宋_GB2312"/>
                <w:color w:val="auto"/>
                <w:sz w:val="24"/>
                <w:szCs w:val="24"/>
                <w:highlight w:val="none"/>
              </w:rPr>
            </w:pPr>
          </w:p>
        </w:tc>
      </w:tr>
      <w:tr w14:paraId="70A2F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0" w:type="dxa"/>
            <w:noWrap w:val="0"/>
            <w:vAlign w:val="center"/>
          </w:tcPr>
          <w:p w14:paraId="32C7A11A">
            <w:pPr>
              <w:pStyle w:val="112"/>
              <w:jc w:val="center"/>
              <w:rPr>
                <w:rFonts w:ascii="宋体" w:hAnsi="宋体" w:cs="仿宋_GB2312"/>
                <w:b/>
                <w:color w:val="auto"/>
                <w:sz w:val="24"/>
                <w:szCs w:val="24"/>
                <w:highlight w:val="none"/>
              </w:rPr>
            </w:pPr>
          </w:p>
        </w:tc>
        <w:tc>
          <w:tcPr>
            <w:tcW w:w="2422" w:type="dxa"/>
            <w:noWrap w:val="0"/>
            <w:vAlign w:val="center"/>
          </w:tcPr>
          <w:p w14:paraId="3EB9E10D">
            <w:pPr>
              <w:pStyle w:val="112"/>
              <w:jc w:val="center"/>
              <w:rPr>
                <w:rFonts w:ascii="宋体" w:hAnsi="宋体" w:cs="仿宋_GB2312"/>
                <w:color w:val="auto"/>
                <w:sz w:val="24"/>
                <w:szCs w:val="24"/>
                <w:highlight w:val="none"/>
              </w:rPr>
            </w:pPr>
          </w:p>
        </w:tc>
        <w:tc>
          <w:tcPr>
            <w:tcW w:w="2422" w:type="dxa"/>
            <w:noWrap w:val="0"/>
            <w:vAlign w:val="center"/>
          </w:tcPr>
          <w:p w14:paraId="450CD89D">
            <w:pPr>
              <w:pStyle w:val="112"/>
              <w:jc w:val="center"/>
              <w:rPr>
                <w:rFonts w:ascii="宋体" w:hAnsi="宋体" w:cs="仿宋_GB2312"/>
                <w:color w:val="auto"/>
                <w:sz w:val="24"/>
                <w:szCs w:val="24"/>
                <w:highlight w:val="none"/>
              </w:rPr>
            </w:pPr>
          </w:p>
        </w:tc>
        <w:tc>
          <w:tcPr>
            <w:tcW w:w="1418" w:type="dxa"/>
            <w:noWrap w:val="0"/>
            <w:vAlign w:val="center"/>
          </w:tcPr>
          <w:p w14:paraId="6C9037D3">
            <w:pPr>
              <w:pStyle w:val="112"/>
              <w:jc w:val="center"/>
              <w:rPr>
                <w:rFonts w:ascii="宋体" w:hAnsi="宋体" w:cs="仿宋_GB2312"/>
                <w:color w:val="auto"/>
                <w:sz w:val="24"/>
                <w:szCs w:val="24"/>
                <w:highlight w:val="none"/>
              </w:rPr>
            </w:pPr>
          </w:p>
        </w:tc>
        <w:tc>
          <w:tcPr>
            <w:tcW w:w="1418" w:type="dxa"/>
            <w:noWrap w:val="0"/>
            <w:vAlign w:val="center"/>
          </w:tcPr>
          <w:p w14:paraId="1301ECA0">
            <w:pPr>
              <w:pStyle w:val="112"/>
              <w:jc w:val="center"/>
              <w:rPr>
                <w:rFonts w:ascii="宋体" w:hAnsi="宋体" w:cs="仿宋_GB2312"/>
                <w:color w:val="auto"/>
                <w:sz w:val="24"/>
                <w:szCs w:val="24"/>
                <w:highlight w:val="none"/>
              </w:rPr>
            </w:pPr>
          </w:p>
        </w:tc>
      </w:tr>
      <w:tr w14:paraId="4C51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0" w:type="dxa"/>
            <w:noWrap w:val="0"/>
            <w:vAlign w:val="center"/>
          </w:tcPr>
          <w:p w14:paraId="22A6C7FC">
            <w:pPr>
              <w:pStyle w:val="112"/>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w:t>
            </w:r>
          </w:p>
        </w:tc>
        <w:tc>
          <w:tcPr>
            <w:tcW w:w="2422" w:type="dxa"/>
            <w:noWrap w:val="0"/>
            <w:vAlign w:val="center"/>
          </w:tcPr>
          <w:p w14:paraId="570905BF">
            <w:pPr>
              <w:pStyle w:val="112"/>
              <w:jc w:val="center"/>
              <w:rPr>
                <w:rFonts w:ascii="宋体" w:hAnsi="宋体" w:cs="仿宋_GB2312"/>
                <w:color w:val="auto"/>
                <w:sz w:val="24"/>
                <w:szCs w:val="24"/>
                <w:highlight w:val="none"/>
              </w:rPr>
            </w:pPr>
          </w:p>
        </w:tc>
        <w:tc>
          <w:tcPr>
            <w:tcW w:w="2422" w:type="dxa"/>
            <w:noWrap w:val="0"/>
            <w:vAlign w:val="center"/>
          </w:tcPr>
          <w:p w14:paraId="17FCD590">
            <w:pPr>
              <w:pStyle w:val="112"/>
              <w:jc w:val="center"/>
              <w:rPr>
                <w:rFonts w:ascii="宋体" w:hAnsi="宋体" w:cs="仿宋_GB2312"/>
                <w:color w:val="auto"/>
                <w:sz w:val="24"/>
                <w:szCs w:val="24"/>
                <w:highlight w:val="none"/>
              </w:rPr>
            </w:pPr>
          </w:p>
        </w:tc>
        <w:tc>
          <w:tcPr>
            <w:tcW w:w="1418" w:type="dxa"/>
            <w:noWrap w:val="0"/>
            <w:vAlign w:val="center"/>
          </w:tcPr>
          <w:p w14:paraId="0BC7DC08">
            <w:pPr>
              <w:pStyle w:val="112"/>
              <w:jc w:val="center"/>
              <w:rPr>
                <w:rFonts w:ascii="宋体" w:hAnsi="宋体" w:cs="仿宋_GB2312"/>
                <w:color w:val="auto"/>
                <w:sz w:val="24"/>
                <w:szCs w:val="24"/>
                <w:highlight w:val="none"/>
              </w:rPr>
            </w:pPr>
          </w:p>
        </w:tc>
        <w:tc>
          <w:tcPr>
            <w:tcW w:w="1418" w:type="dxa"/>
            <w:noWrap w:val="0"/>
            <w:vAlign w:val="center"/>
          </w:tcPr>
          <w:p w14:paraId="6EFB5527">
            <w:pPr>
              <w:pStyle w:val="112"/>
              <w:jc w:val="center"/>
              <w:rPr>
                <w:rFonts w:ascii="宋体" w:hAnsi="宋体" w:cs="仿宋_GB2312"/>
                <w:color w:val="auto"/>
                <w:sz w:val="24"/>
                <w:szCs w:val="24"/>
                <w:highlight w:val="none"/>
              </w:rPr>
            </w:pPr>
          </w:p>
        </w:tc>
      </w:tr>
    </w:tbl>
    <w:p w14:paraId="22F42BE9">
      <w:pPr>
        <w:pStyle w:val="207"/>
        <w:widowControl/>
        <w:spacing w:line="360" w:lineRule="auto"/>
        <w:ind w:left="2"/>
        <w:rPr>
          <w:rFonts w:ascii="宋体" w:hAnsi="宋体" w:cs="宋体"/>
          <w:color w:val="auto"/>
          <w:sz w:val="24"/>
          <w:highlight w:val="none"/>
        </w:rPr>
      </w:pPr>
      <w:r>
        <w:rPr>
          <w:rFonts w:hint="eastAsia" w:ascii="宋体" w:hAnsi="宋体" w:cs="宋体"/>
          <w:color w:val="auto"/>
          <w:sz w:val="24"/>
          <w:highlight w:val="none"/>
        </w:rPr>
        <w:t>说明：如投标人提交的技术规范与招标文件“第三部分采购需求”的要求存在偏离，需逐项填写《技术规范偏离表》。正偏离、负偏离均应填写，如完全响应一致，可填写“无”。</w:t>
      </w:r>
    </w:p>
    <w:bookmarkEnd w:id="361"/>
    <w:p w14:paraId="0344EBCA">
      <w:pPr>
        <w:rPr>
          <w:rFonts w:hint="eastAsia"/>
          <w:color w:val="auto"/>
          <w:sz w:val="20"/>
          <w:highlight w:val="none"/>
        </w:rPr>
      </w:pPr>
    </w:p>
    <w:sectPr>
      <w:pgSz w:w="11906" w:h="16838"/>
      <w:pgMar w:top="1440" w:right="1797" w:bottom="1440" w:left="179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ZapfHumnst BT">
    <w:altName w:val="Arial"/>
    <w:panose1 w:val="00000000000000000000"/>
    <w:charset w:val="00"/>
    <w:family w:val="swiss"/>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华文楷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Corbel">
    <w:panose1 w:val="020B0503020204020204"/>
    <w:charset w:val="00"/>
    <w:family w:val="swiss"/>
    <w:pitch w:val="default"/>
    <w:sig w:usb0="A00002EF" w:usb1="4000A44B" w:usb2="00000000" w:usb3="00000000" w:csb0="2000019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10A86">
    <w:pPr>
      <w:pStyle w:val="2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D690E9">
                          <w:pPr>
                            <w:pStyle w:val="29"/>
                          </w:pPr>
                          <w:r>
                            <w:rPr>
                              <w:rFonts w:hint="eastAsia"/>
                            </w:rPr>
                            <w:fldChar w:fldCharType="begin"/>
                          </w:r>
                          <w:r>
                            <w:rPr>
                              <w:rFonts w:hint="eastAsia"/>
                            </w:rPr>
                            <w:instrText xml:space="preserve"> PAGE  \* MERGEFORMAT </w:instrText>
                          </w:r>
                          <w:r>
                            <w:rPr>
                              <w:rFonts w:hint="eastAsia"/>
                            </w:rPr>
                            <w:fldChar w:fldCharType="separate"/>
                          </w:r>
                          <w:r>
                            <w:t>84</w:t>
                          </w:r>
                          <w:r>
                            <w:rPr>
                              <w:rFonts w:hint="eastAsia"/>
                            </w:rPr>
                            <w:fldChar w:fldCharType="end"/>
                          </w:r>
                        </w:p>
                      </w:txbxContent>
                    </wps:txbx>
                    <wps:bodyPr vert="horz" wrap="none" lIns="0" tIns="0" rIns="0" bIns="0" anchor="t" anchorCtr="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7WIFN0BAAC+AwAADgAAAGRycy9lMm9Eb2MueG1srVNNrtMwEN4jcQfL&#10;e5q0Qq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B+1iBTdAQAAvgMAAA4AAAAAAAAA&#10;AQAgAAAAHgEAAGRycy9lMm9Eb2MueG1sUEsFBgAAAAAGAAYAWQEAAG0FAAAAAA==&#10;">
              <v:fill on="f" focussize="0,0"/>
              <v:stroke on="f"/>
              <v:imagedata o:title=""/>
              <o:lock v:ext="edit" aspectratio="f"/>
              <v:textbox inset="0mm,0mm,0mm,0mm" style="mso-fit-shape-to-text:t;">
                <w:txbxContent>
                  <w:p w14:paraId="26D690E9">
                    <w:pPr>
                      <w:pStyle w:val="29"/>
                    </w:pPr>
                    <w:r>
                      <w:rPr>
                        <w:rFonts w:hint="eastAsia"/>
                      </w:rPr>
                      <w:fldChar w:fldCharType="begin"/>
                    </w:r>
                    <w:r>
                      <w:rPr>
                        <w:rFonts w:hint="eastAsia"/>
                      </w:rPr>
                      <w:instrText xml:space="preserve"> PAGE  \* MERGEFORMAT </w:instrText>
                    </w:r>
                    <w:r>
                      <w:rPr>
                        <w:rFonts w:hint="eastAsia"/>
                      </w:rPr>
                      <w:fldChar w:fldCharType="separate"/>
                    </w:r>
                    <w:r>
                      <w:t>84</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32699">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54ABFC2">
                          <w:pPr>
                            <w:pStyle w:val="29"/>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DuVCfm5gEAAMcD&#10;AAAOAAAAAAAAAAEAIAAAAB8BAABkcnMvZTJvRG9jLnhtbFBLBQYAAAAABgAGAFkBAAB3BQAAAAA=&#10;">
              <v:fill on="f" focussize="0,0"/>
              <v:stroke on="f" weight="0.5pt"/>
              <v:imagedata o:title=""/>
              <o:lock v:ext="edit" aspectratio="f"/>
              <v:textbox inset="0mm,0mm,0mm,0mm" style="mso-fit-shape-to-text:t;">
                <w:txbxContent>
                  <w:p w14:paraId="654ABFC2">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862F5">
    <w:pP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3A01DC"/>
    <w:multiLevelType w:val="singleLevel"/>
    <w:tmpl w:val="973A01DC"/>
    <w:lvl w:ilvl="0" w:tentative="0">
      <w:start w:val="2"/>
      <w:numFmt w:val="decimal"/>
      <w:suff w:val="nothing"/>
      <w:lvlText w:val="%1．"/>
      <w:lvlJc w:val="left"/>
    </w:lvl>
  </w:abstractNum>
  <w:abstractNum w:abstractNumId="1">
    <w:nsid w:val="05CFDA23"/>
    <w:multiLevelType w:val="singleLevel"/>
    <w:tmpl w:val="05CFDA23"/>
    <w:lvl w:ilvl="0" w:tentative="0">
      <w:start w:val="5"/>
      <w:numFmt w:val="chineseCounting"/>
      <w:suff w:val="nothing"/>
      <w:lvlText w:val="（%1）"/>
      <w:lvlJc w:val="left"/>
      <w:rPr>
        <w:rFonts w:hint="eastAsia"/>
      </w:rPr>
    </w:lvl>
  </w:abstractNum>
  <w:abstractNum w:abstractNumId="2">
    <w:nsid w:val="402B0AF6"/>
    <w:multiLevelType w:val="singleLevel"/>
    <w:tmpl w:val="402B0AF6"/>
    <w:lvl w:ilvl="0" w:tentative="0">
      <w:start w:val="6"/>
      <w:numFmt w:val="chineseCounting"/>
      <w:suff w:val="nothing"/>
      <w:lvlText w:val="（%1）"/>
      <w:lvlJc w:val="left"/>
      <w:rPr>
        <w:rFonts w:hint="eastAsia"/>
      </w:rPr>
    </w:lvl>
  </w:abstractNum>
  <w:abstractNum w:abstractNumId="3">
    <w:nsid w:val="505D6A5D"/>
    <w:multiLevelType w:val="singleLevel"/>
    <w:tmpl w:val="505D6A5D"/>
    <w:lvl w:ilvl="0" w:tentative="0">
      <w:start w:val="5"/>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lMTkwM2EyYTFmZmE0ZGRjMGFmZmFjNTM0ODFjYzcifQ=="/>
    <w:docVar w:name="KSO_WPS_MARK_KEY" w:val="478899f8-fb33-4265-b398-ba1734a3ae81"/>
  </w:docVars>
  <w:rsids>
    <w:rsidRoot w:val="0052125D"/>
    <w:rsid w:val="00013608"/>
    <w:rsid w:val="0001378A"/>
    <w:rsid w:val="000216C0"/>
    <w:rsid w:val="000265F1"/>
    <w:rsid w:val="00034DAE"/>
    <w:rsid w:val="000352E7"/>
    <w:rsid w:val="000435FA"/>
    <w:rsid w:val="00070219"/>
    <w:rsid w:val="00072B84"/>
    <w:rsid w:val="00094426"/>
    <w:rsid w:val="000B659D"/>
    <w:rsid w:val="000F63CA"/>
    <w:rsid w:val="00107CEA"/>
    <w:rsid w:val="00144BFA"/>
    <w:rsid w:val="00164352"/>
    <w:rsid w:val="001A28B3"/>
    <w:rsid w:val="001B1533"/>
    <w:rsid w:val="001E37FE"/>
    <w:rsid w:val="00207EFB"/>
    <w:rsid w:val="00254C0D"/>
    <w:rsid w:val="002677D7"/>
    <w:rsid w:val="00274B97"/>
    <w:rsid w:val="0027717E"/>
    <w:rsid w:val="0029443A"/>
    <w:rsid w:val="002A23DB"/>
    <w:rsid w:val="002C74C3"/>
    <w:rsid w:val="003020A4"/>
    <w:rsid w:val="003A2841"/>
    <w:rsid w:val="003A4731"/>
    <w:rsid w:val="003E29EA"/>
    <w:rsid w:val="003E2F02"/>
    <w:rsid w:val="003F32FC"/>
    <w:rsid w:val="004110A9"/>
    <w:rsid w:val="004420F0"/>
    <w:rsid w:val="0045626E"/>
    <w:rsid w:val="00480A28"/>
    <w:rsid w:val="004B49FF"/>
    <w:rsid w:val="004B675A"/>
    <w:rsid w:val="004C18A4"/>
    <w:rsid w:val="004C4105"/>
    <w:rsid w:val="004D1802"/>
    <w:rsid w:val="004F7E1C"/>
    <w:rsid w:val="005032A0"/>
    <w:rsid w:val="00512585"/>
    <w:rsid w:val="005571C5"/>
    <w:rsid w:val="00585C64"/>
    <w:rsid w:val="005B266D"/>
    <w:rsid w:val="005C0804"/>
    <w:rsid w:val="005D1137"/>
    <w:rsid w:val="005D1D4C"/>
    <w:rsid w:val="005E32D1"/>
    <w:rsid w:val="006034FE"/>
    <w:rsid w:val="00652B3A"/>
    <w:rsid w:val="00665890"/>
    <w:rsid w:val="00671715"/>
    <w:rsid w:val="006957D7"/>
    <w:rsid w:val="006A5F62"/>
    <w:rsid w:val="006C4BD8"/>
    <w:rsid w:val="006D252A"/>
    <w:rsid w:val="006F259E"/>
    <w:rsid w:val="006F5035"/>
    <w:rsid w:val="006F5227"/>
    <w:rsid w:val="007320DD"/>
    <w:rsid w:val="007A24AD"/>
    <w:rsid w:val="007C27F6"/>
    <w:rsid w:val="007D6A3A"/>
    <w:rsid w:val="007D6C73"/>
    <w:rsid w:val="007E180D"/>
    <w:rsid w:val="007E44F3"/>
    <w:rsid w:val="007F3C44"/>
    <w:rsid w:val="007F6B7E"/>
    <w:rsid w:val="007F719E"/>
    <w:rsid w:val="0084520E"/>
    <w:rsid w:val="008628D2"/>
    <w:rsid w:val="008745FF"/>
    <w:rsid w:val="008856B7"/>
    <w:rsid w:val="008914C3"/>
    <w:rsid w:val="008914FF"/>
    <w:rsid w:val="008B4A21"/>
    <w:rsid w:val="008D09DD"/>
    <w:rsid w:val="008D7442"/>
    <w:rsid w:val="008F3014"/>
    <w:rsid w:val="008F3A65"/>
    <w:rsid w:val="009037BD"/>
    <w:rsid w:val="00905CD3"/>
    <w:rsid w:val="00914F59"/>
    <w:rsid w:val="00921AA3"/>
    <w:rsid w:val="0093049F"/>
    <w:rsid w:val="00933039"/>
    <w:rsid w:val="009346F1"/>
    <w:rsid w:val="00940D5F"/>
    <w:rsid w:val="009503FA"/>
    <w:rsid w:val="009520ED"/>
    <w:rsid w:val="00957115"/>
    <w:rsid w:val="00961088"/>
    <w:rsid w:val="009D4CFC"/>
    <w:rsid w:val="00A4725E"/>
    <w:rsid w:val="00A52D18"/>
    <w:rsid w:val="00A631A0"/>
    <w:rsid w:val="00A9241F"/>
    <w:rsid w:val="00A94D9C"/>
    <w:rsid w:val="00AA6A7B"/>
    <w:rsid w:val="00B24665"/>
    <w:rsid w:val="00B32A19"/>
    <w:rsid w:val="00B34B61"/>
    <w:rsid w:val="00B47A14"/>
    <w:rsid w:val="00B6515E"/>
    <w:rsid w:val="00B71E8D"/>
    <w:rsid w:val="00B7560D"/>
    <w:rsid w:val="00B840F6"/>
    <w:rsid w:val="00B84FC2"/>
    <w:rsid w:val="00BB781D"/>
    <w:rsid w:val="00BD3AA3"/>
    <w:rsid w:val="00BE00E6"/>
    <w:rsid w:val="00BF009B"/>
    <w:rsid w:val="00BF759B"/>
    <w:rsid w:val="00C06CE9"/>
    <w:rsid w:val="00C0719E"/>
    <w:rsid w:val="00C078B0"/>
    <w:rsid w:val="00C368AD"/>
    <w:rsid w:val="00C579FF"/>
    <w:rsid w:val="00C65FA9"/>
    <w:rsid w:val="00C81571"/>
    <w:rsid w:val="00CC3E7C"/>
    <w:rsid w:val="00D03A2D"/>
    <w:rsid w:val="00D15363"/>
    <w:rsid w:val="00D20FF3"/>
    <w:rsid w:val="00D45E8B"/>
    <w:rsid w:val="00D76BAB"/>
    <w:rsid w:val="00D772F1"/>
    <w:rsid w:val="00D97949"/>
    <w:rsid w:val="00DA3292"/>
    <w:rsid w:val="00DD0ED4"/>
    <w:rsid w:val="00DD4365"/>
    <w:rsid w:val="00DE75F6"/>
    <w:rsid w:val="00E104D6"/>
    <w:rsid w:val="00E162C7"/>
    <w:rsid w:val="00E17002"/>
    <w:rsid w:val="00E54D24"/>
    <w:rsid w:val="00E65297"/>
    <w:rsid w:val="00E72030"/>
    <w:rsid w:val="00E93BC2"/>
    <w:rsid w:val="00ED3BD8"/>
    <w:rsid w:val="00F02425"/>
    <w:rsid w:val="00F353B3"/>
    <w:rsid w:val="00F7065B"/>
    <w:rsid w:val="00F742A8"/>
    <w:rsid w:val="00F848F4"/>
    <w:rsid w:val="00F86AA4"/>
    <w:rsid w:val="00FC28FD"/>
    <w:rsid w:val="00FD1DFC"/>
    <w:rsid w:val="01066A48"/>
    <w:rsid w:val="01115B19"/>
    <w:rsid w:val="01145048"/>
    <w:rsid w:val="011A6146"/>
    <w:rsid w:val="01263EEF"/>
    <w:rsid w:val="013B0DE8"/>
    <w:rsid w:val="013E580B"/>
    <w:rsid w:val="014324AF"/>
    <w:rsid w:val="01537400"/>
    <w:rsid w:val="01583748"/>
    <w:rsid w:val="015E4AD6"/>
    <w:rsid w:val="01840B82"/>
    <w:rsid w:val="019D55FE"/>
    <w:rsid w:val="01A93FA3"/>
    <w:rsid w:val="01A975D6"/>
    <w:rsid w:val="01AE2B46"/>
    <w:rsid w:val="01C901A1"/>
    <w:rsid w:val="01CE61B8"/>
    <w:rsid w:val="01E237ED"/>
    <w:rsid w:val="01EE5E5A"/>
    <w:rsid w:val="01F62F61"/>
    <w:rsid w:val="01FA18E1"/>
    <w:rsid w:val="021C29C7"/>
    <w:rsid w:val="02292FA6"/>
    <w:rsid w:val="02341BD6"/>
    <w:rsid w:val="023C4E17"/>
    <w:rsid w:val="02420007"/>
    <w:rsid w:val="024535A0"/>
    <w:rsid w:val="02485F47"/>
    <w:rsid w:val="02497534"/>
    <w:rsid w:val="025505C9"/>
    <w:rsid w:val="025C5ABA"/>
    <w:rsid w:val="026E2AF7"/>
    <w:rsid w:val="0270296F"/>
    <w:rsid w:val="027A5940"/>
    <w:rsid w:val="029307AF"/>
    <w:rsid w:val="02994018"/>
    <w:rsid w:val="029B70E4"/>
    <w:rsid w:val="02B56978"/>
    <w:rsid w:val="02BD75DA"/>
    <w:rsid w:val="02BF04D5"/>
    <w:rsid w:val="02C92423"/>
    <w:rsid w:val="02C941D1"/>
    <w:rsid w:val="02DB3557"/>
    <w:rsid w:val="02ED2A3E"/>
    <w:rsid w:val="031940D3"/>
    <w:rsid w:val="03214A8C"/>
    <w:rsid w:val="03321D76"/>
    <w:rsid w:val="03920A67"/>
    <w:rsid w:val="03B44E81"/>
    <w:rsid w:val="03D41080"/>
    <w:rsid w:val="03E312C3"/>
    <w:rsid w:val="03EC66E4"/>
    <w:rsid w:val="03F27F13"/>
    <w:rsid w:val="040A6B44"/>
    <w:rsid w:val="040D64B5"/>
    <w:rsid w:val="04394C72"/>
    <w:rsid w:val="043B4C5B"/>
    <w:rsid w:val="04430C17"/>
    <w:rsid w:val="04484D65"/>
    <w:rsid w:val="04561A95"/>
    <w:rsid w:val="046161A6"/>
    <w:rsid w:val="04651DA4"/>
    <w:rsid w:val="046A7B57"/>
    <w:rsid w:val="047C599F"/>
    <w:rsid w:val="04877EA0"/>
    <w:rsid w:val="04936845"/>
    <w:rsid w:val="04945C93"/>
    <w:rsid w:val="04997C63"/>
    <w:rsid w:val="049C7DEF"/>
    <w:rsid w:val="04AC5B58"/>
    <w:rsid w:val="04D62941"/>
    <w:rsid w:val="04D70E27"/>
    <w:rsid w:val="04D74983"/>
    <w:rsid w:val="04DF5F2E"/>
    <w:rsid w:val="04FC6AE0"/>
    <w:rsid w:val="05114B8F"/>
    <w:rsid w:val="05137DC1"/>
    <w:rsid w:val="0549362E"/>
    <w:rsid w:val="054D1CB7"/>
    <w:rsid w:val="05654685"/>
    <w:rsid w:val="057077E2"/>
    <w:rsid w:val="05812B41"/>
    <w:rsid w:val="05A14F91"/>
    <w:rsid w:val="05AF3B52"/>
    <w:rsid w:val="05B42F17"/>
    <w:rsid w:val="05B4479C"/>
    <w:rsid w:val="05B67822"/>
    <w:rsid w:val="05CB6969"/>
    <w:rsid w:val="05CD5D86"/>
    <w:rsid w:val="05E637A7"/>
    <w:rsid w:val="060914B4"/>
    <w:rsid w:val="064047AA"/>
    <w:rsid w:val="06510766"/>
    <w:rsid w:val="065562FD"/>
    <w:rsid w:val="067A7368"/>
    <w:rsid w:val="0687687D"/>
    <w:rsid w:val="06F51A39"/>
    <w:rsid w:val="06FA0AA6"/>
    <w:rsid w:val="06FA2BAB"/>
    <w:rsid w:val="06FB11A5"/>
    <w:rsid w:val="06FF04B2"/>
    <w:rsid w:val="073771E2"/>
    <w:rsid w:val="074309F6"/>
    <w:rsid w:val="07484826"/>
    <w:rsid w:val="074B20D5"/>
    <w:rsid w:val="07560785"/>
    <w:rsid w:val="0760588E"/>
    <w:rsid w:val="078F5B82"/>
    <w:rsid w:val="07A51DBF"/>
    <w:rsid w:val="07A90AE0"/>
    <w:rsid w:val="07B1458D"/>
    <w:rsid w:val="07CA763F"/>
    <w:rsid w:val="07E63732"/>
    <w:rsid w:val="07EA2386"/>
    <w:rsid w:val="07F77FDF"/>
    <w:rsid w:val="0833080F"/>
    <w:rsid w:val="08534B62"/>
    <w:rsid w:val="085C0BFC"/>
    <w:rsid w:val="086256F3"/>
    <w:rsid w:val="086329D2"/>
    <w:rsid w:val="086769CF"/>
    <w:rsid w:val="0874698D"/>
    <w:rsid w:val="08760957"/>
    <w:rsid w:val="08A14E1A"/>
    <w:rsid w:val="08A764EF"/>
    <w:rsid w:val="08AB29C6"/>
    <w:rsid w:val="08B27490"/>
    <w:rsid w:val="08C02A1C"/>
    <w:rsid w:val="08FE694A"/>
    <w:rsid w:val="090146C5"/>
    <w:rsid w:val="094433E2"/>
    <w:rsid w:val="09531E74"/>
    <w:rsid w:val="09684744"/>
    <w:rsid w:val="097332C3"/>
    <w:rsid w:val="097A7FD3"/>
    <w:rsid w:val="09A82D92"/>
    <w:rsid w:val="09AA4D5C"/>
    <w:rsid w:val="09AD13ED"/>
    <w:rsid w:val="09C5462C"/>
    <w:rsid w:val="09CA0277"/>
    <w:rsid w:val="09CE4B9B"/>
    <w:rsid w:val="09EA6F07"/>
    <w:rsid w:val="0A032E99"/>
    <w:rsid w:val="0A0F7872"/>
    <w:rsid w:val="0A1C3282"/>
    <w:rsid w:val="0A2574B3"/>
    <w:rsid w:val="0A374116"/>
    <w:rsid w:val="0A43792E"/>
    <w:rsid w:val="0A4E393A"/>
    <w:rsid w:val="0A60366D"/>
    <w:rsid w:val="0A6071C9"/>
    <w:rsid w:val="0A617331"/>
    <w:rsid w:val="0A73026D"/>
    <w:rsid w:val="0A73514E"/>
    <w:rsid w:val="0A735B07"/>
    <w:rsid w:val="0AB75314"/>
    <w:rsid w:val="0AD876A7"/>
    <w:rsid w:val="0AEA4CA6"/>
    <w:rsid w:val="0AEB73DB"/>
    <w:rsid w:val="0B140286"/>
    <w:rsid w:val="0B260413"/>
    <w:rsid w:val="0B2A60D5"/>
    <w:rsid w:val="0B2E376B"/>
    <w:rsid w:val="0B3F7726"/>
    <w:rsid w:val="0B420FC5"/>
    <w:rsid w:val="0B440899"/>
    <w:rsid w:val="0B5247DF"/>
    <w:rsid w:val="0B52745A"/>
    <w:rsid w:val="0B753A60"/>
    <w:rsid w:val="0B8D2240"/>
    <w:rsid w:val="0B903ADE"/>
    <w:rsid w:val="0B993E57"/>
    <w:rsid w:val="0B9B279E"/>
    <w:rsid w:val="0BB23563"/>
    <w:rsid w:val="0BB24E58"/>
    <w:rsid w:val="0BD55679"/>
    <w:rsid w:val="0BE21DBE"/>
    <w:rsid w:val="0BF63115"/>
    <w:rsid w:val="0BF944B3"/>
    <w:rsid w:val="0BFC15A1"/>
    <w:rsid w:val="0BFF6A30"/>
    <w:rsid w:val="0C145A7D"/>
    <w:rsid w:val="0C153815"/>
    <w:rsid w:val="0C3E79DE"/>
    <w:rsid w:val="0C474AE5"/>
    <w:rsid w:val="0C487D9D"/>
    <w:rsid w:val="0C4F2788"/>
    <w:rsid w:val="0C4F3863"/>
    <w:rsid w:val="0C537841"/>
    <w:rsid w:val="0C5C7E64"/>
    <w:rsid w:val="0C627BB8"/>
    <w:rsid w:val="0C9F6E57"/>
    <w:rsid w:val="0CAA5073"/>
    <w:rsid w:val="0CDA1D0F"/>
    <w:rsid w:val="0CEF6BD7"/>
    <w:rsid w:val="0CF74D52"/>
    <w:rsid w:val="0D0C5A36"/>
    <w:rsid w:val="0D4F0F24"/>
    <w:rsid w:val="0D6B4803"/>
    <w:rsid w:val="0D7230BA"/>
    <w:rsid w:val="0D870C14"/>
    <w:rsid w:val="0D893055"/>
    <w:rsid w:val="0D933D59"/>
    <w:rsid w:val="0D961154"/>
    <w:rsid w:val="0D984ECC"/>
    <w:rsid w:val="0DB55A7E"/>
    <w:rsid w:val="0DC108C7"/>
    <w:rsid w:val="0DC363ED"/>
    <w:rsid w:val="0DE93979"/>
    <w:rsid w:val="0E016F15"/>
    <w:rsid w:val="0E045213"/>
    <w:rsid w:val="0E06678C"/>
    <w:rsid w:val="0E1B67B1"/>
    <w:rsid w:val="0E294EE7"/>
    <w:rsid w:val="0E3352E9"/>
    <w:rsid w:val="0E3865AC"/>
    <w:rsid w:val="0E3F1AD3"/>
    <w:rsid w:val="0E4017EB"/>
    <w:rsid w:val="0E447478"/>
    <w:rsid w:val="0E545297"/>
    <w:rsid w:val="0E547045"/>
    <w:rsid w:val="0E6065B4"/>
    <w:rsid w:val="0E7476E7"/>
    <w:rsid w:val="0E747832"/>
    <w:rsid w:val="0E7D2A40"/>
    <w:rsid w:val="0E9953A0"/>
    <w:rsid w:val="0EB9159E"/>
    <w:rsid w:val="0EBE0962"/>
    <w:rsid w:val="0EC817E1"/>
    <w:rsid w:val="0ECC7523"/>
    <w:rsid w:val="0ECF003F"/>
    <w:rsid w:val="0ED32660"/>
    <w:rsid w:val="0EE45B0F"/>
    <w:rsid w:val="0EF24E1E"/>
    <w:rsid w:val="0EFB1BB6"/>
    <w:rsid w:val="0F184516"/>
    <w:rsid w:val="0F294770"/>
    <w:rsid w:val="0F344316"/>
    <w:rsid w:val="0F3E781F"/>
    <w:rsid w:val="0F4D1BD5"/>
    <w:rsid w:val="0F5A68DD"/>
    <w:rsid w:val="0F615B83"/>
    <w:rsid w:val="0F625791"/>
    <w:rsid w:val="0F8A491C"/>
    <w:rsid w:val="0F8E1DA7"/>
    <w:rsid w:val="0F8F2CA6"/>
    <w:rsid w:val="0FB5254A"/>
    <w:rsid w:val="0FC868B2"/>
    <w:rsid w:val="0FDF6DE2"/>
    <w:rsid w:val="0FE12B5A"/>
    <w:rsid w:val="0FE32E84"/>
    <w:rsid w:val="0FE60171"/>
    <w:rsid w:val="0FEE39C1"/>
    <w:rsid w:val="0FF46D31"/>
    <w:rsid w:val="0FF54858"/>
    <w:rsid w:val="0FFF7484"/>
    <w:rsid w:val="10240028"/>
    <w:rsid w:val="102F6B2F"/>
    <w:rsid w:val="10372E26"/>
    <w:rsid w:val="103D7E98"/>
    <w:rsid w:val="10401F77"/>
    <w:rsid w:val="10562014"/>
    <w:rsid w:val="10612B58"/>
    <w:rsid w:val="10694951"/>
    <w:rsid w:val="107240FA"/>
    <w:rsid w:val="107B24FE"/>
    <w:rsid w:val="108005C5"/>
    <w:rsid w:val="10967DE9"/>
    <w:rsid w:val="109832EF"/>
    <w:rsid w:val="10B169D0"/>
    <w:rsid w:val="10B251A0"/>
    <w:rsid w:val="10B65D95"/>
    <w:rsid w:val="10BF0CA9"/>
    <w:rsid w:val="10C304B2"/>
    <w:rsid w:val="10CA344F"/>
    <w:rsid w:val="10E07A23"/>
    <w:rsid w:val="10EB73FA"/>
    <w:rsid w:val="10EF3C0D"/>
    <w:rsid w:val="10FE773C"/>
    <w:rsid w:val="110E3E23"/>
    <w:rsid w:val="111C4BC9"/>
    <w:rsid w:val="111F4544"/>
    <w:rsid w:val="11366ED6"/>
    <w:rsid w:val="11497203"/>
    <w:rsid w:val="11627CCB"/>
    <w:rsid w:val="116C242C"/>
    <w:rsid w:val="11756527"/>
    <w:rsid w:val="11A24BAA"/>
    <w:rsid w:val="11A7392F"/>
    <w:rsid w:val="11C20769"/>
    <w:rsid w:val="11CB3AC2"/>
    <w:rsid w:val="11CC7C14"/>
    <w:rsid w:val="11F03528"/>
    <w:rsid w:val="123258EF"/>
    <w:rsid w:val="12331667"/>
    <w:rsid w:val="12486A9B"/>
    <w:rsid w:val="125606A2"/>
    <w:rsid w:val="12631F4C"/>
    <w:rsid w:val="12650510"/>
    <w:rsid w:val="126B1F8B"/>
    <w:rsid w:val="126F08F1"/>
    <w:rsid w:val="12771554"/>
    <w:rsid w:val="128014A4"/>
    <w:rsid w:val="128771E6"/>
    <w:rsid w:val="128B5D17"/>
    <w:rsid w:val="128D6FC9"/>
    <w:rsid w:val="12B37399"/>
    <w:rsid w:val="12E70326"/>
    <w:rsid w:val="12EF558E"/>
    <w:rsid w:val="12F069F8"/>
    <w:rsid w:val="13070B2A"/>
    <w:rsid w:val="1319579B"/>
    <w:rsid w:val="1340403C"/>
    <w:rsid w:val="134721D3"/>
    <w:rsid w:val="134B41A3"/>
    <w:rsid w:val="135447D6"/>
    <w:rsid w:val="13557BCB"/>
    <w:rsid w:val="13603F12"/>
    <w:rsid w:val="137D703E"/>
    <w:rsid w:val="138A3C05"/>
    <w:rsid w:val="13913F79"/>
    <w:rsid w:val="13A20507"/>
    <w:rsid w:val="13A26AA4"/>
    <w:rsid w:val="13A75D1A"/>
    <w:rsid w:val="13C247C6"/>
    <w:rsid w:val="13CB2858"/>
    <w:rsid w:val="13CD7391"/>
    <w:rsid w:val="13DA7FEC"/>
    <w:rsid w:val="13E00746"/>
    <w:rsid w:val="13E80F82"/>
    <w:rsid w:val="13FD7D12"/>
    <w:rsid w:val="14045069"/>
    <w:rsid w:val="141A6CBF"/>
    <w:rsid w:val="14221993"/>
    <w:rsid w:val="14641FAC"/>
    <w:rsid w:val="1477515F"/>
    <w:rsid w:val="148443FC"/>
    <w:rsid w:val="14991C55"/>
    <w:rsid w:val="14B46C12"/>
    <w:rsid w:val="14B922F8"/>
    <w:rsid w:val="14BC76F2"/>
    <w:rsid w:val="14C50C9C"/>
    <w:rsid w:val="14C53F1A"/>
    <w:rsid w:val="14CE4900"/>
    <w:rsid w:val="14D16621"/>
    <w:rsid w:val="14F51ED8"/>
    <w:rsid w:val="14FF0009"/>
    <w:rsid w:val="15137188"/>
    <w:rsid w:val="1516403F"/>
    <w:rsid w:val="152903D9"/>
    <w:rsid w:val="15323E58"/>
    <w:rsid w:val="15604521"/>
    <w:rsid w:val="156404B5"/>
    <w:rsid w:val="15695ACC"/>
    <w:rsid w:val="158C4154"/>
    <w:rsid w:val="15981F0D"/>
    <w:rsid w:val="15BD5E17"/>
    <w:rsid w:val="15C209A3"/>
    <w:rsid w:val="15C545A9"/>
    <w:rsid w:val="15F15AC1"/>
    <w:rsid w:val="160526FB"/>
    <w:rsid w:val="160E046E"/>
    <w:rsid w:val="162157D8"/>
    <w:rsid w:val="1623663A"/>
    <w:rsid w:val="162419F3"/>
    <w:rsid w:val="1624588D"/>
    <w:rsid w:val="16353C00"/>
    <w:rsid w:val="163623C0"/>
    <w:rsid w:val="163836F0"/>
    <w:rsid w:val="165878EE"/>
    <w:rsid w:val="16665322"/>
    <w:rsid w:val="166B0E41"/>
    <w:rsid w:val="169977F9"/>
    <w:rsid w:val="16C44EAB"/>
    <w:rsid w:val="16C94348"/>
    <w:rsid w:val="16D45B5D"/>
    <w:rsid w:val="16DC4A2F"/>
    <w:rsid w:val="16E15B36"/>
    <w:rsid w:val="16E46DCA"/>
    <w:rsid w:val="16EB5B0F"/>
    <w:rsid w:val="170B2BB3"/>
    <w:rsid w:val="171A4BA4"/>
    <w:rsid w:val="174C1201"/>
    <w:rsid w:val="1751027F"/>
    <w:rsid w:val="175B488E"/>
    <w:rsid w:val="17712A16"/>
    <w:rsid w:val="177607DB"/>
    <w:rsid w:val="17BB1EE3"/>
    <w:rsid w:val="17CE585E"/>
    <w:rsid w:val="17E05DED"/>
    <w:rsid w:val="17E06C0C"/>
    <w:rsid w:val="17EE22B8"/>
    <w:rsid w:val="180970F2"/>
    <w:rsid w:val="180A2E6A"/>
    <w:rsid w:val="180C6BE2"/>
    <w:rsid w:val="181725C4"/>
    <w:rsid w:val="18291542"/>
    <w:rsid w:val="184156A2"/>
    <w:rsid w:val="184C6FDF"/>
    <w:rsid w:val="186546D8"/>
    <w:rsid w:val="187A1D9E"/>
    <w:rsid w:val="1894312E"/>
    <w:rsid w:val="189A116C"/>
    <w:rsid w:val="18EC7040"/>
    <w:rsid w:val="18F03E0E"/>
    <w:rsid w:val="19061CCB"/>
    <w:rsid w:val="1912494D"/>
    <w:rsid w:val="1934019F"/>
    <w:rsid w:val="194F4FD8"/>
    <w:rsid w:val="19622F5E"/>
    <w:rsid w:val="19670574"/>
    <w:rsid w:val="196C3C60"/>
    <w:rsid w:val="196D545F"/>
    <w:rsid w:val="197C5051"/>
    <w:rsid w:val="198748AB"/>
    <w:rsid w:val="198A015E"/>
    <w:rsid w:val="198C7FDB"/>
    <w:rsid w:val="199D3F96"/>
    <w:rsid w:val="19A075E2"/>
    <w:rsid w:val="19AD4FE2"/>
    <w:rsid w:val="19B17A41"/>
    <w:rsid w:val="19C25F0F"/>
    <w:rsid w:val="19CF1C75"/>
    <w:rsid w:val="19D22BAC"/>
    <w:rsid w:val="19D674A8"/>
    <w:rsid w:val="19DB6EF7"/>
    <w:rsid w:val="19E17D8C"/>
    <w:rsid w:val="19E9697E"/>
    <w:rsid w:val="19EE6EA0"/>
    <w:rsid w:val="19FB0CBC"/>
    <w:rsid w:val="1A163D48"/>
    <w:rsid w:val="1A2E1092"/>
    <w:rsid w:val="1A626F8D"/>
    <w:rsid w:val="1A7C53EE"/>
    <w:rsid w:val="1A815666"/>
    <w:rsid w:val="1A8B0292"/>
    <w:rsid w:val="1A8E1B30"/>
    <w:rsid w:val="1AC217DA"/>
    <w:rsid w:val="1ACE4623"/>
    <w:rsid w:val="1AD87250"/>
    <w:rsid w:val="1ADD3D95"/>
    <w:rsid w:val="1AF35961"/>
    <w:rsid w:val="1AFC3C95"/>
    <w:rsid w:val="1B0342CC"/>
    <w:rsid w:val="1B1C1DD7"/>
    <w:rsid w:val="1B283D33"/>
    <w:rsid w:val="1B2D1349"/>
    <w:rsid w:val="1B2F5A0C"/>
    <w:rsid w:val="1B33571C"/>
    <w:rsid w:val="1B386843"/>
    <w:rsid w:val="1B4A58BD"/>
    <w:rsid w:val="1B4B3CE5"/>
    <w:rsid w:val="1B697E21"/>
    <w:rsid w:val="1B767DCD"/>
    <w:rsid w:val="1B7C5E2D"/>
    <w:rsid w:val="1B7D6C73"/>
    <w:rsid w:val="1B817FB8"/>
    <w:rsid w:val="1B8D4FCE"/>
    <w:rsid w:val="1B9E3FF5"/>
    <w:rsid w:val="1BCD1728"/>
    <w:rsid w:val="1BE834C2"/>
    <w:rsid w:val="1BEC6B0F"/>
    <w:rsid w:val="1BF105C9"/>
    <w:rsid w:val="1C0E117B"/>
    <w:rsid w:val="1C1A3990"/>
    <w:rsid w:val="1C1C46B8"/>
    <w:rsid w:val="1C203214"/>
    <w:rsid w:val="1C257B84"/>
    <w:rsid w:val="1C365FDC"/>
    <w:rsid w:val="1C3828C1"/>
    <w:rsid w:val="1C490AE9"/>
    <w:rsid w:val="1C4F48CF"/>
    <w:rsid w:val="1C623275"/>
    <w:rsid w:val="1C671B7B"/>
    <w:rsid w:val="1C7A6810"/>
    <w:rsid w:val="1C8651B5"/>
    <w:rsid w:val="1C8925AF"/>
    <w:rsid w:val="1CB66A65"/>
    <w:rsid w:val="1CBA6C0D"/>
    <w:rsid w:val="1CBF5978"/>
    <w:rsid w:val="1CC2281A"/>
    <w:rsid w:val="1CD04682"/>
    <w:rsid w:val="1CDB5968"/>
    <w:rsid w:val="1CE67A02"/>
    <w:rsid w:val="1CEB14BC"/>
    <w:rsid w:val="1CEE4B08"/>
    <w:rsid w:val="1CF1782B"/>
    <w:rsid w:val="1CF87F6E"/>
    <w:rsid w:val="1CFD2F9D"/>
    <w:rsid w:val="1D174D30"/>
    <w:rsid w:val="1D177FF3"/>
    <w:rsid w:val="1D1A4A26"/>
    <w:rsid w:val="1D1F3284"/>
    <w:rsid w:val="1D434E54"/>
    <w:rsid w:val="1D547061"/>
    <w:rsid w:val="1D74500E"/>
    <w:rsid w:val="1D8A2A83"/>
    <w:rsid w:val="1D975A3C"/>
    <w:rsid w:val="1D9B09CA"/>
    <w:rsid w:val="1D9E208B"/>
    <w:rsid w:val="1DAF601C"/>
    <w:rsid w:val="1DB1137A"/>
    <w:rsid w:val="1DB359AE"/>
    <w:rsid w:val="1DBA49EB"/>
    <w:rsid w:val="1DC47F11"/>
    <w:rsid w:val="1DCB5B9F"/>
    <w:rsid w:val="1DDE7065"/>
    <w:rsid w:val="1DEA6C4D"/>
    <w:rsid w:val="1DF77A15"/>
    <w:rsid w:val="1E124827"/>
    <w:rsid w:val="1E157702"/>
    <w:rsid w:val="1E162569"/>
    <w:rsid w:val="1E214A6A"/>
    <w:rsid w:val="1E227924"/>
    <w:rsid w:val="1E3649B9"/>
    <w:rsid w:val="1E8155A2"/>
    <w:rsid w:val="1EA5569B"/>
    <w:rsid w:val="1EB10403"/>
    <w:rsid w:val="1EBA7398"/>
    <w:rsid w:val="1EBD0A22"/>
    <w:rsid w:val="1ECA21F4"/>
    <w:rsid w:val="1EE35D71"/>
    <w:rsid w:val="1EF06916"/>
    <w:rsid w:val="1F06438B"/>
    <w:rsid w:val="1F272A60"/>
    <w:rsid w:val="1F3535E1"/>
    <w:rsid w:val="1F4226E9"/>
    <w:rsid w:val="1F470500"/>
    <w:rsid w:val="1F5D538F"/>
    <w:rsid w:val="1F9E45C4"/>
    <w:rsid w:val="1FAA1E71"/>
    <w:rsid w:val="1FB738D7"/>
    <w:rsid w:val="1FB87F00"/>
    <w:rsid w:val="1FC6415B"/>
    <w:rsid w:val="1FD04999"/>
    <w:rsid w:val="20046F5B"/>
    <w:rsid w:val="20181E1B"/>
    <w:rsid w:val="2027280B"/>
    <w:rsid w:val="202B2B4C"/>
    <w:rsid w:val="202F16C0"/>
    <w:rsid w:val="20310689"/>
    <w:rsid w:val="2031368A"/>
    <w:rsid w:val="203647FC"/>
    <w:rsid w:val="203C5B8B"/>
    <w:rsid w:val="20511636"/>
    <w:rsid w:val="2081286D"/>
    <w:rsid w:val="20895274"/>
    <w:rsid w:val="208F6602"/>
    <w:rsid w:val="20AD01FB"/>
    <w:rsid w:val="20B3409F"/>
    <w:rsid w:val="20C0056A"/>
    <w:rsid w:val="20EF2A2A"/>
    <w:rsid w:val="20F63F8C"/>
    <w:rsid w:val="20F756A2"/>
    <w:rsid w:val="21026F8C"/>
    <w:rsid w:val="2110329F"/>
    <w:rsid w:val="21177423"/>
    <w:rsid w:val="211D78D0"/>
    <w:rsid w:val="212154AC"/>
    <w:rsid w:val="212925B3"/>
    <w:rsid w:val="21380A48"/>
    <w:rsid w:val="217D46AD"/>
    <w:rsid w:val="21856B94"/>
    <w:rsid w:val="219537A4"/>
    <w:rsid w:val="219676E9"/>
    <w:rsid w:val="21AE4F0B"/>
    <w:rsid w:val="21E07116"/>
    <w:rsid w:val="21E11A55"/>
    <w:rsid w:val="220B3A67"/>
    <w:rsid w:val="220D3C83"/>
    <w:rsid w:val="221B014E"/>
    <w:rsid w:val="22327245"/>
    <w:rsid w:val="223D3036"/>
    <w:rsid w:val="22430FEB"/>
    <w:rsid w:val="225C5263"/>
    <w:rsid w:val="22631AF5"/>
    <w:rsid w:val="22815441"/>
    <w:rsid w:val="22A00653"/>
    <w:rsid w:val="22AC799B"/>
    <w:rsid w:val="22B934C3"/>
    <w:rsid w:val="22C0640C"/>
    <w:rsid w:val="22D6556C"/>
    <w:rsid w:val="22D74BCC"/>
    <w:rsid w:val="22F11CE0"/>
    <w:rsid w:val="22FB3A98"/>
    <w:rsid w:val="2305178D"/>
    <w:rsid w:val="23281E56"/>
    <w:rsid w:val="233314C7"/>
    <w:rsid w:val="233F1C1A"/>
    <w:rsid w:val="234E5518"/>
    <w:rsid w:val="235E00D9"/>
    <w:rsid w:val="23675014"/>
    <w:rsid w:val="237C1A40"/>
    <w:rsid w:val="238507E2"/>
    <w:rsid w:val="239A1546"/>
    <w:rsid w:val="23A751C9"/>
    <w:rsid w:val="23C245F9"/>
    <w:rsid w:val="23E1043C"/>
    <w:rsid w:val="23EF1892"/>
    <w:rsid w:val="2403533D"/>
    <w:rsid w:val="240539FD"/>
    <w:rsid w:val="242D3EA3"/>
    <w:rsid w:val="242E76A8"/>
    <w:rsid w:val="246C5648"/>
    <w:rsid w:val="249575BE"/>
    <w:rsid w:val="24CB38A5"/>
    <w:rsid w:val="24E46F1D"/>
    <w:rsid w:val="24F829C8"/>
    <w:rsid w:val="24FD4C8D"/>
    <w:rsid w:val="24FE0232"/>
    <w:rsid w:val="25021151"/>
    <w:rsid w:val="25273966"/>
    <w:rsid w:val="25290DD3"/>
    <w:rsid w:val="253E505A"/>
    <w:rsid w:val="2540611D"/>
    <w:rsid w:val="25492268"/>
    <w:rsid w:val="255A3F4E"/>
    <w:rsid w:val="256040C9"/>
    <w:rsid w:val="256242E5"/>
    <w:rsid w:val="25787587"/>
    <w:rsid w:val="25827978"/>
    <w:rsid w:val="25A22934"/>
    <w:rsid w:val="25BB4AB6"/>
    <w:rsid w:val="25C40AFC"/>
    <w:rsid w:val="25D6438C"/>
    <w:rsid w:val="260809E9"/>
    <w:rsid w:val="260D6EF3"/>
    <w:rsid w:val="26104BC7"/>
    <w:rsid w:val="263075B9"/>
    <w:rsid w:val="26341D49"/>
    <w:rsid w:val="265172B6"/>
    <w:rsid w:val="26602466"/>
    <w:rsid w:val="26C35C15"/>
    <w:rsid w:val="26F73072"/>
    <w:rsid w:val="26FC4A2E"/>
    <w:rsid w:val="27075337"/>
    <w:rsid w:val="27272A31"/>
    <w:rsid w:val="27326694"/>
    <w:rsid w:val="273D2914"/>
    <w:rsid w:val="27541C38"/>
    <w:rsid w:val="279F39E6"/>
    <w:rsid w:val="27AE3415"/>
    <w:rsid w:val="27B760C2"/>
    <w:rsid w:val="27D0410C"/>
    <w:rsid w:val="27D50D9F"/>
    <w:rsid w:val="27D859F7"/>
    <w:rsid w:val="27DB65AC"/>
    <w:rsid w:val="27F03E2A"/>
    <w:rsid w:val="280E605F"/>
    <w:rsid w:val="281A0EA7"/>
    <w:rsid w:val="28302479"/>
    <w:rsid w:val="2835183D"/>
    <w:rsid w:val="284D302B"/>
    <w:rsid w:val="286F11F3"/>
    <w:rsid w:val="287919FD"/>
    <w:rsid w:val="288105AE"/>
    <w:rsid w:val="28A864B3"/>
    <w:rsid w:val="28B1032A"/>
    <w:rsid w:val="28D728F5"/>
    <w:rsid w:val="28E374EB"/>
    <w:rsid w:val="28ED3EC6"/>
    <w:rsid w:val="28F9254B"/>
    <w:rsid w:val="28FB025D"/>
    <w:rsid w:val="28FD67FF"/>
    <w:rsid w:val="290F208E"/>
    <w:rsid w:val="2937545D"/>
    <w:rsid w:val="2939509C"/>
    <w:rsid w:val="293D54EE"/>
    <w:rsid w:val="29402DC1"/>
    <w:rsid w:val="294B77A1"/>
    <w:rsid w:val="296323DA"/>
    <w:rsid w:val="297736EF"/>
    <w:rsid w:val="299246F6"/>
    <w:rsid w:val="29934A6D"/>
    <w:rsid w:val="29A0362E"/>
    <w:rsid w:val="29A62027"/>
    <w:rsid w:val="29AC12D6"/>
    <w:rsid w:val="29B33362"/>
    <w:rsid w:val="29B449E4"/>
    <w:rsid w:val="29B669AE"/>
    <w:rsid w:val="29BB2216"/>
    <w:rsid w:val="29CD1BA1"/>
    <w:rsid w:val="29EE439A"/>
    <w:rsid w:val="29FC0BF2"/>
    <w:rsid w:val="2A187669"/>
    <w:rsid w:val="2A2C6C70"/>
    <w:rsid w:val="2A3750D6"/>
    <w:rsid w:val="2A390259"/>
    <w:rsid w:val="2A3B1FD1"/>
    <w:rsid w:val="2A3E70CF"/>
    <w:rsid w:val="2A473AAA"/>
    <w:rsid w:val="2A4F329C"/>
    <w:rsid w:val="2A554419"/>
    <w:rsid w:val="2A5A6D09"/>
    <w:rsid w:val="2A7E571E"/>
    <w:rsid w:val="2A8D5961"/>
    <w:rsid w:val="2AE17A5A"/>
    <w:rsid w:val="2AFE060C"/>
    <w:rsid w:val="2B1159A3"/>
    <w:rsid w:val="2B1503E8"/>
    <w:rsid w:val="2B173349"/>
    <w:rsid w:val="2B177920"/>
    <w:rsid w:val="2B1E0CAF"/>
    <w:rsid w:val="2B2C33CC"/>
    <w:rsid w:val="2B3F2908"/>
    <w:rsid w:val="2B425AAE"/>
    <w:rsid w:val="2B5C6E81"/>
    <w:rsid w:val="2B5D17D7"/>
    <w:rsid w:val="2B724A18"/>
    <w:rsid w:val="2B727773"/>
    <w:rsid w:val="2B747632"/>
    <w:rsid w:val="2B7939BB"/>
    <w:rsid w:val="2B806294"/>
    <w:rsid w:val="2B9E594C"/>
    <w:rsid w:val="2BE912BD"/>
    <w:rsid w:val="2BE94E19"/>
    <w:rsid w:val="2BEF44BB"/>
    <w:rsid w:val="2C070568"/>
    <w:rsid w:val="2C0C6D59"/>
    <w:rsid w:val="2C364260"/>
    <w:rsid w:val="2C3818FC"/>
    <w:rsid w:val="2C4E1120"/>
    <w:rsid w:val="2C6D55CB"/>
    <w:rsid w:val="2C7212B2"/>
    <w:rsid w:val="2C8C4903"/>
    <w:rsid w:val="2C8E776E"/>
    <w:rsid w:val="2C9254B0"/>
    <w:rsid w:val="2CAA482A"/>
    <w:rsid w:val="2CCB451E"/>
    <w:rsid w:val="2CCE4515"/>
    <w:rsid w:val="2CE579A3"/>
    <w:rsid w:val="2CEC4E2A"/>
    <w:rsid w:val="2CFB12A7"/>
    <w:rsid w:val="2D054DC5"/>
    <w:rsid w:val="2D072A48"/>
    <w:rsid w:val="2D0C5951"/>
    <w:rsid w:val="2D125F12"/>
    <w:rsid w:val="2D1B209F"/>
    <w:rsid w:val="2D4556E1"/>
    <w:rsid w:val="2D582EE4"/>
    <w:rsid w:val="2D5D74BA"/>
    <w:rsid w:val="2D652BC5"/>
    <w:rsid w:val="2D8A262B"/>
    <w:rsid w:val="2D9A0615"/>
    <w:rsid w:val="2D9B0395"/>
    <w:rsid w:val="2DA232EE"/>
    <w:rsid w:val="2DA27975"/>
    <w:rsid w:val="2DA74F8B"/>
    <w:rsid w:val="2DB43204"/>
    <w:rsid w:val="2DB476A8"/>
    <w:rsid w:val="2DE03F4E"/>
    <w:rsid w:val="2DE23E8F"/>
    <w:rsid w:val="2DEF5046"/>
    <w:rsid w:val="2E086619"/>
    <w:rsid w:val="2E344345"/>
    <w:rsid w:val="2E3600BD"/>
    <w:rsid w:val="2E505623"/>
    <w:rsid w:val="2E59192D"/>
    <w:rsid w:val="2E620EB2"/>
    <w:rsid w:val="2E7D7648"/>
    <w:rsid w:val="2E8250B1"/>
    <w:rsid w:val="2E98638E"/>
    <w:rsid w:val="2EA6739B"/>
    <w:rsid w:val="2EAE5EA6"/>
    <w:rsid w:val="2EBF4557"/>
    <w:rsid w:val="2EC76C03"/>
    <w:rsid w:val="2ECB6A58"/>
    <w:rsid w:val="2ED4433F"/>
    <w:rsid w:val="2ED462B5"/>
    <w:rsid w:val="2EE23DA1"/>
    <w:rsid w:val="2EE81F89"/>
    <w:rsid w:val="2F1531D0"/>
    <w:rsid w:val="2F215AED"/>
    <w:rsid w:val="2F267ADC"/>
    <w:rsid w:val="2F2B7599"/>
    <w:rsid w:val="2F2F348A"/>
    <w:rsid w:val="2F4F1437"/>
    <w:rsid w:val="2F532144"/>
    <w:rsid w:val="2F6B12EF"/>
    <w:rsid w:val="2F6F301F"/>
    <w:rsid w:val="2F9037FD"/>
    <w:rsid w:val="2F911EBE"/>
    <w:rsid w:val="2F9651C4"/>
    <w:rsid w:val="2FB41B36"/>
    <w:rsid w:val="2FBE480E"/>
    <w:rsid w:val="2FC736C3"/>
    <w:rsid w:val="2FE000D5"/>
    <w:rsid w:val="2FED29FE"/>
    <w:rsid w:val="300466C5"/>
    <w:rsid w:val="30090737"/>
    <w:rsid w:val="30196F9D"/>
    <w:rsid w:val="302733D1"/>
    <w:rsid w:val="303D1BD7"/>
    <w:rsid w:val="30560824"/>
    <w:rsid w:val="3062519A"/>
    <w:rsid w:val="30694209"/>
    <w:rsid w:val="30740394"/>
    <w:rsid w:val="308B331C"/>
    <w:rsid w:val="309537C1"/>
    <w:rsid w:val="309605D0"/>
    <w:rsid w:val="30A10046"/>
    <w:rsid w:val="30B654E5"/>
    <w:rsid w:val="30B73176"/>
    <w:rsid w:val="30CB71E3"/>
    <w:rsid w:val="30D14E34"/>
    <w:rsid w:val="30DD6F16"/>
    <w:rsid w:val="30F5600E"/>
    <w:rsid w:val="31003A4B"/>
    <w:rsid w:val="310D500A"/>
    <w:rsid w:val="312B1A2F"/>
    <w:rsid w:val="314772DF"/>
    <w:rsid w:val="314F3970"/>
    <w:rsid w:val="315A0567"/>
    <w:rsid w:val="315C608D"/>
    <w:rsid w:val="315D14DC"/>
    <w:rsid w:val="31794E91"/>
    <w:rsid w:val="317F5FAC"/>
    <w:rsid w:val="318F6462"/>
    <w:rsid w:val="319B4E07"/>
    <w:rsid w:val="31A17DF8"/>
    <w:rsid w:val="31A55C86"/>
    <w:rsid w:val="31AC0DC2"/>
    <w:rsid w:val="31C559E0"/>
    <w:rsid w:val="31E85B72"/>
    <w:rsid w:val="31F134B7"/>
    <w:rsid w:val="31F6028F"/>
    <w:rsid w:val="31F97D80"/>
    <w:rsid w:val="32016DBC"/>
    <w:rsid w:val="321626E0"/>
    <w:rsid w:val="321B30D9"/>
    <w:rsid w:val="321E75CB"/>
    <w:rsid w:val="32522FA4"/>
    <w:rsid w:val="32655415"/>
    <w:rsid w:val="326E42CA"/>
    <w:rsid w:val="32717916"/>
    <w:rsid w:val="327877A7"/>
    <w:rsid w:val="327D3DA9"/>
    <w:rsid w:val="32990C1B"/>
    <w:rsid w:val="32AA0C58"/>
    <w:rsid w:val="32B37F2E"/>
    <w:rsid w:val="32C51A10"/>
    <w:rsid w:val="32C769C4"/>
    <w:rsid w:val="32CE6B16"/>
    <w:rsid w:val="32D06D32"/>
    <w:rsid w:val="32E7407C"/>
    <w:rsid w:val="33024A12"/>
    <w:rsid w:val="33064502"/>
    <w:rsid w:val="330720BC"/>
    <w:rsid w:val="330B1B18"/>
    <w:rsid w:val="33154745"/>
    <w:rsid w:val="3319032B"/>
    <w:rsid w:val="332474C9"/>
    <w:rsid w:val="333170A5"/>
    <w:rsid w:val="333F5C66"/>
    <w:rsid w:val="335B6022"/>
    <w:rsid w:val="336E59F3"/>
    <w:rsid w:val="336F6BC3"/>
    <w:rsid w:val="33770F5C"/>
    <w:rsid w:val="338654EC"/>
    <w:rsid w:val="33953AD8"/>
    <w:rsid w:val="33A27F49"/>
    <w:rsid w:val="33A87367"/>
    <w:rsid w:val="33AD2BD0"/>
    <w:rsid w:val="33B2468A"/>
    <w:rsid w:val="33B95F6A"/>
    <w:rsid w:val="33B96902"/>
    <w:rsid w:val="33C0744A"/>
    <w:rsid w:val="33CC58E1"/>
    <w:rsid w:val="33DC1707"/>
    <w:rsid w:val="33DF4656"/>
    <w:rsid w:val="33FE7673"/>
    <w:rsid w:val="34140EA1"/>
    <w:rsid w:val="34141D25"/>
    <w:rsid w:val="341D04AC"/>
    <w:rsid w:val="342F5CDB"/>
    <w:rsid w:val="34311A53"/>
    <w:rsid w:val="345366FA"/>
    <w:rsid w:val="345C0152"/>
    <w:rsid w:val="345C5DCE"/>
    <w:rsid w:val="3463222F"/>
    <w:rsid w:val="347831DE"/>
    <w:rsid w:val="34802092"/>
    <w:rsid w:val="3483024B"/>
    <w:rsid w:val="348F47A2"/>
    <w:rsid w:val="34907394"/>
    <w:rsid w:val="34963664"/>
    <w:rsid w:val="349D76C3"/>
    <w:rsid w:val="34A02734"/>
    <w:rsid w:val="34AA5361"/>
    <w:rsid w:val="34C31091"/>
    <w:rsid w:val="34D44803"/>
    <w:rsid w:val="34D80120"/>
    <w:rsid w:val="34E45C25"/>
    <w:rsid w:val="34E46AC5"/>
    <w:rsid w:val="352275ED"/>
    <w:rsid w:val="35421B84"/>
    <w:rsid w:val="355A1DE4"/>
    <w:rsid w:val="35662569"/>
    <w:rsid w:val="358A322F"/>
    <w:rsid w:val="35912AD9"/>
    <w:rsid w:val="359A53D6"/>
    <w:rsid w:val="359F2181"/>
    <w:rsid w:val="35A63D7A"/>
    <w:rsid w:val="35A70CD4"/>
    <w:rsid w:val="35A973C7"/>
    <w:rsid w:val="35AB313F"/>
    <w:rsid w:val="35C44201"/>
    <w:rsid w:val="35D13059"/>
    <w:rsid w:val="35D855D0"/>
    <w:rsid w:val="35E93C67"/>
    <w:rsid w:val="35EC254E"/>
    <w:rsid w:val="360D5BA8"/>
    <w:rsid w:val="36114458"/>
    <w:rsid w:val="362178A5"/>
    <w:rsid w:val="362A49AB"/>
    <w:rsid w:val="36511F38"/>
    <w:rsid w:val="365377F4"/>
    <w:rsid w:val="367479D5"/>
    <w:rsid w:val="36764ECF"/>
    <w:rsid w:val="36BD137C"/>
    <w:rsid w:val="36D05553"/>
    <w:rsid w:val="36D64F10"/>
    <w:rsid w:val="36F154C9"/>
    <w:rsid w:val="372A5EAF"/>
    <w:rsid w:val="37371E30"/>
    <w:rsid w:val="373F6235"/>
    <w:rsid w:val="375D4575"/>
    <w:rsid w:val="37773C20"/>
    <w:rsid w:val="379245B6"/>
    <w:rsid w:val="379F5D0E"/>
    <w:rsid w:val="37B7226F"/>
    <w:rsid w:val="37C53146"/>
    <w:rsid w:val="37DE12D5"/>
    <w:rsid w:val="37ED7A3F"/>
    <w:rsid w:val="3824387A"/>
    <w:rsid w:val="382C1C19"/>
    <w:rsid w:val="383D031C"/>
    <w:rsid w:val="38677C10"/>
    <w:rsid w:val="386C4960"/>
    <w:rsid w:val="388365F5"/>
    <w:rsid w:val="38A9475B"/>
    <w:rsid w:val="38C117B9"/>
    <w:rsid w:val="38C74734"/>
    <w:rsid w:val="38CA275A"/>
    <w:rsid w:val="38D07EFD"/>
    <w:rsid w:val="38D66725"/>
    <w:rsid w:val="38E6584A"/>
    <w:rsid w:val="38ED3A6E"/>
    <w:rsid w:val="38FE0016"/>
    <w:rsid w:val="3962445C"/>
    <w:rsid w:val="39783C80"/>
    <w:rsid w:val="398E6EFB"/>
    <w:rsid w:val="39924D42"/>
    <w:rsid w:val="39B60304"/>
    <w:rsid w:val="39B85D22"/>
    <w:rsid w:val="39CC7D4A"/>
    <w:rsid w:val="39D54066"/>
    <w:rsid w:val="3A1867C4"/>
    <w:rsid w:val="3A187D60"/>
    <w:rsid w:val="3A2D3D16"/>
    <w:rsid w:val="3A3A0F35"/>
    <w:rsid w:val="3A667F7C"/>
    <w:rsid w:val="3A8B353F"/>
    <w:rsid w:val="3A922B1F"/>
    <w:rsid w:val="3A9C5E6B"/>
    <w:rsid w:val="3AA67188"/>
    <w:rsid w:val="3AB05274"/>
    <w:rsid w:val="3AE33CE2"/>
    <w:rsid w:val="3AE570F3"/>
    <w:rsid w:val="3AEE6A5F"/>
    <w:rsid w:val="3AF567A2"/>
    <w:rsid w:val="3AFE1F63"/>
    <w:rsid w:val="3B004E0B"/>
    <w:rsid w:val="3B0F23C2"/>
    <w:rsid w:val="3B1D12CE"/>
    <w:rsid w:val="3B4C0F20"/>
    <w:rsid w:val="3B4C2CCE"/>
    <w:rsid w:val="3B547DD5"/>
    <w:rsid w:val="3B7906D0"/>
    <w:rsid w:val="3B7A5A8D"/>
    <w:rsid w:val="3B9A3B24"/>
    <w:rsid w:val="3BA94414"/>
    <w:rsid w:val="3BBD3BCC"/>
    <w:rsid w:val="3BC136BC"/>
    <w:rsid w:val="3BCC1522"/>
    <w:rsid w:val="3BEB24E7"/>
    <w:rsid w:val="3BFF2436"/>
    <w:rsid w:val="3C0B4B30"/>
    <w:rsid w:val="3C171E75"/>
    <w:rsid w:val="3C1A7270"/>
    <w:rsid w:val="3C1C54D3"/>
    <w:rsid w:val="3C3107DE"/>
    <w:rsid w:val="3C434BCC"/>
    <w:rsid w:val="3C4C293E"/>
    <w:rsid w:val="3C4E0962"/>
    <w:rsid w:val="3C654109"/>
    <w:rsid w:val="3C65673D"/>
    <w:rsid w:val="3C6A3D54"/>
    <w:rsid w:val="3C6F136A"/>
    <w:rsid w:val="3C700C3E"/>
    <w:rsid w:val="3C87545E"/>
    <w:rsid w:val="3C937A0A"/>
    <w:rsid w:val="3C9836A3"/>
    <w:rsid w:val="3C9D5E55"/>
    <w:rsid w:val="3CA004E8"/>
    <w:rsid w:val="3CAA4D6C"/>
    <w:rsid w:val="3CC26F7D"/>
    <w:rsid w:val="3CCD78C1"/>
    <w:rsid w:val="3CCE5F32"/>
    <w:rsid w:val="3CDB2F58"/>
    <w:rsid w:val="3CDE3DFA"/>
    <w:rsid w:val="3CE23AA6"/>
    <w:rsid w:val="3CE968BC"/>
    <w:rsid w:val="3CF655E7"/>
    <w:rsid w:val="3CFC24D2"/>
    <w:rsid w:val="3D127F47"/>
    <w:rsid w:val="3D257C7B"/>
    <w:rsid w:val="3D2C1009"/>
    <w:rsid w:val="3D306D7E"/>
    <w:rsid w:val="3D3305EA"/>
    <w:rsid w:val="3D361E88"/>
    <w:rsid w:val="3D514278"/>
    <w:rsid w:val="3D540560"/>
    <w:rsid w:val="3D5D68CA"/>
    <w:rsid w:val="3D5E4BC6"/>
    <w:rsid w:val="3D611FFF"/>
    <w:rsid w:val="3D766728"/>
    <w:rsid w:val="3D7D3613"/>
    <w:rsid w:val="3D98669F"/>
    <w:rsid w:val="3DDC2A2F"/>
    <w:rsid w:val="3DE8157F"/>
    <w:rsid w:val="3DF202BE"/>
    <w:rsid w:val="3DFA2EB5"/>
    <w:rsid w:val="3E10332F"/>
    <w:rsid w:val="3E1C2E2C"/>
    <w:rsid w:val="3E2609B2"/>
    <w:rsid w:val="3E2A5099"/>
    <w:rsid w:val="3E2E2B5F"/>
    <w:rsid w:val="3E300685"/>
    <w:rsid w:val="3E42660A"/>
    <w:rsid w:val="3E4B6D89"/>
    <w:rsid w:val="3E5325C6"/>
    <w:rsid w:val="3E652BD4"/>
    <w:rsid w:val="3E7A3FF6"/>
    <w:rsid w:val="3E7E7642"/>
    <w:rsid w:val="3E857D03"/>
    <w:rsid w:val="3E88487C"/>
    <w:rsid w:val="3E886713"/>
    <w:rsid w:val="3E8B4C1B"/>
    <w:rsid w:val="3E8F1850"/>
    <w:rsid w:val="3EA42E21"/>
    <w:rsid w:val="3EC55271"/>
    <w:rsid w:val="3ECF7E9E"/>
    <w:rsid w:val="3ED25BE0"/>
    <w:rsid w:val="3EDB0A32"/>
    <w:rsid w:val="3EDC084B"/>
    <w:rsid w:val="3EF313C9"/>
    <w:rsid w:val="3EF64A27"/>
    <w:rsid w:val="3F136AFC"/>
    <w:rsid w:val="3F3146B5"/>
    <w:rsid w:val="3F557C6D"/>
    <w:rsid w:val="3F6D76B7"/>
    <w:rsid w:val="3F870AFC"/>
    <w:rsid w:val="3F9875F9"/>
    <w:rsid w:val="3FAE21A9"/>
    <w:rsid w:val="3FD37E62"/>
    <w:rsid w:val="3FF432DC"/>
    <w:rsid w:val="40041DC9"/>
    <w:rsid w:val="4006733B"/>
    <w:rsid w:val="400B3158"/>
    <w:rsid w:val="402210DC"/>
    <w:rsid w:val="402E5098"/>
    <w:rsid w:val="4041200D"/>
    <w:rsid w:val="40492002"/>
    <w:rsid w:val="405D772B"/>
    <w:rsid w:val="406619B4"/>
    <w:rsid w:val="406C3AB1"/>
    <w:rsid w:val="408310EF"/>
    <w:rsid w:val="40953369"/>
    <w:rsid w:val="40A206A6"/>
    <w:rsid w:val="40BE466E"/>
    <w:rsid w:val="40D20119"/>
    <w:rsid w:val="40D95004"/>
    <w:rsid w:val="40DD2900"/>
    <w:rsid w:val="40E6443C"/>
    <w:rsid w:val="40E74296"/>
    <w:rsid w:val="40ED4FD5"/>
    <w:rsid w:val="412D70FE"/>
    <w:rsid w:val="41354204"/>
    <w:rsid w:val="41931657"/>
    <w:rsid w:val="41947A02"/>
    <w:rsid w:val="419D3DBE"/>
    <w:rsid w:val="41C334D0"/>
    <w:rsid w:val="41C61B59"/>
    <w:rsid w:val="41CC6917"/>
    <w:rsid w:val="41DC3BEC"/>
    <w:rsid w:val="41DD42A4"/>
    <w:rsid w:val="41E40104"/>
    <w:rsid w:val="41EF2605"/>
    <w:rsid w:val="41F61835"/>
    <w:rsid w:val="41FA3BCA"/>
    <w:rsid w:val="42011CB3"/>
    <w:rsid w:val="421502BE"/>
    <w:rsid w:val="421F738E"/>
    <w:rsid w:val="42366486"/>
    <w:rsid w:val="425F7512"/>
    <w:rsid w:val="42613AF4"/>
    <w:rsid w:val="426479D7"/>
    <w:rsid w:val="42681BBD"/>
    <w:rsid w:val="42775F7B"/>
    <w:rsid w:val="42A67168"/>
    <w:rsid w:val="42B17558"/>
    <w:rsid w:val="42B7048F"/>
    <w:rsid w:val="42B84A5C"/>
    <w:rsid w:val="42BC0781"/>
    <w:rsid w:val="42C2426D"/>
    <w:rsid w:val="42C341BE"/>
    <w:rsid w:val="42C6780A"/>
    <w:rsid w:val="42CE0BEE"/>
    <w:rsid w:val="42EC3CA8"/>
    <w:rsid w:val="42FA1617"/>
    <w:rsid w:val="42FD4B5B"/>
    <w:rsid w:val="42FF77EC"/>
    <w:rsid w:val="430C3285"/>
    <w:rsid w:val="432A1D90"/>
    <w:rsid w:val="434D1CD9"/>
    <w:rsid w:val="436D4FAD"/>
    <w:rsid w:val="43727992"/>
    <w:rsid w:val="43807FB6"/>
    <w:rsid w:val="438B4C8D"/>
    <w:rsid w:val="43960421"/>
    <w:rsid w:val="43BF2BD7"/>
    <w:rsid w:val="43C401ED"/>
    <w:rsid w:val="43F559D6"/>
    <w:rsid w:val="444B3765"/>
    <w:rsid w:val="4456696C"/>
    <w:rsid w:val="44735770"/>
    <w:rsid w:val="4477199E"/>
    <w:rsid w:val="4479123F"/>
    <w:rsid w:val="4487057C"/>
    <w:rsid w:val="4487121B"/>
    <w:rsid w:val="44986F84"/>
    <w:rsid w:val="449C4CC6"/>
    <w:rsid w:val="449C79DA"/>
    <w:rsid w:val="44A678F3"/>
    <w:rsid w:val="44D53D34"/>
    <w:rsid w:val="44FF20B3"/>
    <w:rsid w:val="4517434D"/>
    <w:rsid w:val="451F1453"/>
    <w:rsid w:val="45334211"/>
    <w:rsid w:val="453677FF"/>
    <w:rsid w:val="454D4E7E"/>
    <w:rsid w:val="45967968"/>
    <w:rsid w:val="45B72EB9"/>
    <w:rsid w:val="45C3390E"/>
    <w:rsid w:val="45E2654E"/>
    <w:rsid w:val="4615145A"/>
    <w:rsid w:val="462C42E1"/>
    <w:rsid w:val="46484491"/>
    <w:rsid w:val="46567B97"/>
    <w:rsid w:val="46593454"/>
    <w:rsid w:val="4674173E"/>
    <w:rsid w:val="46794B93"/>
    <w:rsid w:val="46AA2F9F"/>
    <w:rsid w:val="46BA58D8"/>
    <w:rsid w:val="46CB53EF"/>
    <w:rsid w:val="46D37C0C"/>
    <w:rsid w:val="46DF3958"/>
    <w:rsid w:val="46E110B6"/>
    <w:rsid w:val="46E719AA"/>
    <w:rsid w:val="46F81F5C"/>
    <w:rsid w:val="47004D4B"/>
    <w:rsid w:val="470441D9"/>
    <w:rsid w:val="470D48EE"/>
    <w:rsid w:val="470F2BA2"/>
    <w:rsid w:val="47136D96"/>
    <w:rsid w:val="4714323A"/>
    <w:rsid w:val="47152ABA"/>
    <w:rsid w:val="4729480B"/>
    <w:rsid w:val="476D46F8"/>
    <w:rsid w:val="476F070E"/>
    <w:rsid w:val="47991127"/>
    <w:rsid w:val="47A73CBB"/>
    <w:rsid w:val="47B304D0"/>
    <w:rsid w:val="47C67F4E"/>
    <w:rsid w:val="47CD5197"/>
    <w:rsid w:val="480D25E8"/>
    <w:rsid w:val="48104EC7"/>
    <w:rsid w:val="48140133"/>
    <w:rsid w:val="483416BA"/>
    <w:rsid w:val="48425B85"/>
    <w:rsid w:val="48581D1A"/>
    <w:rsid w:val="486C67E1"/>
    <w:rsid w:val="48733F90"/>
    <w:rsid w:val="48763A80"/>
    <w:rsid w:val="48832336"/>
    <w:rsid w:val="48FF5824"/>
    <w:rsid w:val="49051EDD"/>
    <w:rsid w:val="491A0CE9"/>
    <w:rsid w:val="493A6FED"/>
    <w:rsid w:val="49572DFB"/>
    <w:rsid w:val="49593273"/>
    <w:rsid w:val="495C340D"/>
    <w:rsid w:val="4968786D"/>
    <w:rsid w:val="496E09D2"/>
    <w:rsid w:val="49B74350"/>
    <w:rsid w:val="49CF51F6"/>
    <w:rsid w:val="49DC3DB7"/>
    <w:rsid w:val="49E26C03"/>
    <w:rsid w:val="49E66841"/>
    <w:rsid w:val="49E873EB"/>
    <w:rsid w:val="49ED04C0"/>
    <w:rsid w:val="4A0F5F3A"/>
    <w:rsid w:val="4A275032"/>
    <w:rsid w:val="4A2D63C1"/>
    <w:rsid w:val="4A5640C9"/>
    <w:rsid w:val="4A5C2802"/>
    <w:rsid w:val="4A69564B"/>
    <w:rsid w:val="4A993A56"/>
    <w:rsid w:val="4AB83EDC"/>
    <w:rsid w:val="4AC079A4"/>
    <w:rsid w:val="4ACC7988"/>
    <w:rsid w:val="4ACD508E"/>
    <w:rsid w:val="4ADA6E5E"/>
    <w:rsid w:val="4ADB406F"/>
    <w:rsid w:val="4AE125D5"/>
    <w:rsid w:val="4B0846DA"/>
    <w:rsid w:val="4B0B600B"/>
    <w:rsid w:val="4B201A81"/>
    <w:rsid w:val="4B2B7B40"/>
    <w:rsid w:val="4B3B68BB"/>
    <w:rsid w:val="4B4340EE"/>
    <w:rsid w:val="4B4E2A92"/>
    <w:rsid w:val="4B6E2CD3"/>
    <w:rsid w:val="4B7C315C"/>
    <w:rsid w:val="4B807D91"/>
    <w:rsid w:val="4B85737C"/>
    <w:rsid w:val="4B9761E7"/>
    <w:rsid w:val="4BA601D9"/>
    <w:rsid w:val="4BB87F0C"/>
    <w:rsid w:val="4BE13907"/>
    <w:rsid w:val="4BF220E2"/>
    <w:rsid w:val="4C0201EE"/>
    <w:rsid w:val="4C3457E4"/>
    <w:rsid w:val="4C46376A"/>
    <w:rsid w:val="4C4C343B"/>
    <w:rsid w:val="4C5333E5"/>
    <w:rsid w:val="4C59349D"/>
    <w:rsid w:val="4C6726C0"/>
    <w:rsid w:val="4C6D0CF6"/>
    <w:rsid w:val="4C6F31AF"/>
    <w:rsid w:val="4C721DBC"/>
    <w:rsid w:val="4C7D281A"/>
    <w:rsid w:val="4C7F7952"/>
    <w:rsid w:val="4C97019A"/>
    <w:rsid w:val="4CAA51CB"/>
    <w:rsid w:val="4CC27294"/>
    <w:rsid w:val="4CCF418E"/>
    <w:rsid w:val="4CEA60AE"/>
    <w:rsid w:val="4CED7F85"/>
    <w:rsid w:val="4D4F1CA3"/>
    <w:rsid w:val="4D5E291B"/>
    <w:rsid w:val="4D64659D"/>
    <w:rsid w:val="4D720CBA"/>
    <w:rsid w:val="4D786A6F"/>
    <w:rsid w:val="4D7B7443"/>
    <w:rsid w:val="4D9F6B46"/>
    <w:rsid w:val="4DAE343B"/>
    <w:rsid w:val="4DB76AE7"/>
    <w:rsid w:val="4DDC717E"/>
    <w:rsid w:val="4DEA3B5D"/>
    <w:rsid w:val="4DFA0CB0"/>
    <w:rsid w:val="4E0130DC"/>
    <w:rsid w:val="4E0F2255"/>
    <w:rsid w:val="4E1E6DDA"/>
    <w:rsid w:val="4E2D6A67"/>
    <w:rsid w:val="4E3B7B85"/>
    <w:rsid w:val="4E3C4E24"/>
    <w:rsid w:val="4E3E6DEE"/>
    <w:rsid w:val="4E417CAC"/>
    <w:rsid w:val="4E604FB7"/>
    <w:rsid w:val="4E7B4F3A"/>
    <w:rsid w:val="4E7E368F"/>
    <w:rsid w:val="4E881E17"/>
    <w:rsid w:val="4E8F13F8"/>
    <w:rsid w:val="4E8F764A"/>
    <w:rsid w:val="4EB71D50"/>
    <w:rsid w:val="4EC32E48"/>
    <w:rsid w:val="4ECC7F56"/>
    <w:rsid w:val="4ECD3CCE"/>
    <w:rsid w:val="4ECE0172"/>
    <w:rsid w:val="4ED16F74"/>
    <w:rsid w:val="4ED908C5"/>
    <w:rsid w:val="4EEC4E90"/>
    <w:rsid w:val="4EF43951"/>
    <w:rsid w:val="4F1F09CE"/>
    <w:rsid w:val="4F2C6C47"/>
    <w:rsid w:val="4F367AC5"/>
    <w:rsid w:val="4F6E54B1"/>
    <w:rsid w:val="4F70351C"/>
    <w:rsid w:val="4F786330"/>
    <w:rsid w:val="4F7A687A"/>
    <w:rsid w:val="4F8B0AF3"/>
    <w:rsid w:val="4FA47125"/>
    <w:rsid w:val="4FAB04B3"/>
    <w:rsid w:val="4FB01626"/>
    <w:rsid w:val="4FBE01E7"/>
    <w:rsid w:val="4FC54B3A"/>
    <w:rsid w:val="4FD10ADB"/>
    <w:rsid w:val="4FDC241B"/>
    <w:rsid w:val="4FE72355"/>
    <w:rsid w:val="4FF324C9"/>
    <w:rsid w:val="50031ECF"/>
    <w:rsid w:val="50041972"/>
    <w:rsid w:val="500D6A78"/>
    <w:rsid w:val="50137E07"/>
    <w:rsid w:val="50152C68"/>
    <w:rsid w:val="501F0423"/>
    <w:rsid w:val="50210077"/>
    <w:rsid w:val="502D12F0"/>
    <w:rsid w:val="503E0E60"/>
    <w:rsid w:val="506E0925"/>
    <w:rsid w:val="506E541F"/>
    <w:rsid w:val="50923421"/>
    <w:rsid w:val="50A32F39"/>
    <w:rsid w:val="50A45D35"/>
    <w:rsid w:val="50C07F8E"/>
    <w:rsid w:val="50CF01D2"/>
    <w:rsid w:val="50E27F05"/>
    <w:rsid w:val="50E91F61"/>
    <w:rsid w:val="50F1639A"/>
    <w:rsid w:val="50F25C6E"/>
    <w:rsid w:val="510C00A7"/>
    <w:rsid w:val="51501CA0"/>
    <w:rsid w:val="515F1555"/>
    <w:rsid w:val="516E77D1"/>
    <w:rsid w:val="51733EF7"/>
    <w:rsid w:val="51770830"/>
    <w:rsid w:val="51B30B2B"/>
    <w:rsid w:val="51BB0BE8"/>
    <w:rsid w:val="51C8534D"/>
    <w:rsid w:val="51EB2DE9"/>
    <w:rsid w:val="51EF032B"/>
    <w:rsid w:val="51F00969"/>
    <w:rsid w:val="51FF6894"/>
    <w:rsid w:val="520A66A4"/>
    <w:rsid w:val="52205A1A"/>
    <w:rsid w:val="522307D5"/>
    <w:rsid w:val="522D3402"/>
    <w:rsid w:val="52334D5C"/>
    <w:rsid w:val="523A2D42"/>
    <w:rsid w:val="524466F4"/>
    <w:rsid w:val="52456E39"/>
    <w:rsid w:val="524A3FB4"/>
    <w:rsid w:val="525D360E"/>
    <w:rsid w:val="5281560B"/>
    <w:rsid w:val="528D42BC"/>
    <w:rsid w:val="52A772D3"/>
    <w:rsid w:val="52B409E7"/>
    <w:rsid w:val="52D93700"/>
    <w:rsid w:val="53233B76"/>
    <w:rsid w:val="53301FD4"/>
    <w:rsid w:val="53446C55"/>
    <w:rsid w:val="534F73A8"/>
    <w:rsid w:val="537370CD"/>
    <w:rsid w:val="53775BA0"/>
    <w:rsid w:val="5391176E"/>
    <w:rsid w:val="5394125E"/>
    <w:rsid w:val="53943FA4"/>
    <w:rsid w:val="539F2191"/>
    <w:rsid w:val="53AD36AA"/>
    <w:rsid w:val="53BD6A07"/>
    <w:rsid w:val="53C03E02"/>
    <w:rsid w:val="53C733E2"/>
    <w:rsid w:val="53DD49B3"/>
    <w:rsid w:val="53F36A71"/>
    <w:rsid w:val="54033B90"/>
    <w:rsid w:val="54352A41"/>
    <w:rsid w:val="543E202D"/>
    <w:rsid w:val="54422A68"/>
    <w:rsid w:val="545C73A5"/>
    <w:rsid w:val="549A4679"/>
    <w:rsid w:val="54D875F8"/>
    <w:rsid w:val="54F31AB6"/>
    <w:rsid w:val="54F90286"/>
    <w:rsid w:val="55102D81"/>
    <w:rsid w:val="55180399"/>
    <w:rsid w:val="552257C1"/>
    <w:rsid w:val="552503C0"/>
    <w:rsid w:val="552F56E3"/>
    <w:rsid w:val="555F500F"/>
    <w:rsid w:val="556709D9"/>
    <w:rsid w:val="556970ED"/>
    <w:rsid w:val="55731FB9"/>
    <w:rsid w:val="55807CEC"/>
    <w:rsid w:val="55A41C2D"/>
    <w:rsid w:val="55A60F13"/>
    <w:rsid w:val="55BF57CF"/>
    <w:rsid w:val="55C31A1C"/>
    <w:rsid w:val="55CE6CAA"/>
    <w:rsid w:val="55DD21C6"/>
    <w:rsid w:val="55DD6EED"/>
    <w:rsid w:val="55F2335E"/>
    <w:rsid w:val="55FF6E63"/>
    <w:rsid w:val="56156687"/>
    <w:rsid w:val="56254D57"/>
    <w:rsid w:val="562A6844"/>
    <w:rsid w:val="562E599A"/>
    <w:rsid w:val="563034C0"/>
    <w:rsid w:val="564611CE"/>
    <w:rsid w:val="56486A5C"/>
    <w:rsid w:val="565D3B8A"/>
    <w:rsid w:val="566D2AC3"/>
    <w:rsid w:val="56903F5F"/>
    <w:rsid w:val="569213F0"/>
    <w:rsid w:val="56A619D5"/>
    <w:rsid w:val="56A650BD"/>
    <w:rsid w:val="56A93273"/>
    <w:rsid w:val="56BC4A5F"/>
    <w:rsid w:val="56C854A7"/>
    <w:rsid w:val="56F20776"/>
    <w:rsid w:val="56FF0961"/>
    <w:rsid w:val="571C1C97"/>
    <w:rsid w:val="572271FC"/>
    <w:rsid w:val="57233025"/>
    <w:rsid w:val="57256D9D"/>
    <w:rsid w:val="57403013"/>
    <w:rsid w:val="574B7E86"/>
    <w:rsid w:val="575D00DD"/>
    <w:rsid w:val="576030CA"/>
    <w:rsid w:val="57711DD3"/>
    <w:rsid w:val="577E025B"/>
    <w:rsid w:val="57811AFA"/>
    <w:rsid w:val="57864E12"/>
    <w:rsid w:val="578F4217"/>
    <w:rsid w:val="57935BBE"/>
    <w:rsid w:val="579B4127"/>
    <w:rsid w:val="57A15CC7"/>
    <w:rsid w:val="57A957E8"/>
    <w:rsid w:val="57AA72A2"/>
    <w:rsid w:val="57AC7BEF"/>
    <w:rsid w:val="57EF4CB5"/>
    <w:rsid w:val="57F56770"/>
    <w:rsid w:val="580249E9"/>
    <w:rsid w:val="580C45DB"/>
    <w:rsid w:val="58337298"/>
    <w:rsid w:val="584A6390"/>
    <w:rsid w:val="585A783C"/>
    <w:rsid w:val="5868430E"/>
    <w:rsid w:val="586F6610"/>
    <w:rsid w:val="587B55F4"/>
    <w:rsid w:val="587C526B"/>
    <w:rsid w:val="5886561A"/>
    <w:rsid w:val="58A22362"/>
    <w:rsid w:val="58AE63FA"/>
    <w:rsid w:val="58B8154B"/>
    <w:rsid w:val="58D345D7"/>
    <w:rsid w:val="58E72D86"/>
    <w:rsid w:val="58FA6008"/>
    <w:rsid w:val="58FC706B"/>
    <w:rsid w:val="58FD27E2"/>
    <w:rsid w:val="591C41D0"/>
    <w:rsid w:val="592E5D45"/>
    <w:rsid w:val="594C6863"/>
    <w:rsid w:val="5957161E"/>
    <w:rsid w:val="59745DBA"/>
    <w:rsid w:val="597E4984"/>
    <w:rsid w:val="59C02DAD"/>
    <w:rsid w:val="59C06909"/>
    <w:rsid w:val="59C960F9"/>
    <w:rsid w:val="59C9625C"/>
    <w:rsid w:val="59CD3845"/>
    <w:rsid w:val="59DF76D7"/>
    <w:rsid w:val="59F0795A"/>
    <w:rsid w:val="59FE7432"/>
    <w:rsid w:val="5A07268A"/>
    <w:rsid w:val="5A113609"/>
    <w:rsid w:val="5A19426B"/>
    <w:rsid w:val="5A1B58CF"/>
    <w:rsid w:val="5A250E62"/>
    <w:rsid w:val="5A271776"/>
    <w:rsid w:val="5A3572F7"/>
    <w:rsid w:val="5A42053A"/>
    <w:rsid w:val="5A5534F6"/>
    <w:rsid w:val="5A623E64"/>
    <w:rsid w:val="5A655CE7"/>
    <w:rsid w:val="5A937721"/>
    <w:rsid w:val="5A9B166D"/>
    <w:rsid w:val="5AA1498D"/>
    <w:rsid w:val="5AA4622B"/>
    <w:rsid w:val="5AB32912"/>
    <w:rsid w:val="5ACC2A6B"/>
    <w:rsid w:val="5AD564B0"/>
    <w:rsid w:val="5AD76600"/>
    <w:rsid w:val="5AED1980"/>
    <w:rsid w:val="5AF251E8"/>
    <w:rsid w:val="5AF26675"/>
    <w:rsid w:val="5AF91567"/>
    <w:rsid w:val="5B0647F0"/>
    <w:rsid w:val="5B2F01EA"/>
    <w:rsid w:val="5B3A093D"/>
    <w:rsid w:val="5B4812AC"/>
    <w:rsid w:val="5B490B80"/>
    <w:rsid w:val="5B500161"/>
    <w:rsid w:val="5B767BC7"/>
    <w:rsid w:val="5B9938B6"/>
    <w:rsid w:val="5BA741CE"/>
    <w:rsid w:val="5BCC5A39"/>
    <w:rsid w:val="5C190553"/>
    <w:rsid w:val="5C1B076F"/>
    <w:rsid w:val="5C1F1D88"/>
    <w:rsid w:val="5C247EFD"/>
    <w:rsid w:val="5C5E240A"/>
    <w:rsid w:val="5C6C0FCA"/>
    <w:rsid w:val="5C745AB6"/>
    <w:rsid w:val="5C8400C2"/>
    <w:rsid w:val="5C9F327F"/>
    <w:rsid w:val="5CB46645"/>
    <w:rsid w:val="5CC130C4"/>
    <w:rsid w:val="5CD23853"/>
    <w:rsid w:val="5CE822D5"/>
    <w:rsid w:val="5D1A6F72"/>
    <w:rsid w:val="5D493F10"/>
    <w:rsid w:val="5D4D73CD"/>
    <w:rsid w:val="5D4E4706"/>
    <w:rsid w:val="5D504448"/>
    <w:rsid w:val="5D5C14D4"/>
    <w:rsid w:val="5D885990"/>
    <w:rsid w:val="5D8A2EEA"/>
    <w:rsid w:val="5D9057B4"/>
    <w:rsid w:val="5D971AA4"/>
    <w:rsid w:val="5DA3288A"/>
    <w:rsid w:val="5DD62B9F"/>
    <w:rsid w:val="5DD7698A"/>
    <w:rsid w:val="5DE11544"/>
    <w:rsid w:val="5DE2248A"/>
    <w:rsid w:val="5DE85488"/>
    <w:rsid w:val="5E0E058B"/>
    <w:rsid w:val="5E127950"/>
    <w:rsid w:val="5E5341F0"/>
    <w:rsid w:val="5E671A49"/>
    <w:rsid w:val="5E68756F"/>
    <w:rsid w:val="5E9E3641"/>
    <w:rsid w:val="5E9F2A83"/>
    <w:rsid w:val="5EB338F8"/>
    <w:rsid w:val="5EC954E4"/>
    <w:rsid w:val="5EF13A09"/>
    <w:rsid w:val="5EF64B7B"/>
    <w:rsid w:val="5F08322C"/>
    <w:rsid w:val="5F0B7C96"/>
    <w:rsid w:val="5F2416E8"/>
    <w:rsid w:val="5F375465"/>
    <w:rsid w:val="5F8B1768"/>
    <w:rsid w:val="5F913938"/>
    <w:rsid w:val="5F96081A"/>
    <w:rsid w:val="5FB25CF8"/>
    <w:rsid w:val="5FE82CD5"/>
    <w:rsid w:val="5FEF3F1C"/>
    <w:rsid w:val="5FF732A1"/>
    <w:rsid w:val="600D03CE"/>
    <w:rsid w:val="60235E44"/>
    <w:rsid w:val="602A1411"/>
    <w:rsid w:val="602B6AA7"/>
    <w:rsid w:val="602D6CC3"/>
    <w:rsid w:val="603B318E"/>
    <w:rsid w:val="603D5757"/>
    <w:rsid w:val="60465BE3"/>
    <w:rsid w:val="605B55DE"/>
    <w:rsid w:val="605B5BB1"/>
    <w:rsid w:val="607D750D"/>
    <w:rsid w:val="608A7C71"/>
    <w:rsid w:val="608C5797"/>
    <w:rsid w:val="609F196E"/>
    <w:rsid w:val="60AE1B9C"/>
    <w:rsid w:val="60B3541A"/>
    <w:rsid w:val="60B85A12"/>
    <w:rsid w:val="60C54A41"/>
    <w:rsid w:val="60E10E75"/>
    <w:rsid w:val="6111285D"/>
    <w:rsid w:val="611F3A42"/>
    <w:rsid w:val="612A060D"/>
    <w:rsid w:val="613A3445"/>
    <w:rsid w:val="614E6EF1"/>
    <w:rsid w:val="61665605"/>
    <w:rsid w:val="617875F6"/>
    <w:rsid w:val="61804484"/>
    <w:rsid w:val="6198016C"/>
    <w:rsid w:val="61B41449"/>
    <w:rsid w:val="61B47926"/>
    <w:rsid w:val="61B83929"/>
    <w:rsid w:val="61C251E9"/>
    <w:rsid w:val="61C53B68"/>
    <w:rsid w:val="61CE1491"/>
    <w:rsid w:val="61CE385D"/>
    <w:rsid w:val="61E33ADD"/>
    <w:rsid w:val="61F03359"/>
    <w:rsid w:val="62312778"/>
    <w:rsid w:val="623F1255"/>
    <w:rsid w:val="6249252B"/>
    <w:rsid w:val="626A74D0"/>
    <w:rsid w:val="62724E61"/>
    <w:rsid w:val="62757C24"/>
    <w:rsid w:val="62791D4B"/>
    <w:rsid w:val="627F6034"/>
    <w:rsid w:val="628154CF"/>
    <w:rsid w:val="62A82ECD"/>
    <w:rsid w:val="62B55618"/>
    <w:rsid w:val="62C02A80"/>
    <w:rsid w:val="62C3746A"/>
    <w:rsid w:val="62C82C0F"/>
    <w:rsid w:val="62CF7BBD"/>
    <w:rsid w:val="62E06EE1"/>
    <w:rsid w:val="62F51D1A"/>
    <w:rsid w:val="632B323B"/>
    <w:rsid w:val="632E0D88"/>
    <w:rsid w:val="634B193A"/>
    <w:rsid w:val="63676048"/>
    <w:rsid w:val="636B1FDC"/>
    <w:rsid w:val="63D2399F"/>
    <w:rsid w:val="63D35447"/>
    <w:rsid w:val="63D47B81"/>
    <w:rsid w:val="63D538F9"/>
    <w:rsid w:val="63D731CD"/>
    <w:rsid w:val="63E16EA3"/>
    <w:rsid w:val="642247D7"/>
    <w:rsid w:val="64236413"/>
    <w:rsid w:val="64283A8F"/>
    <w:rsid w:val="642B01DC"/>
    <w:rsid w:val="642B176B"/>
    <w:rsid w:val="643C5726"/>
    <w:rsid w:val="64410F8F"/>
    <w:rsid w:val="64416899"/>
    <w:rsid w:val="64547F6B"/>
    <w:rsid w:val="645A2BCA"/>
    <w:rsid w:val="64722EF6"/>
    <w:rsid w:val="647353BA"/>
    <w:rsid w:val="64790728"/>
    <w:rsid w:val="64805905"/>
    <w:rsid w:val="64853920"/>
    <w:rsid w:val="64882719"/>
    <w:rsid w:val="648D254B"/>
    <w:rsid w:val="64B52696"/>
    <w:rsid w:val="64C64FF0"/>
    <w:rsid w:val="64D4770D"/>
    <w:rsid w:val="65067046"/>
    <w:rsid w:val="650F0B97"/>
    <w:rsid w:val="652F7039"/>
    <w:rsid w:val="653231E0"/>
    <w:rsid w:val="653F727C"/>
    <w:rsid w:val="65423943"/>
    <w:rsid w:val="654F790E"/>
    <w:rsid w:val="65611EB1"/>
    <w:rsid w:val="65780778"/>
    <w:rsid w:val="65907AD8"/>
    <w:rsid w:val="659A23A7"/>
    <w:rsid w:val="65AB1AC5"/>
    <w:rsid w:val="65B23F44"/>
    <w:rsid w:val="65B80DDC"/>
    <w:rsid w:val="65C15EE3"/>
    <w:rsid w:val="65EB2F60"/>
    <w:rsid w:val="65F10827"/>
    <w:rsid w:val="65F95E0A"/>
    <w:rsid w:val="65FD165F"/>
    <w:rsid w:val="66081D64"/>
    <w:rsid w:val="66083824"/>
    <w:rsid w:val="660956AC"/>
    <w:rsid w:val="66154481"/>
    <w:rsid w:val="663B07A7"/>
    <w:rsid w:val="66430FEE"/>
    <w:rsid w:val="665723A3"/>
    <w:rsid w:val="665D29C6"/>
    <w:rsid w:val="66866524"/>
    <w:rsid w:val="668E56E4"/>
    <w:rsid w:val="668E7F23"/>
    <w:rsid w:val="668F4233"/>
    <w:rsid w:val="669644FF"/>
    <w:rsid w:val="669929BC"/>
    <w:rsid w:val="66A03D4A"/>
    <w:rsid w:val="66BA01ED"/>
    <w:rsid w:val="66C67529"/>
    <w:rsid w:val="66CD24A8"/>
    <w:rsid w:val="66DC4B61"/>
    <w:rsid w:val="66E83943"/>
    <w:rsid w:val="66E8766A"/>
    <w:rsid w:val="66EC51E2"/>
    <w:rsid w:val="66F039D9"/>
    <w:rsid w:val="66F17B8E"/>
    <w:rsid w:val="66F2031E"/>
    <w:rsid w:val="66F83B86"/>
    <w:rsid w:val="67025904"/>
    <w:rsid w:val="67097CB7"/>
    <w:rsid w:val="67131C12"/>
    <w:rsid w:val="672002AE"/>
    <w:rsid w:val="672B7E1A"/>
    <w:rsid w:val="674072DB"/>
    <w:rsid w:val="67523C88"/>
    <w:rsid w:val="67631716"/>
    <w:rsid w:val="6764156D"/>
    <w:rsid w:val="67716A02"/>
    <w:rsid w:val="678804B3"/>
    <w:rsid w:val="67E660D5"/>
    <w:rsid w:val="67EB36EB"/>
    <w:rsid w:val="6807375A"/>
    <w:rsid w:val="682269E1"/>
    <w:rsid w:val="68501417"/>
    <w:rsid w:val="688A198A"/>
    <w:rsid w:val="68983D2C"/>
    <w:rsid w:val="68A1024E"/>
    <w:rsid w:val="68A65864"/>
    <w:rsid w:val="68A95565"/>
    <w:rsid w:val="68BF2482"/>
    <w:rsid w:val="68C01DB7"/>
    <w:rsid w:val="68C06926"/>
    <w:rsid w:val="68D32F4D"/>
    <w:rsid w:val="68DC4DE2"/>
    <w:rsid w:val="68E00D76"/>
    <w:rsid w:val="68EF0FB9"/>
    <w:rsid w:val="690007A9"/>
    <w:rsid w:val="690A5DF3"/>
    <w:rsid w:val="691602F4"/>
    <w:rsid w:val="6917406C"/>
    <w:rsid w:val="69305F28"/>
    <w:rsid w:val="694110E9"/>
    <w:rsid w:val="694A2606"/>
    <w:rsid w:val="69507896"/>
    <w:rsid w:val="69523A01"/>
    <w:rsid w:val="69582AFE"/>
    <w:rsid w:val="696A0640"/>
    <w:rsid w:val="699E0FCF"/>
    <w:rsid w:val="699E794C"/>
    <w:rsid w:val="69A07586"/>
    <w:rsid w:val="69B96C35"/>
    <w:rsid w:val="69D16911"/>
    <w:rsid w:val="69DA3A17"/>
    <w:rsid w:val="69E22178"/>
    <w:rsid w:val="69E43510"/>
    <w:rsid w:val="69E632B0"/>
    <w:rsid w:val="69F40249"/>
    <w:rsid w:val="69FA4256"/>
    <w:rsid w:val="69FC3BBD"/>
    <w:rsid w:val="6A0E1913"/>
    <w:rsid w:val="6A1A30BB"/>
    <w:rsid w:val="6A2447DD"/>
    <w:rsid w:val="6A2B7DCF"/>
    <w:rsid w:val="6A2E1914"/>
    <w:rsid w:val="6A4F42DF"/>
    <w:rsid w:val="6A583477"/>
    <w:rsid w:val="6A6D2717"/>
    <w:rsid w:val="6A702E61"/>
    <w:rsid w:val="6A7931A8"/>
    <w:rsid w:val="6A7E61E6"/>
    <w:rsid w:val="6A803EEB"/>
    <w:rsid w:val="6A876FCF"/>
    <w:rsid w:val="6A8B342C"/>
    <w:rsid w:val="6A983FFB"/>
    <w:rsid w:val="6A9C6F1F"/>
    <w:rsid w:val="6A9E57C7"/>
    <w:rsid w:val="6AA14535"/>
    <w:rsid w:val="6AA638F9"/>
    <w:rsid w:val="6AD37EE9"/>
    <w:rsid w:val="6AE10DD5"/>
    <w:rsid w:val="6AE508C6"/>
    <w:rsid w:val="6AE976EC"/>
    <w:rsid w:val="6AEA679A"/>
    <w:rsid w:val="6AFE3CE6"/>
    <w:rsid w:val="6B0845B4"/>
    <w:rsid w:val="6B146AB5"/>
    <w:rsid w:val="6B150BE5"/>
    <w:rsid w:val="6B2E5977"/>
    <w:rsid w:val="6B39651C"/>
    <w:rsid w:val="6B4001F2"/>
    <w:rsid w:val="6B4D6F5F"/>
    <w:rsid w:val="6B732B34"/>
    <w:rsid w:val="6BCA3618"/>
    <w:rsid w:val="6BD4293E"/>
    <w:rsid w:val="6BF23772"/>
    <w:rsid w:val="6BFE41C9"/>
    <w:rsid w:val="6C2765BD"/>
    <w:rsid w:val="6C4510B4"/>
    <w:rsid w:val="6C4D02E7"/>
    <w:rsid w:val="6C6B0957"/>
    <w:rsid w:val="6C7668DF"/>
    <w:rsid w:val="6C865790"/>
    <w:rsid w:val="6CA94B82"/>
    <w:rsid w:val="6CAE6650"/>
    <w:rsid w:val="6CBA79D7"/>
    <w:rsid w:val="6CC4450B"/>
    <w:rsid w:val="6CEC1816"/>
    <w:rsid w:val="6CEE52C1"/>
    <w:rsid w:val="6D0042F8"/>
    <w:rsid w:val="6D2A0E9A"/>
    <w:rsid w:val="6D2D712A"/>
    <w:rsid w:val="6D317DF2"/>
    <w:rsid w:val="6D33797F"/>
    <w:rsid w:val="6D3A657B"/>
    <w:rsid w:val="6D46629B"/>
    <w:rsid w:val="6D482685"/>
    <w:rsid w:val="6D610A1E"/>
    <w:rsid w:val="6D6D2E88"/>
    <w:rsid w:val="6D6F10B6"/>
    <w:rsid w:val="6D82064E"/>
    <w:rsid w:val="6DA262CF"/>
    <w:rsid w:val="6DA85BDA"/>
    <w:rsid w:val="6DAF030B"/>
    <w:rsid w:val="6DB91B96"/>
    <w:rsid w:val="6DBE71AC"/>
    <w:rsid w:val="6DD538A4"/>
    <w:rsid w:val="6DE17C72"/>
    <w:rsid w:val="6DE46B72"/>
    <w:rsid w:val="6DF17939"/>
    <w:rsid w:val="6E1F707B"/>
    <w:rsid w:val="6E2205DD"/>
    <w:rsid w:val="6E3E5BDC"/>
    <w:rsid w:val="6E4213D7"/>
    <w:rsid w:val="6E5024FA"/>
    <w:rsid w:val="6E7851AE"/>
    <w:rsid w:val="6E7C32EF"/>
    <w:rsid w:val="6E8119EC"/>
    <w:rsid w:val="6E82467D"/>
    <w:rsid w:val="6EB620EA"/>
    <w:rsid w:val="6ECD3B4B"/>
    <w:rsid w:val="6F06530B"/>
    <w:rsid w:val="6F0D03EB"/>
    <w:rsid w:val="6F31233E"/>
    <w:rsid w:val="6F394D3C"/>
    <w:rsid w:val="6F4A141A"/>
    <w:rsid w:val="6F514282"/>
    <w:rsid w:val="6F72315F"/>
    <w:rsid w:val="6F795A80"/>
    <w:rsid w:val="6F824597"/>
    <w:rsid w:val="6F9831D1"/>
    <w:rsid w:val="6FAC7C04"/>
    <w:rsid w:val="6FBB6813"/>
    <w:rsid w:val="6FC0545D"/>
    <w:rsid w:val="6FF60E7F"/>
    <w:rsid w:val="70043D29"/>
    <w:rsid w:val="700F113F"/>
    <w:rsid w:val="70100B90"/>
    <w:rsid w:val="701C751A"/>
    <w:rsid w:val="702459EC"/>
    <w:rsid w:val="70307576"/>
    <w:rsid w:val="70395147"/>
    <w:rsid w:val="70652B92"/>
    <w:rsid w:val="707F2DD3"/>
    <w:rsid w:val="70820965"/>
    <w:rsid w:val="70836CF8"/>
    <w:rsid w:val="70974410"/>
    <w:rsid w:val="70995FB2"/>
    <w:rsid w:val="70A703CB"/>
    <w:rsid w:val="70AD3C34"/>
    <w:rsid w:val="70CC00CE"/>
    <w:rsid w:val="70CE7706"/>
    <w:rsid w:val="70F33A60"/>
    <w:rsid w:val="70F74C48"/>
    <w:rsid w:val="70FE448F"/>
    <w:rsid w:val="712B4B58"/>
    <w:rsid w:val="71324139"/>
    <w:rsid w:val="714C1B10"/>
    <w:rsid w:val="7169742F"/>
    <w:rsid w:val="71836742"/>
    <w:rsid w:val="719170B1"/>
    <w:rsid w:val="71A16BC9"/>
    <w:rsid w:val="71A3096B"/>
    <w:rsid w:val="71AC3EEB"/>
    <w:rsid w:val="71C32FE3"/>
    <w:rsid w:val="71CF7E39"/>
    <w:rsid w:val="71E35433"/>
    <w:rsid w:val="71E46053"/>
    <w:rsid w:val="71EA4A14"/>
    <w:rsid w:val="71FB7867"/>
    <w:rsid w:val="720A0C12"/>
    <w:rsid w:val="721E646B"/>
    <w:rsid w:val="72323CC5"/>
    <w:rsid w:val="723569B5"/>
    <w:rsid w:val="72374DAB"/>
    <w:rsid w:val="72451C4A"/>
    <w:rsid w:val="724C2A74"/>
    <w:rsid w:val="726A16B0"/>
    <w:rsid w:val="726A605C"/>
    <w:rsid w:val="72747C8F"/>
    <w:rsid w:val="72760055"/>
    <w:rsid w:val="728409C4"/>
    <w:rsid w:val="72850298"/>
    <w:rsid w:val="729F57FE"/>
    <w:rsid w:val="72A01AFD"/>
    <w:rsid w:val="72A42E14"/>
    <w:rsid w:val="72AE3C93"/>
    <w:rsid w:val="72B33432"/>
    <w:rsid w:val="72B72541"/>
    <w:rsid w:val="72BA2638"/>
    <w:rsid w:val="72C13C62"/>
    <w:rsid w:val="72DB562A"/>
    <w:rsid w:val="72E66F89"/>
    <w:rsid w:val="72F34117"/>
    <w:rsid w:val="72F37722"/>
    <w:rsid w:val="7310016F"/>
    <w:rsid w:val="73117A99"/>
    <w:rsid w:val="73125FD0"/>
    <w:rsid w:val="73171838"/>
    <w:rsid w:val="731A187C"/>
    <w:rsid w:val="732574F1"/>
    <w:rsid w:val="7338355D"/>
    <w:rsid w:val="733A0F3F"/>
    <w:rsid w:val="73497518"/>
    <w:rsid w:val="737E18B7"/>
    <w:rsid w:val="73AF1A71"/>
    <w:rsid w:val="73CC2623"/>
    <w:rsid w:val="73DC038C"/>
    <w:rsid w:val="73F25E01"/>
    <w:rsid w:val="740C1080"/>
    <w:rsid w:val="743627C7"/>
    <w:rsid w:val="74365CEE"/>
    <w:rsid w:val="743E1047"/>
    <w:rsid w:val="74441A47"/>
    <w:rsid w:val="74691464"/>
    <w:rsid w:val="746960C4"/>
    <w:rsid w:val="74726C59"/>
    <w:rsid w:val="74820F33"/>
    <w:rsid w:val="748922C2"/>
    <w:rsid w:val="748E2B68"/>
    <w:rsid w:val="74B11819"/>
    <w:rsid w:val="74B129FB"/>
    <w:rsid w:val="74B41FF6"/>
    <w:rsid w:val="74B463B5"/>
    <w:rsid w:val="74C8610F"/>
    <w:rsid w:val="75271ADB"/>
    <w:rsid w:val="752B3379"/>
    <w:rsid w:val="7544268D"/>
    <w:rsid w:val="755E2130"/>
    <w:rsid w:val="756D476F"/>
    <w:rsid w:val="7573192E"/>
    <w:rsid w:val="75845C32"/>
    <w:rsid w:val="759251A6"/>
    <w:rsid w:val="759B095D"/>
    <w:rsid w:val="75B21952"/>
    <w:rsid w:val="75C80BC8"/>
    <w:rsid w:val="75CE518B"/>
    <w:rsid w:val="75D732ED"/>
    <w:rsid w:val="75D970C8"/>
    <w:rsid w:val="75E771DB"/>
    <w:rsid w:val="76076F40"/>
    <w:rsid w:val="76112AA8"/>
    <w:rsid w:val="76170305"/>
    <w:rsid w:val="761B7D21"/>
    <w:rsid w:val="7621652A"/>
    <w:rsid w:val="76373F9F"/>
    <w:rsid w:val="766034F6"/>
    <w:rsid w:val="767441AB"/>
    <w:rsid w:val="769D02A6"/>
    <w:rsid w:val="769D3E02"/>
    <w:rsid w:val="76AE4262"/>
    <w:rsid w:val="76B346EE"/>
    <w:rsid w:val="76B455F0"/>
    <w:rsid w:val="76B63116"/>
    <w:rsid w:val="76C175A2"/>
    <w:rsid w:val="76D61355"/>
    <w:rsid w:val="76D90BB3"/>
    <w:rsid w:val="76FC168B"/>
    <w:rsid w:val="770E6AAE"/>
    <w:rsid w:val="77140FD7"/>
    <w:rsid w:val="77180623"/>
    <w:rsid w:val="7718792D"/>
    <w:rsid w:val="7725204A"/>
    <w:rsid w:val="77260F8B"/>
    <w:rsid w:val="77456248"/>
    <w:rsid w:val="77495D38"/>
    <w:rsid w:val="77534E09"/>
    <w:rsid w:val="775C3CBE"/>
    <w:rsid w:val="775C3E03"/>
    <w:rsid w:val="77670E18"/>
    <w:rsid w:val="777A2396"/>
    <w:rsid w:val="77AA41E1"/>
    <w:rsid w:val="77C2228F"/>
    <w:rsid w:val="77D53A70"/>
    <w:rsid w:val="77E00941"/>
    <w:rsid w:val="780B0DA9"/>
    <w:rsid w:val="780B7302"/>
    <w:rsid w:val="7814538E"/>
    <w:rsid w:val="78151CD1"/>
    <w:rsid w:val="782004BD"/>
    <w:rsid w:val="78232A2D"/>
    <w:rsid w:val="782735E2"/>
    <w:rsid w:val="7862181E"/>
    <w:rsid w:val="786827B6"/>
    <w:rsid w:val="78840411"/>
    <w:rsid w:val="788441A5"/>
    <w:rsid w:val="78992CEF"/>
    <w:rsid w:val="789D523F"/>
    <w:rsid w:val="78C72095"/>
    <w:rsid w:val="78F10436"/>
    <w:rsid w:val="78FC18F2"/>
    <w:rsid w:val="79263DF0"/>
    <w:rsid w:val="792D7708"/>
    <w:rsid w:val="792E7891"/>
    <w:rsid w:val="79390DC8"/>
    <w:rsid w:val="79400AD3"/>
    <w:rsid w:val="794814F2"/>
    <w:rsid w:val="79494343"/>
    <w:rsid w:val="794964C4"/>
    <w:rsid w:val="795B164F"/>
    <w:rsid w:val="7975775F"/>
    <w:rsid w:val="797866AB"/>
    <w:rsid w:val="797D43BF"/>
    <w:rsid w:val="797D616D"/>
    <w:rsid w:val="798842C4"/>
    <w:rsid w:val="798D6205"/>
    <w:rsid w:val="79974728"/>
    <w:rsid w:val="79984D55"/>
    <w:rsid w:val="79AB4A88"/>
    <w:rsid w:val="79B909F6"/>
    <w:rsid w:val="79D03D5B"/>
    <w:rsid w:val="79DA35C0"/>
    <w:rsid w:val="79FB6433"/>
    <w:rsid w:val="7A055299"/>
    <w:rsid w:val="7A173477"/>
    <w:rsid w:val="7A2465E9"/>
    <w:rsid w:val="7A490C32"/>
    <w:rsid w:val="7A5E588C"/>
    <w:rsid w:val="7A78007C"/>
    <w:rsid w:val="7A807CC3"/>
    <w:rsid w:val="7A8279C3"/>
    <w:rsid w:val="7A9F32A4"/>
    <w:rsid w:val="7AAE426B"/>
    <w:rsid w:val="7AC03AA8"/>
    <w:rsid w:val="7AD32284"/>
    <w:rsid w:val="7B007056"/>
    <w:rsid w:val="7B017DE9"/>
    <w:rsid w:val="7B0B5305"/>
    <w:rsid w:val="7B11209B"/>
    <w:rsid w:val="7B3665D4"/>
    <w:rsid w:val="7B374FD6"/>
    <w:rsid w:val="7B3F4A95"/>
    <w:rsid w:val="7B4E1B6F"/>
    <w:rsid w:val="7B601297"/>
    <w:rsid w:val="7B735A7A"/>
    <w:rsid w:val="7B7743F8"/>
    <w:rsid w:val="7B7F441F"/>
    <w:rsid w:val="7B8B4B71"/>
    <w:rsid w:val="7BAD6F9E"/>
    <w:rsid w:val="7BB57E40"/>
    <w:rsid w:val="7BC260B9"/>
    <w:rsid w:val="7BCB7956"/>
    <w:rsid w:val="7BD61B65"/>
    <w:rsid w:val="7BDC476E"/>
    <w:rsid w:val="7BDD2EF3"/>
    <w:rsid w:val="7BE814DF"/>
    <w:rsid w:val="7C084414"/>
    <w:rsid w:val="7C310CB0"/>
    <w:rsid w:val="7C4E618C"/>
    <w:rsid w:val="7C593B9A"/>
    <w:rsid w:val="7C6F7FEF"/>
    <w:rsid w:val="7C701FB9"/>
    <w:rsid w:val="7C70737F"/>
    <w:rsid w:val="7C7A7752"/>
    <w:rsid w:val="7C806050"/>
    <w:rsid w:val="7C893410"/>
    <w:rsid w:val="7C8B0BA1"/>
    <w:rsid w:val="7C8F0691"/>
    <w:rsid w:val="7C9712F4"/>
    <w:rsid w:val="7CA73FD0"/>
    <w:rsid w:val="7CA84572"/>
    <w:rsid w:val="7CAC3BA9"/>
    <w:rsid w:val="7CB023B6"/>
    <w:rsid w:val="7CB26E8E"/>
    <w:rsid w:val="7CB77BE8"/>
    <w:rsid w:val="7CE87AE7"/>
    <w:rsid w:val="7CEF7382"/>
    <w:rsid w:val="7D017AA5"/>
    <w:rsid w:val="7D1172F8"/>
    <w:rsid w:val="7D6A4C5A"/>
    <w:rsid w:val="7D781125"/>
    <w:rsid w:val="7D8D5299"/>
    <w:rsid w:val="7DB11BB4"/>
    <w:rsid w:val="7DB365B7"/>
    <w:rsid w:val="7DB36601"/>
    <w:rsid w:val="7DC3502D"/>
    <w:rsid w:val="7DC44A15"/>
    <w:rsid w:val="7DCB55B3"/>
    <w:rsid w:val="7DD64717"/>
    <w:rsid w:val="7DE467BB"/>
    <w:rsid w:val="7DEE7639"/>
    <w:rsid w:val="7DF94291"/>
    <w:rsid w:val="7E074B27"/>
    <w:rsid w:val="7E2027A5"/>
    <w:rsid w:val="7E26745F"/>
    <w:rsid w:val="7E2766A8"/>
    <w:rsid w:val="7E29409A"/>
    <w:rsid w:val="7E3E361B"/>
    <w:rsid w:val="7E597BE6"/>
    <w:rsid w:val="7E5B165B"/>
    <w:rsid w:val="7E61711D"/>
    <w:rsid w:val="7E751251"/>
    <w:rsid w:val="7E7A3FB9"/>
    <w:rsid w:val="7E855B9D"/>
    <w:rsid w:val="7E97382D"/>
    <w:rsid w:val="7EE04A9D"/>
    <w:rsid w:val="7EE10F4C"/>
    <w:rsid w:val="7EE1361A"/>
    <w:rsid w:val="7EE91B01"/>
    <w:rsid w:val="7EF46786"/>
    <w:rsid w:val="7EFE1AFE"/>
    <w:rsid w:val="7F007624"/>
    <w:rsid w:val="7F2A46A1"/>
    <w:rsid w:val="7F2F3DF1"/>
    <w:rsid w:val="7F361298"/>
    <w:rsid w:val="7F386E8A"/>
    <w:rsid w:val="7F4219EB"/>
    <w:rsid w:val="7F480FCB"/>
    <w:rsid w:val="7F4A4D43"/>
    <w:rsid w:val="7F4B59B3"/>
    <w:rsid w:val="7F517E80"/>
    <w:rsid w:val="7F58166E"/>
    <w:rsid w:val="7F5E259D"/>
    <w:rsid w:val="7F8D1018"/>
    <w:rsid w:val="7F924932"/>
    <w:rsid w:val="7F933FC1"/>
    <w:rsid w:val="7F9D2EA8"/>
    <w:rsid w:val="7FB02E37"/>
    <w:rsid w:val="7FB26024"/>
    <w:rsid w:val="7FB66749"/>
    <w:rsid w:val="7FC6722F"/>
    <w:rsid w:val="7FFF1F8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qFormat="1" w:unhideWhenUsed="0" w:uiPriority="99" w:semiHidden="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iPriority="0" w:name="List Number"/>
    <w:lsdException w:uiPriority="0" w:name="List 2"/>
    <w:lsdException w:uiPriority="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qFormat="1"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iPriority="0" w:semiHidden="0" w:name="HTML Sample"/>
    <w:lsdException w:uiPriority="0" w:name="HTML Typewriter"/>
    <w:lsdException w:uiPriority="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0"/>
    <w:qFormat/>
    <w:uiPriority w:val="9"/>
    <w:pPr>
      <w:keepNext/>
      <w:keepLines/>
      <w:spacing w:before="340" w:after="330" w:line="578" w:lineRule="auto"/>
      <w:jc w:val="center"/>
      <w:outlineLvl w:val="0"/>
    </w:pPr>
    <w:rPr>
      <w:bCs/>
      <w:kern w:val="44"/>
      <w:sz w:val="44"/>
      <w:szCs w:val="44"/>
    </w:rPr>
  </w:style>
  <w:style w:type="paragraph" w:styleId="3">
    <w:name w:val="heading 2"/>
    <w:basedOn w:val="1"/>
    <w:next w:val="1"/>
    <w:link w:val="51"/>
    <w:qFormat/>
    <w:uiPriority w:val="0"/>
    <w:pPr>
      <w:keepNext/>
      <w:keepLines/>
      <w:spacing w:before="260" w:after="260" w:line="500" w:lineRule="exact"/>
      <w:contextualSpacing/>
      <w:jc w:val="center"/>
      <w:outlineLvl w:val="1"/>
    </w:pPr>
    <w:rPr>
      <w:rFonts w:ascii="宋体" w:hAnsi="宋体" w:eastAsia="宋体"/>
      <w:sz w:val="32"/>
      <w:szCs w:val="28"/>
    </w:rPr>
  </w:style>
  <w:style w:type="paragraph" w:styleId="4">
    <w:name w:val="heading 3"/>
    <w:basedOn w:val="1"/>
    <w:next w:val="1"/>
    <w:link w:val="52"/>
    <w:qFormat/>
    <w:uiPriority w:val="0"/>
    <w:pPr>
      <w:adjustRightInd w:val="0"/>
      <w:snapToGrid w:val="0"/>
      <w:spacing w:line="500" w:lineRule="exact"/>
      <w:ind w:left="-88" w:leftChars="-42"/>
      <w:jc w:val="center"/>
      <w:outlineLvl w:val="2"/>
    </w:pPr>
    <w:rPr>
      <w:rFonts w:ascii="仿宋_GB2312" w:hAnsi="宋体" w:eastAsia="宋体"/>
      <w:b/>
      <w:sz w:val="32"/>
      <w:szCs w:val="32"/>
    </w:rPr>
  </w:style>
  <w:style w:type="paragraph" w:styleId="5">
    <w:name w:val="heading 4"/>
    <w:basedOn w:val="1"/>
    <w:next w:val="1"/>
    <w:link w:val="5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4"/>
    <w:qFormat/>
    <w:uiPriority w:val="0"/>
    <w:pPr>
      <w:keepNext/>
      <w:keepLines/>
      <w:spacing w:before="280" w:after="290" w:line="376" w:lineRule="auto"/>
      <w:outlineLvl w:val="4"/>
    </w:pPr>
    <w:rPr>
      <w:b/>
      <w:bCs/>
      <w:sz w:val="28"/>
      <w:szCs w:val="28"/>
    </w:rPr>
  </w:style>
  <w:style w:type="paragraph" w:styleId="7">
    <w:name w:val="heading 6"/>
    <w:basedOn w:val="6"/>
    <w:next w:val="1"/>
    <w:link w:val="55"/>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56"/>
    <w:qFormat/>
    <w:uiPriority w:val="0"/>
    <w:pPr>
      <w:tabs>
        <w:tab w:val="left" w:pos="1800"/>
        <w:tab w:val="clear" w:pos="1440"/>
      </w:tabs>
      <w:ind w:left="1276" w:hanging="1276"/>
      <w:outlineLvl w:val="6"/>
    </w:pPr>
  </w:style>
  <w:style w:type="paragraph" w:styleId="9">
    <w:name w:val="heading 8"/>
    <w:basedOn w:val="8"/>
    <w:next w:val="1"/>
    <w:link w:val="57"/>
    <w:qFormat/>
    <w:uiPriority w:val="0"/>
    <w:pPr>
      <w:ind w:left="1418" w:hanging="1418"/>
      <w:outlineLvl w:val="7"/>
    </w:pPr>
  </w:style>
  <w:style w:type="paragraph" w:styleId="10">
    <w:name w:val="heading 9"/>
    <w:basedOn w:val="9"/>
    <w:next w:val="1"/>
    <w:link w:val="58"/>
    <w:qFormat/>
    <w:uiPriority w:val="0"/>
    <w:pPr>
      <w:tabs>
        <w:tab w:val="left" w:pos="2160"/>
        <w:tab w:val="clear" w:pos="1800"/>
      </w:tabs>
      <w:ind w:left="1559" w:hanging="1559"/>
      <w:outlineLvl w:val="8"/>
    </w:p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11">
    <w:name w:val="Normal Indent"/>
    <w:basedOn w:val="1"/>
    <w:link w:val="59"/>
    <w:unhideWhenUsed/>
    <w:qFormat/>
    <w:uiPriority w:val="0"/>
    <w:pPr>
      <w:ind w:firstLine="420" w:firstLineChars="200"/>
    </w:pPr>
  </w:style>
  <w:style w:type="paragraph" w:styleId="12">
    <w:name w:val="Document Map"/>
    <w:basedOn w:val="1"/>
    <w:link w:val="60"/>
    <w:qFormat/>
    <w:uiPriority w:val="0"/>
    <w:rPr>
      <w:rFonts w:ascii="宋体"/>
      <w:sz w:val="18"/>
      <w:szCs w:val="18"/>
    </w:rPr>
  </w:style>
  <w:style w:type="paragraph" w:styleId="13">
    <w:name w:val="toa heading"/>
    <w:basedOn w:val="1"/>
    <w:next w:val="1"/>
    <w:qFormat/>
    <w:uiPriority w:val="0"/>
    <w:pPr>
      <w:spacing w:before="120"/>
    </w:pPr>
    <w:rPr>
      <w:rFonts w:ascii="Arial" w:hAnsi="Arial" w:cs="Arial"/>
    </w:rPr>
  </w:style>
  <w:style w:type="paragraph" w:styleId="14">
    <w:name w:val="annotation text"/>
    <w:basedOn w:val="1"/>
    <w:link w:val="61"/>
    <w:qFormat/>
    <w:uiPriority w:val="0"/>
    <w:pPr>
      <w:jc w:val="left"/>
    </w:pPr>
  </w:style>
  <w:style w:type="paragraph" w:styleId="15">
    <w:name w:val="index 6"/>
    <w:basedOn w:val="1"/>
    <w:next w:val="1"/>
    <w:qFormat/>
    <w:uiPriority w:val="99"/>
    <w:pPr>
      <w:ind w:left="2100"/>
    </w:pPr>
  </w:style>
  <w:style w:type="paragraph" w:styleId="16">
    <w:name w:val="Body Text 3"/>
    <w:basedOn w:val="1"/>
    <w:next w:val="1"/>
    <w:qFormat/>
    <w:uiPriority w:val="0"/>
    <w:pPr>
      <w:spacing w:line="500" w:lineRule="exact"/>
    </w:pPr>
    <w:rPr>
      <w:b/>
      <w:sz w:val="24"/>
    </w:rPr>
  </w:style>
  <w:style w:type="paragraph" w:styleId="17">
    <w:name w:val="Body Text"/>
    <w:basedOn w:val="1"/>
    <w:next w:val="1"/>
    <w:unhideWhenUsed/>
    <w:qFormat/>
    <w:uiPriority w:val="0"/>
    <w:pPr>
      <w:spacing w:after="120"/>
    </w:pPr>
  </w:style>
  <w:style w:type="paragraph" w:styleId="18">
    <w:name w:val="Body Text Indent"/>
    <w:basedOn w:val="1"/>
    <w:next w:val="19"/>
    <w:qFormat/>
    <w:uiPriority w:val="0"/>
    <w:pPr>
      <w:ind w:firstLine="830" w:firstLineChars="352"/>
    </w:pPr>
    <w:rPr>
      <w:rFonts w:ascii="仿宋_GB2312" w:eastAsia="仿宋_GB2312"/>
      <w:sz w:val="32"/>
      <w:szCs w:val="20"/>
    </w:rPr>
  </w:style>
  <w:style w:type="paragraph" w:customStyle="1" w:styleId="19">
    <w:name w:val="toc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20">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21">
    <w:name w:val="toc 3"/>
    <w:basedOn w:val="1"/>
    <w:next w:val="1"/>
    <w:unhideWhenUsed/>
    <w:qFormat/>
    <w:uiPriority w:val="39"/>
    <w:pPr>
      <w:ind w:left="840" w:leftChars="400"/>
    </w:pPr>
  </w:style>
  <w:style w:type="paragraph" w:styleId="22">
    <w:name w:val="Plain Text"/>
    <w:basedOn w:val="1"/>
    <w:link w:val="62"/>
    <w:qFormat/>
    <w:uiPriority w:val="0"/>
    <w:rPr>
      <w:rFonts w:ascii="宋体" w:hAnsi="Courier New"/>
      <w:szCs w:val="21"/>
    </w:rPr>
  </w:style>
  <w:style w:type="paragraph" w:styleId="23">
    <w:name w:val="Date"/>
    <w:basedOn w:val="1"/>
    <w:next w:val="1"/>
    <w:qFormat/>
    <w:uiPriority w:val="0"/>
    <w:pPr>
      <w:ind w:left="100" w:leftChars="2500"/>
    </w:pPr>
    <w:rPr>
      <w:rFonts w:ascii="宋体" w:hAnsi="Courier New" w:cs="Courier New"/>
      <w:szCs w:val="21"/>
    </w:rPr>
  </w:style>
  <w:style w:type="paragraph" w:styleId="24">
    <w:name w:val="endnote text"/>
    <w:basedOn w:val="25"/>
    <w:link w:val="63"/>
    <w:qFormat/>
    <w:uiPriority w:val="0"/>
    <w:pPr>
      <w:snapToGrid w:val="0"/>
      <w:jc w:val="left"/>
    </w:pPr>
    <w:rPr>
      <w:rFonts w:ascii="Calibri" w:hAnsi="Calibri" w:eastAsia="宋体"/>
      <w:kern w:val="0"/>
      <w:sz w:val="24"/>
      <w:szCs w:val="24"/>
    </w:rPr>
  </w:style>
  <w:style w:type="paragraph" w:customStyle="1" w:styleId="25">
    <w:name w:val="正文_3_0"/>
    <w:basedOn w:val="26"/>
    <w:qFormat/>
    <w:uiPriority w:val="0"/>
    <w:pPr>
      <w:widowControl w:val="0"/>
      <w:jc w:val="both"/>
    </w:pPr>
    <w:rPr>
      <w:rFonts w:ascii="Calibri" w:hAnsi="Calibri"/>
      <w:kern w:val="2"/>
      <w:sz w:val="21"/>
      <w:szCs w:val="22"/>
      <w:lang w:val="en-US" w:eastAsia="zh-CN" w:bidi="ar-SA"/>
    </w:rPr>
  </w:style>
  <w:style w:type="paragraph" w:customStyle="1" w:styleId="26">
    <w:name w:val="正文_4"/>
    <w:basedOn w:val="27"/>
    <w:qFormat/>
    <w:uiPriority w:val="0"/>
    <w:pPr>
      <w:widowControl w:val="0"/>
      <w:jc w:val="both"/>
    </w:pPr>
    <w:rPr>
      <w:rFonts w:ascii="Calibri" w:hAnsi="Calibri"/>
      <w:kern w:val="2"/>
      <w:sz w:val="21"/>
      <w:szCs w:val="22"/>
      <w:lang w:val="en-US" w:eastAsia="zh-CN" w:bidi="ar-SA"/>
    </w:rPr>
  </w:style>
  <w:style w:type="paragraph" w:customStyle="1" w:styleId="27">
    <w:name w:val="正文_5"/>
    <w:qFormat/>
    <w:uiPriority w:val="0"/>
    <w:pPr>
      <w:widowControl w:val="0"/>
      <w:jc w:val="both"/>
    </w:pPr>
    <w:rPr>
      <w:rFonts w:ascii="Calibri" w:hAnsi="Calibri" w:eastAsia="宋体" w:cs="Times New Roman"/>
      <w:kern w:val="2"/>
      <w:sz w:val="21"/>
      <w:szCs w:val="22"/>
      <w:lang w:val="en-US" w:eastAsia="zh-CN" w:bidi="ar-SA"/>
    </w:rPr>
  </w:style>
  <w:style w:type="paragraph" w:styleId="28">
    <w:name w:val="Balloon Text"/>
    <w:basedOn w:val="1"/>
    <w:semiHidden/>
    <w:qFormat/>
    <w:uiPriority w:val="0"/>
    <w:rPr>
      <w:sz w:val="18"/>
      <w:szCs w:val="18"/>
    </w:rPr>
  </w:style>
  <w:style w:type="paragraph" w:styleId="29">
    <w:name w:val="footer"/>
    <w:basedOn w:val="1"/>
    <w:link w:val="64"/>
    <w:qFormat/>
    <w:uiPriority w:val="0"/>
    <w:pPr>
      <w:tabs>
        <w:tab w:val="center" w:pos="4153"/>
        <w:tab w:val="right" w:pos="8306"/>
      </w:tabs>
      <w:snapToGrid w:val="0"/>
      <w:jc w:val="left"/>
    </w:pPr>
    <w:rPr>
      <w:sz w:val="18"/>
      <w:szCs w:val="18"/>
    </w:rPr>
  </w:style>
  <w:style w:type="paragraph" w:styleId="30">
    <w:name w:val="header"/>
    <w:basedOn w:val="1"/>
    <w:link w:val="65"/>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right" w:leader="dot" w:pos="8222"/>
      </w:tabs>
      <w:spacing w:line="440" w:lineRule="exact"/>
      <w:ind w:right="231" w:rightChars="110"/>
    </w:pPr>
    <w:rPr>
      <w:sz w:val="28"/>
    </w:rPr>
  </w:style>
  <w:style w:type="paragraph" w:styleId="32">
    <w:name w:val="footnote text"/>
    <w:basedOn w:val="1"/>
    <w:qFormat/>
    <w:uiPriority w:val="0"/>
    <w:pPr>
      <w:spacing w:line="360" w:lineRule="auto"/>
    </w:pPr>
    <w:rPr>
      <w:rFonts w:ascii="Times New Roman" w:hAnsi="Times New Roman" w:eastAsia="宋体" w:cs="Times New Roman"/>
      <w:sz w:val="18"/>
      <w:szCs w:val="20"/>
    </w:rPr>
  </w:style>
  <w:style w:type="paragraph" w:styleId="33">
    <w:name w:val="Body Text Indent 3"/>
    <w:basedOn w:val="1"/>
    <w:link w:val="66"/>
    <w:unhideWhenUsed/>
    <w:qFormat/>
    <w:uiPriority w:val="0"/>
    <w:pPr>
      <w:spacing w:after="120"/>
      <w:ind w:left="420" w:leftChars="200"/>
    </w:pPr>
    <w:rPr>
      <w:sz w:val="16"/>
      <w:szCs w:val="16"/>
    </w:rPr>
  </w:style>
  <w:style w:type="paragraph" w:styleId="34">
    <w:name w:val="toc 2"/>
    <w:basedOn w:val="1"/>
    <w:next w:val="1"/>
    <w:qFormat/>
    <w:uiPriority w:val="39"/>
    <w:pPr>
      <w:tabs>
        <w:tab w:val="right" w:leader="dot" w:pos="8222"/>
      </w:tabs>
      <w:ind w:left="420" w:leftChars="200"/>
      <w:jc w:val="left"/>
    </w:pPr>
    <w:rPr>
      <w:sz w:val="28"/>
    </w:rPr>
  </w:style>
  <w:style w:type="paragraph" w:styleId="35">
    <w:name w:val="Normal (Web)"/>
    <w:basedOn w:val="1"/>
    <w:qFormat/>
    <w:uiPriority w:val="0"/>
    <w:pPr>
      <w:widowControl/>
      <w:spacing w:before="100" w:beforeAutospacing="1" w:after="100" w:afterAutospacing="1"/>
      <w:jc w:val="left"/>
    </w:pPr>
    <w:rPr>
      <w:rFonts w:ascii="宋体" w:hAnsi="宋体"/>
      <w:kern w:val="0"/>
      <w:sz w:val="24"/>
    </w:rPr>
  </w:style>
  <w:style w:type="paragraph" w:styleId="36">
    <w:name w:val="Title"/>
    <w:basedOn w:val="3"/>
    <w:next w:val="1"/>
    <w:link w:val="67"/>
    <w:qFormat/>
    <w:uiPriority w:val="0"/>
    <w:pPr>
      <w:jc w:val="both"/>
    </w:pPr>
    <w:rPr>
      <w:rFonts w:ascii="宋体"/>
      <w:sz w:val="44"/>
    </w:rPr>
  </w:style>
  <w:style w:type="paragraph" w:styleId="37">
    <w:name w:val="annotation subject"/>
    <w:basedOn w:val="14"/>
    <w:next w:val="14"/>
    <w:link w:val="68"/>
    <w:qFormat/>
    <w:uiPriority w:val="99"/>
    <w:rPr>
      <w:rFonts w:ascii="Times New Roman" w:hAnsi="Times New Roman"/>
      <w:b/>
      <w:sz w:val="28"/>
      <w:szCs w:val="20"/>
    </w:rPr>
  </w:style>
  <w:style w:type="paragraph" w:styleId="38">
    <w:name w:val="Body Text First Indent"/>
    <w:basedOn w:val="17"/>
    <w:unhideWhenUsed/>
    <w:qFormat/>
    <w:uiPriority w:val="0"/>
    <w:pPr>
      <w:ind w:firstLine="420" w:firstLineChars="100"/>
    </w:pPr>
  </w:style>
  <w:style w:type="paragraph" w:styleId="39">
    <w:name w:val="Body Text First Indent 2"/>
    <w:basedOn w:val="18"/>
    <w:next w:val="1"/>
    <w:semiHidden/>
    <w:qFormat/>
    <w:uiPriority w:val="0"/>
  </w:style>
  <w:style w:type="table" w:styleId="41">
    <w:name w:val="Table Grid"/>
    <w:basedOn w:val="4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endnote reference"/>
    <w:qFormat/>
    <w:uiPriority w:val="0"/>
    <w:rPr>
      <w:rFonts w:ascii="Calibri" w:hAnsi="Calibri" w:eastAsia="宋体" w:cs="Times New Roman"/>
      <w:vertAlign w:val="superscript"/>
    </w:rPr>
  </w:style>
  <w:style w:type="character" w:styleId="45">
    <w:name w:val="page number"/>
    <w:qFormat/>
    <w:uiPriority w:val="0"/>
  </w:style>
  <w:style w:type="character" w:styleId="46">
    <w:name w:val="FollowedHyperlink"/>
    <w:unhideWhenUsed/>
    <w:qFormat/>
    <w:uiPriority w:val="0"/>
    <w:rPr>
      <w:rFonts w:hint="eastAsia" w:ascii="微软雅黑" w:hAnsi="微软雅黑" w:eastAsia="微软雅黑" w:cs="微软雅黑"/>
      <w:color w:val="02396F"/>
      <w:u w:val="single"/>
    </w:rPr>
  </w:style>
  <w:style w:type="character" w:styleId="47">
    <w:name w:val="Hyperlink"/>
    <w:qFormat/>
    <w:uiPriority w:val="99"/>
    <w:rPr>
      <w:rFonts w:hint="eastAsia" w:ascii="微软雅黑" w:hAnsi="微软雅黑" w:eastAsia="微软雅黑" w:cs="微软雅黑"/>
      <w:color w:val="02396F"/>
      <w:u w:val="single"/>
    </w:rPr>
  </w:style>
  <w:style w:type="character" w:styleId="48">
    <w:name w:val="annotation reference"/>
    <w:unhideWhenUsed/>
    <w:qFormat/>
    <w:uiPriority w:val="0"/>
    <w:rPr>
      <w:sz w:val="21"/>
      <w:szCs w:val="21"/>
    </w:rPr>
  </w:style>
  <w:style w:type="character" w:styleId="49">
    <w:name w:val="HTML Sample"/>
    <w:unhideWhenUsed/>
    <w:qFormat/>
    <w:uiPriority w:val="0"/>
    <w:rPr>
      <w:rFonts w:ascii="Courier New" w:hAnsi="Courier New"/>
    </w:rPr>
  </w:style>
  <w:style w:type="character" w:customStyle="1" w:styleId="50">
    <w:name w:val="标题 1 字符"/>
    <w:link w:val="2"/>
    <w:qFormat/>
    <w:uiPriority w:val="9"/>
    <w:rPr>
      <w:rFonts w:ascii="Calibri" w:hAnsi="Calibri"/>
      <w:b/>
      <w:bCs/>
      <w:kern w:val="44"/>
      <w:sz w:val="44"/>
      <w:szCs w:val="44"/>
    </w:rPr>
  </w:style>
  <w:style w:type="character" w:customStyle="1" w:styleId="51">
    <w:name w:val="标题 2 字符"/>
    <w:link w:val="3"/>
    <w:qFormat/>
    <w:uiPriority w:val="0"/>
    <w:rPr>
      <w:rFonts w:ascii="宋体" w:hAnsi="宋体" w:eastAsia="宋体"/>
      <w:b/>
      <w:kern w:val="2"/>
      <w:sz w:val="32"/>
      <w:szCs w:val="28"/>
    </w:rPr>
  </w:style>
  <w:style w:type="character" w:customStyle="1" w:styleId="52">
    <w:name w:val="标题 3 字符"/>
    <w:link w:val="4"/>
    <w:qFormat/>
    <w:uiPriority w:val="0"/>
    <w:rPr>
      <w:rFonts w:ascii="仿宋_GB2312" w:hAnsi="宋体" w:eastAsia="宋体"/>
      <w:b/>
      <w:kern w:val="2"/>
      <w:sz w:val="32"/>
      <w:szCs w:val="32"/>
    </w:rPr>
  </w:style>
  <w:style w:type="character" w:customStyle="1" w:styleId="53">
    <w:name w:val="标题 4 字符"/>
    <w:link w:val="5"/>
    <w:qFormat/>
    <w:uiPriority w:val="0"/>
    <w:rPr>
      <w:rFonts w:ascii="Arial" w:hAnsi="Arial" w:eastAsia="黑体"/>
      <w:b/>
      <w:bCs/>
      <w:kern w:val="2"/>
      <w:sz w:val="28"/>
      <w:szCs w:val="28"/>
    </w:rPr>
  </w:style>
  <w:style w:type="character" w:customStyle="1" w:styleId="54">
    <w:name w:val="标题 5 字符"/>
    <w:link w:val="6"/>
    <w:qFormat/>
    <w:uiPriority w:val="0"/>
    <w:rPr>
      <w:rFonts w:ascii="Calibri" w:hAnsi="Calibri"/>
      <w:b/>
      <w:bCs/>
      <w:kern w:val="2"/>
      <w:sz w:val="28"/>
      <w:szCs w:val="28"/>
    </w:rPr>
  </w:style>
  <w:style w:type="character" w:customStyle="1" w:styleId="55">
    <w:name w:val="标题 6 字符"/>
    <w:link w:val="7"/>
    <w:qFormat/>
    <w:uiPriority w:val="0"/>
    <w:rPr>
      <w:b/>
      <w:bCs/>
      <w:kern w:val="2"/>
      <w:sz w:val="30"/>
      <w:szCs w:val="18"/>
    </w:rPr>
  </w:style>
  <w:style w:type="character" w:customStyle="1" w:styleId="56">
    <w:name w:val="标题 7 字符"/>
    <w:link w:val="8"/>
    <w:qFormat/>
    <w:uiPriority w:val="0"/>
    <w:rPr>
      <w:b/>
      <w:bCs/>
      <w:kern w:val="2"/>
      <w:sz w:val="30"/>
      <w:szCs w:val="18"/>
    </w:rPr>
  </w:style>
  <w:style w:type="character" w:customStyle="1" w:styleId="57">
    <w:name w:val="标题 8 字符"/>
    <w:link w:val="9"/>
    <w:qFormat/>
    <w:uiPriority w:val="0"/>
    <w:rPr>
      <w:b/>
      <w:bCs/>
      <w:kern w:val="2"/>
      <w:sz w:val="30"/>
      <w:szCs w:val="18"/>
    </w:rPr>
  </w:style>
  <w:style w:type="character" w:customStyle="1" w:styleId="58">
    <w:name w:val="标题 9 字符"/>
    <w:link w:val="10"/>
    <w:qFormat/>
    <w:uiPriority w:val="0"/>
    <w:rPr>
      <w:b/>
      <w:bCs/>
      <w:kern w:val="2"/>
      <w:sz w:val="30"/>
      <w:szCs w:val="18"/>
    </w:rPr>
  </w:style>
  <w:style w:type="character" w:customStyle="1" w:styleId="59">
    <w:name w:val="正文缩进 字符"/>
    <w:link w:val="11"/>
    <w:qFormat/>
    <w:uiPriority w:val="0"/>
    <w:rPr>
      <w:rFonts w:ascii="Calibri" w:hAnsi="Calibri" w:eastAsia="宋体"/>
      <w:kern w:val="2"/>
      <w:sz w:val="21"/>
      <w:szCs w:val="22"/>
      <w:lang w:val="en-US" w:eastAsia="zh-CN" w:bidi="ar-SA"/>
    </w:rPr>
  </w:style>
  <w:style w:type="character" w:customStyle="1" w:styleId="60">
    <w:name w:val="文档结构图 字符"/>
    <w:link w:val="12"/>
    <w:qFormat/>
    <w:uiPriority w:val="0"/>
    <w:rPr>
      <w:rFonts w:ascii="宋体" w:hAnsi="Calibri"/>
      <w:kern w:val="2"/>
      <w:sz w:val="18"/>
      <w:szCs w:val="18"/>
    </w:rPr>
  </w:style>
  <w:style w:type="character" w:customStyle="1" w:styleId="61">
    <w:name w:val="批注文字 字符"/>
    <w:link w:val="14"/>
    <w:qFormat/>
    <w:uiPriority w:val="0"/>
    <w:rPr>
      <w:rFonts w:ascii="Calibri" w:hAnsi="Calibri"/>
      <w:kern w:val="2"/>
      <w:sz w:val="21"/>
      <w:szCs w:val="22"/>
    </w:rPr>
  </w:style>
  <w:style w:type="character" w:customStyle="1" w:styleId="62">
    <w:name w:val="纯文本 字符"/>
    <w:link w:val="22"/>
    <w:qFormat/>
    <w:locked/>
    <w:uiPriority w:val="0"/>
    <w:rPr>
      <w:rFonts w:ascii="宋体" w:hAnsi="Courier New" w:eastAsia="宋体" w:cs="Courier New"/>
      <w:kern w:val="2"/>
      <w:sz w:val="21"/>
      <w:szCs w:val="21"/>
    </w:rPr>
  </w:style>
  <w:style w:type="character" w:customStyle="1" w:styleId="63">
    <w:name w:val="尾注文本 字符"/>
    <w:link w:val="24"/>
    <w:qFormat/>
    <w:locked/>
    <w:uiPriority w:val="0"/>
    <w:rPr>
      <w:sz w:val="24"/>
      <w:szCs w:val="24"/>
    </w:rPr>
  </w:style>
  <w:style w:type="character" w:customStyle="1" w:styleId="64">
    <w:name w:val="页脚 字符"/>
    <w:link w:val="29"/>
    <w:qFormat/>
    <w:uiPriority w:val="0"/>
    <w:rPr>
      <w:rFonts w:ascii="Calibri" w:hAnsi="Calibri"/>
      <w:kern w:val="2"/>
      <w:sz w:val="18"/>
      <w:szCs w:val="18"/>
    </w:rPr>
  </w:style>
  <w:style w:type="character" w:customStyle="1" w:styleId="65">
    <w:name w:val="页眉 字符"/>
    <w:link w:val="30"/>
    <w:qFormat/>
    <w:uiPriority w:val="99"/>
    <w:rPr>
      <w:rFonts w:ascii="Calibri" w:hAnsi="Calibri" w:eastAsia="宋体" w:cs="Times New Roman"/>
      <w:kern w:val="2"/>
      <w:sz w:val="18"/>
      <w:szCs w:val="18"/>
    </w:rPr>
  </w:style>
  <w:style w:type="character" w:customStyle="1" w:styleId="66">
    <w:name w:val="正文文本缩进 3 字符"/>
    <w:link w:val="33"/>
    <w:semiHidden/>
    <w:qFormat/>
    <w:uiPriority w:val="0"/>
    <w:rPr>
      <w:rFonts w:ascii="Calibri" w:hAnsi="Calibri"/>
      <w:kern w:val="2"/>
      <w:sz w:val="16"/>
      <w:szCs w:val="16"/>
    </w:rPr>
  </w:style>
  <w:style w:type="character" w:customStyle="1" w:styleId="67">
    <w:name w:val="标题 字符"/>
    <w:link w:val="36"/>
    <w:qFormat/>
    <w:uiPriority w:val="0"/>
    <w:rPr>
      <w:rFonts w:ascii="宋体" w:hAnsi="宋体" w:eastAsia="宋体"/>
      <w:b/>
      <w:kern w:val="2"/>
      <w:sz w:val="44"/>
      <w:szCs w:val="28"/>
    </w:rPr>
  </w:style>
  <w:style w:type="character" w:customStyle="1" w:styleId="68">
    <w:name w:val="批注主题 字符"/>
    <w:link w:val="37"/>
    <w:qFormat/>
    <w:uiPriority w:val="99"/>
    <w:rPr>
      <w:b/>
      <w:kern w:val="2"/>
      <w:sz w:val="28"/>
    </w:rPr>
  </w:style>
  <w:style w:type="paragraph" w:customStyle="1" w:styleId="69">
    <w:name w:val="Plain Text1"/>
    <w:basedOn w:val="1"/>
    <w:qFormat/>
    <w:uiPriority w:val="99"/>
    <w:rPr>
      <w:rFonts w:hAnsi="Courier New" w:cs="Courier New"/>
      <w:szCs w:val="21"/>
    </w:rPr>
  </w:style>
  <w:style w:type="paragraph" w:customStyle="1" w:styleId="70">
    <w:name w:val="Default"/>
    <w:next w:val="7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71">
    <w:name w:val="大标题"/>
    <w:basedOn w:val="1"/>
    <w:next w:val="39"/>
    <w:qFormat/>
    <w:uiPriority w:val="0"/>
    <w:pPr>
      <w:jc w:val="center"/>
    </w:pPr>
    <w:rPr>
      <w:rFonts w:ascii="Arial" w:hAnsi="Arial" w:eastAsia="宋体" w:cs="Times New Roman"/>
      <w:b/>
      <w:sz w:val="28"/>
      <w:szCs w:val="24"/>
    </w:rPr>
  </w:style>
  <w:style w:type="character" w:customStyle="1" w:styleId="72">
    <w:name w:val="hover26"/>
    <w:qFormat/>
    <w:uiPriority w:val="0"/>
    <w:rPr>
      <w:shd w:val="clear" w:color="auto" w:fill="F3F3F3"/>
    </w:rPr>
  </w:style>
  <w:style w:type="character" w:customStyle="1" w:styleId="73">
    <w:name w:val="prev3"/>
    <w:qFormat/>
    <w:uiPriority w:val="0"/>
    <w:rPr>
      <w:color w:val="888888"/>
    </w:rPr>
  </w:style>
  <w:style w:type="character" w:customStyle="1" w:styleId="74">
    <w:name w:val="prev2"/>
    <w:qFormat/>
    <w:uiPriority w:val="0"/>
    <w:rPr>
      <w:rFonts w:hint="eastAsia" w:ascii="微软雅黑" w:hAnsi="微软雅黑" w:eastAsia="微软雅黑" w:cs="微软雅黑"/>
      <w:sz w:val="21"/>
      <w:szCs w:val="21"/>
    </w:rPr>
  </w:style>
  <w:style w:type="character" w:customStyle="1" w:styleId="75">
    <w:name w:val="hover27"/>
    <w:qFormat/>
    <w:uiPriority w:val="0"/>
    <w:rPr>
      <w:shd w:val="clear" w:color="auto" w:fill="F3F3F3"/>
    </w:rPr>
  </w:style>
  <w:style w:type="character" w:customStyle="1" w:styleId="76">
    <w:name w:val="超链接_0"/>
    <w:qFormat/>
    <w:uiPriority w:val="99"/>
    <w:rPr>
      <w:rFonts w:ascii="Calibri" w:hAnsi="Calibri"/>
      <w:color w:val="0000FF"/>
      <w:u w:val="single"/>
    </w:rPr>
  </w:style>
  <w:style w:type="character" w:customStyle="1" w:styleId="77">
    <w:name w:val="font01"/>
    <w:qFormat/>
    <w:uiPriority w:val="0"/>
    <w:rPr>
      <w:rFonts w:hint="eastAsia" w:ascii="宋体" w:hAnsi="宋体" w:eastAsia="宋体" w:cs="宋体"/>
      <w:color w:val="000000"/>
      <w:sz w:val="22"/>
      <w:szCs w:val="22"/>
      <w:u w:val="none"/>
    </w:rPr>
  </w:style>
  <w:style w:type="character" w:customStyle="1" w:styleId="78">
    <w:name w:val="case31"/>
    <w:qFormat/>
    <w:uiPriority w:val="0"/>
    <w:rPr>
      <w:rFonts w:hint="default"/>
      <w:spacing w:val="390"/>
      <w:sz w:val="21"/>
      <w:szCs w:val="21"/>
    </w:rPr>
  </w:style>
  <w:style w:type="character" w:customStyle="1" w:styleId="79">
    <w:name w:val="正文缩进 Char_0"/>
    <w:link w:val="80"/>
    <w:qFormat/>
    <w:uiPriority w:val="0"/>
    <w:rPr>
      <w:rFonts w:ascii="Calibri" w:hAnsi="Calibri" w:eastAsia="宋体" w:cs="Times New Roman"/>
    </w:rPr>
  </w:style>
  <w:style w:type="paragraph" w:customStyle="1" w:styleId="80">
    <w:name w:val="正文缩进_1"/>
    <w:basedOn w:val="27"/>
    <w:link w:val="79"/>
    <w:unhideWhenUsed/>
    <w:qFormat/>
    <w:uiPriority w:val="0"/>
    <w:pPr>
      <w:ind w:firstLine="420" w:firstLineChars="200"/>
    </w:pPr>
    <w:rPr>
      <w:rFonts w:ascii="Calibri" w:hAnsi="Calibri"/>
    </w:rPr>
  </w:style>
  <w:style w:type="character" w:customStyle="1" w:styleId="81">
    <w:name w:val="qxdate"/>
    <w:qFormat/>
    <w:uiPriority w:val="0"/>
    <w:rPr>
      <w:color w:val="333333"/>
      <w:sz w:val="18"/>
      <w:szCs w:val="18"/>
    </w:rPr>
  </w:style>
  <w:style w:type="character" w:customStyle="1" w:styleId="82">
    <w:name w:val="next"/>
    <w:qFormat/>
    <w:uiPriority w:val="0"/>
    <w:rPr>
      <w:rFonts w:ascii="微软雅黑" w:hAnsi="微软雅黑" w:eastAsia="微软雅黑" w:cs="微软雅黑"/>
      <w:sz w:val="21"/>
      <w:szCs w:val="21"/>
    </w:rPr>
  </w:style>
  <w:style w:type="character" w:customStyle="1" w:styleId="83">
    <w:name w:val="日期 Char"/>
    <w:link w:val="84"/>
    <w:qFormat/>
    <w:uiPriority w:val="0"/>
    <w:rPr>
      <w:rFonts w:ascii="宋体" w:hAnsi="Courier New" w:cs="Courier New"/>
      <w:kern w:val="2"/>
      <w:sz w:val="21"/>
      <w:szCs w:val="21"/>
    </w:rPr>
  </w:style>
  <w:style w:type="paragraph" w:customStyle="1" w:styleId="84">
    <w:name w:val="日期_0"/>
    <w:basedOn w:val="85"/>
    <w:next w:val="86"/>
    <w:link w:val="83"/>
    <w:qFormat/>
    <w:uiPriority w:val="0"/>
    <w:pPr>
      <w:ind w:left="100" w:leftChars="2500"/>
    </w:pPr>
    <w:rPr>
      <w:rFonts w:ascii="宋体" w:hAnsi="Courier New" w:cs="Courier New"/>
      <w:szCs w:val="21"/>
    </w:rPr>
  </w:style>
  <w:style w:type="paragraph" w:customStyle="1" w:styleId="85">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86">
    <w:name w:val="正文_2"/>
    <w:basedOn w:val="87"/>
    <w:qFormat/>
    <w:uiPriority w:val="0"/>
    <w:pPr>
      <w:widowControl w:val="0"/>
      <w:jc w:val="both"/>
    </w:pPr>
    <w:rPr>
      <w:rFonts w:ascii="Calibri" w:hAnsi="Calibri"/>
      <w:kern w:val="2"/>
      <w:sz w:val="21"/>
      <w:szCs w:val="22"/>
      <w:lang w:val="en-US" w:eastAsia="zh-CN" w:bidi="ar-SA"/>
    </w:rPr>
  </w:style>
  <w:style w:type="paragraph" w:customStyle="1" w:styleId="87">
    <w:name w:val="正文_1"/>
    <w:next w:val="38"/>
    <w:qFormat/>
    <w:uiPriority w:val="0"/>
    <w:pPr>
      <w:widowControl w:val="0"/>
      <w:jc w:val="both"/>
    </w:pPr>
    <w:rPr>
      <w:rFonts w:ascii="Calibri" w:hAnsi="Calibri" w:eastAsia="宋体" w:cs="Times New Roman"/>
      <w:kern w:val="2"/>
      <w:sz w:val="21"/>
      <w:szCs w:val="22"/>
      <w:lang w:val="en-US" w:eastAsia="zh-CN" w:bidi="ar-SA"/>
    </w:rPr>
  </w:style>
  <w:style w:type="paragraph" w:customStyle="1" w:styleId="88">
    <w:name w:val="列表_0"/>
    <w:basedOn w:val="87"/>
    <w:semiHidden/>
    <w:qFormat/>
    <w:locked/>
    <w:uiPriority w:val="0"/>
    <w:pPr>
      <w:ind w:left="200" w:hanging="200" w:hangingChars="200"/>
    </w:pPr>
  </w:style>
  <w:style w:type="paragraph" w:customStyle="1" w:styleId="89">
    <w:name w:val="正文文本_1"/>
    <w:basedOn w:val="90"/>
    <w:link w:val="96"/>
    <w:unhideWhenUsed/>
    <w:qFormat/>
    <w:uiPriority w:val="0"/>
    <w:pPr>
      <w:spacing w:after="120"/>
    </w:pPr>
    <w:rPr>
      <w:rFonts w:ascii="Calibri" w:hAnsi="Calibri" w:eastAsia="宋体" w:cs="Times New Roman"/>
    </w:rPr>
  </w:style>
  <w:style w:type="paragraph" w:customStyle="1" w:styleId="90">
    <w:name w:val="正文_1_0"/>
    <w:next w:val="9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1">
    <w:name w:val="正文首行缩进1"/>
    <w:basedOn w:val="92"/>
    <w:unhideWhenUsed/>
    <w:qFormat/>
    <w:uiPriority w:val="99"/>
    <w:pPr>
      <w:ind w:firstLine="420" w:firstLineChars="100"/>
    </w:pPr>
    <w:rPr>
      <w:szCs w:val="22"/>
    </w:rPr>
  </w:style>
  <w:style w:type="paragraph" w:customStyle="1" w:styleId="92">
    <w:name w:val="正文文本_0_0"/>
    <w:basedOn w:val="93"/>
    <w:link w:val="95"/>
    <w:qFormat/>
    <w:uiPriority w:val="99"/>
    <w:rPr>
      <w:rFonts w:ascii="Calibri" w:hAnsi="Calibri" w:eastAsia="黑体"/>
      <w:kern w:val="0"/>
      <w:sz w:val="36"/>
      <w:szCs w:val="24"/>
    </w:rPr>
  </w:style>
  <w:style w:type="paragraph" w:customStyle="1" w:styleId="93">
    <w:name w:val="正文_12_0"/>
    <w:basedOn w:val="94"/>
    <w:qFormat/>
    <w:uiPriority w:val="0"/>
    <w:rPr>
      <w:rFonts w:cs="Calibri"/>
      <w:szCs w:val="21"/>
    </w:rPr>
  </w:style>
  <w:style w:type="paragraph" w:customStyle="1" w:styleId="94">
    <w:name w:val="正文_13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95">
    <w:name w:val="正文文本 Char_0"/>
    <w:link w:val="92"/>
    <w:qFormat/>
    <w:uiPriority w:val="99"/>
    <w:rPr>
      <w:rFonts w:eastAsia="黑体"/>
      <w:sz w:val="36"/>
      <w:szCs w:val="24"/>
    </w:rPr>
  </w:style>
  <w:style w:type="character" w:customStyle="1" w:styleId="96">
    <w:name w:val="正文文本 Char"/>
    <w:link w:val="89"/>
    <w:semiHidden/>
    <w:qFormat/>
    <w:uiPriority w:val="0"/>
    <w:rPr>
      <w:rFonts w:ascii="Calibri" w:hAnsi="Calibri" w:eastAsia="宋体" w:cs="Times New Roman"/>
    </w:rPr>
  </w:style>
  <w:style w:type="paragraph" w:customStyle="1" w:styleId="97">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8">
    <w:name w:val="cfdate"/>
    <w:qFormat/>
    <w:uiPriority w:val="0"/>
    <w:rPr>
      <w:color w:val="333333"/>
      <w:sz w:val="18"/>
      <w:szCs w:val="18"/>
    </w:rPr>
  </w:style>
  <w:style w:type="character" w:customStyle="1" w:styleId="99">
    <w:name w:val="gjfg"/>
    <w:qFormat/>
    <w:uiPriority w:val="0"/>
  </w:style>
  <w:style w:type="character" w:customStyle="1" w:styleId="100">
    <w:name w:val="hover28"/>
    <w:qFormat/>
    <w:uiPriority w:val="0"/>
    <w:rPr>
      <w:sz w:val="21"/>
      <w:szCs w:val="21"/>
    </w:rPr>
  </w:style>
  <w:style w:type="character" w:customStyle="1" w:styleId="101">
    <w:name w:val="next1"/>
    <w:qFormat/>
    <w:uiPriority w:val="0"/>
    <w:rPr>
      <w:color w:val="888888"/>
    </w:rPr>
  </w:style>
  <w:style w:type="character" w:customStyle="1" w:styleId="102">
    <w:name w:val="selected"/>
    <w:qFormat/>
    <w:uiPriority w:val="0"/>
    <w:rPr>
      <w:shd w:val="clear" w:color="auto" w:fill="B00006"/>
    </w:rPr>
  </w:style>
  <w:style w:type="character" w:customStyle="1" w:styleId="103">
    <w:name w:val="next3"/>
    <w:qFormat/>
    <w:uiPriority w:val="0"/>
    <w:rPr>
      <w:rFonts w:ascii="微软雅黑" w:hAnsi="微软雅黑" w:eastAsia="微软雅黑" w:cs="微软雅黑"/>
      <w:sz w:val="21"/>
      <w:szCs w:val="21"/>
    </w:rPr>
  </w:style>
  <w:style w:type="character" w:customStyle="1" w:styleId="104">
    <w:name w:val="prev"/>
    <w:qFormat/>
    <w:uiPriority w:val="0"/>
    <w:rPr>
      <w:rFonts w:hint="eastAsia" w:ascii="微软雅黑" w:hAnsi="微软雅黑" w:eastAsia="微软雅黑" w:cs="微软雅黑"/>
      <w:sz w:val="21"/>
      <w:szCs w:val="21"/>
    </w:rPr>
  </w:style>
  <w:style w:type="character" w:customStyle="1" w:styleId="105">
    <w:name w:val="2册标题2 Char"/>
    <w:link w:val="106"/>
    <w:qFormat/>
    <w:uiPriority w:val="0"/>
    <w:rPr>
      <w:rFonts w:ascii="Arial" w:hAnsi="Arial" w:eastAsia="黑体"/>
      <w:kern w:val="2"/>
      <w:sz w:val="30"/>
    </w:rPr>
  </w:style>
  <w:style w:type="paragraph" w:customStyle="1" w:styleId="106">
    <w:name w:val="2册标题2"/>
    <w:basedOn w:val="1"/>
    <w:next w:val="1"/>
    <w:link w:val="105"/>
    <w:qFormat/>
    <w:uiPriority w:val="0"/>
    <w:pPr>
      <w:spacing w:beforeLines="50" w:afterLines="50" w:line="300" w:lineRule="auto"/>
      <w:outlineLvl w:val="1"/>
    </w:pPr>
    <w:rPr>
      <w:rFonts w:ascii="Arial" w:hAnsi="Arial" w:eastAsia="黑体"/>
      <w:sz w:val="30"/>
      <w:szCs w:val="20"/>
    </w:rPr>
  </w:style>
  <w:style w:type="character" w:customStyle="1" w:styleId="107">
    <w:name w:val="next2"/>
    <w:qFormat/>
    <w:uiPriority w:val="0"/>
    <w:rPr>
      <w:color w:val="888888"/>
    </w:rPr>
  </w:style>
  <w:style w:type="character" w:customStyle="1" w:styleId="108">
    <w:name w:val="font31"/>
    <w:qFormat/>
    <w:uiPriority w:val="0"/>
    <w:rPr>
      <w:rFonts w:hint="eastAsia" w:ascii="宋体" w:hAnsi="宋体" w:eastAsia="宋体" w:cs="宋体"/>
      <w:color w:val="000000"/>
      <w:sz w:val="22"/>
      <w:szCs w:val="22"/>
      <w:u w:val="none"/>
    </w:rPr>
  </w:style>
  <w:style w:type="character" w:customStyle="1" w:styleId="109">
    <w:name w:val="批注主题 Char1"/>
    <w:qFormat/>
    <w:uiPriority w:val="0"/>
    <w:rPr>
      <w:rFonts w:ascii="Calibri" w:hAnsi="Calibri"/>
      <w:b/>
      <w:bCs/>
      <w:kern w:val="2"/>
      <w:sz w:val="21"/>
      <w:szCs w:val="22"/>
    </w:rPr>
  </w:style>
  <w:style w:type="character" w:customStyle="1" w:styleId="110">
    <w:name w:val="正文缩进 Char_1"/>
    <w:link w:val="111"/>
    <w:qFormat/>
    <w:uiPriority w:val="0"/>
    <w:rPr>
      <w:rFonts w:ascii="Calibri" w:hAnsi="Calibri" w:eastAsia="宋体" w:cs="Times New Roman"/>
    </w:rPr>
  </w:style>
  <w:style w:type="paragraph" w:customStyle="1" w:styleId="111">
    <w:name w:val="正文缩进_2"/>
    <w:basedOn w:val="112"/>
    <w:link w:val="110"/>
    <w:unhideWhenUsed/>
    <w:qFormat/>
    <w:uiPriority w:val="0"/>
    <w:pPr>
      <w:ind w:firstLine="420" w:firstLineChars="200"/>
    </w:pPr>
    <w:rPr>
      <w:rFonts w:ascii="Calibri" w:hAnsi="Calibri" w:eastAsia="宋体"/>
    </w:rPr>
  </w:style>
  <w:style w:type="paragraph" w:customStyle="1" w:styleId="112">
    <w:name w:val="正文_15"/>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3">
    <w:name w:val="gpa"/>
    <w:qFormat/>
    <w:uiPriority w:val="0"/>
    <w:rPr>
      <w:rFonts w:ascii="Arial" w:hAnsi="Arial" w:cs="Arial"/>
      <w:sz w:val="15"/>
      <w:szCs w:val="15"/>
    </w:rPr>
  </w:style>
  <w:style w:type="character" w:customStyle="1" w:styleId="114">
    <w:name w:val="普通文字 Char Char2"/>
    <w:qFormat/>
    <w:uiPriority w:val="0"/>
    <w:rPr>
      <w:rFonts w:ascii="宋体" w:hAnsi="Courier New" w:cs="Courier New"/>
      <w:kern w:val="2"/>
      <w:sz w:val="21"/>
      <w:szCs w:val="21"/>
    </w:rPr>
  </w:style>
  <w:style w:type="character" w:customStyle="1" w:styleId="115">
    <w:name w:val="redfilenumber"/>
    <w:qFormat/>
    <w:uiPriority w:val="0"/>
    <w:rPr>
      <w:color w:val="BA2636"/>
      <w:sz w:val="18"/>
      <w:szCs w:val="18"/>
    </w:rPr>
  </w:style>
  <w:style w:type="character" w:customStyle="1" w:styleId="116">
    <w:name w:val="redfilefwwh"/>
    <w:qFormat/>
    <w:uiPriority w:val="0"/>
    <w:rPr>
      <w:color w:val="BA2636"/>
      <w:sz w:val="18"/>
      <w:szCs w:val="18"/>
    </w:rPr>
  </w:style>
  <w:style w:type="character" w:customStyle="1" w:styleId="117">
    <w:name w:val="displayarti"/>
    <w:qFormat/>
    <w:uiPriority w:val="0"/>
    <w:rPr>
      <w:color w:val="FFFFFF"/>
      <w:shd w:val="clear" w:color="auto" w:fill="A00000"/>
    </w:rPr>
  </w:style>
  <w:style w:type="character" w:customStyle="1" w:styleId="118">
    <w:name w:val="prev1"/>
    <w:qFormat/>
    <w:uiPriority w:val="0"/>
    <w:rPr>
      <w:color w:val="888888"/>
    </w:rPr>
  </w:style>
  <w:style w:type="character" w:customStyle="1" w:styleId="119">
    <w:name w:val="需求样式 Char"/>
    <w:link w:val="120"/>
    <w:qFormat/>
    <w:uiPriority w:val="0"/>
    <w:rPr>
      <w:b/>
      <w:bCs/>
      <w:kern w:val="44"/>
      <w:sz w:val="32"/>
      <w:szCs w:val="28"/>
    </w:rPr>
  </w:style>
  <w:style w:type="paragraph" w:customStyle="1" w:styleId="120">
    <w:name w:val="需求样式"/>
    <w:basedOn w:val="2"/>
    <w:link w:val="119"/>
    <w:qFormat/>
    <w:uiPriority w:val="0"/>
    <w:pPr>
      <w:spacing w:before="120" w:after="120" w:line="360" w:lineRule="auto"/>
      <w:ind w:left="425" w:hanging="425"/>
    </w:pPr>
    <w:rPr>
      <w:rFonts w:ascii="Times New Roman" w:hAnsi="Times New Roman"/>
      <w:sz w:val="32"/>
      <w:szCs w:val="28"/>
    </w:rPr>
  </w:style>
  <w:style w:type="paragraph" w:customStyle="1" w:styleId="121">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
    <w:name w:val="正文_6_0_0"/>
    <w:basedOn w:val="123"/>
    <w:qFormat/>
    <w:uiPriority w:val="0"/>
    <w:rPr>
      <w:rFonts w:ascii="Calibri" w:hAnsi="Calibri" w:eastAsia="宋体" w:cs="Calibri"/>
      <w:szCs w:val="21"/>
    </w:rPr>
  </w:style>
  <w:style w:type="paragraph" w:customStyle="1" w:styleId="123">
    <w:name w:val="正文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样式1"/>
    <w:basedOn w:val="125"/>
    <w:qFormat/>
    <w:uiPriority w:val="0"/>
    <w:pPr>
      <w:tabs>
        <w:tab w:val="left" w:pos="709"/>
      </w:tabs>
      <w:adjustRightInd w:val="0"/>
      <w:ind w:left="709" w:hanging="709"/>
      <w:textAlignment w:val="baseline"/>
    </w:pPr>
    <w:rPr>
      <w:rFonts w:ascii="宋体" w:hAnsi="宋体"/>
      <w:kern w:val="0"/>
      <w:szCs w:val="21"/>
    </w:rPr>
  </w:style>
  <w:style w:type="paragraph" w:customStyle="1" w:styleId="125">
    <w:name w:val="Normal_0"/>
    <w:qFormat/>
    <w:uiPriority w:val="0"/>
    <w:rPr>
      <w:rFonts w:ascii="Times New Roman" w:hAnsi="Times New Roman" w:eastAsia="Times New Roman" w:cs="Times New Roman"/>
      <w:sz w:val="24"/>
      <w:szCs w:val="24"/>
      <w:lang w:bidi="ar-SA"/>
    </w:rPr>
  </w:style>
  <w:style w:type="paragraph" w:customStyle="1" w:styleId="126">
    <w:name w:val="正文文本缩进 2_0"/>
    <w:basedOn w:val="127"/>
    <w:qFormat/>
    <w:uiPriority w:val="0"/>
    <w:pPr>
      <w:spacing w:line="360" w:lineRule="auto"/>
      <w:ind w:firstLine="570"/>
    </w:pPr>
    <w:rPr>
      <w:rFonts w:ascii="宋体" w:hAnsi="宋体" w:eastAsia="宋体" w:cs="Times New Roman"/>
      <w:iCs/>
      <w:sz w:val="28"/>
      <w:szCs w:val="20"/>
    </w:rPr>
  </w:style>
  <w:style w:type="paragraph" w:customStyle="1" w:styleId="127">
    <w:name w:val="正文_3"/>
    <w:qFormat/>
    <w:uiPriority w:val="0"/>
    <w:pPr>
      <w:widowControl w:val="0"/>
      <w:jc w:val="both"/>
    </w:pPr>
    <w:rPr>
      <w:rFonts w:ascii="Calibri" w:hAnsi="Calibri" w:eastAsia="宋体" w:cs="Times New Roman"/>
      <w:kern w:val="2"/>
      <w:sz w:val="21"/>
      <w:szCs w:val="22"/>
      <w:lang w:val="en-US" w:eastAsia="zh-CN" w:bidi="ar-SA"/>
    </w:rPr>
  </w:style>
  <w:style w:type="paragraph" w:styleId="128">
    <w:name w:val="No Spacing"/>
    <w:qFormat/>
    <w:uiPriority w:val="1"/>
    <w:pPr>
      <w:widowControl w:val="0"/>
      <w:jc w:val="center"/>
    </w:pPr>
    <w:rPr>
      <w:rFonts w:ascii="Times New Roman" w:hAnsi="Times New Roman" w:eastAsia="黑体" w:cs="Times New Roman"/>
      <w:kern w:val="2"/>
      <w:sz w:val="30"/>
      <w:szCs w:val="24"/>
      <w:lang w:val="en-US" w:eastAsia="zh-CN" w:bidi="ar-SA"/>
    </w:rPr>
  </w:style>
  <w:style w:type="paragraph" w:styleId="129">
    <w:name w:val="List Paragraph"/>
    <w:basedOn w:val="1"/>
    <w:qFormat/>
    <w:uiPriority w:val="99"/>
    <w:pPr>
      <w:ind w:firstLine="420" w:firstLineChars="200"/>
    </w:pPr>
  </w:style>
  <w:style w:type="paragraph" w:customStyle="1" w:styleId="130">
    <w:name w:val="Normal_3"/>
    <w:qFormat/>
    <w:uiPriority w:val="0"/>
    <w:rPr>
      <w:rFonts w:ascii="黑体" w:hAnsi="黑体" w:eastAsia="黑体" w:cs="Times New Roman"/>
      <w:b/>
      <w:sz w:val="32"/>
      <w:szCs w:val="24"/>
      <w:lang w:bidi="ar-SA"/>
    </w:rPr>
  </w:style>
  <w:style w:type="paragraph" w:customStyle="1" w:styleId="131">
    <w:name w:val="Normal_4"/>
    <w:qFormat/>
    <w:uiPriority w:val="0"/>
    <w:rPr>
      <w:rFonts w:ascii="黑体" w:hAnsi="黑体" w:eastAsia="黑体" w:cs="Times New Roman"/>
      <w:b/>
      <w:sz w:val="32"/>
      <w:szCs w:val="24"/>
      <w:lang w:bidi="ar-SA"/>
    </w:rPr>
  </w:style>
  <w:style w:type="paragraph" w:customStyle="1" w:styleId="132">
    <w:name w:val="Normal_10"/>
    <w:qFormat/>
    <w:uiPriority w:val="0"/>
    <w:rPr>
      <w:rFonts w:ascii="黑体" w:hAnsi="黑体" w:eastAsia="黑体" w:cs="Times New Roman"/>
      <w:b/>
      <w:sz w:val="32"/>
      <w:szCs w:val="24"/>
      <w:lang w:bidi="ar-SA"/>
    </w:rPr>
  </w:style>
  <w:style w:type="paragraph" w:customStyle="1" w:styleId="133">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34">
    <w:name w:val="Normal_8"/>
    <w:qFormat/>
    <w:uiPriority w:val="0"/>
    <w:rPr>
      <w:rFonts w:ascii="黑体" w:hAnsi="黑体" w:eastAsia="黑体" w:cs="Times New Roman"/>
      <w:b/>
      <w:sz w:val="32"/>
      <w:szCs w:val="24"/>
      <w:lang w:bidi="ar-SA"/>
    </w:rPr>
  </w:style>
  <w:style w:type="paragraph" w:customStyle="1" w:styleId="135">
    <w:name w:val="标题 3_0"/>
    <w:basedOn w:val="86"/>
    <w:next w:val="86"/>
    <w:unhideWhenUsed/>
    <w:qFormat/>
    <w:uiPriority w:val="9"/>
    <w:pPr>
      <w:keepNext/>
      <w:keepLines/>
      <w:spacing w:before="260" w:after="260" w:line="416" w:lineRule="auto"/>
      <w:outlineLvl w:val="2"/>
    </w:pPr>
    <w:rPr>
      <w:b/>
      <w:bCs/>
      <w:sz w:val="32"/>
      <w:szCs w:val="32"/>
    </w:rPr>
  </w:style>
  <w:style w:type="paragraph" w:customStyle="1" w:styleId="136">
    <w:name w:val="正文_0_1_0_0"/>
    <w:basedOn w:val="123"/>
    <w:qFormat/>
    <w:uiPriority w:val="0"/>
    <w:rPr>
      <w:rFonts w:ascii="Calibri" w:hAnsi="Calibri" w:eastAsia="宋体" w:cs="Calibri"/>
      <w:szCs w:val="21"/>
    </w:rPr>
  </w:style>
  <w:style w:type="paragraph" w:customStyle="1" w:styleId="137">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8">
    <w:name w:val="正文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139">
    <w:name w:val="Normal_26"/>
    <w:qFormat/>
    <w:uiPriority w:val="0"/>
    <w:pPr>
      <w:widowControl w:val="0"/>
      <w:jc w:val="both"/>
    </w:pPr>
    <w:rPr>
      <w:rFonts w:ascii="Times New Roman" w:hAnsi="Times New Roman" w:eastAsia="宋体" w:cs="Times New Roman"/>
      <w:szCs w:val="24"/>
      <w:lang w:val="en-US" w:eastAsia="zh-CN" w:bidi="ar-SA"/>
    </w:rPr>
  </w:style>
  <w:style w:type="paragraph" w:customStyle="1" w:styleId="140">
    <w:name w:val="TOC 标题2"/>
    <w:basedOn w:val="2"/>
    <w:next w:val="1"/>
    <w:unhideWhenUsed/>
    <w:qFormat/>
    <w:uiPriority w:val="39"/>
    <w:pPr>
      <w:widowControl/>
      <w:spacing w:before="240" w:after="0" w:line="259" w:lineRule="auto"/>
      <w:jc w:val="left"/>
      <w:outlineLvl w:val="9"/>
    </w:pPr>
    <w:rPr>
      <w:rFonts w:ascii="Cambria" w:hAnsi="Cambria" w:eastAsia="宋体" w:cs="Times New Roman"/>
      <w:b/>
      <w:bCs w:val="0"/>
      <w:color w:val="365F91"/>
      <w:kern w:val="0"/>
      <w:sz w:val="32"/>
      <w:szCs w:val="32"/>
    </w:rPr>
  </w:style>
  <w:style w:type="paragraph" w:customStyle="1" w:styleId="141">
    <w:name w:val="Heading 7"/>
    <w:basedOn w:val="142"/>
    <w:qFormat/>
    <w:uiPriority w:val="0"/>
    <w:pPr>
      <w:spacing w:before="35" w:after="100" w:afterAutospacing="1"/>
      <w:ind w:left="157"/>
      <w:jc w:val="left"/>
      <w:outlineLvl w:val="7"/>
    </w:pPr>
    <w:rPr>
      <w:rFonts w:ascii="宋体" w:hAnsi="宋体" w:eastAsia="宋体" w:cs="宋体"/>
      <w:b/>
      <w:bCs/>
      <w:kern w:val="0"/>
    </w:rPr>
  </w:style>
  <w:style w:type="paragraph" w:customStyle="1" w:styleId="142">
    <w:name w:val="正文_4_0_0_0"/>
    <w:basedOn w:val="123"/>
    <w:qFormat/>
    <w:uiPriority w:val="0"/>
    <w:rPr>
      <w:rFonts w:ascii="Calibri" w:hAnsi="Calibri" w:eastAsia="宋体" w:cs="Calibri"/>
      <w:szCs w:val="21"/>
    </w:rPr>
  </w:style>
  <w:style w:type="paragraph" w:customStyle="1" w:styleId="143">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4">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5">
    <w:name w:val="正文段"/>
    <w:basedOn w:val="1"/>
    <w:qFormat/>
    <w:uiPriority w:val="0"/>
    <w:pPr>
      <w:widowControl/>
      <w:snapToGrid w:val="0"/>
      <w:spacing w:afterLines="50" w:line="240" w:lineRule="auto"/>
      <w:jc w:val="both"/>
    </w:pPr>
    <w:rPr>
      <w:rFonts w:ascii="Times New Roman" w:hAnsi="Times New Roman" w:eastAsia="宋体"/>
      <w:kern w:val="0"/>
      <w:sz w:val="24"/>
      <w:szCs w:val="20"/>
    </w:rPr>
  </w:style>
  <w:style w:type="paragraph" w:customStyle="1" w:styleId="146">
    <w:name w:val="Normal_17"/>
    <w:basedOn w:val="123"/>
    <w:qFormat/>
    <w:uiPriority w:val="0"/>
    <w:rPr>
      <w:rFonts w:ascii="黑体" w:hAnsi="黑体" w:eastAsia="黑体"/>
      <w:b/>
      <w:sz w:val="32"/>
      <w:szCs w:val="24"/>
      <w:lang w:bidi="ar-SA"/>
    </w:rPr>
  </w:style>
  <w:style w:type="paragraph" w:customStyle="1" w:styleId="147">
    <w:name w:val="样式 正文首行缩进 2 + 左侧:  2 字符 首行缩进:  2 字符"/>
    <w:basedOn w:val="39"/>
    <w:qFormat/>
    <w:uiPriority w:val="99"/>
    <w:pPr>
      <w:ind w:left="0" w:leftChars="0" w:firstLine="0" w:firstLineChars="0"/>
    </w:pPr>
    <w:rPr>
      <w:rFonts w:cs="宋体"/>
      <w:color w:val="000000"/>
      <w:sz w:val="21"/>
    </w:rPr>
  </w:style>
  <w:style w:type="paragraph" w:customStyle="1" w:styleId="148">
    <w:name w:val="TOC 标题1"/>
    <w:basedOn w:val="2"/>
    <w:next w:val="1"/>
    <w:qFormat/>
    <w:uiPriority w:val="39"/>
    <w:pPr>
      <w:widowControl/>
      <w:spacing w:before="480" w:after="0" w:line="276" w:lineRule="auto"/>
      <w:jc w:val="left"/>
      <w:outlineLvl w:val="9"/>
    </w:pPr>
    <w:rPr>
      <w:rFonts w:ascii="Cambria" w:hAnsi="Cambria"/>
      <w:color w:val="365F91"/>
      <w:kern w:val="0"/>
      <w:sz w:val="28"/>
    </w:rPr>
  </w:style>
  <w:style w:type="paragraph" w:customStyle="1" w:styleId="149">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50">
    <w:name w:val="Normal_15"/>
    <w:qFormat/>
    <w:uiPriority w:val="0"/>
    <w:rPr>
      <w:rFonts w:ascii="黑体" w:hAnsi="黑体" w:eastAsia="黑体" w:cs="Times New Roman"/>
      <w:b/>
      <w:sz w:val="32"/>
      <w:szCs w:val="24"/>
      <w:lang w:bidi="ar-SA"/>
    </w:rPr>
  </w:style>
  <w:style w:type="paragraph" w:customStyle="1" w:styleId="151">
    <w:name w:val="正文_1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2">
    <w:name w:val="修订1"/>
    <w:semiHidden/>
    <w:qFormat/>
    <w:uiPriority w:val="99"/>
    <w:rPr>
      <w:rFonts w:ascii="Calibri" w:hAnsi="Calibri" w:eastAsia="宋体" w:cs="Times New Roman"/>
      <w:kern w:val="2"/>
      <w:sz w:val="21"/>
      <w:szCs w:val="22"/>
      <w:lang w:val="en-US" w:eastAsia="zh-CN" w:bidi="ar-SA"/>
    </w:rPr>
  </w:style>
  <w:style w:type="paragraph" w:customStyle="1" w:styleId="153">
    <w:name w:val="正文_2_1"/>
    <w:basedOn w:val="1"/>
    <w:qFormat/>
    <w:uiPriority w:val="0"/>
  </w:style>
  <w:style w:type="paragraph" w:customStyle="1" w:styleId="154">
    <w:name w:val="正文_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6">
    <w:name w:val="正文缩进_0"/>
    <w:basedOn w:val="86"/>
    <w:unhideWhenUsed/>
    <w:qFormat/>
    <w:uiPriority w:val="0"/>
    <w:pPr>
      <w:ind w:firstLine="420" w:firstLineChars="200"/>
    </w:pPr>
    <w:rPr>
      <w:rFonts w:ascii="Calibri" w:hAnsi="Calibri"/>
    </w:rPr>
  </w:style>
  <w:style w:type="paragraph" w:customStyle="1" w:styleId="157">
    <w:name w:val="2级标题"/>
    <w:basedOn w:val="1"/>
    <w:qFormat/>
    <w:uiPriority w:val="99"/>
    <w:pPr>
      <w:widowControl/>
      <w:spacing w:before="50" w:beforeLines="50" w:line="360" w:lineRule="auto"/>
      <w:outlineLvl w:val="1"/>
    </w:pPr>
    <w:rPr>
      <w:rFonts w:eastAsia="黑体"/>
      <w:kern w:val="0"/>
      <w:sz w:val="24"/>
      <w:szCs w:val="24"/>
    </w:rPr>
  </w:style>
  <w:style w:type="paragraph" w:customStyle="1" w:styleId="158">
    <w:name w:val="Normal_9"/>
    <w:qFormat/>
    <w:uiPriority w:val="0"/>
    <w:rPr>
      <w:rFonts w:ascii="黑体" w:hAnsi="黑体" w:eastAsia="黑体" w:cs="Times New Roman"/>
      <w:b/>
      <w:sz w:val="32"/>
      <w:szCs w:val="24"/>
      <w:lang w:bidi="ar-SA"/>
    </w:rPr>
  </w:style>
  <w:style w:type="paragraph" w:customStyle="1" w:styleId="159">
    <w:name w:val="msolistparagraph"/>
    <w:basedOn w:val="1"/>
    <w:qFormat/>
    <w:uiPriority w:val="0"/>
    <w:pPr>
      <w:spacing w:line="360" w:lineRule="auto"/>
      <w:ind w:firstLine="420" w:firstLineChars="200"/>
    </w:pPr>
    <w:rPr>
      <w:rFonts w:ascii="Times New Roman" w:hAnsi="Times New Roman"/>
      <w:sz w:val="24"/>
      <w:szCs w:val="24"/>
    </w:rPr>
  </w:style>
  <w:style w:type="paragraph" w:customStyle="1" w:styleId="160">
    <w:name w:val="Heading 5"/>
    <w:basedOn w:val="142"/>
    <w:qFormat/>
    <w:uiPriority w:val="0"/>
    <w:pPr>
      <w:spacing w:before="26" w:after="100" w:afterAutospacing="1"/>
      <w:ind w:left="157"/>
      <w:jc w:val="left"/>
      <w:outlineLvl w:val="5"/>
    </w:pPr>
    <w:rPr>
      <w:rFonts w:ascii="宋体" w:hAnsi="宋体" w:eastAsia="宋体" w:cs="宋体"/>
      <w:b/>
      <w:bCs/>
      <w:kern w:val="0"/>
      <w:sz w:val="24"/>
      <w:szCs w:val="24"/>
    </w:rPr>
  </w:style>
  <w:style w:type="paragraph" w:customStyle="1" w:styleId="161">
    <w:name w:val="正文缩进2格"/>
    <w:basedOn w:val="1"/>
    <w:unhideWhenUsed/>
    <w:qFormat/>
    <w:uiPriority w:val="99"/>
    <w:pPr>
      <w:spacing w:line="600" w:lineRule="exact"/>
      <w:ind w:firstLine="639" w:firstLineChars="206"/>
    </w:pPr>
    <w:rPr>
      <w:rFonts w:hint="default" w:hAnsi="宋体" w:eastAsia="Times New Roman"/>
      <w:sz w:val="31"/>
      <w:szCs w:val="24"/>
    </w:rPr>
  </w:style>
  <w:style w:type="paragraph" w:customStyle="1" w:styleId="162">
    <w:name w:val="正文1"/>
    <w:basedOn w:val="124"/>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163">
    <w:name w:val="正文_3_0_0"/>
    <w:basedOn w:val="26"/>
    <w:qFormat/>
    <w:uiPriority w:val="0"/>
    <w:rPr>
      <w:rFonts w:cs="Calibri"/>
      <w:szCs w:val="21"/>
    </w:rPr>
  </w:style>
  <w:style w:type="paragraph" w:customStyle="1" w:styleId="164">
    <w:name w:val="正文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165">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6">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7">
    <w:name w:val="Normal_19"/>
    <w:qFormat/>
    <w:uiPriority w:val="0"/>
    <w:rPr>
      <w:rFonts w:ascii="黑体" w:hAnsi="黑体" w:eastAsia="黑体" w:cs="Times New Roman"/>
      <w:b/>
      <w:sz w:val="32"/>
      <w:szCs w:val="24"/>
      <w:lang w:bidi="ar-SA"/>
    </w:rPr>
  </w:style>
  <w:style w:type="paragraph" w:customStyle="1" w:styleId="168">
    <w:name w:val="Normal_21"/>
    <w:qFormat/>
    <w:uiPriority w:val="0"/>
    <w:rPr>
      <w:rFonts w:ascii="黑体" w:hAnsi="黑体" w:eastAsia="黑体" w:cs="Times New Roman"/>
      <w:b/>
      <w:sz w:val="32"/>
      <w:szCs w:val="24"/>
      <w:lang w:bidi="ar-SA"/>
    </w:rPr>
  </w:style>
  <w:style w:type="paragraph" w:customStyle="1" w:styleId="169">
    <w:name w:val="Normal_18"/>
    <w:qFormat/>
    <w:uiPriority w:val="0"/>
    <w:rPr>
      <w:rFonts w:ascii="黑体" w:hAnsi="黑体" w:eastAsia="黑体" w:cs="Times New Roman"/>
      <w:b/>
      <w:sz w:val="32"/>
      <w:szCs w:val="24"/>
      <w:lang w:bidi="ar-SA"/>
    </w:rPr>
  </w:style>
  <w:style w:type="paragraph" w:customStyle="1" w:styleId="170">
    <w:name w:val="Normal_7"/>
    <w:qFormat/>
    <w:uiPriority w:val="0"/>
    <w:rPr>
      <w:rFonts w:ascii="黑体" w:hAnsi="黑体" w:eastAsia="黑体" w:cs="Times New Roman"/>
      <w:b/>
      <w:sz w:val="32"/>
      <w:szCs w:val="24"/>
      <w:lang w:bidi="ar-SA"/>
    </w:rPr>
  </w:style>
  <w:style w:type="paragraph" w:customStyle="1" w:styleId="171">
    <w:name w:val="Normal_6"/>
    <w:qFormat/>
    <w:uiPriority w:val="0"/>
    <w:pPr>
      <w:widowControl w:val="0"/>
      <w:jc w:val="both"/>
    </w:pPr>
    <w:rPr>
      <w:rFonts w:ascii="Times New Roman" w:hAnsi="Times New Roman" w:eastAsia="宋体" w:cs="Times New Roman"/>
      <w:kern w:val="2"/>
      <w:sz w:val="21"/>
      <w:szCs w:val="24"/>
      <w:lang w:bidi="ar-SA"/>
    </w:rPr>
  </w:style>
  <w:style w:type="paragraph" w:customStyle="1" w:styleId="172">
    <w:name w:val="Normal_14"/>
    <w:qFormat/>
    <w:uiPriority w:val="0"/>
    <w:rPr>
      <w:rFonts w:ascii="黑体" w:hAnsi="黑体" w:eastAsia="黑体" w:cs="Times New Roman"/>
      <w:b/>
      <w:sz w:val="32"/>
      <w:szCs w:val="24"/>
      <w:lang w:bidi="ar-SA"/>
    </w:rPr>
  </w:style>
  <w:style w:type="paragraph" w:customStyle="1" w:styleId="173">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4">
    <w:name w:val="列出段落1"/>
    <w:basedOn w:val="1"/>
    <w:qFormat/>
    <w:uiPriority w:val="34"/>
    <w:pPr>
      <w:ind w:firstLine="420" w:firstLineChars="200"/>
    </w:pPr>
  </w:style>
  <w:style w:type="paragraph" w:customStyle="1" w:styleId="175">
    <w:name w:val="标题 2_0"/>
    <w:basedOn w:val="135"/>
    <w:next w:val="86"/>
    <w:qFormat/>
    <w:uiPriority w:val="0"/>
    <w:pPr>
      <w:adjustRightInd w:val="0"/>
      <w:snapToGrid w:val="0"/>
      <w:spacing w:line="500" w:lineRule="exact"/>
      <w:ind w:left="-88" w:leftChars="-42"/>
      <w:contextualSpacing/>
      <w:jc w:val="center"/>
      <w:outlineLvl w:val="1"/>
    </w:pPr>
    <w:rPr>
      <w:rFonts w:ascii="宋体" w:hAnsi="宋体"/>
      <w:bCs w:val="0"/>
      <w:szCs w:val="28"/>
    </w:rPr>
  </w:style>
  <w:style w:type="paragraph" w:customStyle="1" w:styleId="176">
    <w:name w:val="正文空2格  1."/>
    <w:basedOn w:val="1"/>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paragraph" w:customStyle="1" w:styleId="177">
    <w:name w:val="Normal_5"/>
    <w:qFormat/>
    <w:uiPriority w:val="0"/>
    <w:rPr>
      <w:rFonts w:ascii="黑体" w:hAnsi="黑体" w:eastAsia="黑体" w:cs="Times New Roman"/>
      <w:b/>
      <w:sz w:val="32"/>
      <w:szCs w:val="24"/>
      <w:lang w:bidi="ar-SA"/>
    </w:rPr>
  </w:style>
  <w:style w:type="paragraph" w:customStyle="1" w:styleId="178">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9">
    <w:name w:val="Normal_2"/>
    <w:qFormat/>
    <w:uiPriority w:val="0"/>
    <w:rPr>
      <w:rFonts w:ascii="黑体" w:hAnsi="黑体" w:eastAsia="黑体" w:cs="Times New Roman"/>
      <w:b/>
      <w:sz w:val="32"/>
      <w:szCs w:val="24"/>
      <w:lang w:bidi="ar-SA"/>
    </w:rPr>
  </w:style>
  <w:style w:type="paragraph" w:customStyle="1" w:styleId="180">
    <w:name w:val="Normal_22"/>
    <w:qFormat/>
    <w:uiPriority w:val="0"/>
    <w:rPr>
      <w:rFonts w:ascii="黑体" w:hAnsi="黑体" w:eastAsia="黑体" w:cs="Times New Roman"/>
      <w:b/>
      <w:sz w:val="32"/>
      <w:szCs w:val="24"/>
      <w:lang w:bidi="ar-SA"/>
    </w:rPr>
  </w:style>
  <w:style w:type="paragraph" w:customStyle="1" w:styleId="181">
    <w:name w:val="正文_0_0_1"/>
    <w:qFormat/>
    <w:uiPriority w:val="0"/>
    <w:pPr>
      <w:widowControl w:val="0"/>
      <w:jc w:val="both"/>
    </w:pPr>
    <w:rPr>
      <w:rFonts w:ascii="Calibri" w:hAnsi="Calibri" w:eastAsia="宋体" w:cs="Times New Roman"/>
      <w:kern w:val="2"/>
      <w:sz w:val="28"/>
      <w:szCs w:val="22"/>
      <w:lang w:val="en-US" w:eastAsia="zh-CN" w:bidi="ar-SA"/>
    </w:rPr>
  </w:style>
  <w:style w:type="paragraph" w:customStyle="1" w:styleId="182">
    <w:name w:val="正文_0_1"/>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183">
    <w:name w:val="Normal_13"/>
    <w:qFormat/>
    <w:uiPriority w:val="0"/>
    <w:rPr>
      <w:rFonts w:ascii="黑体" w:hAnsi="黑体" w:eastAsia="黑体" w:cs="Times New Roman"/>
      <w:b/>
      <w:sz w:val="32"/>
      <w:szCs w:val="24"/>
      <w:lang w:bidi="ar-SA"/>
    </w:rPr>
  </w:style>
  <w:style w:type="paragraph" w:customStyle="1" w:styleId="184">
    <w:name w:val="_Style 186"/>
    <w:basedOn w:val="17"/>
    <w:next w:val="38"/>
    <w:unhideWhenUsed/>
    <w:qFormat/>
    <w:uiPriority w:val="99"/>
    <w:pPr>
      <w:widowControl w:val="0"/>
      <w:adjustRightInd w:val="0"/>
      <w:snapToGrid w:val="0"/>
      <w:spacing w:before="0" w:after="120" w:line="360" w:lineRule="auto"/>
      <w:ind w:firstLine="420" w:firstLineChars="100"/>
    </w:pPr>
    <w:rPr>
      <w:rFonts w:eastAsia="ZapfHumnst BT" w:cs="Arial"/>
      <w:color w:val="0000FF"/>
      <w:kern w:val="2"/>
      <w:sz w:val="24"/>
      <w:szCs w:val="22"/>
      <w:lang w:val="en-US" w:eastAsia="zh-CN"/>
    </w:rPr>
  </w:style>
  <w:style w:type="paragraph" w:customStyle="1" w:styleId="185">
    <w:name w:val="正文文本_0"/>
    <w:basedOn w:val="186"/>
    <w:unhideWhenUsed/>
    <w:qFormat/>
    <w:uiPriority w:val="0"/>
    <w:pPr>
      <w:spacing w:after="120"/>
    </w:pPr>
    <w:rPr>
      <w:rFonts w:ascii="Calibri" w:hAnsi="Calibri"/>
    </w:rPr>
  </w:style>
  <w:style w:type="paragraph" w:customStyle="1" w:styleId="186">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7">
    <w:name w:val="正文_4_0_0"/>
    <w:basedOn w:val="123"/>
    <w:qFormat/>
    <w:uiPriority w:val="0"/>
    <w:rPr>
      <w:rFonts w:ascii="Calibri" w:hAnsi="Calibri" w:eastAsia="宋体" w:cs="Calibri"/>
      <w:szCs w:val="21"/>
    </w:rPr>
  </w:style>
  <w:style w:type="paragraph" w:customStyle="1" w:styleId="188">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189">
    <w:name w:val="detail-info"/>
    <w:basedOn w:val="1"/>
    <w:qFormat/>
    <w:uiPriority w:val="0"/>
    <w:pPr>
      <w:pBdr>
        <w:top w:val="none" w:color="auto" w:sz="0" w:space="0"/>
        <w:left w:val="none" w:color="auto" w:sz="0" w:space="0"/>
        <w:bottom w:val="dotted" w:color="999999" w:sz="6" w:space="7"/>
        <w:right w:val="none" w:color="auto" w:sz="0" w:space="0"/>
      </w:pBdr>
      <w:spacing w:after="300" w:afterAutospacing="0"/>
      <w:jc w:val="left"/>
    </w:pPr>
    <w:rPr>
      <w:color w:val="666666"/>
      <w:kern w:val="0"/>
      <w:sz w:val="21"/>
      <w:szCs w:val="21"/>
      <w:lang w:val="en-US" w:eastAsia="zh-CN" w:bidi="ar"/>
    </w:rPr>
  </w:style>
  <w:style w:type="paragraph" w:customStyle="1" w:styleId="190">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1">
    <w:name w:val="Normal"/>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2">
    <w:name w:val="Normal_20"/>
    <w:qFormat/>
    <w:uiPriority w:val="0"/>
    <w:rPr>
      <w:rFonts w:ascii="黑体" w:hAnsi="黑体" w:eastAsia="黑体" w:cs="Times New Roman"/>
      <w:b/>
      <w:sz w:val="32"/>
      <w:szCs w:val="24"/>
      <w:lang w:bidi="ar-SA"/>
    </w:rPr>
  </w:style>
  <w:style w:type="paragraph" w:customStyle="1" w:styleId="193">
    <w:name w:val="Normal_1"/>
    <w:qFormat/>
    <w:uiPriority w:val="0"/>
    <w:rPr>
      <w:rFonts w:ascii="黑体" w:hAnsi="黑体" w:eastAsia="黑体" w:cs="Times New Roman"/>
      <w:b/>
      <w:sz w:val="32"/>
      <w:szCs w:val="24"/>
      <w:lang w:bidi="ar-SA"/>
    </w:rPr>
  </w:style>
  <w:style w:type="paragraph" w:customStyle="1" w:styleId="194">
    <w:name w:val="_Style 193"/>
    <w:basedOn w:val="2"/>
    <w:next w:val="1"/>
    <w:qFormat/>
    <w:uiPriority w:val="39"/>
    <w:pPr>
      <w:widowControl/>
      <w:adjustRightInd/>
      <w:snapToGrid/>
      <w:spacing w:before="480" w:after="0" w:line="276" w:lineRule="auto"/>
      <w:ind w:left="0" w:leftChars="0"/>
      <w:jc w:val="left"/>
      <w:outlineLvl w:val="9"/>
    </w:pPr>
    <w:rPr>
      <w:rFonts w:ascii="Cambria" w:hAnsi="Cambria" w:eastAsia="宋体" w:cs="Times New Roman"/>
      <w:color w:val="365F91"/>
      <w:kern w:val="0"/>
      <w:sz w:val="28"/>
      <w:szCs w:val="28"/>
    </w:rPr>
  </w:style>
  <w:style w:type="paragraph" w:customStyle="1" w:styleId="195">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Table Paragraph"/>
    <w:basedOn w:val="1"/>
    <w:qFormat/>
    <w:uiPriority w:val="1"/>
    <w:pPr>
      <w:autoSpaceDE w:val="0"/>
      <w:autoSpaceDN w:val="0"/>
      <w:jc w:val="left"/>
    </w:pPr>
    <w:rPr>
      <w:rFonts w:ascii="宋体" w:hAnsi="宋体" w:eastAsia="宋体" w:cs="宋体"/>
      <w:kern w:val="0"/>
      <w:sz w:val="22"/>
      <w:lang w:val="zh-CN" w:bidi="zh-CN"/>
    </w:rPr>
  </w:style>
  <w:style w:type="paragraph" w:customStyle="1" w:styleId="197">
    <w:name w:val="Normal_23"/>
    <w:qFormat/>
    <w:uiPriority w:val="0"/>
    <w:rPr>
      <w:rFonts w:ascii="Times New Roman" w:hAnsi="Times New Roman" w:eastAsia="Times New Roman" w:cs="Times New Roman"/>
      <w:sz w:val="24"/>
      <w:szCs w:val="24"/>
      <w:lang w:bidi="ar-SA"/>
    </w:rPr>
  </w:style>
  <w:style w:type="paragraph" w:customStyle="1" w:styleId="198">
    <w:name w:val="图片居中"/>
    <w:basedOn w:val="1"/>
    <w:qFormat/>
    <w:uiPriority w:val="0"/>
    <w:pPr>
      <w:ind w:firstLine="0" w:firstLineChars="0"/>
      <w:jc w:val="center"/>
    </w:pPr>
  </w:style>
  <w:style w:type="paragraph" w:customStyle="1" w:styleId="199">
    <w:name w:val="纯文本_0"/>
    <w:basedOn w:val="86"/>
    <w:qFormat/>
    <w:uiPriority w:val="0"/>
    <w:rPr>
      <w:rFonts w:ascii="宋体" w:hAnsi="Courier New"/>
      <w:szCs w:val="21"/>
    </w:rPr>
  </w:style>
  <w:style w:type="paragraph" w:customStyle="1" w:styleId="200">
    <w:name w:val="Table Paragraph_1"/>
    <w:basedOn w:val="122"/>
    <w:qFormat/>
    <w:uiPriority w:val="0"/>
    <w:pPr>
      <w:jc w:val="left"/>
    </w:pPr>
    <w:rPr>
      <w:rFonts w:ascii="Calibri" w:hAnsi="Calibri" w:eastAsia="宋体"/>
      <w:kern w:val="0"/>
      <w:sz w:val="22"/>
      <w:szCs w:val="22"/>
    </w:rPr>
  </w:style>
  <w:style w:type="paragraph" w:customStyle="1" w:styleId="201">
    <w:name w:val="Normal_11"/>
    <w:qFormat/>
    <w:uiPriority w:val="0"/>
    <w:rPr>
      <w:rFonts w:ascii="黑体" w:hAnsi="黑体" w:eastAsia="黑体" w:cs="Times New Roman"/>
      <w:b/>
      <w:sz w:val="32"/>
      <w:szCs w:val="24"/>
      <w:lang w:bidi="ar-SA"/>
    </w:rPr>
  </w:style>
  <w:style w:type="paragraph" w:customStyle="1" w:styleId="202">
    <w:name w:val="标准中文版式_正文"/>
    <w:basedOn w:val="1"/>
    <w:qFormat/>
    <w:uiPriority w:val="99"/>
    <w:pPr>
      <w:ind w:firstLine="200"/>
    </w:pPr>
    <w:rPr>
      <w:rFonts w:ascii="Arial" w:hAnsi="Arial"/>
    </w:rPr>
  </w:style>
  <w:style w:type="paragraph" w:customStyle="1" w:styleId="203">
    <w:name w:val="Normal_12"/>
    <w:qFormat/>
    <w:uiPriority w:val="0"/>
    <w:rPr>
      <w:rFonts w:ascii="黑体" w:hAnsi="黑体" w:eastAsia="黑体" w:cs="Times New Roman"/>
      <w:b/>
      <w:sz w:val="32"/>
      <w:szCs w:val="24"/>
      <w:lang w:bidi="ar-SA"/>
    </w:rPr>
  </w:style>
  <w:style w:type="paragraph" w:customStyle="1" w:styleId="204">
    <w:name w:val="正文_1_0_0"/>
    <w:basedOn w:val="26"/>
    <w:qFormat/>
    <w:uiPriority w:val="0"/>
    <w:rPr>
      <w:rFonts w:ascii="Calibri" w:hAnsi="Calibri"/>
      <w:sz w:val="28"/>
      <w:szCs w:val="28"/>
    </w:rPr>
  </w:style>
  <w:style w:type="paragraph" w:customStyle="1" w:styleId="205">
    <w:name w:val="正文文本_0_1"/>
    <w:basedOn w:val="122"/>
    <w:qFormat/>
    <w:uiPriority w:val="0"/>
    <w:pPr>
      <w:spacing w:before="100" w:beforeAutospacing="1" w:after="120"/>
    </w:pPr>
    <w:rPr>
      <w:rFonts w:ascii="Calibri" w:hAnsi="Calibri" w:eastAsia="宋体"/>
      <w:kern w:val="0"/>
      <w:sz w:val="24"/>
      <w:szCs w:val="24"/>
    </w:rPr>
  </w:style>
  <w:style w:type="paragraph" w:customStyle="1" w:styleId="206">
    <w:name w:val="Normal_0_0"/>
    <w:qFormat/>
    <w:uiPriority w:val="0"/>
    <w:rPr>
      <w:rFonts w:ascii="黑体" w:hAnsi="黑体" w:eastAsia="黑体" w:cs="Times New Roman"/>
      <w:b/>
      <w:sz w:val="32"/>
      <w:szCs w:val="24"/>
      <w:lang w:bidi="ar-SA"/>
    </w:rPr>
  </w:style>
  <w:style w:type="paragraph" w:customStyle="1" w:styleId="207">
    <w:name w:val="正文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8">
    <w:name w:val="p0"/>
    <w:basedOn w:val="1"/>
    <w:qFormat/>
    <w:uiPriority w:val="0"/>
    <w:pPr>
      <w:widowControl/>
    </w:pPr>
    <w:rPr>
      <w:kern w:val="0"/>
      <w:szCs w:val="21"/>
    </w:rPr>
  </w:style>
  <w:style w:type="paragraph" w:customStyle="1" w:styleId="209">
    <w:name w:val="标题 3_0_0"/>
    <w:basedOn w:val="188"/>
    <w:next w:val="188"/>
    <w:qFormat/>
    <w:uiPriority w:val="0"/>
    <w:pPr>
      <w:autoSpaceDE w:val="0"/>
      <w:autoSpaceDN w:val="0"/>
      <w:adjustRightInd w:val="0"/>
      <w:spacing w:line="500" w:lineRule="exact"/>
      <w:jc w:val="center"/>
      <w:outlineLvl w:val="2"/>
    </w:pPr>
    <w:rPr>
      <w:rFonts w:hint="eastAsia" w:ascii="宋体" w:hAnsi="宋体"/>
      <w:b/>
      <w:kern w:val="0"/>
      <w:szCs w:val="28"/>
    </w:rPr>
  </w:style>
  <w:style w:type="paragraph" w:customStyle="1" w:styleId="21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1">
    <w:name w:val="Normal_16"/>
    <w:qFormat/>
    <w:uiPriority w:val="0"/>
    <w:rPr>
      <w:rFonts w:ascii="黑体" w:hAnsi="黑体" w:eastAsia="黑体" w:cs="Times New Roman"/>
      <w:b/>
      <w:sz w:val="32"/>
      <w:szCs w:val="24"/>
      <w:lang w:bidi="ar-SA"/>
    </w:rPr>
  </w:style>
  <w:style w:type="paragraph" w:customStyle="1" w:styleId="212">
    <w:name w:val="标题2"/>
    <w:basedOn w:val="1"/>
    <w:qFormat/>
    <w:uiPriority w:val="0"/>
    <w:pPr>
      <w:spacing w:line="360" w:lineRule="auto"/>
      <w:jc w:val="left"/>
      <w:outlineLvl w:val="4"/>
    </w:pPr>
    <w:rPr>
      <w:b/>
      <w:sz w:val="28"/>
    </w:rPr>
  </w:style>
  <w:style w:type="paragraph" w:customStyle="1" w:styleId="213">
    <w:name w:val="Body text|1"/>
    <w:basedOn w:val="1"/>
    <w:qFormat/>
    <w:uiPriority w:val="0"/>
    <w:pPr>
      <w:spacing w:line="408" w:lineRule="auto"/>
      <w:ind w:firstLine="400"/>
    </w:pPr>
    <w:rPr>
      <w:rFonts w:ascii="宋体" w:hAnsi="宋体" w:eastAsia="宋体" w:cs="宋体"/>
      <w:sz w:val="26"/>
      <w:szCs w:val="26"/>
      <w:lang w:val="zh-TW" w:eastAsia="zh-TW" w:bidi="zh-TW"/>
    </w:rPr>
  </w:style>
  <w:style w:type="paragraph" w:customStyle="1" w:styleId="214">
    <w:name w:val="正文_2_0_0"/>
    <w:basedOn w:val="182"/>
    <w:next w:val="89"/>
    <w:qFormat/>
    <w:uiPriority w:val="0"/>
    <w:rPr>
      <w:szCs w:val="24"/>
    </w:rPr>
  </w:style>
  <w:style w:type="paragraph" w:customStyle="1" w:styleId="215">
    <w:name w:val="小四1.0"/>
    <w:basedOn w:val="216"/>
    <w:qFormat/>
    <w:uiPriority w:val="6"/>
    <w:pPr>
      <w:spacing w:line="240" w:lineRule="auto"/>
    </w:pPr>
  </w:style>
  <w:style w:type="paragraph" w:customStyle="1" w:styleId="216">
    <w:name w:val="小四1.5"/>
    <w:basedOn w:val="1"/>
    <w:qFormat/>
    <w:uiPriority w:val="4"/>
    <w:pPr>
      <w:shd w:val="solid" w:color="FFFFFF" w:fill="auto"/>
      <w:autoSpaceDN w:val="0"/>
      <w:spacing w:line="360" w:lineRule="auto"/>
    </w:pPr>
    <w:rPr>
      <w:rFonts w:hAnsi="宋体"/>
      <w:sz w:val="24"/>
      <w:szCs w:val="24"/>
      <w:shd w:val="clear" w:color="auto" w:fill="FFFFFF"/>
    </w:rPr>
  </w:style>
  <w:style w:type="paragraph" w:customStyle="1" w:styleId="217">
    <w:name w:val="HTML 预设格式1"/>
    <w:basedOn w:val="1"/>
    <w:qFormat/>
    <w:uiPriority w:val="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cs="Arial"/>
      <w:kern w:val="1"/>
      <w:szCs w:val="21"/>
    </w:rPr>
  </w:style>
  <w:style w:type="table" w:customStyle="1" w:styleId="218">
    <w:name w:val="Table Normal"/>
    <w:unhideWhenUsed/>
    <w:qFormat/>
    <w:uiPriority w:val="0"/>
    <w:tblPr>
      <w:tblCellMar>
        <w:top w:w="0" w:type="dxa"/>
        <w:left w:w="0" w:type="dxa"/>
        <w:bottom w:w="0" w:type="dxa"/>
        <w:right w:w="0" w:type="dxa"/>
      </w:tblCellMar>
    </w:tblPr>
  </w:style>
  <w:style w:type="paragraph" w:customStyle="1" w:styleId="219">
    <w:name w:val="Table Text"/>
    <w:basedOn w:val="1"/>
    <w:semiHidden/>
    <w:qFormat/>
    <w:uiPriority w:val="0"/>
    <w:rPr>
      <w:rFonts w:ascii="宋体" w:hAnsi="宋体" w:eastAsia="宋体" w:cs="宋体"/>
      <w:sz w:val="20"/>
      <w:szCs w:val="20"/>
      <w:lang w:val="en-US" w:eastAsia="en-US" w:bidi="ar-SA"/>
    </w:rPr>
  </w:style>
  <w:style w:type="paragraph" w:customStyle="1" w:styleId="220">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221">
    <w:name w:val="纯文本1"/>
    <w:basedOn w:val="1"/>
    <w:qFormat/>
    <w:uiPriority w:val="0"/>
    <w:rPr>
      <w:rFonts w:ascii="宋体" w:hAnsi="Courier New"/>
      <w:kern w:val="0"/>
      <w:sz w:val="20"/>
      <w:szCs w:val="20"/>
    </w:rPr>
  </w:style>
  <w:style w:type="paragraph" w:customStyle="1" w:styleId="222">
    <w:name w:val="正文（缩进）"/>
    <w:basedOn w:val="1"/>
    <w:qFormat/>
    <w:uiPriority w:val="0"/>
    <w:pPr>
      <w:widowControl/>
      <w:spacing w:before="156" w:after="156"/>
      <w:ind w:firstLine="480" w:firstLineChars="200"/>
      <w:jc w:val="left"/>
    </w:pPr>
    <w:rPr>
      <w:rFonts w:ascii="仿宋_GB2312" w:eastAsia="仿宋_GB2312"/>
      <w:kern w:val="0"/>
      <w:sz w:val="24"/>
    </w:rPr>
  </w:style>
  <w:style w:type="character" w:customStyle="1" w:styleId="223">
    <w:name w:val="font41"/>
    <w:basedOn w:val="42"/>
    <w:qFormat/>
    <w:uiPriority w:val="0"/>
    <w:rPr>
      <w:rFonts w:hint="default" w:ascii="Times New Roman" w:hAnsi="Times New Roman" w:cs="Times New Roman"/>
      <w:color w:val="000000"/>
      <w:sz w:val="16"/>
      <w:szCs w:val="16"/>
      <w:u w:val="none"/>
    </w:rPr>
  </w:style>
  <w:style w:type="character" w:customStyle="1" w:styleId="224">
    <w:name w:val="font81"/>
    <w:basedOn w:val="42"/>
    <w:qFormat/>
    <w:uiPriority w:val="0"/>
    <w:rPr>
      <w:rFonts w:hint="eastAsia" w:ascii="宋体" w:hAnsi="宋体" w:eastAsia="宋体" w:cs="宋体"/>
      <w:color w:val="000000"/>
      <w:sz w:val="16"/>
      <w:szCs w:val="16"/>
      <w:u w:val="none"/>
    </w:rPr>
  </w:style>
  <w:style w:type="character" w:customStyle="1" w:styleId="225">
    <w:name w:val="font11"/>
    <w:basedOn w:val="4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75</Pages>
  <Words>4126</Words>
  <Characters>4628</Characters>
  <Lines>431</Lines>
  <Paragraphs>121</Paragraphs>
  <TotalTime>22</TotalTime>
  <ScaleCrop>false</ScaleCrop>
  <LinksUpToDate>false</LinksUpToDate>
  <CharactersWithSpaces>4751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2021-03-12T02:33:00Z</dcterms:created>
  <dc:creator>微软用户</dc:creator>
  <cp:lastModifiedBy>刘鑫龙</cp:lastModifiedBy>
  <cp:lastPrinted>2023-02-15T07:47:00Z</cp:lastPrinted>
  <dcterms:modified xsi:type="dcterms:W3CDTF">2026-05-11T09:24:41Z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8D232EE106F8474381B9ACC19A53A620_13</vt:lpwstr>
  </property>
  <property fmtid="{D5CDD505-2E9C-101B-9397-08002B2CF9AE}" pid="4" name="KSOTemplateDocerSaveRecord">
    <vt:lpwstr>eyJoZGlkIjoiZjY0YTYxMTY2YWRkYzU1N2I5NzQ3MzcxYjU3YjhhNGIiLCJ1c2VySWQiOiIxNDU4NTEzMzQ2In0=</vt:lpwstr>
  </property>
</Properties>
</file>